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A977F0" w:rsidRPr="00A977F0" w:rsidTr="00A977F0">
        <w:trPr>
          <w:tblCellSpacing w:w="0" w:type="dxa"/>
        </w:trPr>
        <w:tc>
          <w:tcPr>
            <w:tcW w:w="3750" w:type="pct"/>
            <w:vAlign w:val="center"/>
            <w:hideMark/>
          </w:tcPr>
          <w:p w:rsidR="00A977F0" w:rsidRPr="00A977F0" w:rsidRDefault="00A977F0" w:rsidP="00A9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F3565" wp14:editId="683055A8">
                  <wp:extent cx="3810000" cy="665480"/>
                  <wp:effectExtent l="0" t="0" r="0" b="1270"/>
                  <wp:docPr id="1" name="Рисунок 1" descr="http://demoscope.ru/weekly/img/log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oscope.ru/weekly/img/log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  <w:hideMark/>
          </w:tcPr>
          <w:p w:rsidR="00A977F0" w:rsidRPr="00A977F0" w:rsidRDefault="00A977F0" w:rsidP="00A977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977F0">
              <w:rPr>
                <w:rFonts w:ascii="Arial" w:eastAsia="Times New Roman" w:hAnsi="Arial" w:cs="Arial"/>
                <w:b/>
                <w:bCs/>
                <w:color w:val="1A1A1A"/>
                <w:sz w:val="27"/>
                <w:szCs w:val="27"/>
                <w:lang w:eastAsia="ru-RU"/>
              </w:rPr>
              <w:t>№ 553 - 554</w:t>
            </w:r>
            <w:r w:rsidRPr="00A977F0">
              <w:rPr>
                <w:rFonts w:ascii="Arial" w:eastAsia="Times New Roman" w:hAnsi="Arial" w:cs="Arial"/>
                <w:b/>
                <w:bCs/>
                <w:color w:val="1A1A1A"/>
                <w:sz w:val="20"/>
                <w:szCs w:val="20"/>
                <w:lang w:eastAsia="ru-RU"/>
              </w:rPr>
              <w:br/>
              <w:t>1 - 19 мая 2013</w:t>
            </w:r>
          </w:p>
        </w:tc>
      </w:tr>
      <w:tr w:rsidR="00A977F0" w:rsidRPr="00A977F0" w:rsidTr="00A977F0">
        <w:trPr>
          <w:trHeight w:val="240"/>
          <w:tblCellSpacing w:w="0" w:type="dxa"/>
        </w:trPr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A977F0" w:rsidRPr="00A977F0" w:rsidRDefault="00A977F0" w:rsidP="00A977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hyperlink r:id="rId6" w:tgtFrame="_blank" w:history="1">
              <w:r w:rsidRPr="00A977F0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eastAsia="ru-RU"/>
                </w:rPr>
                <w:t>Институт демографии Национального исследовательского университета "Высшая школа экономики"</w:t>
              </w:r>
            </w:hyperlink>
          </w:p>
        </w:tc>
      </w:tr>
      <w:tr w:rsidR="00A977F0" w:rsidRPr="00A977F0" w:rsidTr="00A977F0">
        <w:trPr>
          <w:trHeight w:val="240"/>
          <w:tblCellSpacing w:w="0" w:type="dxa"/>
        </w:trPr>
        <w:tc>
          <w:tcPr>
            <w:tcW w:w="0" w:type="auto"/>
            <w:gridSpan w:val="2"/>
            <w:shd w:val="clear" w:color="auto" w:fill="999999"/>
            <w:vAlign w:val="center"/>
            <w:hideMark/>
          </w:tcPr>
          <w:p w:rsidR="00A977F0" w:rsidRPr="00A977F0" w:rsidRDefault="00A977F0" w:rsidP="00A9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77F0" w:rsidRPr="00A977F0" w:rsidRDefault="00A977F0" w:rsidP="00A977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977F0" w:rsidRPr="00A977F0" w:rsidTr="00A977F0">
        <w:trPr>
          <w:tblCellSpacing w:w="0" w:type="dxa"/>
        </w:trPr>
        <w:tc>
          <w:tcPr>
            <w:tcW w:w="5000" w:type="pct"/>
            <w:shd w:val="clear" w:color="auto" w:fill="F3F3F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977F0" w:rsidRPr="00A977F0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C3333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Verdana" w:eastAsia="Times New Roman" w:hAnsi="Verdana" w:cs="Times New Roman"/>
                      <w:b/>
                      <w:bCs/>
                      <w:color w:val="CC3333"/>
                      <w:sz w:val="20"/>
                      <w:szCs w:val="20"/>
                      <w:lang w:eastAsia="ru-RU"/>
                    </w:rPr>
                    <w:br/>
                    <w:t>http://demoscope.ru/weekly/2013/0553/analit03.php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CC3333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Verdana" w:eastAsia="Times New Roman" w:hAnsi="Verdana" w:cs="Times New Roman"/>
                      <w:b/>
                      <w:bCs/>
                      <w:color w:val="CC3333"/>
                      <w:sz w:val="20"/>
                      <w:szCs w:val="20"/>
                      <w:lang w:eastAsia="ru-RU"/>
                    </w:rPr>
                    <w:t>Влияние религиозной социализации и принадлежности к общине на рождаемость. Постановка проблемы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Забаев И.В.</w:t>
                  </w:r>
                  <w:bookmarkStart w:id="0" w:name="_FN_1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"_FNR_1" </w:instrTex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0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, Мелкумян Е.Б.</w:t>
                  </w:r>
                  <w:bookmarkStart w:id="1" w:name="_FN_2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"_FNR_2" </w:instrTex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, Орешина Д.А.</w:t>
                  </w:r>
                  <w:bookmarkStart w:id="2" w:name="_FN_3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"_FNR_3" </w:instrTex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, 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br/>
                    <w:t>Павлюткин И.В.</w:t>
                  </w:r>
                  <w:bookmarkStart w:id="3" w:name="_FN_4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"_FNR_4" </w:instrTex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, Пруцкова Е.В.</w:t>
                  </w:r>
                  <w:bookmarkStart w:id="4" w:name="_FN_5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"_FNR_5" </w:instrTex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5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 – специально для Демоскопа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Введение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Снижение рождаемости, которое мы наблюдаем в современной Европе, во многом определяется влиянием ценностного фактора</w:t>
                  </w:r>
                  <w:bookmarkStart w:id="5" w:name="_FN_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"_FNR_6"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Доминирующая сегодня в демографии теория второго демографического перехода</w:t>
                  </w:r>
                  <w:bookmarkStart w:id="6" w:name="_FN_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"_FNR_7"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строится на тезисе о том, что в основе современного снижения рождаемости (второго демографического перехода), в первую очередь в западных странах, лежит ценностный сдвиг – от ценностей материальных к ценностям постматериальным (ценностям самореализации)</w:t>
                  </w:r>
                  <w:bookmarkStart w:id="7" w:name="_FN_8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"_FNR_8"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8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Часть ведущих российских демографов разделяет данный подход</w:t>
                  </w:r>
                  <w:bookmarkStart w:id="8" w:name="_FN_9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"_FNR_9"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9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8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Помимо общего указания на ценностный сдвиг, исследователи анализируют конкретные процессы, вызвавшие этот сдвиг. Ключевым процессом (или, по крайней мере, одним из ключевых) признается  процесс секуляризации</w:t>
                  </w:r>
                  <w:bookmarkStart w:id="9" w:name="_FN_10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"_FNR_10"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10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9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Идеационные изменения связаны, в том числе, и с изменениями институциональными. Различные акторы и институты явно или неявно являются проводниками тех или иных идей и ценностей. Исследования показывают, что экономика и образование (особенно высшее) в настоящее время скорее поддерживают ценности «самореализации»</w:t>
                  </w:r>
                  <w:bookmarkStart w:id="10" w:name="_FN_11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"_FNR_11"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11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0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(в случае экономики особенно это сопряжено с изменениями в части эмансипации женщин, выхода их на рынок труда и т.д.). Медицина, по-видимому, культивирует ценность «ответственности»</w:t>
                  </w:r>
                  <w:bookmarkStart w:id="11" w:name="_FN_12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"_FNR_12"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12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1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и представление о сложности рождения нескольких детей. И та и другая ценности работают на снижение рождаемости</w:t>
                  </w:r>
                  <w:bookmarkStart w:id="12" w:name="_FN_13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"_FNR_13"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13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2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По большому счету, есть всего два института, позитивно влияющих на рождаемость сегодня: семья и религия</w:t>
                  </w:r>
                  <w:bookmarkStart w:id="13" w:name="_FN_14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"_FNR_14"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14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3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Если говорить о семье, то в современной России рождение второго ребенка, необходимое для реализации расширенного воспроизводства населения страны, происходит в большинстве случаев только в полных семьях, рождение третьего – исключительно в полных семьях. Популярность исследований влияния религии на рождаемость в последнее время увеличивается</w:t>
                  </w:r>
                  <w:bookmarkStart w:id="14" w:name="_FN_1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"_FNR_15"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15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4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Приведем краткий обзор результатов нескольких исследований.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Исследования влияния религиозности на рождаемость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Д. Филлипов и К. Бергхаммер анализируя влияние религии на рождаемость среди ряда европейских стран, зафиксировали, что религиозность оказывает влияние на различные показатели рождаемости – идеальное число детей, вероятность появления следующего ребенка, ожидаемое и реальное число детей. Для религиозной подвыборки все эти показатели выше. Исследователи выделили три механизма, посредством которых религиозность оказывает влияние на рождаемость: религиозное учение, социальный капитал религиозных людей и способность религии уменьшать у человека ощущение неопределенности</w:t>
                  </w:r>
                  <w:bookmarkStart w:id="15" w:name="_FN_1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"_FNR_16"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16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Если говорить о значении социального капитала, то существует ряд исследований, указывающих, что на желание родить еще одного ребенка положительно влияет наличие неформальной социальной сети поддержки</w:t>
                  </w:r>
                  <w:bookmarkStart w:id="16" w:name="_FN_1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"_FNR_17"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17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В отдельных странах этот эффект наблюдается при отсутствии развитой системы государственной поддержки семьям (например, Болгария), в других – при наличии таковой сеть также может влиять на решение о рождении ребенка (Италия). В ряде стран именно религиозные сообщества характеризуются более развитыми сетями подобного рода</w:t>
                  </w:r>
                  <w:bookmarkStart w:id="17" w:name="_FN_18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"_FNR_18"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18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Различные аспекты влияния религии на рождаемость зафиксированы и для других стран</w:t>
                  </w:r>
                  <w:bookmarkStart w:id="18" w:name="_FN_19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"_FNR_19"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19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8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Так, в исследовании Каролин Бергхаммер на количественных данных оценивается вклад религиозности 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религиозной социализации в рождения третьих детей среди женщин Нидерландов</w:t>
                  </w:r>
                  <w:bookmarkStart w:id="19" w:name="_FN_20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"_FNR_20"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20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19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Результаты анализа панельных данных (2002-2004 г.) показывают, что на рождение третьего ребенка влияют два фактора: посещение женщиной церкви и религиозная социализация отца</w:t>
                  </w:r>
                  <w:bookmarkStart w:id="20" w:name="_FN_21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"_FNR_21"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21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0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Религиозная социализация имеет значение, даже если мать ребенка перестала ходить в церковь. Эффекты религиозного фактора усиливаются в зависимости от когорт. Более того, религиозные характеристики бабушек и дедушек (родителей респондентов) значимо влияют на рождение третьего ребенка в семье.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исследовании Гуидо Хейнек</w:t>
                  </w:r>
                  <w:bookmarkStart w:id="21" w:name="_FN_22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"_FNR_22"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22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1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на количественных данных (Austrian Family and Fertility Survey) изучается взаимосвязь между религией и рождаемостью среди семей, женатых первым/единственным браком. Результаты показывают, что конфессиональная принадлежность и религиозность женщины влияет на численность детей в семье. Религиозность не оказывает прямого влияния на время рождения ребенка. Тем не менее, если говорить о третьих детях, то их скорее рожают религиозные женщины и семьи, не принадлежащие к католикам, или вовсе не имеющие религиозной аффилиации.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исследованиях Томаса Бодина</w:t>
                  </w:r>
                  <w:bookmarkStart w:id="22" w:name="_FN_23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"_FNR_23"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23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2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на количественных данных</w:t>
                  </w:r>
                  <w:bookmarkStart w:id="23" w:name="_FN_24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"_FNR_24"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24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3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по Франции показано, что религиозность влияет на рождаемость в целом, так и на численность детей в отдельной семье. Автор проверял влияние трех переменных – принадлежность к определенной конфессии (к католикам), самоопределение в качестве верующего человека и участие в религиозных практиках</w:t>
                  </w:r>
                  <w:bookmarkStart w:id="24" w:name="_FN_2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"_FNR_25"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25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4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Если принадлежность к конфессии и самоопределение в качестве верующего не оказывет влияния на рождаемость, то участие в практиках («практикующие верующие») оказывает значимое положительное влияние как на рождаемость в целом, так и на численность детей.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 перечисленным исследованиям видно, что существуют различия как в операционализации религиозности, так и в измерении ее эффектов для рождаемости. Под религиозностью в разных исследованиях понимают принадлежность к определенной конфессии, самоопределение в качестве верующего человека и реализацию веры в практиках («практикующие верующие»). Большая часть результатов демонстрирует значимое влияние на рождаемость участия в религиозных практиках и еще большее значение религиозной социализации со стороны родителей, а также родителей родителей (дедушек и бабушек).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Ряд исследований о влиянии религиозности на рождаемость был проведен и в России. Нужно отметить, что здесь ситуация несколько иная. Так, Т.М. Малева и О.В. Синявская, в рамках проекта РиДМиЖ (GGS), анализируя влияние религии на рождаемость, выяснили, что «наиболее высокий уровень рождаемости демонстрируют этнические группы, исповедующие ислам». Тогда как «рождаемость в других религиозных группах находится на примерно одинаково низком уровне»</w:t>
                  </w:r>
                  <w:bookmarkStart w:id="25" w:name="_FN_2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"_FNR_26"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26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(причем в разрезе по возрастным группам различия в среднем потенциальном числе детей между нерелигиозными женщинами и религиозными, за исключением исповедующих ислам, отсутствуют</w:t>
                  </w:r>
                  <w:bookmarkStart w:id="26" w:name="_FN_2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"_FNR_27"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27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А.Б. Синельников, В.М. Медков, А.И. Антонов на основании данных социологического исследования «Религия, семья, дети», анализируя влияние религии в России на семейную жизнь и демографическое поведение населения, установили, что у не слишком религиозных людей «среднее ожидаемое число детей меньше двух» (у «весьма религиозных христиан» этот показатель равен 2,53)</w:t>
                  </w:r>
                  <w:bookmarkStart w:id="27" w:name="_FN_28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"_FNR_28"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28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При этом, если выделить из этой группы религиозно-активных (по частоте чтения молитв), то показатели среднего фактического, ожидаемого, желаемого, а также идеального числа детей значительно выше. «У весьма религиозных христиан, которые молятся не менее трех раз в день, среднее ожидаемое число детей – 2,82», что «выше черты простого замещения поколений». А «если добавить к этому еще и дополнительные параметры религиозной активности, например частоту исповедей и причащений, то показатели…  могут оказаться еще выше»</w:t>
                  </w:r>
                  <w:bookmarkStart w:id="28" w:name="_FN_29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"_FNR_29"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29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8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Однако чем выше будет степень их религиозной активности, тем меньше будет их численность.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статье «Дифференциация факторов рождаемости для различных социально-экономических категорий российских женщин» Я.М. Рощина и А.Г. Черкасова на основе данные Российского мониторинга экономического положения и здоровья населения (РМЭЗ) за 2000–2006 гг., анализируя влияние различных факторов на вероятность рождения ребенка, пишут, что «незначимыми оказались переменные, отражающие национальность и вероисповедание, что может свидетельствовать о снижении роли культурных факторов в ценности детей»</w:t>
                  </w:r>
                  <w:bookmarkStart w:id="29" w:name="_FN_30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"_FNR_30"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30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29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Несмотря на это, «при оценке моделей для периода 2000-2002 гг. …оказалось, что более вероятно рождение 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ребенка у верующих женщин»</w:t>
                  </w:r>
                  <w:bookmarkStart w:id="30" w:name="_FN_31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"_FNR_31"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31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0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(анализ основывался на отборе женщин 16-39 лет).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Рождаемость в Европе: значение религиозной социализации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Объяснение слабого влияния религии на рождаемость может быть дано с использованием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теории религиозной социализации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В большинстве европейских стран доля многодетных респондентов (3 или более детей) среди религиозного населения (посещающих религиозные службы раз в месяц или чаще) существенно превышает данный показатель в группе нерелигиозного населения (посещающих религиозные службы несколько раз в год или реже / никогда не посещающих)</w:t>
                  </w:r>
                  <w:bookmarkStart w:id="31" w:name="_FN_32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"_FNR_32"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32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1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Если в России в указанных группах доли многодетных практически равны (9% и 8%), то, например, в Австрии разрыв по доле многодетных составляет 21% (13% многодетных в нерелигиозной группе и 34% - в религиозной), во Франции – 24% (23% многодетных в нерелигиозной группе и 47% - в религиозной), в Швеции – 28% (23% многодетных в нерелигиозной группе и 51% - в религиозной). В большинстве стран Южной, Западной и северной Европы мы видим существенное влияние религиозного фактора на возникновение феномена многодетной семьи, в то время как страны Восточной Европы скорее демонстрируют отсутствие различий по многодетности между более и менее религиозным населением.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noProof/>
                      <w:color w:val="1A1A1A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15EDAD1" wp14:editId="6EFD499B">
                        <wp:extent cx="5430520" cy="2667000"/>
                        <wp:effectExtent l="0" t="0" r="0" b="0"/>
                        <wp:docPr id="2" name="Рисунок 2" descr="http://demoscope.ru/weekly/2013/0553/img/a_graf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emoscope.ru/weekly/2013/0553/img/a_graf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20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Рисунок 1. Доля многодетных среди религиозного и нерелигиозного населения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Тот же эффект мы видим и рассматривая другой показатель –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среднюю численность детей в семье среди религиозного и нерелигиозного населения.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noProof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05FDBCAB" wp14:editId="723B9B40">
                        <wp:extent cx="5430520" cy="2788920"/>
                        <wp:effectExtent l="0" t="0" r="0" b="0"/>
                        <wp:docPr id="3" name="Рисунок 3" descr="http://demoscope.ru/weekly/2013/0553/img/a_graf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moscope.ru/weekly/2013/0553/img/a_graf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20" cy="278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Рисунок 2. Средняя численность детей в семье среди религиозного и нерелигиозного населения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Полученные результаты могут говорить о том, что религия содержит определенный набор установок, норм и ценностей, которые передаются (приобретаются) в ходе социализации, в том числе – «норму многодетности».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 первичной религиозной социализацией мы понимаем религиозное воспитание, полученное человеком в детстве, под вторичной — приход к вере (и соответствующие практики) в более позднем возрасте. Если религия усвоена рано, то она может оказать существенное влияние на формирование соответствующих ценностей и норм. В случае отсутствия первичной религиозной социализации приверженность нормам успевает сформироваться раньше религиозности.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Поскольку именно первичная социализация оказывает наиболее значимое влияние на формирование норм и ценностей, мы рассматриваем ее как фактор, объясняющий отсутствие (или очень слабую) связь между религиозностью и рождаемостью в пост-социалистических странах, где ранняя религиозная социализация практически отсутствовала, и массовое обращение населения к религии в последние десятилетия не повлекло соответствующего изменения ценностей и норм.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Уровень первичной религиозной социализации в той или иной стране измеряется как доля населения, посещавшего религиозные службы в возрасте 12 лет 1 раз в месяц или чаще.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Сила связи (рис. 3)</w:t>
                  </w:r>
                  <w:bookmarkStart w:id="32" w:name="_FN_33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"_FNR_33"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33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2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между личной религиозностью и численностью детей в семье существенно колеблется в зависимости от страны. Так, в ряде стран связь между религиозностью и численностью детей в семье довольно сильна, например, в средиземноморских и западноевропейских странах. Здесь же мы наблюдаем и более высокий уровень первичной религиозной социализации: высока доля опрошенных, посещавших религиозные службы раз в месяц или чаще в возрасте 12 лет. В то же время, в постсоциалистических странах связь религиозности и рождаемости практически отсутствует. Здесь же мы наблюдаем и наиболее низкий уровень первичной религиозной социализации. В России он минимален и составляет всего 6%.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noProof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73BFC9C0" wp14:editId="1FABD359">
                        <wp:extent cx="5430520" cy="3495040"/>
                        <wp:effectExtent l="0" t="0" r="0" b="0"/>
                        <wp:docPr id="4" name="Рисунок 4" descr="http://demoscope.ru/weekly/2013/0553/img/a_graf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moscope.ru/weekly/2013/0553/img/a_graf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20" cy="349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Рисунок 3. Сила связи между религиозностью и числом детей в зависимости от уровня первичной религиозной социализации в стране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Таким образом, в обществах, подвергшихся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форсированной секуляризации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(советского типа), влияние религии на рождаемость именно в силу отсутствия религиозной социализации практически не заметно.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Религиозность и рождаемость в России (на примере прихожан храмов РПЦ)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Рождаемость среди воцерковленных православных. Общее описание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 отношению к современной России можно говорить о том, что религиозность является фактором, увеличивающим рождаемость в стране; однако, это влияние проявляется и оказывается существенным лишь среди людей, на регулярной основе включенных в религиозные практики (таинства, обряды) и участвующих в жизни религиозных общин. По данным всероссийского исследования «Orthodox Monitor» (2011-2012 гг.)</w:t>
                  </w:r>
                  <w:bookmarkStart w:id="33" w:name="_FN_34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"_FNR_34"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34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3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среди воцерковленных православных выше доля многодетных, нежели в среднем по России, меньше бездетных. Доля многодетных среди представителей других вероисповеданий также высока (15%).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noProof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1DD7B5E8" wp14:editId="776A3E13">
                        <wp:extent cx="5430520" cy="2992120"/>
                        <wp:effectExtent l="0" t="0" r="0" b="0"/>
                        <wp:docPr id="5" name="Рисунок 5" descr="http://demoscope.ru/weekly/2013/0553/img/a_graf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emoscope.ru/weekly/2013/0553/img/a_graf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20" cy="2992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Рисунок 4. Религиозность и количество детей в семье. 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br/>
                    <w:t>Респонденты в возрасте 18-45 лет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Среди православных респондентов, причащающихся один раз в месяц или чаще, 16% имеют трехдетную семью, в то время как среди людей, которых можно отнести к ядру общины (по показателям самоидентификации и включенности в социальную жизнь своего прихода) этот показатель увеличивается до четверти опрошенных (24%). К сожалению, в данном исследовании слишком мало число попавших в выборку членов ядра приходских общин</w:t>
                  </w:r>
                  <w:bookmarkStart w:id="34" w:name="_FN_3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"_FNR_35"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35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4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(всего 46 чел. – отличие от других групп является статистически незначимым), поэтому далее мы приведем данные, позволяющие более близко взглянуть на представителей данной группы населения.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Рождаемость среди воцерковленных православных. Фактор и значение общины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Говоря о россиянах, идентифицирующих себя как православные и принимающие участие в таинствах Церкви, необходимо провести еще более точные различения. Так, с точки зрения проблемы рождаемости, важным является участие человека во внебогослужебной деятельности православной общины, в принадлежности к развитой общине. В настоящее время исследования, анализирующие данную проблематику, крайне немногочисленны, однако имеющиеся данные позволяют предполагать, что фактор «общины» играет важную роль. Так, в исследовании «Три Московских прихода: основные социально-демографические показатели и установки представителей общин крупных приходов»</w:t>
                  </w:r>
                  <w:bookmarkStart w:id="35" w:name="_FN_3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"_FNR_36"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36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5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доля респондентов в возрасте 18-45 лет, имеющих троих или более детей, составляет 17% (11% среди периферии общин и 23% в ядре общин), что согласуется с выводами относительно существенного повышения доли многодетных семей в церковной среде.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Таблица 1. Есть ли у Вас дети? И если есть, то сколько? (респонденты в возрасте 18-45 лет) (%)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5"/>
                    <w:gridCol w:w="2001"/>
                    <w:gridCol w:w="1715"/>
                    <w:gridCol w:w="1238"/>
                  </w:tblGrid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23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община в целом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периферия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ядро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нет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один ребёнок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двое детей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трое детей или более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База (количество респондентов)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236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 количеству детей можно условно выделить три поколения членов общины (см. табл. 2) — до 35 лет, от 35 до 54 лет, от 55 лет и старше. Что касается молодого поколения (18-34 года), влияние религиозности еще не успело проявиться — относительно высока доля не имеющих детей. 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Практически полное отсутствие детей в возрастной группе 18-24 г. может объясняться влиянием высшего образования, дающего эффект откладывания рождения первого ребенка: в данной возрастной группе в ядре общины 91%, а на периферии – 64% либо получают высшее образование, либо получили его в недавнем прошлом.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среднем поколении (возрастная группа 35-54 года), особенно в ядре общин, заметно резкое увеличение численности детей в семье. Члены ядра общины в этом поколении выходят на средний уровень более двух детей в расчете на одного человека. В возрастной группе 35-44 года наиболее высок как процент многодетных в ядре общины (40% имеют 3 и более детей), так и средняя численность детей (2,29 ребенка на человека).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пенсионном возрасте (55 лет и старше) средняя численность детей в семье</w:t>
                  </w:r>
                  <w:bookmarkStart w:id="36" w:name="_FN_37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"_FNR_37" </w:instrTex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37</w:t>
                  </w: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6"/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как и процент имеющих троих и более детей, опять снижается. Вероятно, большинство из этих людей пришли к вере уже в конце / по окончании детородного возраста, и их церковная жизнь уже не могла повлиять на демографическую ситуацию в данной возрастной группе.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Таблица 2. Численность детей в зависимости от возрастной группы (% по строке)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"/>
                    <w:gridCol w:w="887"/>
                    <w:gridCol w:w="1457"/>
                    <w:gridCol w:w="874"/>
                    <w:gridCol w:w="971"/>
                    <w:gridCol w:w="1360"/>
                    <w:gridCol w:w="2333"/>
                  </w:tblGrid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7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Возраст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Среднее число детей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нет детей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1-2 ребенка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3 ребенка и более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База (количество респондентов)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периферия общины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18-24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25-34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35-44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45-54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55-64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65-88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ядро общины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18-24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25-34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35-44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45-54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E6E6E6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55-64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65-88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76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Также в православных общинах, по сравнению со среднестатистическими россиянами, значительно выше доля женщин, планирующих завести (еще одного) ребенка в течение ближайших трех лет — 29% женщин в общинах и всего 7% в общероссийской выборке ответили «определенно да» на вопрос о том, собираются ли они это делать.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Таблица 3. Собираетесь ли Вы завести (еще одного) ребенка в течение ближайших трех лет? (женщины 18-45 лет) (%)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  <w:gridCol w:w="1334"/>
                    <w:gridCol w:w="1334"/>
                    <w:gridCol w:w="1334"/>
                    <w:gridCol w:w="1334"/>
                  </w:tblGrid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21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Община в целом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Периферия общины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Ядро общины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Россия 2004*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определенно 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скорее 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скорее 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определенно 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если Бог благословит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еще рано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только если выйду замуж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возраст не позволяет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нет ответа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затрудняюсь ответить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База (количество респондентов)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3086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* Независимый институт социальной политики, исследование «Родители и дети, мужчины и женщины в семье и обществе», 2004 г.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Заключение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Исследования влияния религиозности на рождаемость демонстрируют значимое влияние на рождаемость религиозности населения (в первую очередь участия в религиозных практиках) во многих европейских странах, и еще большее значение религиозной социализации со стороны родителей, а также родителей родителей (дедушек и бабушек). Объяснение слабого влияния религии на рождаемость в России и других постсоциалистических странах также может быть дано с использованием понятия религиозной социализации.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Анализируя влияние православия на рождаемость в современной России, необходимо принимать во внимание не только вовлеченность человека в основные религиозные практики, но и участие верующего во внебогослужебной жизни / деятельности православной общины, принадлежность к развитой общине.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Приложение 1.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Рассмотрим зависимость числа рождений от уровня религиозности. Уровень религиозности представляет собой долю населения того или иного субъекта РФ, относящего себя к какому-либо из вероисповеданий (исключая тех, кто не верит в Бога, и тех, кто верит в какую-то высшую силу, но конкретную религию не исповедует). Коэффициент корреляции Пирсона между рождаемостью на 1000 человек и уровнем религиозности населения на уровне субъектов РФ составляет -0,3 (p&lt;=0,01), т.е. присутствует слабая отрицательная зависимость.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Как показано на рисунке, в различных субъектах РФ представлены разные сочетания указанных признаков. Есть как низкая рождаемость в регионах с высокой религиозностью, так и низкая рождаемость в регионах с низкой религиозностью, а также высокая рождаемость при высокой религиозности и относительно высокая рождаемость при низкой религиозности.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Например, в Липецкой области при довольно высоком проценте населения, относящего себя к определенному вероисповеданию(77%), число рождений на 1000 человек составляет 10,9. Примерно такое же число рождений в Саратовской области (10,8), уровень религиозности в которой значительно ниже – 39,6%.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Аналогичная ситуация в Алтайском крае и Карачаево-Черкесской Республике. При одинаковой рождаемости (12,7 и 12,8), уровень религиозности у них существенно отличается – 29,9% в Алтайском крае и 77,2% Карачаево-Черкесской Республике.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Некоторые регионы существенно отличаются от среднего уровня. Так, Республика Тыва характеризуется наиболее высокой рождаемостью и достаточно высоким уровнем религиозности (буддизм). Республики Дагестан и Северная Осетия характеризуются наиболее высокой религиозностью населения при достаточно высоком уровне рождаемости.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noProof/>
                      <w:color w:val="CC3333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41DC52F7" wp14:editId="3C67B582">
                        <wp:extent cx="5430520" cy="3454400"/>
                        <wp:effectExtent l="0" t="0" r="0" b="0"/>
                        <wp:docPr id="6" name="Рисунок 6" descr="http://demoscope.ru/weekly/2013/0553/img/a_graf011_s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demoscope.ru/weekly/2013/0553/img/a_graf011_s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20" cy="345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Рисунок 1. Число рождений в зависимости от уровня религиозности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Таблица 1. Число рождений в зависимости от уровня религиозности</w:t>
                  </w:r>
                  <w:bookmarkStart w:id="37" w:name="_FN_38"/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"_FNR_38" </w:instrTex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38</w:t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7"/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6"/>
                    <w:gridCol w:w="1070"/>
                    <w:gridCol w:w="728"/>
                    <w:gridCol w:w="1295"/>
                    <w:gridCol w:w="826"/>
                    <w:gridCol w:w="826"/>
                    <w:gridCol w:w="856"/>
                    <w:gridCol w:w="1256"/>
                    <w:gridCol w:w="796"/>
                  </w:tblGrid>
                  <w:tr w:rsidR="00A977F0" w:rsidRPr="00A977F0">
                    <w:trPr>
                      <w:tblHeader/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Субъект РФ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Число рождений за 2010 год* на 1000 человек насе-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ления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Рели-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гиоз-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ность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Исповедую прав-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ославие и принадлежу к Русской Право-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славной Церкви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лам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Буд-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дизм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Другие веро-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испове-</w:t>
                        </w: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br/>
                          <w:t>дания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Верю в Бога (в высшую силу), но конкретную религию не исповедую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Не верю в Бога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Алтайский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Амурская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Архангельская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Астраханская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Белгородская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Брянская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Владимирская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Волгоградская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Вологодская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Воронежская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г.Москва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г.Санкт-</w:t>
                        </w: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Петербург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11,5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Еврейская авт.область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Ивановская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Иркутская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Кабардино-Балкарская Респ.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Калининградская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Калужская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Камчатский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Карачаево-Черкесская Респ.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77,2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Кемеровская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Кировская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48,8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Костромская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Краснодарский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Красноярский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Курганская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Курская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Ленинградская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Липецкая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Магаданская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Московская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Мурманская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Нижегородская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Новгородская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Новосибирская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Омская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Оренбургская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 xml:space="preserve">Орловская </w:t>
                        </w: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Пензенская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Пермский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Приморский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37,4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Псковская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Респ. Сев.Осетия-Алания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Адыгея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Алтай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Башкортостан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Бурятия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Дагестан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Калмыкия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Карелия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Марий Эл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Мордовия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Саха (Якутия)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Татарстан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Тыва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44,4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Ростовская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Рязанская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Самарская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46,3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Саратовская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39,6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Сахалинская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Свердловская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46,3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Смоленская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Ставропольский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58,3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Тамбовская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Тверская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Томская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44,7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Тульская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65,5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Тюменская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Удмуртская Республика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48,9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Ульяновская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Хабаровский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Ханты-Мансийский автономный округ - Югра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Челябинская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Чувашская Респ.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66,7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Ямало-Ненецкий автономный округ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Ярославская область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* За 2010 г. - показатели рассчитаны с учетом предварительных итогов ВПН-2010.</w:t>
                  </w:r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Приложение 2</w:t>
                  </w:r>
                  <w:bookmarkStart w:id="38" w:name="_FN_3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"_FNR_39"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39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8"/>
                </w:p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Таблица 2. Доля многодетных среди религиозного и нерелигиозного населения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8"/>
                    <w:gridCol w:w="2452"/>
                    <w:gridCol w:w="2170"/>
                    <w:gridCol w:w="2359"/>
                  </w:tblGrid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Страна</w:t>
                        </w:r>
                      </w:p>
                    </w:tc>
                    <w:tc>
                      <w:tcPr>
                        <w:tcW w:w="13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% многодетных среди не посещающих религиозные службы / посещающих несколько раз в год или реже</w:t>
                        </w:r>
                      </w:p>
                    </w:tc>
                    <w:tc>
                      <w:tcPr>
                        <w:tcW w:w="11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% многодетных среди посещающих религиозные службы раз в месяц или чаще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Величина разрыва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Болгария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Беларусь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Грузия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-11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Азербайджан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Сербия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Латвия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Эстония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Македония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Хорватия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Босния и Герцеговина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Италия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Румыния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Литва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Венгрия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Греция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Черногория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Польша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Португалия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Люксембург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Словения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Великобритания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Сев. Кипр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Германия Западная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Армения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Германия Восточная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Молдавия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Косово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Мальта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Испания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Швейцария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Австрия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Дания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Турция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Албания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Бельгия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Финляндия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Словакия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Сев. Ирландия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Норвегия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Кипр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Ирландия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Нидерланды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Франция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Швеция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t>Таблица 3. Среднее число детей среди религиозного и нерелигиозного населения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5"/>
                    <w:gridCol w:w="1682"/>
                    <w:gridCol w:w="1683"/>
                    <w:gridCol w:w="1683"/>
                    <w:gridCol w:w="2026"/>
                  </w:tblGrid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Страна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Среднее число детей среди не посещающих религиозные службы / посещающих несколько раз в год или реже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Среднее число детей среди посещающих религиозные службы раз в месяц или чаще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Население в целом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Величина  разрыва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Азербайджан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Грузия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-0,5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Босния и Герцеговина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Северный Кипр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Беларусь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Черногория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Сербия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Хорватия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Косово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Македония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Венгрия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Люксембург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Болгария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Италия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Эстония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Латвия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Польша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Армения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-0,1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Литва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0,4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Германия Вост.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Румыния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Великобритания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Греция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Словения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Германия Зап.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Португалия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Мальта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Дания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Молдавия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Испания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Австрия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Швейцария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Финляндия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Албания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Бельгия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Кипр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Норвегия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0,5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Словакия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Турция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Северная Ирландия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Ирландия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Нидерланды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0,8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Швеция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Франция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0,8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t>Таблица 4. Сила связи между религиозностью и числом детей в зависимости от уровня первичной религиозной социализации в стране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6666"/>
                      <w:left w:val="outset" w:sz="6" w:space="0" w:color="006666"/>
                      <w:bottom w:val="outset" w:sz="6" w:space="0" w:color="006666"/>
                      <w:right w:val="outset" w:sz="6" w:space="0" w:color="006666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4"/>
                    <w:gridCol w:w="2335"/>
                    <w:gridCol w:w="2335"/>
                    <w:gridCol w:w="2335"/>
                  </w:tblGrid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Страна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Уровень религиозной социализации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Сила связи религиозности и числа детей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center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b/>
                            <w:bCs/>
                            <w:color w:val="1A1A1A"/>
                            <w:sz w:val="20"/>
                            <w:szCs w:val="20"/>
                            <w:lang w:eastAsia="ru-RU"/>
                          </w:rPr>
                          <w:t>Значимость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Албания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Азербайджан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Австрия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Армения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Бельгия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Босния и Герцеговина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Болгария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Беларусь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Хорватия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Кипр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Северный Кипр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0,012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Чехия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Дания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Эстония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Финляндия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Франция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Грузия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0,716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Германия Западная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Германия Восточная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Греция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Венгрия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Ирландия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Италия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Латвия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0,013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Литва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Люксембург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Мальта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Молдавия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Черногория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Нидерланды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Норвегия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Польша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Португалия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Румыния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0,009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Сербия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0,030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Словакия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Словения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Испания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Швеция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lastRenderedPageBreak/>
                          <w:t>Швейцария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Турция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Украина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0,136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Македония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Великобритания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Северная Ирландия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**</w:t>
                        </w:r>
                      </w:p>
                    </w:tc>
                  </w:tr>
                  <w:tr w:rsidR="00A977F0" w:rsidRPr="00A977F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Косово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6666"/>
                          <w:left w:val="outset" w:sz="6" w:space="0" w:color="006666"/>
                          <w:bottom w:val="outset" w:sz="6" w:space="0" w:color="006666"/>
                          <w:right w:val="outset" w:sz="6" w:space="0" w:color="006666"/>
                        </w:tcBorders>
                        <w:vAlign w:val="bottom"/>
                        <w:hideMark/>
                      </w:tcPr>
                      <w:p w:rsidR="00A977F0" w:rsidRPr="00A977F0" w:rsidRDefault="00A977F0" w:rsidP="00A977F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</w:pPr>
                        <w:r w:rsidRPr="00A977F0">
                          <w:rPr>
                            <w:rFonts w:ascii="Arial" w:eastAsia="Times New Roman" w:hAnsi="Arial" w:cs="Arial"/>
                            <w:color w:val="1A1A1A"/>
                            <w:sz w:val="20"/>
                            <w:szCs w:val="20"/>
                            <w:lang w:eastAsia="ru-RU"/>
                          </w:rPr>
                          <w:t>0,033</w:t>
                        </w:r>
                      </w:p>
                    </w:tc>
                  </w:tr>
                </w:tbl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** - Значимость на уровне &lt;=0,001.</w:t>
                  </w:r>
                </w:p>
                <w:p w:rsidR="00A977F0" w:rsidRPr="00A977F0" w:rsidRDefault="00A977F0" w:rsidP="00A9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233.9pt;height:.6pt" o:hrpct="500" o:hrstd="t" o:hrnoshade="t" o:hr="t" fillcolor="#a0a0a0" stroked="f"/>
                    </w:pict>
                  </w:r>
                </w:p>
                <w:bookmarkStart w:id="39" w:name="_FNR_1"/>
                <w:p w:rsidR="00A977F0" w:rsidRPr="00A977F0" w:rsidRDefault="00A977F0" w:rsidP="00A977F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3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Забаев Иван Владимирович - к.с.н. доцент кафедры Философии религии и религиозных аспектов культуры Православного Свято-Тихоновского гуманитарного университета (ПСТГУ)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0" w:name="_FNR_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Мелкумян Елена Багратовна - Научный сотрудник исследовательского семинара "Социология религии" ПСТГУ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1" w:name="_FNR_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Орешина Дарья Андреевна - Научный сотрудник </w:t>
                  </w:r>
                  <w:hyperlink r:id="rId13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Института управления социальными процессами НИУ ВШЭ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2" w:name="_FNR_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"_FN_4"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4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Павлюткин Иван Владимирович (к.с.н., Научный сотрудник </w:t>
                  </w:r>
                  <w:hyperlink r:id="rId14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Лаборатории экономико-социологических исследований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НИУ ВШЭ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3" w:name="_FNR_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"_FN_5"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5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Пруцкова Елена Викторовна - Преподаватель кафедры Философии религии и религиозных аспектов культуры ПСТГУ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4" w:name="_FNR_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"_FN_6"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6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Lesthaeghe R.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On the social control of human reproduction // Population and Development Review, 6 (4) (1980). P. 527-548;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Lesthaeghe R.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A century of demographic and cultural change in Western Europe: An exploration of underlying dimensions // Population and Development Review, 9 (3) (1983). P. 411-435;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Lesthaeghe R. and Meekers D.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Value changes and the dimensions of familism in the European Community // European Journal of Population, 2 (3-4) (1986). P. 225-268; 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Lesthaeghe R. and Surkyn J.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Cultural dynamics and economic theories of fertility change // Population and Development Review, 14 (1), 1988. P. 1-45;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Van de Kaa D.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Anchored Narratives: The Story and Findings of Half a Century of Research into the Determinants of Fertility // Population Studies, Vol. 50, No. 3 (Nov., 1996). P. 423-426; Anderson B. Regional and Cultural Factors in the Decline of Marital Fertility in Europe // The Decline of Fertility in Europe. The Revisited Proceedings of a Conference on the Princeton European Fertility Project / ed. by A. Coale, S. Watkins. Princeton: Princeton University Press, 1986. P. 293-313.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5" w:name="_FNR_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"_FN_7"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7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Van de Kaa D.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Europe’s Second Demographic Transition // Population Bulletin. 1987. Vol. 42. No. 1. P. 1–59.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6" w:name="_FNR_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"_FN_8"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8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Inglehart R.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Culture Shift in Advanced Industrial Society. Princeton (NJ): Princeton University Press, 1990.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7" w:name="_FNR_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"_FN_9"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9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Захаров С.В.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Перспективы рождаемости в России: второй демографический переход // Отечественные записки. 2005. № 3 (24). C. 124–140;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Zakharov S. V., Ivanova E.I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 Fertility Decline and Recent Changes in Russia: On the Threshold of the Second Demographic Transition // Russias’ Demographic «Crisis» / Ed. by J. DaVanzo. Santa Monica (CA): RAND, CF-124, 1996. P. 36–82;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Zakharov S.V.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Russian Federation: From the First to Second Demographic Transition // Demographic Research. Vol. 19. 2008. P. 907–972. Special Collection 7: Childbearing Trends and Policies in Europe. URL: </w:t>
                  </w:r>
                  <w:hyperlink r:id="rId15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http://www.demographic-research.org/Volumes/Vol19/24/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21.02.2012).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8" w:name="_FNR_1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"_FN_10"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10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Lesthaeghe R., Wilson C.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Modes of Production, Secularisation and the Pace of the Fertility Decline in Western Europe, 1870–1930 // The Decline of Fertility in Europe. The Revisited Proceedings of a Conference on the Princeton European Fertility Project / ed. by A. Coale, S. Watkins. Princeton: Princeton University Press, 1986. P. 261–292.)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49" w:name="_FNR_1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"_FN_11"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11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4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Castro M. T.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Women's Education and Fertility: Results from 26 Demographic and Health Surveys // Studies in Family Planning. 1995. Vol. 26 (4). P. 187-202; Забаев И. «Своя жизнь», образование, деторождение: мотивация репродуктивного поведения в современной России // Вестник общественного мнения, Данные. Анализ. Дискуссии. (Левада – центр). 2010. №3 (105). С. 87-97.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0" w:name="_FNR_1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"_FN_12"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12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Забаев И.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Рациональность, ответственность, медицина: проблема мотивации деторождения в России в начале XXI в. // Экономическая социология. 2011. Том 12. № 2. С. 21-48. 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1" w:name="_FNR_1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"_FN_13"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13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 Следует указать, что исследования институтов как проводников «ценностей детей» проводились в очень ограниченном масштабе. Например, можно предполагать, что выведение мужчин из преподавательского состава начальной и средней школы приводит к тому, что мужские ролевые модели не передаются посредством этого института. В ситуации, когда школа контролирует большую часть жизни ребенка и в сочетании, например, с неполной семьей это работает в направлении снижения деторождения. Например, в исследованиях О.В. Гришиной показано, что 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lastRenderedPageBreak/>
                    <w:t>семейные модели наследуются, а в объяснение рождения вторых и более детей (Т. Малева, О. Синявская), так или иначе, предполагает наличие зарегистрированного брака и наличие мужчины в семье. См.: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Гришина О.В.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Репродуктивное поведение родителей и их детей в России // Вестник Моск. ун-та. Сер. 6, Экономика. 2008. № 6. C. 29–41;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Гришина О.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Влияние развода родителей на вероятность развода детей // Российский экономический интернет-журнал. Статья поступила 16.12.2009. URL: </w:t>
                  </w:r>
                  <w:hyperlink r:id="rId16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http://www.e-rej.ru/Articles/2009/Grishina.pdf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20.11.2010);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Малева Т., Синявская О.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Социально-экономические факторы рождаемости в России: эмпирические измерения и вызовы социальной политике // SPERO. 2006. № 5. Осень — Зима. С. 76–77.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2" w:name="_FNR_1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"_FN_14"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14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См., например: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Berghammer C.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Religious Socialization and Fertility: Transition to Third Birth in the Netherlands // European Journal of Population. 2009. Vol. 25, No. 3. P. 297-324;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Philipov D., Berghammer C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 Religion and fertility ideals, intentions and behavior: a comparative study of European countries // Vienna Yearbook of Population Research. 2007. Vol. 5. P. 271-305;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Синельников А. Б., Медков В. М., Антонов А. И.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Семья и вера в социологическом измерении (результаты межрегионального и межконфессионального исследования). М.: КДУ, 2009.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3" w:name="_FNR_1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"_FN_15"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15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Например, можно наблюдать всплеск цитируемости статей о влиянии религии на рождаемость в последние 5 лет. По данным базы научного цитирования “Web of Science“.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4" w:name="_FNR_1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"_FN_16"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16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Philipov D., Berghammer C.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Religion and fertility ideals, intentions and behavior: a comparative study of European countries  // Vienna Yearbook of Population Research. 2007. Vol. 5. P. 271-305.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5" w:name="_FNR_1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"_FN_17"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17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См., например, следующие работы: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Di Giulio P., Bühler C., Ette A., Fraboni R., Ruckdeschel K.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Social Capital and Fertility Intentions: The Case of Italy, Bulgaria, and West Germany. Vienna Institute of Demography. Working Papers-2-2012. URL: </w:t>
                  </w:r>
                  <w:hyperlink r:id="rId17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http://www.oeaw.ac.at/vid/download/WP2012_02.pdf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20.02.2013);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Gondal N.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Who „fills in” for Siblings and how? A Multilevel Analysis of Personal Network Composition and its Relationship to Sibling Size // Sociological Forum. 2012. Vol. 27. № 3. P. 732-750.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 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6" w:name="_FNR_1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"_FN_18"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18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Lim Ch., Putnam R.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Religion, Social Networks, and Life Satisfaction // American Sociological Review. 2010. Vol. 75. No. 6. P. 914-933.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7" w:name="_FNR_1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"_FN_19"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19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hyperlink r:id="rId18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CC3333"/>
                        <w:sz w:val="18"/>
                        <w:szCs w:val="18"/>
                        <w:lang w:eastAsia="ru-RU"/>
                      </w:rPr>
                      <w:t>Zhang</w:t>
                    </w:r>
                  </w:hyperlink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 L.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Religion, Religiosity and Male and Female Fertility / Male Fertility Patterns and Determinants. 2011. Vol. 27. Springer: Netherlands. P. 117-141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; Frejka T., Westoff C.F.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Religion, Religiousness and Fertility in the US and in Europe // European Journal of Population. 2008. Vol. 24. No. 1. P. 5-31;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Adsera A.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Religion and Changes in Family-Size Norms in Developed Countries // Review of Religious Research. 2006. Vol. 47. No. 3. P. 271-286;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Adsera A.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Marital fertility and religion: Recent changes in Spain. 2004. Discussion paper, no. 1399. IZA (Institute for the Study of Labor), Bonn; Heaton T. Does Religion Influence Fertility in Developing Countries // Population Research Policy Review. 2011. Vol. 30. P. 449–465.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8" w:name="_FNR_2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"_FN_20"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20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Berghammer C.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Religious Socialisation and Fertility: Transition to Third Birth in the Netherlands /Socialisation Religieuse et Fécondité: L'arrivée du Troisième Enfant aux Pays-Bas // European Journal of Population / Revue Européenne de Démographie, Vol. 25, No. 3(Aug., 2009). Р. 297-324.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59" w:name="_FNR_2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"_FN_21"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21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5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Религиозная принадлежность отца в подростковом возрасте.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0" w:name="_FNR_2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"_FN_22"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22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Heineck G.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The relationship between religion and fertility: Evidence for Austria // Homo Oeconomicus, 2012. Vol. 29. Issue 1. P. 73-94.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1" w:name="_FNR_2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"_FN_23"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23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Baudin T.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Religion and Fertility: The French Connection // Centre d’Economie de la Sorbonne. Working Papers. 2008.89.  P. 1 – 33. URL: </w:t>
                  </w:r>
                  <w:hyperlink r:id="rId19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http://hal.inria.fr/docs/00/34/88/29/PDF/V08089.pdf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21.02.2012);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Baudin T.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More on Religion and Fertility: The French Connection URL:</w:t>
                  </w:r>
                  <w:hyperlink r:id="rId20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http://www.thomasbaudin.fr/More%20on%20French%20Connection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21.02.2012).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2" w:name="_FNR_2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"_FN_24"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24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Данные исследовательского проекта: "Обозрение французского образа жизни”.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3" w:name="_FNR_2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"_FN_25"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25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Индивид определялся как “практикующий верующий”, если он часто посещал церковь и участвовал в религиозных праздниках, обрядах.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4" w:name="_FNR_2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"_FN_26"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26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Малева Т.М., Синявская О.В.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Социально-экономические факторы рождаемости в России: эмпирические измерения и вызовы социальной политике // Родители и дети, мужчины и женщины в семье и обществе, Выпуск 1 (2007). С. 204.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5" w:name="_FNR_2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"_FN_27"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27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Там же. С. 197.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6" w:name="_FNR_2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"_FN_28"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28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Синельников А.Б., Медков В.М., Антонов А.И.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Семья и вера в социологическом измерении (результаты межрегионального и межконфессионального исследования) (2009). С. 169-170.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7" w:name="_FNR_2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"_FN_29"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29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Там же. С. 197-198.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8" w:name="_FNR_3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"_FN_30"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30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Рощина Я.М., Черкасова А.Г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. Дифференциация факторов рождаемости для различных социально-экономических категорий российских женщин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 // SPERO. 2009. № 10. C. 159–181.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69" w:name="_FNR_3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"_FN_31"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31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6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Рощина Я.М.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Моделирование факторов склонности семьи к рождению ребенка в России // SPERO. 2006. №5 (Осень-зима). С. 98-133.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0" w:name="_FNR_3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"_FN_32"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32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0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В качестве информационной базы для анализа влияния религии на рождаемость выступает Европейское исследование ценностей. (EVS — European Values Study) 2008 г. Данные этого международного сравнительного исследования включают в себя информацию по большинству стран Европы (46 стран, 48 регионов). EVS – European Values Study. URL: </w:t>
                  </w:r>
                  <w:hyperlink r:id="rId21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http://www.europeanvaluesstudy.eu/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30.12.2010).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1" w:name="_FNR_3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lastRenderedPageBreak/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"_FN_33"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33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1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По оси Y — значение коэффициента корреляции Пирсона между религиозностью (измеренной как оценка важности Бога в жизни респондента) и числом детей в семье. За исключением Грузии и Украины, внутристрановые коэффициенты корреляции значимы на уровне p&lt;=0,05. По оси Х - уровень первичной религиозной социализации в стране (измеренный как доля населения, посещавшего религиозные службы в возрасте 12 лет 1 раз в месяц или чаще).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2" w:name="_FNR_3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"_FN_34"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34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2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«Orthodox Monitor» (2011-2012 гг) – мониторинговое исследование, проводящееся совместно ПСТГУ и ФОМом по всероссийской выборке. Выборка исследования включает в себя (1) подвыборку, репрезентирующую население РФ (18+ в целом; 3000 анкет собраны в ходе двух волн исследования в 2011 и 2012 году) и (2) подвыборку, репрезентирующую воцерковленное православное сообщество в России (18+; причащаются 3 раза в год или чаще, порядка 5-10% от всего населения РФ; 806 анкет). 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3" w:name="_FNR_3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"_FN_35"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35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3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Ядро общины мы выделяем по степени интенсивности участия в церковной жизни, самоидентификации с приходской общиной и включенности в социальную жизнь на приходе (осведомленности о ней).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4" w:name="_FNR_3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"_FN_36"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36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4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Опрос методом основного массива проводился в Москве в октябре 2011 г. на приходах трех крупных московских храмов, имеющих опытных духовников и (по экспертным оценкам) — сильную приходскую общину. Общий объем выборки составил 1072 человека, были опрошены члены ядра и периферии приходской общины. Результаты исследования см.: </w:t>
                  </w:r>
                  <w:r w:rsidRPr="00A977F0">
                    <w:rPr>
                      <w:rFonts w:ascii="Arial" w:eastAsia="Times New Roman" w:hAnsi="Arial" w:cs="Arial"/>
                      <w:i/>
                      <w:iCs/>
                      <w:color w:val="1A1A1A"/>
                      <w:sz w:val="20"/>
                      <w:szCs w:val="20"/>
                      <w:lang w:eastAsia="ru-RU"/>
                    </w:rPr>
                    <w:t>Забаев И. В., Орешина Д. А., Пруцкова Е.В.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Три московских прихода: основные социально-демографические показатели и установки представителей общин крупных приходов. М.: Издательство ПСТГУ, 2012.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5" w:name="_FNR_3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"_FN_37"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37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5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В нашем исследовании не задавался вопрос о том, есть ли у респондента умершие дети. Это может объяснять небольшое повышение процента бездетных респондентов в возрастной группе 65 лет и старше.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6" w:name="_FNR_38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"_FN_38"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38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6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Данные по религиозности в субъектах РФ: Атлас Религий и Национальностей Российской Федерации (АРЕНА). Исследовательская Служба «Среда», URL: </w:t>
                  </w:r>
                  <w:hyperlink r:id="rId22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http://sreda.org/arena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21.02.2012).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  <w:t>Данные по рождаемости в субъектах РФ: Российский статистический ежегодник. 2011: Стат.сб. М.: Росстат. 2011. С. 85-97.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br/>
                  </w:r>
                  <w:bookmarkStart w:id="77" w:name="_FNR_39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begin"/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instrText xml:space="preserve"> HYPERLINK "http://demoscope.ru/weekly/2013/0553/print.php" \l "_FN_39" </w:instrTex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separate"/>
                  </w:r>
                  <w:r w:rsidRPr="00A977F0">
                    <w:rPr>
                      <w:rFonts w:ascii="Arial" w:eastAsia="Times New Roman" w:hAnsi="Arial" w:cs="Arial"/>
                      <w:b/>
                      <w:bCs/>
                      <w:color w:val="CC3333"/>
                      <w:sz w:val="18"/>
                      <w:szCs w:val="18"/>
                      <w:vertAlign w:val="superscript"/>
                      <w:lang w:eastAsia="ru-RU"/>
                    </w:rPr>
                    <w:t>39</w:t>
                  </w:r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vertAlign w:val="superscript"/>
                      <w:lang w:eastAsia="ru-RU"/>
                    </w:rPr>
                    <w:fldChar w:fldCharType="end"/>
                  </w:r>
                  <w:bookmarkEnd w:id="77"/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Источник данных: Европейское исследование ценностей (EVS – European Values Study), 2008 г., 67786 респондентов, 46 стран. URL: </w:t>
                  </w:r>
                  <w:hyperlink r:id="rId23" w:history="1">
                    <w:r w:rsidRPr="00A977F0">
                      <w:rPr>
                        <w:rFonts w:ascii="Arial" w:eastAsia="Times New Roman" w:hAnsi="Arial" w:cs="Arial"/>
                        <w:b/>
                        <w:bCs/>
                        <w:color w:val="CC3333"/>
                        <w:sz w:val="18"/>
                        <w:szCs w:val="18"/>
                        <w:lang w:eastAsia="ru-RU"/>
                      </w:rPr>
                      <w:t>http://www.europeanvaluesstudy.eu/</w:t>
                    </w:r>
                  </w:hyperlink>
                  <w:r w:rsidRPr="00A977F0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> (дата обращения: 30.12.2010).</w:t>
                  </w:r>
                </w:p>
              </w:tc>
            </w:tr>
          </w:tbl>
          <w:p w:rsidR="00A977F0" w:rsidRPr="00A977F0" w:rsidRDefault="00A977F0" w:rsidP="00A9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7F0" w:rsidRPr="00A977F0" w:rsidRDefault="00A977F0" w:rsidP="00A977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A977F0" w:rsidRPr="00A977F0" w:rsidTr="00A977F0">
        <w:trPr>
          <w:trHeight w:val="2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977F0" w:rsidRPr="00A977F0">
              <w:trPr>
                <w:trHeight w:val="264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977F0" w:rsidRPr="00A977F0" w:rsidRDefault="00A977F0" w:rsidP="00A97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7F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AB05A7" wp14:editId="4904D82B">
                        <wp:extent cx="9753600" cy="10160"/>
                        <wp:effectExtent l="0" t="0" r="0" b="8890"/>
                        <wp:docPr id="7" name="Рисунок 7" descr="http://demoscope.ru/weekly/img/green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demoscope.ru/weekly/img/green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7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977F0" w:rsidRPr="00A977F0" w:rsidRDefault="00A977F0" w:rsidP="00A977F0">
            <w:pPr>
              <w:spacing w:after="0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F0" w:rsidRPr="00A977F0" w:rsidTr="00A977F0">
        <w:trPr>
          <w:trHeight w:val="780"/>
          <w:tblCellSpacing w:w="0" w:type="dxa"/>
        </w:trPr>
        <w:tc>
          <w:tcPr>
            <w:tcW w:w="2400" w:type="dxa"/>
            <w:vAlign w:val="center"/>
            <w:hideMark/>
          </w:tcPr>
          <w:p w:rsidR="00A977F0" w:rsidRPr="00A977F0" w:rsidRDefault="00A977F0" w:rsidP="00A977F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Свидетельство о регистрации СМИ 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Эл № ФС77-39707 от 07.05.2010г.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</w:r>
            <w:hyperlink r:id="rId25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demoscope@demoscope.ru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 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© Демоскоп Weekly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</w:r>
            <w:r w:rsidRPr="00A977F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ISSN 1726-2887</w:t>
            </w:r>
          </w:p>
        </w:tc>
        <w:tc>
          <w:tcPr>
            <w:tcW w:w="6720" w:type="dxa"/>
            <w:hideMark/>
          </w:tcPr>
          <w:p w:rsidR="00A977F0" w:rsidRPr="00A977F0" w:rsidRDefault="00A977F0" w:rsidP="00A977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</w:pPr>
            <w:r w:rsidRPr="00A977F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Демоскоп Weekly издается при поддержке: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Фонда ООН по народонаселению (UNFPA) - </w:t>
            </w:r>
            <w:hyperlink r:id="rId26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www.unfpa.org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(c 2001 г.)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Фонда Джона Д. и Кэтрин Т. Макартуров - </w:t>
            </w:r>
            <w:hyperlink r:id="rId27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www.macfound.ru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(с 2004 г.) 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Фонда некоммерческих программ "Династия" - </w:t>
            </w:r>
            <w:hyperlink r:id="rId28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www.dynastyfdn.com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(с 2008 г.)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Российского гуманитарного научного фонда - </w:t>
            </w:r>
            <w:hyperlink r:id="rId29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www.rfh.ru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(2004-2007)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Национального института демографических исследований (INED) - </w:t>
            </w:r>
            <w:hyperlink r:id="rId30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www.ined.fr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(с 2004 г.)</w:t>
            </w:r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br/>
              <w:t>ЮНЕСКО - </w:t>
            </w:r>
            <w:hyperlink r:id="rId31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portal.unesco.org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(2001), Бюро ЮНЕСКО в Москве - </w:t>
            </w:r>
            <w:hyperlink r:id="rId32" w:history="1">
              <w:r w:rsidRPr="00A977F0">
                <w:rPr>
                  <w:rFonts w:ascii="Arial" w:eastAsia="Times New Roman" w:hAnsi="Arial" w:cs="Arial"/>
                  <w:b/>
                  <w:bCs/>
                  <w:color w:val="FF3333"/>
                  <w:sz w:val="18"/>
                  <w:szCs w:val="18"/>
                  <w:lang w:eastAsia="ru-RU"/>
                </w:rPr>
                <w:t>www.unesco.ru</w:t>
              </w:r>
            </w:hyperlink>
            <w:r w:rsidRPr="00A977F0">
              <w:rPr>
                <w:rFonts w:ascii="Arial" w:eastAsia="Times New Roman" w:hAnsi="Arial" w:cs="Arial"/>
                <w:color w:val="1A1A1A"/>
                <w:sz w:val="20"/>
                <w:szCs w:val="20"/>
                <w:lang w:eastAsia="ru-RU"/>
              </w:rPr>
              <w:t> (2005)</w:t>
            </w:r>
          </w:p>
        </w:tc>
      </w:tr>
    </w:tbl>
    <w:p w:rsidR="00BB3D10" w:rsidRDefault="00BB3D10">
      <w:bookmarkStart w:id="78" w:name="_GoBack"/>
      <w:bookmarkEnd w:id="78"/>
    </w:p>
    <w:sectPr w:rsidR="00B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F0"/>
    <w:rsid w:val="00002291"/>
    <w:rsid w:val="000032BB"/>
    <w:rsid w:val="00005827"/>
    <w:rsid w:val="0000618C"/>
    <w:rsid w:val="00010FB3"/>
    <w:rsid w:val="00012256"/>
    <w:rsid w:val="00015274"/>
    <w:rsid w:val="000164F4"/>
    <w:rsid w:val="00017949"/>
    <w:rsid w:val="00021BF8"/>
    <w:rsid w:val="0002203A"/>
    <w:rsid w:val="000229D5"/>
    <w:rsid w:val="00024971"/>
    <w:rsid w:val="00026482"/>
    <w:rsid w:val="000303E3"/>
    <w:rsid w:val="00031DDE"/>
    <w:rsid w:val="00032FBD"/>
    <w:rsid w:val="00034A46"/>
    <w:rsid w:val="00035949"/>
    <w:rsid w:val="00035E61"/>
    <w:rsid w:val="000443CE"/>
    <w:rsid w:val="0004699E"/>
    <w:rsid w:val="000516FE"/>
    <w:rsid w:val="00053C73"/>
    <w:rsid w:val="000602C7"/>
    <w:rsid w:val="00061FA7"/>
    <w:rsid w:val="000638E7"/>
    <w:rsid w:val="00063F5B"/>
    <w:rsid w:val="00070B28"/>
    <w:rsid w:val="00073C0A"/>
    <w:rsid w:val="00074A73"/>
    <w:rsid w:val="000757F5"/>
    <w:rsid w:val="00080F16"/>
    <w:rsid w:val="00082439"/>
    <w:rsid w:val="000858DD"/>
    <w:rsid w:val="00086B5F"/>
    <w:rsid w:val="00086D52"/>
    <w:rsid w:val="000872DB"/>
    <w:rsid w:val="000906F8"/>
    <w:rsid w:val="000A13FA"/>
    <w:rsid w:val="000A15D6"/>
    <w:rsid w:val="000A37A7"/>
    <w:rsid w:val="000A44D1"/>
    <w:rsid w:val="000A571F"/>
    <w:rsid w:val="000A6504"/>
    <w:rsid w:val="000B086C"/>
    <w:rsid w:val="000B23BA"/>
    <w:rsid w:val="000B351D"/>
    <w:rsid w:val="000B4DCB"/>
    <w:rsid w:val="000B76FF"/>
    <w:rsid w:val="000B7F40"/>
    <w:rsid w:val="000C05E1"/>
    <w:rsid w:val="000C0CCF"/>
    <w:rsid w:val="000C5154"/>
    <w:rsid w:val="000C5EC0"/>
    <w:rsid w:val="000D2F54"/>
    <w:rsid w:val="000D3074"/>
    <w:rsid w:val="000D41D0"/>
    <w:rsid w:val="000D48B0"/>
    <w:rsid w:val="000D5067"/>
    <w:rsid w:val="000E2FB8"/>
    <w:rsid w:val="000E6B4B"/>
    <w:rsid w:val="000F0804"/>
    <w:rsid w:val="000F3223"/>
    <w:rsid w:val="000F4760"/>
    <w:rsid w:val="000F580B"/>
    <w:rsid w:val="000F59C7"/>
    <w:rsid w:val="000F5DF8"/>
    <w:rsid w:val="00100ADF"/>
    <w:rsid w:val="001015EB"/>
    <w:rsid w:val="0010260F"/>
    <w:rsid w:val="00113769"/>
    <w:rsid w:val="00116630"/>
    <w:rsid w:val="0012375C"/>
    <w:rsid w:val="0012627A"/>
    <w:rsid w:val="00126494"/>
    <w:rsid w:val="0012681B"/>
    <w:rsid w:val="00131C0C"/>
    <w:rsid w:val="00133875"/>
    <w:rsid w:val="001362FA"/>
    <w:rsid w:val="0013670E"/>
    <w:rsid w:val="001371CF"/>
    <w:rsid w:val="00140574"/>
    <w:rsid w:val="00140BEC"/>
    <w:rsid w:val="00143CDD"/>
    <w:rsid w:val="00150E66"/>
    <w:rsid w:val="00151D20"/>
    <w:rsid w:val="00152CDC"/>
    <w:rsid w:val="00152DB5"/>
    <w:rsid w:val="001571AC"/>
    <w:rsid w:val="0016121E"/>
    <w:rsid w:val="00161F64"/>
    <w:rsid w:val="00162F37"/>
    <w:rsid w:val="00163109"/>
    <w:rsid w:val="00163FE0"/>
    <w:rsid w:val="00166B0E"/>
    <w:rsid w:val="0016758F"/>
    <w:rsid w:val="00167A4E"/>
    <w:rsid w:val="00173FC4"/>
    <w:rsid w:val="00175C12"/>
    <w:rsid w:val="001762FA"/>
    <w:rsid w:val="00177955"/>
    <w:rsid w:val="0018733B"/>
    <w:rsid w:val="00191793"/>
    <w:rsid w:val="00191D20"/>
    <w:rsid w:val="0019367C"/>
    <w:rsid w:val="001942E4"/>
    <w:rsid w:val="001954F7"/>
    <w:rsid w:val="00195561"/>
    <w:rsid w:val="00196204"/>
    <w:rsid w:val="001A1A00"/>
    <w:rsid w:val="001A399E"/>
    <w:rsid w:val="001A3D0B"/>
    <w:rsid w:val="001A4308"/>
    <w:rsid w:val="001A5675"/>
    <w:rsid w:val="001A5974"/>
    <w:rsid w:val="001A7FC7"/>
    <w:rsid w:val="001B0A3A"/>
    <w:rsid w:val="001B2B2B"/>
    <w:rsid w:val="001B2B3B"/>
    <w:rsid w:val="001B5547"/>
    <w:rsid w:val="001C3483"/>
    <w:rsid w:val="001C4B69"/>
    <w:rsid w:val="001C6411"/>
    <w:rsid w:val="001C69E7"/>
    <w:rsid w:val="001D0B58"/>
    <w:rsid w:val="001D13F8"/>
    <w:rsid w:val="001D1415"/>
    <w:rsid w:val="001D2B9D"/>
    <w:rsid w:val="001D3EF0"/>
    <w:rsid w:val="001E1404"/>
    <w:rsid w:val="001E1AB6"/>
    <w:rsid w:val="001E3525"/>
    <w:rsid w:val="001E4A63"/>
    <w:rsid w:val="001E4C1F"/>
    <w:rsid w:val="001F286D"/>
    <w:rsid w:val="001F7899"/>
    <w:rsid w:val="001F7C6F"/>
    <w:rsid w:val="0020206D"/>
    <w:rsid w:val="002029A3"/>
    <w:rsid w:val="00206109"/>
    <w:rsid w:val="00207685"/>
    <w:rsid w:val="00207A70"/>
    <w:rsid w:val="00215379"/>
    <w:rsid w:val="00216437"/>
    <w:rsid w:val="00220248"/>
    <w:rsid w:val="00222CBC"/>
    <w:rsid w:val="0022332B"/>
    <w:rsid w:val="002257A3"/>
    <w:rsid w:val="00227875"/>
    <w:rsid w:val="00230552"/>
    <w:rsid w:val="002314C9"/>
    <w:rsid w:val="00234A8C"/>
    <w:rsid w:val="002407F9"/>
    <w:rsid w:val="0024246D"/>
    <w:rsid w:val="00242651"/>
    <w:rsid w:val="002427DD"/>
    <w:rsid w:val="0024550A"/>
    <w:rsid w:val="002457B8"/>
    <w:rsid w:val="00247AF3"/>
    <w:rsid w:val="00253B9E"/>
    <w:rsid w:val="00254261"/>
    <w:rsid w:val="00254AAE"/>
    <w:rsid w:val="0025522B"/>
    <w:rsid w:val="002612FB"/>
    <w:rsid w:val="0026497A"/>
    <w:rsid w:val="00265A8D"/>
    <w:rsid w:val="00265D0C"/>
    <w:rsid w:val="00265E76"/>
    <w:rsid w:val="00271189"/>
    <w:rsid w:val="00272A11"/>
    <w:rsid w:val="00272FA0"/>
    <w:rsid w:val="00274186"/>
    <w:rsid w:val="00276E04"/>
    <w:rsid w:val="00281FE8"/>
    <w:rsid w:val="00283BCB"/>
    <w:rsid w:val="00284BEE"/>
    <w:rsid w:val="002922E5"/>
    <w:rsid w:val="002952AB"/>
    <w:rsid w:val="00297F73"/>
    <w:rsid w:val="002A1504"/>
    <w:rsid w:val="002A33AA"/>
    <w:rsid w:val="002A5CEB"/>
    <w:rsid w:val="002A7763"/>
    <w:rsid w:val="002A78F4"/>
    <w:rsid w:val="002B05B9"/>
    <w:rsid w:val="002B1F64"/>
    <w:rsid w:val="002B26C6"/>
    <w:rsid w:val="002B39C0"/>
    <w:rsid w:val="002B4966"/>
    <w:rsid w:val="002B676C"/>
    <w:rsid w:val="002B69C6"/>
    <w:rsid w:val="002B7238"/>
    <w:rsid w:val="002C5621"/>
    <w:rsid w:val="002D1195"/>
    <w:rsid w:val="002D292F"/>
    <w:rsid w:val="002D568F"/>
    <w:rsid w:val="002D5A8F"/>
    <w:rsid w:val="002D73E4"/>
    <w:rsid w:val="002E033A"/>
    <w:rsid w:val="002E101F"/>
    <w:rsid w:val="002E1384"/>
    <w:rsid w:val="002E1E47"/>
    <w:rsid w:val="002E26F8"/>
    <w:rsid w:val="002E5F98"/>
    <w:rsid w:val="002E78A5"/>
    <w:rsid w:val="002E78AB"/>
    <w:rsid w:val="002F24C6"/>
    <w:rsid w:val="002F43E2"/>
    <w:rsid w:val="002F5F03"/>
    <w:rsid w:val="002F7062"/>
    <w:rsid w:val="00300A7E"/>
    <w:rsid w:val="0030114B"/>
    <w:rsid w:val="0030668E"/>
    <w:rsid w:val="0030685F"/>
    <w:rsid w:val="00306C85"/>
    <w:rsid w:val="0031073B"/>
    <w:rsid w:val="00317890"/>
    <w:rsid w:val="00321A1E"/>
    <w:rsid w:val="00326C31"/>
    <w:rsid w:val="00327136"/>
    <w:rsid w:val="00331E90"/>
    <w:rsid w:val="003321FC"/>
    <w:rsid w:val="0033575B"/>
    <w:rsid w:val="00336C76"/>
    <w:rsid w:val="0034021C"/>
    <w:rsid w:val="00343CC4"/>
    <w:rsid w:val="003465E2"/>
    <w:rsid w:val="003468E5"/>
    <w:rsid w:val="0034789D"/>
    <w:rsid w:val="0035174B"/>
    <w:rsid w:val="00352695"/>
    <w:rsid w:val="0035431F"/>
    <w:rsid w:val="00356185"/>
    <w:rsid w:val="00357518"/>
    <w:rsid w:val="00364071"/>
    <w:rsid w:val="003647AC"/>
    <w:rsid w:val="003665B3"/>
    <w:rsid w:val="003668F9"/>
    <w:rsid w:val="0037481E"/>
    <w:rsid w:val="00376F5A"/>
    <w:rsid w:val="00386A46"/>
    <w:rsid w:val="00387694"/>
    <w:rsid w:val="0038783C"/>
    <w:rsid w:val="00391107"/>
    <w:rsid w:val="00393433"/>
    <w:rsid w:val="00395C43"/>
    <w:rsid w:val="00395E3D"/>
    <w:rsid w:val="00397E79"/>
    <w:rsid w:val="003A3D71"/>
    <w:rsid w:val="003A77A9"/>
    <w:rsid w:val="003B15BE"/>
    <w:rsid w:val="003B3535"/>
    <w:rsid w:val="003B3C62"/>
    <w:rsid w:val="003B4538"/>
    <w:rsid w:val="003B49B6"/>
    <w:rsid w:val="003B6847"/>
    <w:rsid w:val="003C0928"/>
    <w:rsid w:val="003C0AEC"/>
    <w:rsid w:val="003C1D12"/>
    <w:rsid w:val="003C38D7"/>
    <w:rsid w:val="003C69D0"/>
    <w:rsid w:val="003D0080"/>
    <w:rsid w:val="003D26A3"/>
    <w:rsid w:val="003D2C87"/>
    <w:rsid w:val="003D3235"/>
    <w:rsid w:val="003D52D0"/>
    <w:rsid w:val="003D64C8"/>
    <w:rsid w:val="003D71E8"/>
    <w:rsid w:val="003D7A02"/>
    <w:rsid w:val="003E64DC"/>
    <w:rsid w:val="003E6B73"/>
    <w:rsid w:val="003E77BB"/>
    <w:rsid w:val="003E7957"/>
    <w:rsid w:val="003F0C41"/>
    <w:rsid w:val="003F0FD6"/>
    <w:rsid w:val="003F77B3"/>
    <w:rsid w:val="00403E53"/>
    <w:rsid w:val="00404790"/>
    <w:rsid w:val="004052E5"/>
    <w:rsid w:val="00406A96"/>
    <w:rsid w:val="00407CB0"/>
    <w:rsid w:val="00416811"/>
    <w:rsid w:val="00420EFA"/>
    <w:rsid w:val="00423EB7"/>
    <w:rsid w:val="00424FD5"/>
    <w:rsid w:val="0042531B"/>
    <w:rsid w:val="00426544"/>
    <w:rsid w:val="0042692B"/>
    <w:rsid w:val="00430982"/>
    <w:rsid w:val="00432C8E"/>
    <w:rsid w:val="0043579A"/>
    <w:rsid w:val="00436A4F"/>
    <w:rsid w:val="00436B53"/>
    <w:rsid w:val="00442B5E"/>
    <w:rsid w:val="0044697A"/>
    <w:rsid w:val="0044715C"/>
    <w:rsid w:val="00447691"/>
    <w:rsid w:val="0045043C"/>
    <w:rsid w:val="00450D80"/>
    <w:rsid w:val="00453174"/>
    <w:rsid w:val="00455207"/>
    <w:rsid w:val="004552C4"/>
    <w:rsid w:val="00456FC3"/>
    <w:rsid w:val="00457BAF"/>
    <w:rsid w:val="004622D7"/>
    <w:rsid w:val="00463000"/>
    <w:rsid w:val="00464231"/>
    <w:rsid w:val="00467FCB"/>
    <w:rsid w:val="00472580"/>
    <w:rsid w:val="004814F7"/>
    <w:rsid w:val="004833AD"/>
    <w:rsid w:val="0048627C"/>
    <w:rsid w:val="004910A1"/>
    <w:rsid w:val="00494382"/>
    <w:rsid w:val="004946D3"/>
    <w:rsid w:val="004952C0"/>
    <w:rsid w:val="004A4E80"/>
    <w:rsid w:val="004A62C4"/>
    <w:rsid w:val="004B2E9F"/>
    <w:rsid w:val="004B43BB"/>
    <w:rsid w:val="004C0B1E"/>
    <w:rsid w:val="004C1A95"/>
    <w:rsid w:val="004C1B00"/>
    <w:rsid w:val="004C7071"/>
    <w:rsid w:val="004C7532"/>
    <w:rsid w:val="004D0DED"/>
    <w:rsid w:val="004D2E71"/>
    <w:rsid w:val="004D3537"/>
    <w:rsid w:val="004D4948"/>
    <w:rsid w:val="004D5442"/>
    <w:rsid w:val="004D6298"/>
    <w:rsid w:val="004E0804"/>
    <w:rsid w:val="004E127A"/>
    <w:rsid w:val="004E131C"/>
    <w:rsid w:val="004E22D1"/>
    <w:rsid w:val="004E2EB7"/>
    <w:rsid w:val="004E3BB6"/>
    <w:rsid w:val="004E5EDB"/>
    <w:rsid w:val="004E789E"/>
    <w:rsid w:val="004F1214"/>
    <w:rsid w:val="004F2603"/>
    <w:rsid w:val="004F3D48"/>
    <w:rsid w:val="004F4BA5"/>
    <w:rsid w:val="004F764B"/>
    <w:rsid w:val="005002DC"/>
    <w:rsid w:val="00500706"/>
    <w:rsid w:val="005020F6"/>
    <w:rsid w:val="005048A6"/>
    <w:rsid w:val="00507410"/>
    <w:rsid w:val="005104C2"/>
    <w:rsid w:val="00510EEF"/>
    <w:rsid w:val="00511631"/>
    <w:rsid w:val="00514C8F"/>
    <w:rsid w:val="00515CAC"/>
    <w:rsid w:val="00515E86"/>
    <w:rsid w:val="00516FFE"/>
    <w:rsid w:val="00520143"/>
    <w:rsid w:val="00521560"/>
    <w:rsid w:val="0052232E"/>
    <w:rsid w:val="0052265A"/>
    <w:rsid w:val="00524654"/>
    <w:rsid w:val="00525091"/>
    <w:rsid w:val="005259EA"/>
    <w:rsid w:val="00526547"/>
    <w:rsid w:val="0052775B"/>
    <w:rsid w:val="00530F5F"/>
    <w:rsid w:val="00531657"/>
    <w:rsid w:val="00531C23"/>
    <w:rsid w:val="00531E0B"/>
    <w:rsid w:val="00532158"/>
    <w:rsid w:val="005327BB"/>
    <w:rsid w:val="00532A6F"/>
    <w:rsid w:val="00534A56"/>
    <w:rsid w:val="00535BDB"/>
    <w:rsid w:val="00537531"/>
    <w:rsid w:val="00537D04"/>
    <w:rsid w:val="00540FB1"/>
    <w:rsid w:val="00541646"/>
    <w:rsid w:val="005417F2"/>
    <w:rsid w:val="00541959"/>
    <w:rsid w:val="005454EA"/>
    <w:rsid w:val="00551736"/>
    <w:rsid w:val="00554C2F"/>
    <w:rsid w:val="00554E3A"/>
    <w:rsid w:val="005554C4"/>
    <w:rsid w:val="00561FB5"/>
    <w:rsid w:val="0056269E"/>
    <w:rsid w:val="0056557B"/>
    <w:rsid w:val="00565C28"/>
    <w:rsid w:val="005701AB"/>
    <w:rsid w:val="0057201E"/>
    <w:rsid w:val="00575AF9"/>
    <w:rsid w:val="005762BD"/>
    <w:rsid w:val="00576814"/>
    <w:rsid w:val="005816D1"/>
    <w:rsid w:val="005842C2"/>
    <w:rsid w:val="00584707"/>
    <w:rsid w:val="00586417"/>
    <w:rsid w:val="00586450"/>
    <w:rsid w:val="00587D97"/>
    <w:rsid w:val="00587E6B"/>
    <w:rsid w:val="005900AF"/>
    <w:rsid w:val="00590609"/>
    <w:rsid w:val="005920C8"/>
    <w:rsid w:val="00595939"/>
    <w:rsid w:val="005A14A8"/>
    <w:rsid w:val="005A16A8"/>
    <w:rsid w:val="005A2F45"/>
    <w:rsid w:val="005A316E"/>
    <w:rsid w:val="005A36A1"/>
    <w:rsid w:val="005A5DD3"/>
    <w:rsid w:val="005A6013"/>
    <w:rsid w:val="005B2B1B"/>
    <w:rsid w:val="005B2F75"/>
    <w:rsid w:val="005B2FB5"/>
    <w:rsid w:val="005B6BBD"/>
    <w:rsid w:val="005B7AC9"/>
    <w:rsid w:val="005C0480"/>
    <w:rsid w:val="005C2D61"/>
    <w:rsid w:val="005C6E1E"/>
    <w:rsid w:val="005C764E"/>
    <w:rsid w:val="005D4811"/>
    <w:rsid w:val="005E0F3C"/>
    <w:rsid w:val="005E6DB9"/>
    <w:rsid w:val="005F1C84"/>
    <w:rsid w:val="005F2102"/>
    <w:rsid w:val="005F3807"/>
    <w:rsid w:val="005F4E67"/>
    <w:rsid w:val="00600285"/>
    <w:rsid w:val="0060367F"/>
    <w:rsid w:val="00605179"/>
    <w:rsid w:val="006053AB"/>
    <w:rsid w:val="00606005"/>
    <w:rsid w:val="00607928"/>
    <w:rsid w:val="00612005"/>
    <w:rsid w:val="00612F49"/>
    <w:rsid w:val="0061445D"/>
    <w:rsid w:val="00614C02"/>
    <w:rsid w:val="00617658"/>
    <w:rsid w:val="00622DB8"/>
    <w:rsid w:val="00622EA7"/>
    <w:rsid w:val="0062329A"/>
    <w:rsid w:val="0062489B"/>
    <w:rsid w:val="00624EC2"/>
    <w:rsid w:val="0062628D"/>
    <w:rsid w:val="006304A6"/>
    <w:rsid w:val="00632E57"/>
    <w:rsid w:val="006353A1"/>
    <w:rsid w:val="00640C43"/>
    <w:rsid w:val="00642E0A"/>
    <w:rsid w:val="0064302A"/>
    <w:rsid w:val="006432A1"/>
    <w:rsid w:val="006453B4"/>
    <w:rsid w:val="0065023C"/>
    <w:rsid w:val="00651F1E"/>
    <w:rsid w:val="00653486"/>
    <w:rsid w:val="00657CE7"/>
    <w:rsid w:val="00660195"/>
    <w:rsid w:val="0066101C"/>
    <w:rsid w:val="00664BFE"/>
    <w:rsid w:val="00664D95"/>
    <w:rsid w:val="0067662E"/>
    <w:rsid w:val="006813BE"/>
    <w:rsid w:val="0068487E"/>
    <w:rsid w:val="0068566F"/>
    <w:rsid w:val="00686636"/>
    <w:rsid w:val="00687077"/>
    <w:rsid w:val="00690B7A"/>
    <w:rsid w:val="006A0F39"/>
    <w:rsid w:val="006B203D"/>
    <w:rsid w:val="006B4072"/>
    <w:rsid w:val="006B7D59"/>
    <w:rsid w:val="006B7E91"/>
    <w:rsid w:val="006C29BF"/>
    <w:rsid w:val="006C3C91"/>
    <w:rsid w:val="006C49E2"/>
    <w:rsid w:val="006C524A"/>
    <w:rsid w:val="006C7CFC"/>
    <w:rsid w:val="006D0854"/>
    <w:rsid w:val="006D19DB"/>
    <w:rsid w:val="006D27BF"/>
    <w:rsid w:val="006D67DD"/>
    <w:rsid w:val="006D6EE3"/>
    <w:rsid w:val="006D7763"/>
    <w:rsid w:val="006E0A2B"/>
    <w:rsid w:val="006E2F25"/>
    <w:rsid w:val="006E3757"/>
    <w:rsid w:val="006E4FC2"/>
    <w:rsid w:val="006E570C"/>
    <w:rsid w:val="006E5F80"/>
    <w:rsid w:val="006F4F16"/>
    <w:rsid w:val="00701A83"/>
    <w:rsid w:val="00702147"/>
    <w:rsid w:val="007057D4"/>
    <w:rsid w:val="00711813"/>
    <w:rsid w:val="00715D00"/>
    <w:rsid w:val="00721BDC"/>
    <w:rsid w:val="00721D2A"/>
    <w:rsid w:val="0072242C"/>
    <w:rsid w:val="00722FA7"/>
    <w:rsid w:val="00723228"/>
    <w:rsid w:val="00727723"/>
    <w:rsid w:val="007345E9"/>
    <w:rsid w:val="00736728"/>
    <w:rsid w:val="00737AD5"/>
    <w:rsid w:val="00740F5F"/>
    <w:rsid w:val="007411D0"/>
    <w:rsid w:val="00741355"/>
    <w:rsid w:val="007414A2"/>
    <w:rsid w:val="0074519A"/>
    <w:rsid w:val="007465A4"/>
    <w:rsid w:val="007469D3"/>
    <w:rsid w:val="00750F5A"/>
    <w:rsid w:val="00751E21"/>
    <w:rsid w:val="007525C1"/>
    <w:rsid w:val="0075305C"/>
    <w:rsid w:val="00763736"/>
    <w:rsid w:val="00764167"/>
    <w:rsid w:val="007653FA"/>
    <w:rsid w:val="00766913"/>
    <w:rsid w:val="00767535"/>
    <w:rsid w:val="00771211"/>
    <w:rsid w:val="00773051"/>
    <w:rsid w:val="00774BBA"/>
    <w:rsid w:val="00775BE1"/>
    <w:rsid w:val="00780014"/>
    <w:rsid w:val="00783534"/>
    <w:rsid w:val="007847FB"/>
    <w:rsid w:val="00787A4E"/>
    <w:rsid w:val="007902BC"/>
    <w:rsid w:val="0079476D"/>
    <w:rsid w:val="00795437"/>
    <w:rsid w:val="00795499"/>
    <w:rsid w:val="007971FE"/>
    <w:rsid w:val="00797C61"/>
    <w:rsid w:val="007A0FEC"/>
    <w:rsid w:val="007A12AF"/>
    <w:rsid w:val="007A5E9A"/>
    <w:rsid w:val="007B00DA"/>
    <w:rsid w:val="007B48BB"/>
    <w:rsid w:val="007B5051"/>
    <w:rsid w:val="007B6DCA"/>
    <w:rsid w:val="007C2DD5"/>
    <w:rsid w:val="007C318D"/>
    <w:rsid w:val="007D43DD"/>
    <w:rsid w:val="007E04E6"/>
    <w:rsid w:val="007E1BA1"/>
    <w:rsid w:val="007E3953"/>
    <w:rsid w:val="007E611A"/>
    <w:rsid w:val="007F0E7B"/>
    <w:rsid w:val="007F1617"/>
    <w:rsid w:val="007F38EF"/>
    <w:rsid w:val="007F5F3F"/>
    <w:rsid w:val="00800609"/>
    <w:rsid w:val="00801788"/>
    <w:rsid w:val="008018C3"/>
    <w:rsid w:val="008019C9"/>
    <w:rsid w:val="00807740"/>
    <w:rsid w:val="00807781"/>
    <w:rsid w:val="008104BD"/>
    <w:rsid w:val="00810CC3"/>
    <w:rsid w:val="008141B4"/>
    <w:rsid w:val="00817537"/>
    <w:rsid w:val="008176D3"/>
    <w:rsid w:val="00821EE9"/>
    <w:rsid w:val="0082418F"/>
    <w:rsid w:val="008246EC"/>
    <w:rsid w:val="008300A3"/>
    <w:rsid w:val="00830C07"/>
    <w:rsid w:val="00830FD3"/>
    <w:rsid w:val="008408D0"/>
    <w:rsid w:val="00842238"/>
    <w:rsid w:val="008424C8"/>
    <w:rsid w:val="00843947"/>
    <w:rsid w:val="008505FA"/>
    <w:rsid w:val="00851C43"/>
    <w:rsid w:val="00853586"/>
    <w:rsid w:val="008553C1"/>
    <w:rsid w:val="00855B89"/>
    <w:rsid w:val="00856A83"/>
    <w:rsid w:val="008572E0"/>
    <w:rsid w:val="00863651"/>
    <w:rsid w:val="00863F28"/>
    <w:rsid w:val="00865F30"/>
    <w:rsid w:val="008719A6"/>
    <w:rsid w:val="008760E3"/>
    <w:rsid w:val="008905B0"/>
    <w:rsid w:val="00890C6B"/>
    <w:rsid w:val="00895040"/>
    <w:rsid w:val="008952A4"/>
    <w:rsid w:val="00895FA1"/>
    <w:rsid w:val="008972F1"/>
    <w:rsid w:val="008A03A1"/>
    <w:rsid w:val="008A0B34"/>
    <w:rsid w:val="008A5463"/>
    <w:rsid w:val="008A6DEE"/>
    <w:rsid w:val="008A7F32"/>
    <w:rsid w:val="008B38C9"/>
    <w:rsid w:val="008B6024"/>
    <w:rsid w:val="008C59EC"/>
    <w:rsid w:val="008C5E16"/>
    <w:rsid w:val="008C7E11"/>
    <w:rsid w:val="008D0488"/>
    <w:rsid w:val="008D1525"/>
    <w:rsid w:val="008D6D8A"/>
    <w:rsid w:val="008D7FCE"/>
    <w:rsid w:val="008E4BBE"/>
    <w:rsid w:val="008E7BFE"/>
    <w:rsid w:val="008E7D19"/>
    <w:rsid w:val="008F3EBE"/>
    <w:rsid w:val="008F5973"/>
    <w:rsid w:val="00902DE8"/>
    <w:rsid w:val="009048CE"/>
    <w:rsid w:val="00905738"/>
    <w:rsid w:val="00906999"/>
    <w:rsid w:val="00907946"/>
    <w:rsid w:val="009103E1"/>
    <w:rsid w:val="00916BFF"/>
    <w:rsid w:val="00920715"/>
    <w:rsid w:val="0092077C"/>
    <w:rsid w:val="00920809"/>
    <w:rsid w:val="009231DA"/>
    <w:rsid w:val="00923B39"/>
    <w:rsid w:val="00923EC8"/>
    <w:rsid w:val="00930147"/>
    <w:rsid w:val="00932590"/>
    <w:rsid w:val="0093367F"/>
    <w:rsid w:val="009344E8"/>
    <w:rsid w:val="009410B2"/>
    <w:rsid w:val="0094636D"/>
    <w:rsid w:val="009471C8"/>
    <w:rsid w:val="00947207"/>
    <w:rsid w:val="00947B22"/>
    <w:rsid w:val="00947E45"/>
    <w:rsid w:val="009515EB"/>
    <w:rsid w:val="00952D91"/>
    <w:rsid w:val="00953C35"/>
    <w:rsid w:val="00955405"/>
    <w:rsid w:val="00963E57"/>
    <w:rsid w:val="00965328"/>
    <w:rsid w:val="009725BC"/>
    <w:rsid w:val="009740A5"/>
    <w:rsid w:val="0097447A"/>
    <w:rsid w:val="00974D37"/>
    <w:rsid w:val="00975502"/>
    <w:rsid w:val="00976013"/>
    <w:rsid w:val="00977B03"/>
    <w:rsid w:val="00981E77"/>
    <w:rsid w:val="009841E4"/>
    <w:rsid w:val="009910B5"/>
    <w:rsid w:val="009939B4"/>
    <w:rsid w:val="0099402B"/>
    <w:rsid w:val="00997BE5"/>
    <w:rsid w:val="009A303E"/>
    <w:rsid w:val="009A610A"/>
    <w:rsid w:val="009B4C44"/>
    <w:rsid w:val="009B5C79"/>
    <w:rsid w:val="009B79A4"/>
    <w:rsid w:val="009C0002"/>
    <w:rsid w:val="009C2765"/>
    <w:rsid w:val="009C3FCE"/>
    <w:rsid w:val="009C5857"/>
    <w:rsid w:val="009C73C1"/>
    <w:rsid w:val="009D2CAE"/>
    <w:rsid w:val="009D7746"/>
    <w:rsid w:val="009E1B0D"/>
    <w:rsid w:val="009E4C19"/>
    <w:rsid w:val="009F1F6D"/>
    <w:rsid w:val="009F379E"/>
    <w:rsid w:val="009F46A1"/>
    <w:rsid w:val="00A002BE"/>
    <w:rsid w:val="00A02B73"/>
    <w:rsid w:val="00A03592"/>
    <w:rsid w:val="00A07834"/>
    <w:rsid w:val="00A0795A"/>
    <w:rsid w:val="00A11698"/>
    <w:rsid w:val="00A12ABB"/>
    <w:rsid w:val="00A12E1D"/>
    <w:rsid w:val="00A13D42"/>
    <w:rsid w:val="00A16423"/>
    <w:rsid w:val="00A21312"/>
    <w:rsid w:val="00A231F3"/>
    <w:rsid w:val="00A2358B"/>
    <w:rsid w:val="00A2367C"/>
    <w:rsid w:val="00A245BE"/>
    <w:rsid w:val="00A26F0C"/>
    <w:rsid w:val="00A30DB7"/>
    <w:rsid w:val="00A322E7"/>
    <w:rsid w:val="00A339DA"/>
    <w:rsid w:val="00A33B3B"/>
    <w:rsid w:val="00A33C01"/>
    <w:rsid w:val="00A34DF7"/>
    <w:rsid w:val="00A366C9"/>
    <w:rsid w:val="00A40DBD"/>
    <w:rsid w:val="00A43749"/>
    <w:rsid w:val="00A510DC"/>
    <w:rsid w:val="00A528CB"/>
    <w:rsid w:val="00A52F4D"/>
    <w:rsid w:val="00A53E1A"/>
    <w:rsid w:val="00A55003"/>
    <w:rsid w:val="00A558E9"/>
    <w:rsid w:val="00A56188"/>
    <w:rsid w:val="00A567BD"/>
    <w:rsid w:val="00A61B9B"/>
    <w:rsid w:val="00A635CD"/>
    <w:rsid w:val="00A70D2C"/>
    <w:rsid w:val="00A75450"/>
    <w:rsid w:val="00A76E00"/>
    <w:rsid w:val="00A774D5"/>
    <w:rsid w:val="00A80F40"/>
    <w:rsid w:val="00A84940"/>
    <w:rsid w:val="00A84962"/>
    <w:rsid w:val="00A85543"/>
    <w:rsid w:val="00A85C72"/>
    <w:rsid w:val="00A8782E"/>
    <w:rsid w:val="00A908B4"/>
    <w:rsid w:val="00A92F0C"/>
    <w:rsid w:val="00A977F0"/>
    <w:rsid w:val="00AA3129"/>
    <w:rsid w:val="00AA5377"/>
    <w:rsid w:val="00AA632C"/>
    <w:rsid w:val="00AA7496"/>
    <w:rsid w:val="00AB636D"/>
    <w:rsid w:val="00AC21C0"/>
    <w:rsid w:val="00AC6DA7"/>
    <w:rsid w:val="00AC7B7E"/>
    <w:rsid w:val="00AD0079"/>
    <w:rsid w:val="00AD023B"/>
    <w:rsid w:val="00AD1A16"/>
    <w:rsid w:val="00AD475E"/>
    <w:rsid w:val="00AD61A1"/>
    <w:rsid w:val="00AD69D8"/>
    <w:rsid w:val="00AD6DDB"/>
    <w:rsid w:val="00AD704C"/>
    <w:rsid w:val="00AD7DA0"/>
    <w:rsid w:val="00AE00C9"/>
    <w:rsid w:val="00AE03F3"/>
    <w:rsid w:val="00AE04A9"/>
    <w:rsid w:val="00AE04B9"/>
    <w:rsid w:val="00AE0D84"/>
    <w:rsid w:val="00AE1F0D"/>
    <w:rsid w:val="00AE220C"/>
    <w:rsid w:val="00AE53EA"/>
    <w:rsid w:val="00AE59F0"/>
    <w:rsid w:val="00AE5B38"/>
    <w:rsid w:val="00AF02A8"/>
    <w:rsid w:val="00AF56DB"/>
    <w:rsid w:val="00AF6A21"/>
    <w:rsid w:val="00AF79F6"/>
    <w:rsid w:val="00B00D42"/>
    <w:rsid w:val="00B010D6"/>
    <w:rsid w:val="00B031AC"/>
    <w:rsid w:val="00B03D27"/>
    <w:rsid w:val="00B04958"/>
    <w:rsid w:val="00B07FF5"/>
    <w:rsid w:val="00B10C5D"/>
    <w:rsid w:val="00B152EB"/>
    <w:rsid w:val="00B17AB1"/>
    <w:rsid w:val="00B20A63"/>
    <w:rsid w:val="00B21FCF"/>
    <w:rsid w:val="00B301F8"/>
    <w:rsid w:val="00B3093A"/>
    <w:rsid w:val="00B3243F"/>
    <w:rsid w:val="00B32664"/>
    <w:rsid w:val="00B328D0"/>
    <w:rsid w:val="00B3392F"/>
    <w:rsid w:val="00B363C9"/>
    <w:rsid w:val="00B36C0A"/>
    <w:rsid w:val="00B3719D"/>
    <w:rsid w:val="00B374A1"/>
    <w:rsid w:val="00B43840"/>
    <w:rsid w:val="00B4442B"/>
    <w:rsid w:val="00B44BCF"/>
    <w:rsid w:val="00B46B93"/>
    <w:rsid w:val="00B51B57"/>
    <w:rsid w:val="00B53068"/>
    <w:rsid w:val="00B56062"/>
    <w:rsid w:val="00B576EF"/>
    <w:rsid w:val="00B61EA2"/>
    <w:rsid w:val="00B621D7"/>
    <w:rsid w:val="00B62B47"/>
    <w:rsid w:val="00B63EDB"/>
    <w:rsid w:val="00B66009"/>
    <w:rsid w:val="00B67731"/>
    <w:rsid w:val="00B67E62"/>
    <w:rsid w:val="00B7270E"/>
    <w:rsid w:val="00B729BA"/>
    <w:rsid w:val="00B74301"/>
    <w:rsid w:val="00B748E8"/>
    <w:rsid w:val="00B807C2"/>
    <w:rsid w:val="00B80EAD"/>
    <w:rsid w:val="00B81016"/>
    <w:rsid w:val="00B9145F"/>
    <w:rsid w:val="00B93F78"/>
    <w:rsid w:val="00B978EE"/>
    <w:rsid w:val="00BA06F2"/>
    <w:rsid w:val="00BA26F2"/>
    <w:rsid w:val="00BA491B"/>
    <w:rsid w:val="00BB3760"/>
    <w:rsid w:val="00BB3D10"/>
    <w:rsid w:val="00BB595D"/>
    <w:rsid w:val="00BB6D72"/>
    <w:rsid w:val="00BB780F"/>
    <w:rsid w:val="00BC0FD8"/>
    <w:rsid w:val="00BC2BDB"/>
    <w:rsid w:val="00BC3D6E"/>
    <w:rsid w:val="00BC3DC1"/>
    <w:rsid w:val="00BC4F3D"/>
    <w:rsid w:val="00BC58FF"/>
    <w:rsid w:val="00BD2226"/>
    <w:rsid w:val="00BD2BE7"/>
    <w:rsid w:val="00BD4889"/>
    <w:rsid w:val="00BE15EA"/>
    <w:rsid w:val="00BE17A2"/>
    <w:rsid w:val="00BE2948"/>
    <w:rsid w:val="00BE4444"/>
    <w:rsid w:val="00BE459B"/>
    <w:rsid w:val="00BF4A18"/>
    <w:rsid w:val="00C0689B"/>
    <w:rsid w:val="00C07962"/>
    <w:rsid w:val="00C1038A"/>
    <w:rsid w:val="00C11672"/>
    <w:rsid w:val="00C12AB9"/>
    <w:rsid w:val="00C12CFB"/>
    <w:rsid w:val="00C13439"/>
    <w:rsid w:val="00C1533F"/>
    <w:rsid w:val="00C15FB8"/>
    <w:rsid w:val="00C20B6D"/>
    <w:rsid w:val="00C21D17"/>
    <w:rsid w:val="00C22273"/>
    <w:rsid w:val="00C23AB8"/>
    <w:rsid w:val="00C2430C"/>
    <w:rsid w:val="00C26C7C"/>
    <w:rsid w:val="00C271DF"/>
    <w:rsid w:val="00C2733F"/>
    <w:rsid w:val="00C30E51"/>
    <w:rsid w:val="00C3148B"/>
    <w:rsid w:val="00C31C53"/>
    <w:rsid w:val="00C356FB"/>
    <w:rsid w:val="00C371D2"/>
    <w:rsid w:val="00C37D7B"/>
    <w:rsid w:val="00C4467B"/>
    <w:rsid w:val="00C458D2"/>
    <w:rsid w:val="00C4789B"/>
    <w:rsid w:val="00C54CAF"/>
    <w:rsid w:val="00C57415"/>
    <w:rsid w:val="00C57866"/>
    <w:rsid w:val="00C61D8D"/>
    <w:rsid w:val="00C64B2E"/>
    <w:rsid w:val="00C7359E"/>
    <w:rsid w:val="00C83E47"/>
    <w:rsid w:val="00C86BDA"/>
    <w:rsid w:val="00C879F7"/>
    <w:rsid w:val="00C97757"/>
    <w:rsid w:val="00C97DB2"/>
    <w:rsid w:val="00CA099E"/>
    <w:rsid w:val="00CA0C7A"/>
    <w:rsid w:val="00CA2B98"/>
    <w:rsid w:val="00CA5A55"/>
    <w:rsid w:val="00CA5B23"/>
    <w:rsid w:val="00CB2B53"/>
    <w:rsid w:val="00CB3204"/>
    <w:rsid w:val="00CB7B7A"/>
    <w:rsid w:val="00CC1C29"/>
    <w:rsid w:val="00CC1D1D"/>
    <w:rsid w:val="00CC38FC"/>
    <w:rsid w:val="00CC65B4"/>
    <w:rsid w:val="00CC69D1"/>
    <w:rsid w:val="00CC722E"/>
    <w:rsid w:val="00CC729F"/>
    <w:rsid w:val="00CC79F1"/>
    <w:rsid w:val="00CD303C"/>
    <w:rsid w:val="00CD5634"/>
    <w:rsid w:val="00CD60FE"/>
    <w:rsid w:val="00CE1A10"/>
    <w:rsid w:val="00CE653B"/>
    <w:rsid w:val="00CF4950"/>
    <w:rsid w:val="00CF5B84"/>
    <w:rsid w:val="00D02678"/>
    <w:rsid w:val="00D0492E"/>
    <w:rsid w:val="00D06801"/>
    <w:rsid w:val="00D077CE"/>
    <w:rsid w:val="00D10357"/>
    <w:rsid w:val="00D11D1F"/>
    <w:rsid w:val="00D151FF"/>
    <w:rsid w:val="00D1678D"/>
    <w:rsid w:val="00D16854"/>
    <w:rsid w:val="00D16877"/>
    <w:rsid w:val="00D17656"/>
    <w:rsid w:val="00D2094F"/>
    <w:rsid w:val="00D23491"/>
    <w:rsid w:val="00D237BC"/>
    <w:rsid w:val="00D27758"/>
    <w:rsid w:val="00D27FC7"/>
    <w:rsid w:val="00D322CC"/>
    <w:rsid w:val="00D32A2D"/>
    <w:rsid w:val="00D3402C"/>
    <w:rsid w:val="00D36456"/>
    <w:rsid w:val="00D40FC2"/>
    <w:rsid w:val="00D4241E"/>
    <w:rsid w:val="00D43FC6"/>
    <w:rsid w:val="00D4479B"/>
    <w:rsid w:val="00D45518"/>
    <w:rsid w:val="00D47349"/>
    <w:rsid w:val="00D534F7"/>
    <w:rsid w:val="00D56261"/>
    <w:rsid w:val="00D56AFF"/>
    <w:rsid w:val="00D576EC"/>
    <w:rsid w:val="00D717CB"/>
    <w:rsid w:val="00D71837"/>
    <w:rsid w:val="00D73E11"/>
    <w:rsid w:val="00D7420F"/>
    <w:rsid w:val="00D74C28"/>
    <w:rsid w:val="00D7596E"/>
    <w:rsid w:val="00D76D6B"/>
    <w:rsid w:val="00D76F5C"/>
    <w:rsid w:val="00D77AAD"/>
    <w:rsid w:val="00D77D9F"/>
    <w:rsid w:val="00D80923"/>
    <w:rsid w:val="00D814A1"/>
    <w:rsid w:val="00D87B7C"/>
    <w:rsid w:val="00D90637"/>
    <w:rsid w:val="00D91DC0"/>
    <w:rsid w:val="00D921EC"/>
    <w:rsid w:val="00D9392A"/>
    <w:rsid w:val="00D94B5A"/>
    <w:rsid w:val="00DA043B"/>
    <w:rsid w:val="00DA4765"/>
    <w:rsid w:val="00DA5D05"/>
    <w:rsid w:val="00DA718F"/>
    <w:rsid w:val="00DB1217"/>
    <w:rsid w:val="00DB4EEE"/>
    <w:rsid w:val="00DC0D28"/>
    <w:rsid w:val="00DC2543"/>
    <w:rsid w:val="00DC3FD4"/>
    <w:rsid w:val="00DC5C9D"/>
    <w:rsid w:val="00DC6D7C"/>
    <w:rsid w:val="00DD0800"/>
    <w:rsid w:val="00DD2A09"/>
    <w:rsid w:val="00DD369A"/>
    <w:rsid w:val="00DD490C"/>
    <w:rsid w:val="00DD6073"/>
    <w:rsid w:val="00DE16B4"/>
    <w:rsid w:val="00DE297D"/>
    <w:rsid w:val="00DE4A2F"/>
    <w:rsid w:val="00DE523E"/>
    <w:rsid w:val="00DE63BB"/>
    <w:rsid w:val="00DE644A"/>
    <w:rsid w:val="00DF0CC0"/>
    <w:rsid w:val="00DF2966"/>
    <w:rsid w:val="00DF4E85"/>
    <w:rsid w:val="00E0020D"/>
    <w:rsid w:val="00E02E34"/>
    <w:rsid w:val="00E03B4B"/>
    <w:rsid w:val="00E04849"/>
    <w:rsid w:val="00E05A8B"/>
    <w:rsid w:val="00E10438"/>
    <w:rsid w:val="00E12E5D"/>
    <w:rsid w:val="00E163FA"/>
    <w:rsid w:val="00E16B18"/>
    <w:rsid w:val="00E17D92"/>
    <w:rsid w:val="00E2147E"/>
    <w:rsid w:val="00E24245"/>
    <w:rsid w:val="00E24401"/>
    <w:rsid w:val="00E25B4A"/>
    <w:rsid w:val="00E31B25"/>
    <w:rsid w:val="00E33C49"/>
    <w:rsid w:val="00E34442"/>
    <w:rsid w:val="00E348AE"/>
    <w:rsid w:val="00E34AC9"/>
    <w:rsid w:val="00E35F63"/>
    <w:rsid w:val="00E36313"/>
    <w:rsid w:val="00E40BC0"/>
    <w:rsid w:val="00E42BAA"/>
    <w:rsid w:val="00E43E7E"/>
    <w:rsid w:val="00E45C86"/>
    <w:rsid w:val="00E50F78"/>
    <w:rsid w:val="00E51488"/>
    <w:rsid w:val="00E52814"/>
    <w:rsid w:val="00E5398E"/>
    <w:rsid w:val="00E550BD"/>
    <w:rsid w:val="00E5785B"/>
    <w:rsid w:val="00E65E54"/>
    <w:rsid w:val="00E67B47"/>
    <w:rsid w:val="00E71EE7"/>
    <w:rsid w:val="00E757E3"/>
    <w:rsid w:val="00E80799"/>
    <w:rsid w:val="00E80F31"/>
    <w:rsid w:val="00E81FBC"/>
    <w:rsid w:val="00E85016"/>
    <w:rsid w:val="00E8632B"/>
    <w:rsid w:val="00E87C99"/>
    <w:rsid w:val="00E92740"/>
    <w:rsid w:val="00E95311"/>
    <w:rsid w:val="00EA20F3"/>
    <w:rsid w:val="00EA5D28"/>
    <w:rsid w:val="00EA5F30"/>
    <w:rsid w:val="00EA775A"/>
    <w:rsid w:val="00EA7B73"/>
    <w:rsid w:val="00EA7F11"/>
    <w:rsid w:val="00EB0CD0"/>
    <w:rsid w:val="00EB4D76"/>
    <w:rsid w:val="00EC47F4"/>
    <w:rsid w:val="00EC549C"/>
    <w:rsid w:val="00EC7471"/>
    <w:rsid w:val="00ED0263"/>
    <w:rsid w:val="00ED0D36"/>
    <w:rsid w:val="00ED0D4A"/>
    <w:rsid w:val="00ED0F25"/>
    <w:rsid w:val="00ED517A"/>
    <w:rsid w:val="00ED6574"/>
    <w:rsid w:val="00EE170A"/>
    <w:rsid w:val="00EE1BBB"/>
    <w:rsid w:val="00EE2ADE"/>
    <w:rsid w:val="00EE5066"/>
    <w:rsid w:val="00EF43A7"/>
    <w:rsid w:val="00EF6307"/>
    <w:rsid w:val="00EF79CB"/>
    <w:rsid w:val="00EF7B3A"/>
    <w:rsid w:val="00F008C3"/>
    <w:rsid w:val="00F01973"/>
    <w:rsid w:val="00F02A25"/>
    <w:rsid w:val="00F02A34"/>
    <w:rsid w:val="00F069C1"/>
    <w:rsid w:val="00F069F3"/>
    <w:rsid w:val="00F122FE"/>
    <w:rsid w:val="00F13AC4"/>
    <w:rsid w:val="00F158CF"/>
    <w:rsid w:val="00F17E1E"/>
    <w:rsid w:val="00F20492"/>
    <w:rsid w:val="00F22D2C"/>
    <w:rsid w:val="00F23CE4"/>
    <w:rsid w:val="00F25C1E"/>
    <w:rsid w:val="00F26FC5"/>
    <w:rsid w:val="00F3787C"/>
    <w:rsid w:val="00F46068"/>
    <w:rsid w:val="00F50F92"/>
    <w:rsid w:val="00F52434"/>
    <w:rsid w:val="00F534BC"/>
    <w:rsid w:val="00F55D58"/>
    <w:rsid w:val="00F56DD6"/>
    <w:rsid w:val="00F57304"/>
    <w:rsid w:val="00F60E39"/>
    <w:rsid w:val="00F61765"/>
    <w:rsid w:val="00F61C8A"/>
    <w:rsid w:val="00F634A3"/>
    <w:rsid w:val="00F63A61"/>
    <w:rsid w:val="00F66F5E"/>
    <w:rsid w:val="00F67BE9"/>
    <w:rsid w:val="00F7166A"/>
    <w:rsid w:val="00F73910"/>
    <w:rsid w:val="00F73D26"/>
    <w:rsid w:val="00F76394"/>
    <w:rsid w:val="00F7693B"/>
    <w:rsid w:val="00F8312E"/>
    <w:rsid w:val="00F83BD4"/>
    <w:rsid w:val="00F83D14"/>
    <w:rsid w:val="00F85B66"/>
    <w:rsid w:val="00F863EC"/>
    <w:rsid w:val="00F86A0F"/>
    <w:rsid w:val="00F90F06"/>
    <w:rsid w:val="00F91B2B"/>
    <w:rsid w:val="00F93343"/>
    <w:rsid w:val="00F95F72"/>
    <w:rsid w:val="00F97F97"/>
    <w:rsid w:val="00FA1884"/>
    <w:rsid w:val="00FB2B5D"/>
    <w:rsid w:val="00FB4D55"/>
    <w:rsid w:val="00FB4DA4"/>
    <w:rsid w:val="00FB759A"/>
    <w:rsid w:val="00FC36CB"/>
    <w:rsid w:val="00FC551C"/>
    <w:rsid w:val="00FC6E1D"/>
    <w:rsid w:val="00FD081F"/>
    <w:rsid w:val="00FD382C"/>
    <w:rsid w:val="00FD7C4A"/>
    <w:rsid w:val="00FE2FDC"/>
    <w:rsid w:val="00FE39CF"/>
    <w:rsid w:val="00FE4586"/>
    <w:rsid w:val="00FE6B6C"/>
    <w:rsid w:val="00FF182A"/>
    <w:rsid w:val="00FF2072"/>
    <w:rsid w:val="00FF262C"/>
    <w:rsid w:val="00FF4357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7F0"/>
  </w:style>
  <w:style w:type="paragraph" w:styleId="a3">
    <w:name w:val="Normal (Web)"/>
    <w:basedOn w:val="a"/>
    <w:uiPriority w:val="99"/>
    <w:unhideWhenUsed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77F0"/>
    <w:rPr>
      <w:color w:val="800080"/>
      <w:u w:val="single"/>
    </w:rPr>
  </w:style>
  <w:style w:type="paragraph" w:customStyle="1" w:styleId="h1">
    <w:name w:val="h1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7F0"/>
  </w:style>
  <w:style w:type="paragraph" w:customStyle="1" w:styleId="z3">
    <w:name w:val="z3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31">
    <w:name w:val="z31"/>
    <w:basedOn w:val="a0"/>
    <w:rsid w:val="00A977F0"/>
  </w:style>
  <w:style w:type="paragraph" w:styleId="a6">
    <w:name w:val="Balloon Text"/>
    <w:basedOn w:val="a"/>
    <w:link w:val="a7"/>
    <w:uiPriority w:val="99"/>
    <w:semiHidden/>
    <w:unhideWhenUsed/>
    <w:rsid w:val="00A9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7F0"/>
  </w:style>
  <w:style w:type="paragraph" w:styleId="a3">
    <w:name w:val="Normal (Web)"/>
    <w:basedOn w:val="a"/>
    <w:uiPriority w:val="99"/>
    <w:unhideWhenUsed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77F0"/>
    <w:rPr>
      <w:color w:val="800080"/>
      <w:u w:val="single"/>
    </w:rPr>
  </w:style>
  <w:style w:type="paragraph" w:customStyle="1" w:styleId="h1">
    <w:name w:val="h1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">
    <w:name w:val="z1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7F0"/>
  </w:style>
  <w:style w:type="paragraph" w:customStyle="1" w:styleId="z3">
    <w:name w:val="z3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9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31">
    <w:name w:val="z31"/>
    <w:basedOn w:val="a0"/>
    <w:rsid w:val="00A977F0"/>
  </w:style>
  <w:style w:type="paragraph" w:styleId="a6">
    <w:name w:val="Balloon Text"/>
    <w:basedOn w:val="a"/>
    <w:link w:val="a7"/>
    <w:uiPriority w:val="99"/>
    <w:semiHidden/>
    <w:unhideWhenUsed/>
    <w:rsid w:val="00A9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6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il.rambler.ru/m/redirect?url=http%3A//isds.hse.ru/&amp;hash=e4701229b03805a5eff4f66f6f58df6a" TargetMode="External"/><Relationship Id="rId18" Type="http://schemas.openxmlformats.org/officeDocument/2006/relationships/hyperlink" Target="http://link.springer.com/search?facet-author=%22Dr.+Li+Zhang%22" TargetMode="External"/><Relationship Id="rId26" Type="http://schemas.openxmlformats.org/officeDocument/2006/relationships/hyperlink" Target="http://www.unfp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uropeanvaluesstudy.e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oeaw.ac.at/vid/download/WP2012_02.pdf" TargetMode="External"/><Relationship Id="rId25" Type="http://schemas.openxmlformats.org/officeDocument/2006/relationships/hyperlink" Target="mailto:demoscope@demoscope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-rej.ru/Articles/2009/Grishina.pdf" TargetMode="External"/><Relationship Id="rId20" Type="http://schemas.openxmlformats.org/officeDocument/2006/relationships/hyperlink" Target="http://www.thomasbaudin.fr/More%20on%20French%20Connection" TargetMode="External"/><Relationship Id="rId29" Type="http://schemas.openxmlformats.org/officeDocument/2006/relationships/hyperlink" Target="http://www.rfh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org/hse/demo" TargetMode="External"/><Relationship Id="rId11" Type="http://schemas.openxmlformats.org/officeDocument/2006/relationships/hyperlink" Target="http://demoscope.ru/weekly/2013/0553/img/a_graf011.jpg" TargetMode="External"/><Relationship Id="rId24" Type="http://schemas.openxmlformats.org/officeDocument/2006/relationships/image" Target="media/image7.gif"/><Relationship Id="rId32" Type="http://schemas.openxmlformats.org/officeDocument/2006/relationships/hyperlink" Target="http://www.unesco.ru/rus/index.ph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demographic-research.org/Volumes/Vol19/24/" TargetMode="External"/><Relationship Id="rId23" Type="http://schemas.openxmlformats.org/officeDocument/2006/relationships/hyperlink" Target="http://www.europeanvaluesstudy.eu/" TargetMode="External"/><Relationship Id="rId28" Type="http://schemas.openxmlformats.org/officeDocument/2006/relationships/hyperlink" Target="http://www.dynastyfdn.com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hal.inria.fr/docs/00/34/88/29/PDF/V08089.pdf" TargetMode="External"/><Relationship Id="rId31" Type="http://schemas.openxmlformats.org/officeDocument/2006/relationships/hyperlink" Target="http://portal.unesc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ail.rambler.ru/m/redirect?url=http%3A//soc.hse.ru/ecsoclab/&amp;hash=328cf615921684650ed8272bc501b81a" TargetMode="External"/><Relationship Id="rId22" Type="http://schemas.openxmlformats.org/officeDocument/2006/relationships/hyperlink" Target="http://sreda.org/arena" TargetMode="External"/><Relationship Id="rId27" Type="http://schemas.openxmlformats.org/officeDocument/2006/relationships/hyperlink" Target="http://www.macfound.ru/" TargetMode="External"/><Relationship Id="rId30" Type="http://schemas.openxmlformats.org/officeDocument/2006/relationships/hyperlink" Target="http://www.ined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7038</Words>
  <Characters>40121</Characters>
  <Application>Microsoft Office Word</Application>
  <DocSecurity>0</DocSecurity>
  <Lines>334</Lines>
  <Paragraphs>94</Paragraphs>
  <ScaleCrop>false</ScaleCrop>
  <Company/>
  <LinksUpToDate>false</LinksUpToDate>
  <CharactersWithSpaces>47065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2014-02-25T07:23:00Z</dcterms:created>
  <dcterms:modified xsi:type="dcterms:W3CDTF">2014-02-25T07:24:00Z</dcterms:modified>
</cp:coreProperties>
</file>