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5A" w:rsidRPr="0054005A" w:rsidRDefault="0054005A" w:rsidP="0054005A">
      <w:pPr>
        <w:pStyle w:val="1"/>
        <w:rPr>
          <w:color w:val="auto"/>
          <w:sz w:val="36"/>
        </w:rPr>
      </w:pPr>
      <w:r w:rsidRPr="0054005A">
        <w:rPr>
          <w:color w:val="auto"/>
          <w:sz w:val="36"/>
        </w:rPr>
        <w:t>РАЗДЕЛ 7. БЕЗОПАСНО</w:t>
      </w:r>
      <w:r w:rsidR="0039797F">
        <w:rPr>
          <w:color w:val="auto"/>
          <w:sz w:val="36"/>
        </w:rPr>
        <w:t>С</w:t>
      </w:r>
      <w:r w:rsidRPr="0054005A">
        <w:rPr>
          <w:color w:val="auto"/>
          <w:sz w:val="36"/>
        </w:rPr>
        <w:t>ТЬ</w:t>
      </w:r>
    </w:p>
    <w:p w:rsidR="0054005A" w:rsidRDefault="0054005A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1AF" w:rsidRDefault="0054005A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общественной безопасности является ключевой и важной для анализа по двум основным причинам. Во-первых, ситуация в этой сфере во многом определяет возможности и барьеры успешного развития всех остальных сфер общественной жизни – а следовательно, возможности и барьеры развития человеческого потенциала города в целом. Разгул преступности и экологические бедствия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демотивируют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население к активной жизнедеятельности, парализуют социальные процессы, отталкивают от города приезжую рабочую силу. Стабильная ситуация на улицах, комфортная городская среда, напротив, привлекают людей в город, стимулируют горизонтальную мобильность и потребление.</w:t>
      </w:r>
    </w:p>
    <w:p w:rsidR="0054005A" w:rsidRPr="00E32498" w:rsidRDefault="0054005A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аспект важности этой сферы – индикативный. Показатели, характеризующие сферу безопасности, являются одновременно индикаторами общей социальной напряженности или стабильности как ее оппозитной функции. </w:t>
      </w:r>
      <w:r w:rsidR="0039797F">
        <w:rPr>
          <w:rFonts w:ascii="Times New Roman" w:hAnsi="Times New Roman" w:cs="Times New Roman"/>
          <w:sz w:val="24"/>
          <w:szCs w:val="24"/>
        </w:rPr>
        <w:t xml:space="preserve">Уровень преступности говорит не только сам за себя, он характеризует общий уровень агрессии и культурные установки населения. Число преступлений в сфере наркобизнеса косвенно характеризует культуру потребления, степень развитости стандартов цивилизованного потребления в городском социуме и наличие возможностей для цивилизованного потребления в городской экономике. В связи с этим анализ показателей безопасности для определения интегрального уровня развития человеческого потенциала в Перми вдвойне важен. </w:t>
      </w:r>
    </w:p>
    <w:p w:rsidR="00DC5D7A" w:rsidRDefault="00DC5D7A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97F" w:rsidRDefault="00397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3EF1" w:rsidRDefault="00DC5D7A" w:rsidP="00D933C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D7A">
        <w:rPr>
          <w:rFonts w:ascii="Times New Roman" w:hAnsi="Times New Roman" w:cs="Times New Roman"/>
          <w:b/>
          <w:sz w:val="24"/>
          <w:szCs w:val="24"/>
        </w:rPr>
        <w:lastRenderedPageBreak/>
        <w:t>ПРЕСТУПНОСТЬ</w:t>
      </w:r>
    </w:p>
    <w:p w:rsidR="00075494" w:rsidRPr="00DC5D7A" w:rsidRDefault="00075494" w:rsidP="00D933C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EF1" w:rsidRPr="00E32498" w:rsidRDefault="00E33CBA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498">
        <w:rPr>
          <w:rFonts w:ascii="Times New Roman" w:hAnsi="Times New Roman" w:cs="Times New Roman"/>
          <w:sz w:val="24"/>
          <w:szCs w:val="24"/>
        </w:rPr>
        <w:t xml:space="preserve">Базовый показатель общественной безопасности в городе – число совершаемых в нем преступлений. Статистически он заменяется числом регистрируемых преступлений, ввиду невозможно учета преступлений, о которых не было сообщено в полицию. Данная замена делает показатель менее объективным, однако сохраняет целесообразность его анализа. </w:t>
      </w:r>
    </w:p>
    <w:p w:rsidR="005050A9" w:rsidRPr="00E32498" w:rsidRDefault="005050A9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498">
        <w:rPr>
          <w:rFonts w:ascii="Times New Roman" w:hAnsi="Times New Roman" w:cs="Times New Roman"/>
          <w:sz w:val="24"/>
          <w:szCs w:val="24"/>
        </w:rPr>
        <w:t xml:space="preserve">По данным за 2011 г. в Перми </w:t>
      </w:r>
      <w:r w:rsidR="0054005A">
        <w:rPr>
          <w:rFonts w:ascii="Times New Roman" w:hAnsi="Times New Roman" w:cs="Times New Roman"/>
          <w:sz w:val="24"/>
          <w:szCs w:val="24"/>
        </w:rPr>
        <w:t>зарегистрирована</w:t>
      </w:r>
      <w:r w:rsidRPr="00E32498">
        <w:rPr>
          <w:rFonts w:ascii="Times New Roman" w:hAnsi="Times New Roman" w:cs="Times New Roman"/>
          <w:sz w:val="24"/>
          <w:szCs w:val="24"/>
        </w:rPr>
        <w:t xml:space="preserve"> 21 096 преступлений, или 2108 преступлений в расчете на 100 </w:t>
      </w:r>
      <w:proofErr w:type="spellStart"/>
      <w:r w:rsidRPr="00E3249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3249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E32498">
        <w:rPr>
          <w:rFonts w:ascii="Times New Roman" w:hAnsi="Times New Roman" w:cs="Times New Roman"/>
          <w:sz w:val="24"/>
          <w:szCs w:val="24"/>
        </w:rPr>
        <w:t>ителей</w:t>
      </w:r>
      <w:proofErr w:type="spellEnd"/>
      <w:r w:rsidRPr="00E32498">
        <w:rPr>
          <w:rFonts w:ascii="Times New Roman" w:hAnsi="Times New Roman" w:cs="Times New Roman"/>
          <w:sz w:val="24"/>
          <w:szCs w:val="24"/>
        </w:rPr>
        <w:t>. Это примерно соответствует среднему значению по Пермскому краю и почти на 60% больше аналогичных показателей по Приволжскому ФО и по Российской Федерации. Таким образом, можно констатировать, что уровень преступности</w:t>
      </w:r>
      <w:r w:rsidR="00495D99" w:rsidRPr="00E32498">
        <w:rPr>
          <w:rFonts w:ascii="Times New Roman" w:hAnsi="Times New Roman" w:cs="Times New Roman"/>
          <w:sz w:val="24"/>
          <w:szCs w:val="24"/>
        </w:rPr>
        <w:t xml:space="preserve"> в Перми, как и в крае в целом, остается повышенным на фоне как национальном, так и региональном</w:t>
      </w:r>
      <w:r w:rsidR="006D210D" w:rsidRPr="00E32498">
        <w:rPr>
          <w:rFonts w:ascii="Times New Roman" w:hAnsi="Times New Roman" w:cs="Times New Roman"/>
          <w:sz w:val="24"/>
          <w:szCs w:val="24"/>
        </w:rPr>
        <w:t>.</w:t>
      </w:r>
    </w:p>
    <w:p w:rsidR="006D210D" w:rsidRPr="00E32498" w:rsidRDefault="006D210D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3677F" wp14:editId="01D64AF5">
            <wp:extent cx="4572000" cy="2743200"/>
            <wp:effectExtent l="0" t="0" r="19050" b="19050"/>
            <wp:docPr id="1" name="Диаграмма 1" title="ЧИСЛО ЗАРЕГИСТРИРОВАННЫХ ПРЕСТУПЛЕНИЙ НА 100 000 ЧЕЛОВЕК НАСЕЛЕНИЯ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210D" w:rsidRPr="00E32498" w:rsidRDefault="006D210D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498">
        <w:rPr>
          <w:rFonts w:ascii="Times New Roman" w:hAnsi="Times New Roman" w:cs="Times New Roman"/>
          <w:sz w:val="24"/>
          <w:szCs w:val="24"/>
        </w:rPr>
        <w:t xml:space="preserve">Следует отметить, что динамические тенденции изменения показателей </w:t>
      </w:r>
      <w:r w:rsidR="00075494">
        <w:rPr>
          <w:rFonts w:ascii="Times New Roman" w:hAnsi="Times New Roman" w:cs="Times New Roman"/>
          <w:sz w:val="24"/>
          <w:szCs w:val="24"/>
        </w:rPr>
        <w:t>преступности</w:t>
      </w:r>
      <w:r w:rsidRPr="00E32498">
        <w:rPr>
          <w:rFonts w:ascii="Times New Roman" w:hAnsi="Times New Roman" w:cs="Times New Roman"/>
          <w:sz w:val="24"/>
          <w:szCs w:val="24"/>
        </w:rPr>
        <w:t xml:space="preserve"> в Перми </w:t>
      </w:r>
      <w:r w:rsidR="000D06AA" w:rsidRPr="00E32498">
        <w:rPr>
          <w:rFonts w:ascii="Times New Roman" w:hAnsi="Times New Roman" w:cs="Times New Roman"/>
          <w:sz w:val="24"/>
          <w:szCs w:val="24"/>
        </w:rPr>
        <w:t xml:space="preserve">соответствуют аналогичным тенденциям в Пермском крае, Приволжском ФО и Российской федерации. Так, в одни и те же годы наблюдались минимумы и максимумы преступности. Пермь повторят, таким образом, национальный и региональный динамические тренды, но амплитуда изменений в Перми существенно больше. Если в России с 2002 по 2006 гг. душевой показатель зарегистрированных преступлений вырос на 55,6 </w:t>
      </w:r>
      <w:proofErr w:type="spellStart"/>
      <w:r w:rsidR="000D06AA" w:rsidRPr="00E3249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D06AA" w:rsidRPr="00E32498">
        <w:rPr>
          <w:rFonts w:ascii="Times New Roman" w:hAnsi="Times New Roman" w:cs="Times New Roman"/>
          <w:sz w:val="24"/>
          <w:szCs w:val="24"/>
        </w:rPr>
        <w:t xml:space="preserve">., то в Перми – на 88,3 </w:t>
      </w:r>
      <w:proofErr w:type="spellStart"/>
      <w:r w:rsidR="000D06AA" w:rsidRPr="00E3249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D06AA" w:rsidRPr="00E32498">
        <w:rPr>
          <w:rFonts w:ascii="Times New Roman" w:hAnsi="Times New Roman" w:cs="Times New Roman"/>
          <w:sz w:val="24"/>
          <w:szCs w:val="24"/>
        </w:rPr>
        <w:t xml:space="preserve">. За следующую пятилетку, в то время как в среднем по стране значение данного показателя снизились в 1,6 раза, в Перми он сократился в 3,0 раза. </w:t>
      </w:r>
    </w:p>
    <w:p w:rsidR="00E32498" w:rsidRDefault="00E32498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498">
        <w:rPr>
          <w:rFonts w:ascii="Times New Roman" w:hAnsi="Times New Roman" w:cs="Times New Roman"/>
          <w:sz w:val="24"/>
          <w:szCs w:val="24"/>
        </w:rPr>
        <w:lastRenderedPageBreak/>
        <w:t xml:space="preserve">Пермь остается на общероссийском и поволжском фоне криминогенной столицей, однако масштаб отрыва от средних величин заметно сократился. </w:t>
      </w:r>
      <w:proofErr w:type="gramStart"/>
      <w:r w:rsidRPr="00E32498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E32498">
        <w:rPr>
          <w:rFonts w:ascii="Times New Roman" w:hAnsi="Times New Roman" w:cs="Times New Roman"/>
          <w:sz w:val="24"/>
          <w:szCs w:val="24"/>
        </w:rPr>
        <w:t xml:space="preserve"> 2000-х гг. уровень зарегистрированной преступности в Перми был в 1,8 раза выше среднероссийского и в 1,9 раза выше среднего по Приволжскому ФО. На пике роста данного показателя в 2006 г. разрыв со средним уровне по стране достиг 2,4 раза, со средним по округу – 2,2 раза. На сегодняшний же день уровень зарегистрированной преступности в Перми превышает окружной и национальный уровни менее чем в 1,6 раза. Нельзя назвать этот показатель удовлетворительным, однако его динамика вселяет надежду на будущее коренное исправление ситуации.</w:t>
      </w:r>
    </w:p>
    <w:p w:rsidR="00E32498" w:rsidRDefault="00D933C4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3821DA" wp14:editId="6A6B7475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051F" w:rsidRDefault="00D933C4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количества лиц, совершивших преступления, менее линейна, но в целом схожа с динамикой показа</w:t>
      </w:r>
      <w:r w:rsidR="00BE2171">
        <w:rPr>
          <w:rFonts w:ascii="Times New Roman" w:hAnsi="Times New Roman" w:cs="Times New Roman"/>
          <w:sz w:val="24"/>
          <w:szCs w:val="24"/>
        </w:rPr>
        <w:t xml:space="preserve">теля зарегистрированных преступлений. </w:t>
      </w:r>
      <w:proofErr w:type="gramStart"/>
      <w:r w:rsidR="00BE2171">
        <w:rPr>
          <w:rFonts w:ascii="Times New Roman" w:hAnsi="Times New Roman" w:cs="Times New Roman"/>
          <w:sz w:val="24"/>
          <w:szCs w:val="24"/>
        </w:rPr>
        <w:t>Характерно, однако, что при резком сокращении числа зарегистрированных преступлений в последние 5 лет число лиц, их совершивших, снижалось значительно медленнее.</w:t>
      </w:r>
      <w:proofErr w:type="gramEnd"/>
      <w:r w:rsidR="00BE2171">
        <w:rPr>
          <w:rFonts w:ascii="Times New Roman" w:hAnsi="Times New Roman" w:cs="Times New Roman"/>
          <w:sz w:val="24"/>
          <w:szCs w:val="24"/>
        </w:rPr>
        <w:t xml:space="preserve"> Как следствие, среднее число преступлений в расчете на одного преступника на сегодняшний день значительно выше, чем 10 лет назад. Можно говорить о повышении уровня рецидивизма или склонности к повторению преступлений. В 2002-2003 гг. на одного преступника приходилось в среднем 3,6-3,7 преступлений.  На пике числа зарегистрированных преступлений в 2006 г. этот показатель вырос до 6, потом немного сократился и на сегодняшний день составляет 4,7 – в среднем на 1 преступление больше, чем 10 лет назад.</w:t>
      </w:r>
      <w:r w:rsidR="000D0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94" w:rsidRDefault="00075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5494" w:rsidRDefault="00075494" w:rsidP="0007549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ТИПЫ ПРЕСТУПНИКОВ</w:t>
      </w:r>
    </w:p>
    <w:p w:rsidR="00075494" w:rsidRDefault="00075494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10D" w:rsidRDefault="00DC5D7A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проблемой для Перми является высокий уровень рецидивизма, свидетельствующий о низкой эффективности работы пенитенциарной системы, что является общей проблемой для России в целом. </w:t>
      </w:r>
      <w:r w:rsidR="000D051F">
        <w:rPr>
          <w:rFonts w:ascii="Times New Roman" w:hAnsi="Times New Roman" w:cs="Times New Roman"/>
          <w:sz w:val="24"/>
          <w:szCs w:val="24"/>
        </w:rPr>
        <w:t xml:space="preserve">На сегодняшний день доля преступников, ранее совершавших преступления, от общего числа преступников </w:t>
      </w:r>
      <w:r>
        <w:rPr>
          <w:rFonts w:ascii="Times New Roman" w:hAnsi="Times New Roman" w:cs="Times New Roman"/>
          <w:sz w:val="24"/>
          <w:szCs w:val="24"/>
        </w:rPr>
        <w:t>составляет в Перми 47,1%</w:t>
      </w:r>
      <w:r w:rsidR="00F84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0AC" w:rsidRDefault="000A10AC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проблемой, типичной для российской преступности в целом, является большое число преступлений, совершаемых в состоянии алкогольного опьянения. Степень остроты этой проблемы, как видно из приведенной ниже диаграммы, снизилась по сравнению с первой половиной 2000-х гг. На пике роста доля пьяных преступников от общего числа лиц, совершающих преступления, составляла в Перми более 30%, что является абсолютно аномальным показателем для любой страны с развитым человеческим потенциалом. </w:t>
      </w:r>
    </w:p>
    <w:p w:rsidR="000A10AC" w:rsidRDefault="000A10AC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FB1096" wp14:editId="4D3E9E9A">
            <wp:extent cx="45720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10AC" w:rsidRDefault="000A10AC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началу кризиса доля пьяных преступников от общего числа лиц, совершающих преступления в Перми, сократилась по сравнению с 2003 г., когда наблюдалось ее максимальное значение, в 2,22 раза. Сокращение общего количества зарегистрированных преступлений после 2006 г., о котором было сказано выше, шло в значительной степени за счет бытовой преступности на почве алкогольного опьянения. </w:t>
      </w:r>
    </w:p>
    <w:p w:rsidR="00EB5FF5" w:rsidRDefault="00C36F19" w:rsidP="00C36F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10AC">
        <w:rPr>
          <w:rFonts w:ascii="Times New Roman" w:hAnsi="Times New Roman" w:cs="Times New Roman"/>
          <w:sz w:val="24"/>
          <w:szCs w:val="24"/>
        </w:rPr>
        <w:t xml:space="preserve">а фоне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финансово-экономического </w:t>
      </w:r>
      <w:r w:rsidR="000A10AC">
        <w:rPr>
          <w:rFonts w:ascii="Times New Roman" w:hAnsi="Times New Roman" w:cs="Times New Roman"/>
          <w:sz w:val="24"/>
          <w:szCs w:val="24"/>
        </w:rPr>
        <w:t xml:space="preserve">кризиса и связанных с ним негативных социальных проявлений </w:t>
      </w:r>
      <w:r>
        <w:rPr>
          <w:rFonts w:ascii="Times New Roman" w:hAnsi="Times New Roman" w:cs="Times New Roman"/>
          <w:sz w:val="24"/>
          <w:szCs w:val="24"/>
        </w:rPr>
        <w:t xml:space="preserve">удельный вес пьяных преступников в городе снова стал расти. </w:t>
      </w:r>
      <w:r>
        <w:rPr>
          <w:rFonts w:ascii="Times New Roman" w:hAnsi="Times New Roman" w:cs="Times New Roman"/>
          <w:sz w:val="24"/>
          <w:szCs w:val="24"/>
        </w:rPr>
        <w:lastRenderedPageBreak/>
        <w:t>Тревожным является тот факт, что рост этого показателя продолжается до сих пор, хотя все базовые индикаторы</w:t>
      </w:r>
      <w:r w:rsidR="000A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свидетельствовали о выходе из кризиса уже по итогам 2010 г. </w:t>
      </w:r>
    </w:p>
    <w:p w:rsidR="00C36F19" w:rsidRDefault="00EB5FF5" w:rsidP="00C36F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 г. доля лиц, совершивших преступления в состоянии алкогольного опьянения, составила более 15%, превысив уровень не только 2008, но и 2007 гг. Объем продаж алкогольной продукции по данным за тот же год составил 6,84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в денежном эквиваленте</w:t>
      </w:r>
      <w:r w:rsidR="00146469">
        <w:rPr>
          <w:rFonts w:ascii="Times New Roman" w:hAnsi="Times New Roman" w:cs="Times New Roman"/>
          <w:sz w:val="24"/>
          <w:szCs w:val="24"/>
        </w:rPr>
        <w:t xml:space="preserve">, суммарно алкогольной продукции и пива – 9,04 </w:t>
      </w:r>
      <w:proofErr w:type="spellStart"/>
      <w:r w:rsidR="00146469">
        <w:rPr>
          <w:rFonts w:ascii="Times New Roman" w:hAnsi="Times New Roman" w:cs="Times New Roman"/>
          <w:sz w:val="24"/>
          <w:szCs w:val="24"/>
        </w:rPr>
        <w:t>млрд.руб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пересчете на душу населения это </w:t>
      </w:r>
      <w:r w:rsidR="006D12DA">
        <w:rPr>
          <w:rFonts w:ascii="Times New Roman" w:hAnsi="Times New Roman" w:cs="Times New Roman"/>
          <w:sz w:val="24"/>
          <w:szCs w:val="24"/>
        </w:rPr>
        <w:t>9029,6</w:t>
      </w:r>
      <w:r>
        <w:rPr>
          <w:rFonts w:ascii="Times New Roman" w:hAnsi="Times New Roman" w:cs="Times New Roman"/>
          <w:sz w:val="24"/>
          <w:szCs w:val="24"/>
        </w:rPr>
        <w:t xml:space="preserve"> руб. в год</w:t>
      </w:r>
      <w:r w:rsidR="000E4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6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вычесть лиц младше 18 лет, которым запрещена продажа алкогольной продукции</w:t>
      </w:r>
      <w:r w:rsidR="000E4692">
        <w:rPr>
          <w:rFonts w:ascii="Times New Roman" w:hAnsi="Times New Roman" w:cs="Times New Roman"/>
          <w:sz w:val="24"/>
          <w:szCs w:val="24"/>
        </w:rPr>
        <w:t xml:space="preserve">, расход на алкоголь составляет </w:t>
      </w:r>
      <w:r w:rsidR="006D12DA">
        <w:rPr>
          <w:rFonts w:ascii="Times New Roman" w:hAnsi="Times New Roman" w:cs="Times New Roman"/>
          <w:sz w:val="24"/>
          <w:szCs w:val="24"/>
        </w:rPr>
        <w:t>более 11</w:t>
      </w:r>
      <w:r w:rsidR="000E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2D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D12DA">
        <w:rPr>
          <w:rFonts w:ascii="Times New Roman" w:hAnsi="Times New Roman" w:cs="Times New Roman"/>
          <w:sz w:val="24"/>
          <w:szCs w:val="24"/>
        </w:rPr>
        <w:t>.</w:t>
      </w:r>
      <w:r w:rsidR="000E4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E469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E4692">
        <w:rPr>
          <w:rFonts w:ascii="Times New Roman" w:hAnsi="Times New Roman" w:cs="Times New Roman"/>
          <w:sz w:val="24"/>
          <w:szCs w:val="24"/>
        </w:rPr>
        <w:t xml:space="preserve">. в год. С учетом того, что основным потребителем алкогольной продукции является трудоспособное население, </w:t>
      </w:r>
      <w:r w:rsidR="006D12DA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0E4692">
        <w:rPr>
          <w:rFonts w:ascii="Times New Roman" w:hAnsi="Times New Roman" w:cs="Times New Roman"/>
          <w:sz w:val="24"/>
          <w:szCs w:val="24"/>
        </w:rPr>
        <w:t xml:space="preserve">душевой расход на алкоголь в Перми </w:t>
      </w:r>
      <w:r w:rsidR="006D12DA">
        <w:rPr>
          <w:rFonts w:ascii="Times New Roman" w:hAnsi="Times New Roman" w:cs="Times New Roman"/>
          <w:sz w:val="24"/>
          <w:szCs w:val="24"/>
        </w:rPr>
        <w:t>реально превышает 14,5</w:t>
      </w:r>
      <w:r w:rsidR="000E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69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E46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E469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01FC2">
        <w:rPr>
          <w:rFonts w:ascii="Times New Roman" w:hAnsi="Times New Roman" w:cs="Times New Roman"/>
          <w:sz w:val="24"/>
          <w:szCs w:val="24"/>
        </w:rPr>
        <w:t xml:space="preserve"> (около 1200 руб. в месяц)</w:t>
      </w:r>
      <w:r w:rsidR="000E4692">
        <w:rPr>
          <w:rFonts w:ascii="Times New Roman" w:hAnsi="Times New Roman" w:cs="Times New Roman"/>
          <w:sz w:val="24"/>
          <w:szCs w:val="24"/>
        </w:rPr>
        <w:t xml:space="preserve">. На покупку </w:t>
      </w:r>
      <w:r w:rsidR="006D12DA">
        <w:rPr>
          <w:rFonts w:ascii="Times New Roman" w:hAnsi="Times New Roman" w:cs="Times New Roman"/>
          <w:sz w:val="24"/>
          <w:szCs w:val="24"/>
        </w:rPr>
        <w:t xml:space="preserve">алкогольной продукции и пива </w:t>
      </w:r>
      <w:r w:rsidR="000E4692">
        <w:rPr>
          <w:rFonts w:ascii="Times New Roman" w:hAnsi="Times New Roman" w:cs="Times New Roman"/>
          <w:sz w:val="24"/>
          <w:szCs w:val="24"/>
        </w:rPr>
        <w:t xml:space="preserve">уходит, таким образом, </w:t>
      </w:r>
      <w:r w:rsidR="006D12DA">
        <w:rPr>
          <w:rFonts w:ascii="Times New Roman" w:hAnsi="Times New Roman" w:cs="Times New Roman"/>
          <w:sz w:val="24"/>
          <w:szCs w:val="24"/>
        </w:rPr>
        <w:t>более</w:t>
      </w:r>
      <w:r w:rsidR="000E4692">
        <w:rPr>
          <w:rFonts w:ascii="Times New Roman" w:hAnsi="Times New Roman" w:cs="Times New Roman"/>
          <w:sz w:val="24"/>
          <w:szCs w:val="24"/>
        </w:rPr>
        <w:t xml:space="preserve"> </w:t>
      </w:r>
      <w:r w:rsidR="006D12DA">
        <w:rPr>
          <w:rFonts w:ascii="Times New Roman" w:hAnsi="Times New Roman" w:cs="Times New Roman"/>
          <w:sz w:val="24"/>
          <w:szCs w:val="24"/>
        </w:rPr>
        <w:t>5</w:t>
      </w:r>
      <w:r w:rsidR="000E4692">
        <w:rPr>
          <w:rFonts w:ascii="Times New Roman" w:hAnsi="Times New Roman" w:cs="Times New Roman"/>
          <w:sz w:val="24"/>
          <w:szCs w:val="24"/>
        </w:rPr>
        <w:t xml:space="preserve">% заработной платы </w:t>
      </w:r>
      <w:r w:rsidR="006D12DA">
        <w:rPr>
          <w:rFonts w:ascii="Times New Roman" w:hAnsi="Times New Roman" w:cs="Times New Roman"/>
          <w:sz w:val="24"/>
          <w:szCs w:val="24"/>
        </w:rPr>
        <w:t xml:space="preserve">занятых </w:t>
      </w:r>
      <w:r w:rsidR="000E4692">
        <w:rPr>
          <w:rFonts w:ascii="Times New Roman" w:hAnsi="Times New Roman" w:cs="Times New Roman"/>
          <w:sz w:val="24"/>
          <w:szCs w:val="24"/>
        </w:rPr>
        <w:t>жителей Перми</w:t>
      </w:r>
      <w:r w:rsidR="009A147E">
        <w:rPr>
          <w:rFonts w:ascii="Times New Roman" w:hAnsi="Times New Roman" w:cs="Times New Roman"/>
          <w:sz w:val="24"/>
          <w:szCs w:val="24"/>
        </w:rPr>
        <w:t xml:space="preserve">. Если вводить поправки на лиц с ограниченными возможностями, медицинскими противопоказаниями, беременных и кормящих матерей, лиц, не употребляющих алкоголь по религиозным, идеологическим и морально-этическим соображениям, уровень трат на алкоголь </w:t>
      </w:r>
      <w:r w:rsidR="00601FC2">
        <w:rPr>
          <w:rFonts w:ascii="Times New Roman" w:hAnsi="Times New Roman" w:cs="Times New Roman"/>
          <w:sz w:val="24"/>
          <w:szCs w:val="24"/>
        </w:rPr>
        <w:t>окажется еще выше</w:t>
      </w:r>
      <w:r w:rsidR="000E4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467" w:rsidRDefault="003F4467" w:rsidP="00C36F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467">
        <w:rPr>
          <w:rFonts w:ascii="Times New Roman" w:hAnsi="Times New Roman" w:cs="Times New Roman"/>
          <w:sz w:val="24"/>
          <w:szCs w:val="24"/>
        </w:rPr>
        <w:t>Склонность к употреблению алкоголя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467">
        <w:rPr>
          <w:rFonts w:ascii="Times New Roman" w:hAnsi="Times New Roman" w:cs="Times New Roman"/>
          <w:sz w:val="24"/>
          <w:szCs w:val="24"/>
        </w:rPr>
        <w:t xml:space="preserve">можно оценить по числу умерших от случайных отравлений алкоголем. В Перми в 2011 г. от отравления алкоголем умерли 174 человека, или 17,4 в расчете на 100 </w:t>
      </w:r>
      <w:proofErr w:type="spellStart"/>
      <w:r w:rsidRPr="003F44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446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F4467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3F4467">
        <w:rPr>
          <w:rFonts w:ascii="Times New Roman" w:hAnsi="Times New Roman" w:cs="Times New Roman"/>
          <w:sz w:val="24"/>
          <w:szCs w:val="24"/>
        </w:rPr>
        <w:t>. населения. Это выше среднего значения по России (13,4), что является неблагоприятным фактом. В течение всей второй половины 2000-х гг. уровень смертности от алкогольных отравлений в Перми падал, однако в 2011 г. снова вырос по сравнению с уровнем 2010 г. и даже 2009 г., что также настораживает.</w:t>
      </w:r>
    </w:p>
    <w:p w:rsidR="00601FC2" w:rsidRDefault="00601FC2" w:rsidP="00C36F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проблема чрезмерного потребления алкоголя остается важной социальной проблемой г. Перми, которая, помимо прочего, тормозит решение проблемы преступности и в целом лимитирует развитие человеческого потенциала г. Пермь.</w:t>
      </w:r>
    </w:p>
    <w:p w:rsidR="009D7852" w:rsidRDefault="009D7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5D7A" w:rsidRDefault="00DC5D7A" w:rsidP="00D933C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D7A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ПРЕСТУПНОСТИ</w:t>
      </w:r>
    </w:p>
    <w:p w:rsidR="00075494" w:rsidRPr="00DC5D7A" w:rsidRDefault="00075494" w:rsidP="00D933C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52" w:rsidRDefault="0049601A" w:rsidP="0049601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отметить </w:t>
      </w:r>
      <w:r w:rsidR="00DC5D7A">
        <w:rPr>
          <w:rFonts w:ascii="Times New Roman" w:hAnsi="Times New Roman" w:cs="Times New Roman"/>
          <w:sz w:val="24"/>
          <w:szCs w:val="24"/>
        </w:rPr>
        <w:t xml:space="preserve">сильное расхождение структуры преступлений в Перми по сравнению с Пермским краем, Приволжьем и Россией. Более 60% зарегистрированных преступлений в нашей стране составляют кражи, в Пермском крае этот показатель достигает почти 70%. В то же время в Перми, по данным департамента общественной безопасности, эта доля составляет всего </w:t>
      </w:r>
      <w:r>
        <w:rPr>
          <w:rFonts w:ascii="Times New Roman" w:hAnsi="Times New Roman" w:cs="Times New Roman"/>
          <w:sz w:val="24"/>
          <w:szCs w:val="24"/>
        </w:rPr>
        <w:t>51,1</w:t>
      </w:r>
      <w:r w:rsidR="00DC5D7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D7852" w:rsidRDefault="009D7852" w:rsidP="0049601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DD9385" wp14:editId="22C8D0A8">
            <wp:extent cx="4339086" cy="4459856"/>
            <wp:effectExtent l="0" t="0" r="23495" b="1714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D7852">
        <w:rPr>
          <w:noProof/>
          <w:lang w:eastAsia="ru-RU"/>
        </w:rPr>
        <w:t xml:space="preserve"> </w:t>
      </w:r>
    </w:p>
    <w:p w:rsidR="00DC5D7A" w:rsidRDefault="0049601A" w:rsidP="0049601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Доли таких видов преступлений, как грабежи и разбои, соответствуют средним значениям по России: 8% и 1% зарегистрированных преступлений, соответственно (в Приволжском ФО доля грабежей составляет 10%, а в Пермском крае – 13%). Убийства дают менее 0,5%, что почти вдвое ниже аналогичного показателя по России и Пермскому краю, более чем в 1,5 раза ниже показателя по Приволжскому ФО. Еще 1,8% от общего числа преступлений составляет </w:t>
      </w:r>
      <w:r w:rsidRPr="0049601A">
        <w:rPr>
          <w:rFonts w:ascii="Times New Roman" w:hAnsi="Times New Roman" w:cs="Times New Roman"/>
          <w:sz w:val="24"/>
          <w:szCs w:val="24"/>
        </w:rPr>
        <w:t>умышленное причинение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01A">
        <w:rPr>
          <w:rFonts w:ascii="Times New Roman" w:hAnsi="Times New Roman" w:cs="Times New Roman"/>
          <w:sz w:val="24"/>
          <w:szCs w:val="24"/>
        </w:rPr>
        <w:t>тяжкого вреда здоровью</w:t>
      </w:r>
      <w:r>
        <w:rPr>
          <w:rFonts w:ascii="Times New Roman" w:hAnsi="Times New Roman" w:cs="Times New Roman"/>
          <w:sz w:val="24"/>
          <w:szCs w:val="24"/>
        </w:rPr>
        <w:t>, этот уровень также ниже национального, окружного и регионального значений. Доля преступлений в сфере наркобизнеса в Перми в 1,5 раза ниже, чем в среднем по краю и почти в 3 раза ниже, чем в среднем по стране.</w:t>
      </w:r>
    </w:p>
    <w:p w:rsidR="00D47B35" w:rsidRDefault="00D47B35" w:rsidP="0049601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E8DC122" wp14:editId="2475D5AE">
            <wp:extent cx="4572000" cy="3124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5D7A" w:rsidRDefault="0049601A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исторической ретроспективе наблюдался всплеск доли грабежей в 2004-2005 гг., затем этот показатель пошел на спад. Доля преступлений в сфере наркобизнеса последовательно снижалась в первой половине 2000-х гг., затем снова начала расти</w:t>
      </w:r>
      <w:r w:rsidR="009D7852">
        <w:rPr>
          <w:rFonts w:ascii="Times New Roman" w:hAnsi="Times New Roman" w:cs="Times New Roman"/>
          <w:sz w:val="24"/>
          <w:szCs w:val="24"/>
        </w:rPr>
        <w:t xml:space="preserve"> (см. диаграмму выше)</w:t>
      </w:r>
      <w:r>
        <w:rPr>
          <w:rFonts w:ascii="Times New Roman" w:hAnsi="Times New Roman" w:cs="Times New Roman"/>
          <w:sz w:val="24"/>
          <w:szCs w:val="24"/>
        </w:rPr>
        <w:t xml:space="preserve">. Эта тенденция сохраняется до сих пор, что является очевидной проблемой для города.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Примечательно (со знаком «минус»), что </w:t>
      </w:r>
      <w:r w:rsidR="00372E7B">
        <w:rPr>
          <w:rFonts w:ascii="Times New Roman" w:hAnsi="Times New Roman" w:cs="Times New Roman"/>
          <w:sz w:val="24"/>
          <w:szCs w:val="24"/>
        </w:rPr>
        <w:t>рост числа и доли преступлений в этой сфере начался в те же годы, в которые ускорился рост доходов населения, что косвенно свидетельствует не столько о социальном, сколько о культурном генезисе этого феномена.</w:t>
      </w:r>
      <w:proofErr w:type="gramEnd"/>
      <w:r w:rsidR="00372E7B">
        <w:rPr>
          <w:rFonts w:ascii="Times New Roman" w:hAnsi="Times New Roman" w:cs="Times New Roman"/>
          <w:sz w:val="24"/>
          <w:szCs w:val="24"/>
        </w:rPr>
        <w:t xml:space="preserve"> Ро</w:t>
      </w:r>
      <w:proofErr w:type="gramStart"/>
      <w:r w:rsidR="00372E7B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="00372E7B">
        <w:rPr>
          <w:rFonts w:ascii="Times New Roman" w:hAnsi="Times New Roman" w:cs="Times New Roman"/>
          <w:sz w:val="24"/>
          <w:szCs w:val="24"/>
        </w:rPr>
        <w:t xml:space="preserve">онности к наркомании произошел не за счет люмпенов, а за счет сравнительно обеспеченных (и предположительно в основном молодых) людей, которым недостаток культуры потребления не позволил найти альтернативные каналы получения удовольствия в обмен на появившиеся у них финансовые излишки. </w:t>
      </w:r>
      <w:proofErr w:type="gramStart"/>
      <w:r w:rsidR="00372E7B">
        <w:rPr>
          <w:rFonts w:ascii="Times New Roman" w:hAnsi="Times New Roman" w:cs="Times New Roman"/>
          <w:sz w:val="24"/>
          <w:szCs w:val="24"/>
        </w:rPr>
        <w:t>Этот феномен достаточно типичен для зоны Урало-Поволжья в последние 6-8 лет.</w:t>
      </w:r>
      <w:proofErr w:type="gramEnd"/>
    </w:p>
    <w:p w:rsidR="00D04F97" w:rsidRDefault="00D04F97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E7B" w:rsidRDefault="00372E7B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EE6" w:rsidRDefault="00490E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18BD" w:rsidRDefault="00BD18BD" w:rsidP="00BD18B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D7A">
        <w:rPr>
          <w:rFonts w:ascii="Times New Roman" w:hAnsi="Times New Roman" w:cs="Times New Roman"/>
          <w:b/>
          <w:sz w:val="24"/>
          <w:szCs w:val="24"/>
        </w:rPr>
        <w:lastRenderedPageBreak/>
        <w:t>ПОДРОСТКОВАЯ ПРЕСТУПНОСТЬ</w:t>
      </w:r>
    </w:p>
    <w:p w:rsidR="00075494" w:rsidRPr="00DC5D7A" w:rsidRDefault="00075494" w:rsidP="00BD18B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8BD" w:rsidRDefault="00BD18BD" w:rsidP="00BD18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5 до 7% преступников, выявленных в Перми в последние 3 года, – несовершеннолетние. Эта величина примерно в 3 раза меньше доли несовершеннолетних в общей численности населения города (17,6%). Можно говорить об устойчивом наличии подростковой преступности в городе, что является негативным фактом, и при этом о небольших масштабах ее распространения, что позитивно. </w:t>
      </w:r>
    </w:p>
    <w:p w:rsidR="00BD18BD" w:rsidRDefault="00BD18BD" w:rsidP="00BD18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061DDC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тенденции позволяют выявить сравнительный и динамический анализ. Первая, являющаяся негативной, – повышенная доля несовершеннолетних в преступном поле по сравнению со средними значениями по России и Приволжью.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Удельный вес преступлений, совершенных несовершеннолетними или при их участии, от общего числа преступлений в Перми составляет 5,9%. По России и Приволжью этот показатель составляет менее 3%, по Пермскому краю он на несколько десятых процента выше (3,2%, в том числе, очевидно, за счет самой Перми), однако все равно не достигает значений, наблюдаемых в городе.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Пермь на фоне окружающей территории не только криминогенна в целом, но также криминогенна в подростковой возрастной когорте. </w:t>
      </w:r>
    </w:p>
    <w:p w:rsidR="00061DDC" w:rsidRDefault="00061DDC" w:rsidP="00BD18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271C4A" wp14:editId="2474EDAB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1DDC" w:rsidRDefault="00061DDC" w:rsidP="00BD18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тенденция, также негативная, состоит в постепенном росте доли рецидивистов среди несовершеннолетних преступников Перми. С 2003 по 2006 гг. она держалась на уровне 16,2–16,7%, в 2007-2008 гг. поднялась до 17,2–17,5%, а после 2008 г., на фоне кризиса, превысила отметку в 18% (максимальное значение было зафиксировано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 г.: 25%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числа несовершеннолетних, совершивших преступления). Доля рецидивистов среди несовершеннолетних значительно ниже их доли среди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совершеннолетних</w:t>
      </w:r>
      <w:r w:rsidRPr="00061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объективным причинам: у несовершеннолетних просто меньше времени для повторного преступления. Зато факт повышения этой доли среди несовершеннолетних является индикатором социальных проблем города и плохой работы пенитенциарных учреждений.</w:t>
      </w:r>
    </w:p>
    <w:p w:rsidR="00BD18BD" w:rsidRDefault="00061DDC" w:rsidP="00BD18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Третья</w:t>
      </w:r>
      <w:r w:rsidR="00BD18BD">
        <w:rPr>
          <w:rFonts w:ascii="Times New Roman" w:hAnsi="Times New Roman" w:cs="Times New Roman"/>
          <w:sz w:val="24"/>
          <w:szCs w:val="24"/>
        </w:rPr>
        <w:t xml:space="preserve"> тенденция, позитивная, – устойчивая тенденция к сокращению числа несовершеннолетних лиц, совершивших преступления, и их доли от общего числа преступников. Эта тенденция совпадает по времени с тенденцией к общему сокращению числа зарегистрированных преступлений и выявленных лиц, их совершивших. При этом сокращение подростковой преступности шло опережающими темпами, в результате чего сократилось не только число несовершеннолетних, совершивших или причастных к преступлениям, но и их доля от общего числа преступников. Данная тенденция нарушилась в 2011 г., в котором был зафиксирован рост числа несовершеннолетних преступников</w:t>
      </w:r>
      <w:r w:rsidR="0099700A">
        <w:rPr>
          <w:rFonts w:ascii="Times New Roman" w:hAnsi="Times New Roman" w:cs="Times New Roman"/>
          <w:sz w:val="24"/>
          <w:szCs w:val="24"/>
        </w:rPr>
        <w:t xml:space="preserve"> и числа преступлений, совершенных ими,</w:t>
      </w:r>
      <w:r w:rsidR="00BD18BD">
        <w:rPr>
          <w:rFonts w:ascii="Times New Roman" w:hAnsi="Times New Roman" w:cs="Times New Roman"/>
          <w:sz w:val="24"/>
          <w:szCs w:val="24"/>
        </w:rPr>
        <w:t xml:space="preserve"> по сравнению с 2010 г. </w:t>
      </w:r>
    </w:p>
    <w:p w:rsidR="00BD18BD" w:rsidRDefault="00BD18BD" w:rsidP="00BD18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EE6" w:rsidRDefault="00490E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211B" w:rsidRDefault="00CF4B49" w:rsidP="00AF38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РАСКРЫВАЕМОСТЬ ПРЕСТУПЛЕНИЙ</w:t>
      </w:r>
      <w:r w:rsidR="0026211B" w:rsidRPr="00262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94" w:rsidRDefault="00075494" w:rsidP="00AF38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8BC" w:rsidRPr="009D5E86" w:rsidRDefault="0026211B" w:rsidP="00AF38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раскрываемости преступлений является важнейшим индикатором качества работ</w:t>
      </w:r>
      <w:r w:rsidR="00CF4B4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правоохранительных органов Перми, ответственных за обеспечение общественной безопасности в городе.</w:t>
      </w:r>
    </w:p>
    <w:p w:rsidR="00AF38BC" w:rsidRDefault="0026211B" w:rsidP="00BD18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247417" wp14:editId="6F868C11">
            <wp:extent cx="5086350" cy="34290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087E" w:rsidRDefault="00CF4B49" w:rsidP="002621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на представленной диаграмме,</w:t>
      </w:r>
      <w:r w:rsidR="0026211B">
        <w:rPr>
          <w:rFonts w:ascii="Times New Roman" w:hAnsi="Times New Roman" w:cs="Times New Roman"/>
          <w:sz w:val="24"/>
          <w:szCs w:val="24"/>
        </w:rPr>
        <w:t xml:space="preserve"> уровень раскрываемости преступлений</w:t>
      </w:r>
      <w:r>
        <w:rPr>
          <w:rFonts w:ascii="Times New Roman" w:hAnsi="Times New Roman" w:cs="Times New Roman"/>
          <w:sz w:val="24"/>
          <w:szCs w:val="24"/>
        </w:rPr>
        <w:t xml:space="preserve"> в Перми невысок: </w:t>
      </w:r>
      <w:r w:rsidR="0026211B">
        <w:rPr>
          <w:rFonts w:ascii="Times New Roman" w:hAnsi="Times New Roman" w:cs="Times New Roman"/>
          <w:sz w:val="24"/>
          <w:szCs w:val="24"/>
        </w:rPr>
        <w:t xml:space="preserve">по данным на 2011 г. он составил </w:t>
      </w:r>
      <w:r>
        <w:rPr>
          <w:rFonts w:ascii="Times New Roman" w:hAnsi="Times New Roman" w:cs="Times New Roman"/>
          <w:sz w:val="24"/>
          <w:szCs w:val="24"/>
        </w:rPr>
        <w:t>чуть более</w:t>
      </w:r>
      <w:r w:rsidR="0026211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211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что является важной социальной проблемой, ограничивающей развитие человеческого потенциала в городе. </w:t>
      </w:r>
    </w:p>
    <w:p w:rsidR="00490EE6" w:rsidRDefault="00CF4B49" w:rsidP="002621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остроты этой проблемы снижается в последние 5 лет, </w:t>
      </w:r>
      <w:r w:rsidR="00490EE6">
        <w:rPr>
          <w:rFonts w:ascii="Times New Roman" w:hAnsi="Times New Roman" w:cs="Times New Roman"/>
          <w:sz w:val="24"/>
          <w:szCs w:val="24"/>
        </w:rPr>
        <w:t xml:space="preserve">параллельно с улучшением ситуации в сфере преступности в целом. Уровень раскрываемости преступлений </w:t>
      </w:r>
      <w:proofErr w:type="gramStart"/>
      <w:r w:rsidR="00490EE6">
        <w:rPr>
          <w:rFonts w:ascii="Times New Roman" w:hAnsi="Times New Roman" w:cs="Times New Roman"/>
          <w:sz w:val="24"/>
          <w:szCs w:val="24"/>
        </w:rPr>
        <w:t>растет</w:t>
      </w:r>
      <w:proofErr w:type="gramEnd"/>
      <w:r w:rsidR="00490EE6">
        <w:rPr>
          <w:rFonts w:ascii="Times New Roman" w:hAnsi="Times New Roman" w:cs="Times New Roman"/>
          <w:sz w:val="24"/>
          <w:szCs w:val="24"/>
        </w:rPr>
        <w:t xml:space="preserve"> начиная с 2007 г., параллельно со снижением их общего числа. Резкое сокращение числа преступлений </w:t>
      </w:r>
      <w:proofErr w:type="gramStart"/>
      <w:r w:rsidR="00490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90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EE6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490EE6">
        <w:rPr>
          <w:rFonts w:ascii="Times New Roman" w:hAnsi="Times New Roman" w:cs="Times New Roman"/>
          <w:sz w:val="24"/>
          <w:szCs w:val="24"/>
        </w:rPr>
        <w:t xml:space="preserve"> 5 лет привело к такому же резкому росту их раскрываемости. </w:t>
      </w:r>
      <w:r w:rsidR="007B087E">
        <w:rPr>
          <w:rFonts w:ascii="Times New Roman" w:hAnsi="Times New Roman" w:cs="Times New Roman"/>
          <w:sz w:val="24"/>
          <w:szCs w:val="24"/>
        </w:rPr>
        <w:t>Более того, если общее число зарегистрированных преступлений сокращалось в среднем на 25% в год, то число нераскрытых преступлений сокращалось в среднем на 33% в год, что является позитивной тенденцией.</w:t>
      </w:r>
    </w:p>
    <w:p w:rsidR="00AF38BC" w:rsidRDefault="00490EE6" w:rsidP="007B087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 при этом, что если число преступлений на сегодняшний день снизилось по сравнению с началом 2000-х гг., то уровень раскрываемости преступлений едва достиг уровня 2002 г. и пока уступает уровню 2001 г. При всех позитивных тенденциях, описанных выше, ситуация пока далека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идеальной.</w:t>
      </w:r>
      <w:r w:rsidR="00AF38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7751" w:rsidRDefault="00EB5614" w:rsidP="00D933C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ПРОИЗВОДСТВЕННЫЙ ТРАВМАТИЗМ</w:t>
      </w:r>
    </w:p>
    <w:p w:rsidR="00075494" w:rsidRPr="009D5E86" w:rsidRDefault="00075494" w:rsidP="00D933C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751" w:rsidRDefault="000F7751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последних 10-ти лет в Перми наблюдалась устойчивая тенденция к снижению производственного травматизма. С 2001 по 2011 гг. общее число пострадавших </w:t>
      </w:r>
      <w:r w:rsidRPr="000F7751">
        <w:rPr>
          <w:rFonts w:ascii="Times New Roman" w:hAnsi="Times New Roman" w:cs="Times New Roman"/>
          <w:sz w:val="24"/>
          <w:szCs w:val="24"/>
        </w:rPr>
        <w:t xml:space="preserve">при несчастных случаях на производстве с утратой трудоспособности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7751">
        <w:rPr>
          <w:rFonts w:ascii="Times New Roman" w:hAnsi="Times New Roman" w:cs="Times New Roman"/>
          <w:sz w:val="24"/>
          <w:szCs w:val="24"/>
        </w:rPr>
        <w:t>на 1 рабочий день и более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7751">
        <w:rPr>
          <w:rFonts w:ascii="Times New Roman" w:hAnsi="Times New Roman" w:cs="Times New Roman"/>
          <w:sz w:val="24"/>
          <w:szCs w:val="24"/>
        </w:rPr>
        <w:t xml:space="preserve"> и со смертельным исходом</w:t>
      </w:r>
      <w:r>
        <w:rPr>
          <w:rFonts w:ascii="Times New Roman" w:hAnsi="Times New Roman" w:cs="Times New Roman"/>
          <w:sz w:val="24"/>
          <w:szCs w:val="24"/>
        </w:rPr>
        <w:t xml:space="preserve"> сократилось </w:t>
      </w:r>
      <w:r w:rsidR="00D33BBD">
        <w:rPr>
          <w:rFonts w:ascii="Times New Roman" w:hAnsi="Times New Roman" w:cs="Times New Roman"/>
          <w:sz w:val="24"/>
          <w:szCs w:val="24"/>
        </w:rPr>
        <w:t>в 2,8 раза. Даже с учетом 10%-</w:t>
      </w:r>
      <w:proofErr w:type="spellStart"/>
      <w:r w:rsidR="00D33BB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33BBD">
        <w:rPr>
          <w:rFonts w:ascii="Times New Roman" w:hAnsi="Times New Roman" w:cs="Times New Roman"/>
          <w:sz w:val="24"/>
          <w:szCs w:val="24"/>
        </w:rPr>
        <w:t xml:space="preserve"> сокращения числа занятых и изменений отраслевой структуры экономики</w:t>
      </w:r>
      <w:r w:rsidR="007267C1">
        <w:rPr>
          <w:rFonts w:ascii="Times New Roman" w:hAnsi="Times New Roman" w:cs="Times New Roman"/>
          <w:sz w:val="24"/>
          <w:szCs w:val="24"/>
        </w:rPr>
        <w:t xml:space="preserve"> сокращение остается весомым. </w:t>
      </w:r>
    </w:p>
    <w:p w:rsidR="001E2AD9" w:rsidRDefault="00EB5614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5A3BF5" wp14:editId="10BAE745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2AD9" w:rsidRDefault="007267C1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до 2008 г. включительно не наблюдалось аналогичного сокращения числа погибших </w:t>
      </w:r>
      <w:r w:rsidRPr="007267C1">
        <w:rPr>
          <w:rFonts w:ascii="Times New Roman" w:hAnsi="Times New Roman" w:cs="Times New Roman"/>
          <w:sz w:val="24"/>
          <w:szCs w:val="24"/>
        </w:rPr>
        <w:t>при несчастных случаях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. Хотя общая численность пострадавших за аналогичный период сократилась вдвое, число </w:t>
      </w:r>
      <w:r w:rsidRPr="000F7751">
        <w:rPr>
          <w:rFonts w:ascii="Times New Roman" w:hAnsi="Times New Roman" w:cs="Times New Roman"/>
          <w:sz w:val="24"/>
          <w:szCs w:val="24"/>
        </w:rPr>
        <w:t xml:space="preserve">несчастных </w:t>
      </w:r>
      <w:r>
        <w:rPr>
          <w:rFonts w:ascii="Times New Roman" w:hAnsi="Times New Roman" w:cs="Times New Roman"/>
          <w:sz w:val="24"/>
          <w:szCs w:val="24"/>
        </w:rPr>
        <w:t>случае со смертельным исходом колебалось в диапазоне между 30 и 40 в год. Вероятнее всего, это связано с локализацией смертельно опасных произво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онкретных сферах производства, в первую очередь в тяжелой промышленности. </w:t>
      </w:r>
    </w:p>
    <w:p w:rsidR="00EA3496" w:rsidRDefault="001E2AD9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Ситуация со смертностью на производстве изменилась только в 2009 г. С этого года число</w:t>
      </w:r>
      <w:r w:rsidRPr="001E2AD9">
        <w:rPr>
          <w:rFonts w:ascii="Times New Roman" w:hAnsi="Times New Roman" w:cs="Times New Roman"/>
          <w:sz w:val="24"/>
          <w:szCs w:val="24"/>
        </w:rPr>
        <w:t xml:space="preserve"> пострадавших при несчастных случаях на производстве со смертельным исходом</w:t>
      </w:r>
      <w:r>
        <w:rPr>
          <w:rFonts w:ascii="Times New Roman" w:hAnsi="Times New Roman" w:cs="Times New Roman"/>
          <w:sz w:val="24"/>
          <w:szCs w:val="24"/>
        </w:rPr>
        <w:t xml:space="preserve"> сократилось примерно в 1,5 раза по сравнению с уровнем 2001-2008 гг.</w:t>
      </w:r>
      <w:r w:rsidR="00EB5614">
        <w:rPr>
          <w:rFonts w:ascii="Times New Roman" w:hAnsi="Times New Roman" w:cs="Times New Roman"/>
          <w:sz w:val="24"/>
          <w:szCs w:val="24"/>
        </w:rPr>
        <w:t xml:space="preserve"> Вероятнее всего, это связано с закрытием ряда производств, опасных для жизни работников, в связи с ф</w:t>
      </w:r>
      <w:r w:rsidR="00100A51">
        <w:rPr>
          <w:rFonts w:ascii="Times New Roman" w:hAnsi="Times New Roman" w:cs="Times New Roman"/>
          <w:sz w:val="24"/>
          <w:szCs w:val="24"/>
        </w:rPr>
        <w:t>инансово-экономическим кризисом.</w:t>
      </w:r>
      <w:bookmarkStart w:id="0" w:name="_GoBack"/>
      <w:bookmarkEnd w:id="0"/>
      <w:proofErr w:type="gramEnd"/>
    </w:p>
    <w:p w:rsidR="00EB5614" w:rsidRDefault="00EB5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3496" w:rsidRDefault="00CB6818" w:rsidP="00EA349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ПОЖАРНАЯ БЕЗОПАСНОСТЬ</w:t>
      </w:r>
    </w:p>
    <w:p w:rsidR="00075494" w:rsidRPr="009D5E86" w:rsidRDefault="00075494" w:rsidP="00EA349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96" w:rsidRDefault="00EA3496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 г. в Перми было зарегистрировано более 630 пожаров. </w:t>
      </w:r>
      <w:r w:rsidR="0079524C">
        <w:rPr>
          <w:rFonts w:ascii="Times New Roman" w:hAnsi="Times New Roman" w:cs="Times New Roman"/>
          <w:sz w:val="24"/>
          <w:szCs w:val="24"/>
        </w:rPr>
        <w:t xml:space="preserve">Устойчивая тенденция к сокращению числа пожаров наблюдается с 2002 г., за эти 10 лет число пожаров в Перми </w:t>
      </w:r>
      <w:r>
        <w:rPr>
          <w:rFonts w:ascii="Times New Roman" w:hAnsi="Times New Roman" w:cs="Times New Roman"/>
          <w:sz w:val="24"/>
          <w:szCs w:val="24"/>
        </w:rPr>
        <w:t xml:space="preserve">сократилась более чем в </w:t>
      </w:r>
      <w:r w:rsidR="007952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раза, что говорит о снижении уровня пожарной опасности в городе.</w:t>
      </w:r>
    </w:p>
    <w:p w:rsidR="009E172A" w:rsidRDefault="009E172A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257612" wp14:editId="70055D6D">
            <wp:extent cx="5086350" cy="34290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3496" w:rsidRDefault="0079524C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Краткосрочная д</w:t>
      </w:r>
      <w:r w:rsidR="00EA3496">
        <w:rPr>
          <w:rFonts w:ascii="Times New Roman" w:hAnsi="Times New Roman" w:cs="Times New Roman"/>
          <w:sz w:val="24"/>
          <w:szCs w:val="24"/>
        </w:rPr>
        <w:t>инамика численности погибших</w:t>
      </w:r>
      <w:r w:rsidR="00A551B2">
        <w:rPr>
          <w:rFonts w:ascii="Times New Roman" w:hAnsi="Times New Roman" w:cs="Times New Roman"/>
          <w:sz w:val="24"/>
          <w:szCs w:val="24"/>
        </w:rPr>
        <w:t xml:space="preserve"> и травмированных</w:t>
      </w:r>
      <w:r w:rsidR="00EA3496">
        <w:rPr>
          <w:rFonts w:ascii="Times New Roman" w:hAnsi="Times New Roman" w:cs="Times New Roman"/>
          <w:sz w:val="24"/>
          <w:szCs w:val="24"/>
        </w:rPr>
        <w:t xml:space="preserve"> при пожарах имеет </w:t>
      </w:r>
      <w:proofErr w:type="spellStart"/>
      <w:r w:rsidR="00EA3496">
        <w:rPr>
          <w:rFonts w:ascii="Times New Roman" w:hAnsi="Times New Roman" w:cs="Times New Roman"/>
          <w:sz w:val="24"/>
          <w:szCs w:val="24"/>
        </w:rPr>
        <w:t>флуктуационный</w:t>
      </w:r>
      <w:proofErr w:type="spellEnd"/>
      <w:r w:rsidR="00EA3496">
        <w:rPr>
          <w:rFonts w:ascii="Times New Roman" w:hAnsi="Times New Roman" w:cs="Times New Roman"/>
          <w:sz w:val="24"/>
          <w:szCs w:val="24"/>
        </w:rPr>
        <w:t xml:space="preserve"> характер, в последние 5 лет </w:t>
      </w:r>
      <w:r w:rsidR="00A551B2">
        <w:rPr>
          <w:rFonts w:ascii="Times New Roman" w:hAnsi="Times New Roman" w:cs="Times New Roman"/>
          <w:sz w:val="24"/>
          <w:szCs w:val="24"/>
        </w:rPr>
        <w:t>число погибших</w:t>
      </w:r>
      <w:r w:rsidR="00EA3496">
        <w:rPr>
          <w:rFonts w:ascii="Times New Roman" w:hAnsi="Times New Roman" w:cs="Times New Roman"/>
          <w:sz w:val="24"/>
          <w:szCs w:val="24"/>
        </w:rPr>
        <w:t xml:space="preserve"> колебал</w:t>
      </w:r>
      <w:r w:rsidR="00A551B2">
        <w:rPr>
          <w:rFonts w:ascii="Times New Roman" w:hAnsi="Times New Roman" w:cs="Times New Roman"/>
          <w:sz w:val="24"/>
          <w:szCs w:val="24"/>
        </w:rPr>
        <w:t>о</w:t>
      </w:r>
      <w:r w:rsidR="00EA3496">
        <w:rPr>
          <w:rFonts w:ascii="Times New Roman" w:hAnsi="Times New Roman" w:cs="Times New Roman"/>
          <w:sz w:val="24"/>
          <w:szCs w:val="24"/>
        </w:rPr>
        <w:t>сь между 40 и 75 чел</w:t>
      </w:r>
      <w:r w:rsidR="00B448A3">
        <w:rPr>
          <w:rFonts w:ascii="Times New Roman" w:hAnsi="Times New Roman" w:cs="Times New Roman"/>
          <w:sz w:val="24"/>
          <w:szCs w:val="24"/>
        </w:rPr>
        <w:t>овек</w:t>
      </w:r>
      <w:r w:rsidR="00EA3496">
        <w:rPr>
          <w:rFonts w:ascii="Times New Roman" w:hAnsi="Times New Roman" w:cs="Times New Roman"/>
          <w:sz w:val="24"/>
          <w:szCs w:val="24"/>
        </w:rPr>
        <w:t xml:space="preserve"> в год</w:t>
      </w:r>
      <w:r w:rsidR="00A551B2">
        <w:rPr>
          <w:rFonts w:ascii="Times New Roman" w:hAnsi="Times New Roman" w:cs="Times New Roman"/>
          <w:sz w:val="24"/>
          <w:szCs w:val="24"/>
        </w:rPr>
        <w:t>, число травмированных – между 60 и 90 чел</w:t>
      </w:r>
      <w:r w:rsidR="00B448A3">
        <w:rPr>
          <w:rFonts w:ascii="Times New Roman" w:hAnsi="Times New Roman" w:cs="Times New Roman"/>
          <w:sz w:val="24"/>
          <w:szCs w:val="24"/>
        </w:rPr>
        <w:t>овек</w:t>
      </w:r>
      <w:r w:rsidR="00A551B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EA34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496">
        <w:rPr>
          <w:rFonts w:ascii="Times New Roman" w:hAnsi="Times New Roman" w:cs="Times New Roman"/>
          <w:sz w:val="24"/>
          <w:szCs w:val="24"/>
        </w:rPr>
        <w:t xml:space="preserve"> Исключение составляет 2009 г., когда из-за пожара в клубе «Хромая лошадь» итогов</w:t>
      </w:r>
      <w:r w:rsidR="00A551B2">
        <w:rPr>
          <w:rFonts w:ascii="Times New Roman" w:hAnsi="Times New Roman" w:cs="Times New Roman"/>
          <w:sz w:val="24"/>
          <w:szCs w:val="24"/>
        </w:rPr>
        <w:t>ые</w:t>
      </w:r>
      <w:r w:rsidR="00EA3496">
        <w:rPr>
          <w:rFonts w:ascii="Times New Roman" w:hAnsi="Times New Roman" w:cs="Times New Roman"/>
          <w:sz w:val="24"/>
          <w:szCs w:val="24"/>
        </w:rPr>
        <w:t xml:space="preserve"> цифр</w:t>
      </w:r>
      <w:r w:rsidR="00A551B2">
        <w:rPr>
          <w:rFonts w:ascii="Times New Roman" w:hAnsi="Times New Roman" w:cs="Times New Roman"/>
          <w:sz w:val="24"/>
          <w:szCs w:val="24"/>
        </w:rPr>
        <w:t>ы</w:t>
      </w:r>
      <w:r w:rsidR="00EA3496">
        <w:rPr>
          <w:rFonts w:ascii="Times New Roman" w:hAnsi="Times New Roman" w:cs="Times New Roman"/>
          <w:sz w:val="24"/>
          <w:szCs w:val="24"/>
        </w:rPr>
        <w:t xml:space="preserve"> </w:t>
      </w:r>
      <w:r w:rsidR="00A551B2">
        <w:rPr>
          <w:rFonts w:ascii="Times New Roman" w:hAnsi="Times New Roman" w:cs="Times New Roman"/>
          <w:sz w:val="24"/>
          <w:szCs w:val="24"/>
        </w:rPr>
        <w:t>за год составили более</w:t>
      </w:r>
      <w:r w:rsidR="00EA3496">
        <w:rPr>
          <w:rFonts w:ascii="Times New Roman" w:hAnsi="Times New Roman" w:cs="Times New Roman"/>
          <w:sz w:val="24"/>
          <w:szCs w:val="24"/>
        </w:rPr>
        <w:t xml:space="preserve"> 300 человек</w:t>
      </w:r>
      <w:r w:rsidR="00A551B2">
        <w:rPr>
          <w:rFonts w:ascii="Times New Roman" w:hAnsi="Times New Roman" w:cs="Times New Roman"/>
          <w:sz w:val="24"/>
          <w:szCs w:val="24"/>
        </w:rPr>
        <w:t xml:space="preserve"> погибших и более 450 человек раненых</w:t>
      </w:r>
      <w:r w:rsidR="00EA3496">
        <w:rPr>
          <w:rFonts w:ascii="Times New Roman" w:hAnsi="Times New Roman" w:cs="Times New Roman"/>
          <w:sz w:val="24"/>
          <w:szCs w:val="24"/>
        </w:rPr>
        <w:t>.</w:t>
      </w:r>
    </w:p>
    <w:p w:rsidR="00176936" w:rsidRDefault="0079524C" w:rsidP="00D933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анализе долгосрочной динамики этих показателей, тем не менее, также выявлена тенденция к улучшению ситуации. </w:t>
      </w:r>
      <w:r w:rsidR="00EA3496">
        <w:rPr>
          <w:rFonts w:ascii="Times New Roman" w:hAnsi="Times New Roman" w:cs="Times New Roman"/>
          <w:sz w:val="24"/>
          <w:szCs w:val="24"/>
        </w:rPr>
        <w:t xml:space="preserve">По сравнению с первой половиной 2000-х гг. </w:t>
      </w:r>
      <w:r>
        <w:rPr>
          <w:rFonts w:ascii="Times New Roman" w:hAnsi="Times New Roman" w:cs="Times New Roman"/>
          <w:sz w:val="24"/>
          <w:szCs w:val="24"/>
        </w:rPr>
        <w:t>число погибших и травмированных при пожарах в городе значительно сократилось</w:t>
      </w:r>
      <w:r w:rsidR="00A551B2">
        <w:rPr>
          <w:rFonts w:ascii="Times New Roman" w:hAnsi="Times New Roman" w:cs="Times New Roman"/>
          <w:sz w:val="24"/>
          <w:szCs w:val="24"/>
        </w:rPr>
        <w:t>. В 2001-2004 гг. в огне в среднем гибли более 100 и получали травмы более 150 жителей Перми ежегодно. Сейчас эти показатели снизились почти вдвое, что говорит о значительном улучшении ситуации в сфере пожарной безопасности города.</w:t>
      </w:r>
    </w:p>
    <w:p w:rsidR="00CB6818" w:rsidRDefault="00CB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6818" w:rsidRPr="009D5E86" w:rsidRDefault="00CB6818" w:rsidP="00CB681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БЕЗОПАСНОСТЬ НА ВОДНЫХ ОБЪЕКТАХ, ОТ ГОЛОЛЕДА, ПАДАЮЩЕГО СНЕГА И ЛЬДА</w:t>
      </w:r>
    </w:p>
    <w:p w:rsidR="00EC42B8" w:rsidRDefault="00EC42B8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818" w:rsidRDefault="00CB6818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 г. на водоемах города Перми утонуло 27 человек. Динамика этого показателя в течение последних 10 лет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флуктуационный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характер, при этом значения во все годы оставались пренебрежимо малыми на фоне других категорий смертности от внешних причин, в частности убийств</w:t>
      </w:r>
      <w:r w:rsidR="00427F74">
        <w:rPr>
          <w:rFonts w:ascii="Times New Roman" w:hAnsi="Times New Roman" w:cs="Times New Roman"/>
          <w:sz w:val="24"/>
          <w:szCs w:val="24"/>
        </w:rPr>
        <w:t xml:space="preserve">. Численность погибших на водоемах в среднем в 1,5-2 раза меньше числа погибших при пожарах. Средняя численность погибших на водоемах за последние 5 лет составляет 33 человека, что почти на треть меньше аналогичного показателя за период 2001-2005 гг. Данная тенденция является позитивной и говорит об увеличении эффективности работы спасательных служб на водоемах Перми. </w:t>
      </w:r>
      <w:proofErr w:type="gramStart"/>
      <w:r w:rsidR="00427F74">
        <w:rPr>
          <w:rFonts w:ascii="Times New Roman" w:hAnsi="Times New Roman" w:cs="Times New Roman"/>
          <w:sz w:val="24"/>
          <w:szCs w:val="24"/>
        </w:rPr>
        <w:t>Динамика числа утонувших аналогична, таким образом, динамике числа погибших при пожарах.</w:t>
      </w:r>
      <w:proofErr w:type="gramEnd"/>
    </w:p>
    <w:p w:rsidR="00427F74" w:rsidRDefault="00427F74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A25D49" wp14:editId="45A78B00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7F74" w:rsidRDefault="00427F74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F74" w:rsidRDefault="00427F74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Динамика количества пострадавших от гололеда, падения льда и снега с крыш домов также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флуктуационный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характер, однако не</w:t>
      </w:r>
      <w:r w:rsidR="007E5FEB">
        <w:rPr>
          <w:rFonts w:ascii="Times New Roman" w:hAnsi="Times New Roman" w:cs="Times New Roman"/>
          <w:sz w:val="24"/>
          <w:szCs w:val="24"/>
        </w:rPr>
        <w:t xml:space="preserve"> только в краткосрочной, но и в среднесрочной ретроспективе: никаких существенных изменений в этой сфере не произошло за последние 10 лет, что очевидно из нижеприведенной диаграммы.</w:t>
      </w:r>
      <w:proofErr w:type="gramEnd"/>
    </w:p>
    <w:p w:rsidR="007E5FEB" w:rsidRDefault="007E5FEB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5BE3553" wp14:editId="22B335C7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5FEB" w:rsidRDefault="007E5FEB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Единственной особенностью, на которую следует обратить внимание, является рост числа пострадавших (но не погибших) от гололеда, снега и льда в кризисный период 2008-2009 гг. Рост числа безработных и иные негативные социальные последствия финансово-экономического кризиса стали причиной роста уличного травматизма в зимний период, который не смогли компенсировать коммунальные службы.</w:t>
      </w:r>
    </w:p>
    <w:p w:rsidR="000E26D9" w:rsidRDefault="000E26D9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FEB" w:rsidRDefault="007E5FEB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FEB" w:rsidRDefault="007E5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26D9" w:rsidRDefault="000E26D9" w:rsidP="000E26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БЕЗОПАСНОСТЬ НА ДОРОГАХ</w:t>
      </w:r>
    </w:p>
    <w:p w:rsidR="00075494" w:rsidRPr="009D5E86" w:rsidRDefault="00075494" w:rsidP="000E26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FEB" w:rsidRDefault="000E26D9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показателем, характеризующим ситуацию на дорогах, является число дорожно-транспортных происшествий. </w:t>
      </w:r>
      <w:r w:rsidR="00CD448F">
        <w:rPr>
          <w:rFonts w:ascii="Times New Roman" w:hAnsi="Times New Roman" w:cs="Times New Roman"/>
          <w:sz w:val="24"/>
          <w:szCs w:val="24"/>
        </w:rPr>
        <w:t xml:space="preserve">В 2011 году на дорогах Перми было зафиксировано 1242 ДТП. Динамика этого показателя аналогична динамике числа преступлений: до 2006 г. наблюдался рост числа ДТП в городе, после 2006 г. началось сокращение (см. диаграмму ниже). </w:t>
      </w:r>
    </w:p>
    <w:p w:rsidR="00CD448F" w:rsidRDefault="00CD448F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E6727D" wp14:editId="6059A553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448F" w:rsidRDefault="00CD448F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помимо улучшения работы дорожно-патрульных служб и роста культуры вождения, на заметное снижение данного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2009 г. очевидно оказал влияние финансово-экономический кризис и связанное с ним падение числа машин на дорогах. В период сложностей с трудоустройством и уровнем заработной платы часть жителей Перми могли отказаться от использования личного автотранспорта, что привело и к снижению числа ДТП в том числе. </w:t>
      </w:r>
    </w:p>
    <w:p w:rsidR="0030110B" w:rsidRDefault="0030110B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сокращения числа дорожно-транспортных происшествий, следует отметить стабильную тенденцию  к снижению смертности в результате ДТП, наблюдаемую начиная с 2004 г. Если общее количество пострадавших в результате дорожно-транспортных происшествий изменяется строго пропорционально изменению числа самих ДТП, то численность погибших сокращалась даже в годы роста числа ДТП (и, как следствие, числа пострадавших). В результате если общее число дорожно-транспортных происшествий с 2004 по 2011 гг. сократилось в 1,24 раза, число пострадавших в результате ДТП – в 1,18 раза, то число погибших – в 2,01 раза. Причиной этого является повышение качества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личного автомобильного транспорта, в том числе систем безопасности в автомобилях жителей Перми, в результате общего роста доходов и благосостояния.</w:t>
      </w:r>
    </w:p>
    <w:p w:rsidR="00D04F97" w:rsidRDefault="00D04F97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8F1A8D" wp14:editId="4EE8B172">
            <wp:extent cx="4476750" cy="30384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26C65" w:rsidRDefault="0062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6C65" w:rsidRPr="009D5E86" w:rsidRDefault="00626C65" w:rsidP="00626C6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ЭКОЛОГИЧЕСКАЯ БЕЗОПАСНОСТЬ </w:t>
      </w:r>
    </w:p>
    <w:p w:rsidR="0030110B" w:rsidRDefault="0030110B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65" w:rsidRDefault="00626C65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Урало-Поволжья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61F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экологическ</w:t>
      </w:r>
      <w:r w:rsidR="00EB261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проблем является весомой составляющей </w:t>
      </w:r>
      <w:r w:rsidR="00EB261F">
        <w:rPr>
          <w:rFonts w:ascii="Times New Roman" w:hAnsi="Times New Roman" w:cs="Times New Roman"/>
          <w:sz w:val="24"/>
          <w:szCs w:val="24"/>
        </w:rPr>
        <w:t xml:space="preserve">комплексного обеспечения общественной безопасности ввиду высокой доли экологически «грязных» производств в структуре промышленности городов этой зоны. </w:t>
      </w:r>
    </w:p>
    <w:p w:rsidR="00EB261F" w:rsidRDefault="00EB261F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Пермь среди региональных центров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Урало-Поволжья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сравнительно благоприятную с экологической точки зрения структуру производства, поэтому экологическая проблема в ней проявляется сравнительно слабо. Тем не менее, ежегодно в атмосферу города выбрасывается более 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загрязняющих веществ от стационарных источников. Решение задачи по сокращению объемов этих выбросов определяет улучшение среды проживания, повышение здоровья и продолжительности жизни населения и, как следствие, увеличение человеческого потенциала Перми. </w:t>
      </w:r>
    </w:p>
    <w:p w:rsidR="00EB261F" w:rsidRDefault="00EB261F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61F" w:rsidRDefault="00EB261F" w:rsidP="00CB68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2540BD" wp14:editId="47227E71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2553" w:rsidRDefault="00EB261F" w:rsidP="0065255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Ретроспективный динамический анализ, результаты которого приведены на диаграмме выше, говорит о том, что задача по сокращению объемов выбросов в атмосферу успешно решалась</w:t>
      </w:r>
      <w:r w:rsidR="00652553">
        <w:rPr>
          <w:rFonts w:ascii="Times New Roman" w:hAnsi="Times New Roman" w:cs="Times New Roman"/>
          <w:sz w:val="24"/>
          <w:szCs w:val="24"/>
        </w:rPr>
        <w:t xml:space="preserve"> до начала финансово-экономического кризиса в 2008 г. Начиная с 2002 г. объемы выбросов </w:t>
      </w:r>
      <w:r w:rsidR="00652553" w:rsidRPr="00652553">
        <w:rPr>
          <w:rFonts w:ascii="Times New Roman" w:hAnsi="Times New Roman" w:cs="Times New Roman"/>
          <w:sz w:val="24"/>
          <w:szCs w:val="24"/>
        </w:rPr>
        <w:t xml:space="preserve">в атмосферу </w:t>
      </w:r>
      <w:r w:rsidR="00652553">
        <w:rPr>
          <w:rFonts w:ascii="Times New Roman" w:hAnsi="Times New Roman" w:cs="Times New Roman"/>
          <w:sz w:val="24"/>
          <w:szCs w:val="24"/>
        </w:rPr>
        <w:t xml:space="preserve">Перми </w:t>
      </w:r>
      <w:r w:rsidR="00652553" w:rsidRPr="00652553">
        <w:rPr>
          <w:rFonts w:ascii="Times New Roman" w:hAnsi="Times New Roman" w:cs="Times New Roman"/>
          <w:sz w:val="24"/>
          <w:szCs w:val="24"/>
        </w:rPr>
        <w:t>загрязняющих веществ от стационарных источников</w:t>
      </w:r>
      <w:r w:rsidR="00652553">
        <w:rPr>
          <w:rFonts w:ascii="Times New Roman" w:hAnsi="Times New Roman" w:cs="Times New Roman"/>
          <w:sz w:val="24"/>
          <w:szCs w:val="24"/>
        </w:rPr>
        <w:t xml:space="preserve"> планомерно сокращались сначала на 8-9% в год, а с 2005 г. – на 3-5% в год (за исключением</w:t>
      </w:r>
      <w:proofErr w:type="gramEnd"/>
      <w:r w:rsidR="00652553">
        <w:rPr>
          <w:rFonts w:ascii="Times New Roman" w:hAnsi="Times New Roman" w:cs="Times New Roman"/>
          <w:sz w:val="24"/>
          <w:szCs w:val="24"/>
        </w:rPr>
        <w:t xml:space="preserve"> небольшого роста в 2007 г., не превышающего масштабов </w:t>
      </w:r>
      <w:proofErr w:type="spellStart"/>
      <w:r w:rsidR="00652553">
        <w:rPr>
          <w:rFonts w:ascii="Times New Roman" w:hAnsi="Times New Roman" w:cs="Times New Roman"/>
          <w:sz w:val="24"/>
          <w:szCs w:val="24"/>
        </w:rPr>
        <w:t>флуктуационного</w:t>
      </w:r>
      <w:proofErr w:type="spellEnd"/>
      <w:r w:rsidR="00652553">
        <w:rPr>
          <w:rFonts w:ascii="Times New Roman" w:hAnsi="Times New Roman" w:cs="Times New Roman"/>
          <w:sz w:val="24"/>
          <w:szCs w:val="24"/>
        </w:rPr>
        <w:t xml:space="preserve"> отклонения). </w:t>
      </w:r>
    </w:p>
    <w:p w:rsidR="00652553" w:rsidRPr="00E32498" w:rsidRDefault="00652553" w:rsidP="0065255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фоне кризиса и связанного с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секвестирования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производственных бюджетов ситуация изменилась. Слабость экологического законодательства и </w:t>
      </w:r>
      <w:r w:rsidR="00BA613C">
        <w:rPr>
          <w:rFonts w:ascii="Times New Roman" w:hAnsi="Times New Roman" w:cs="Times New Roman"/>
          <w:sz w:val="24"/>
          <w:szCs w:val="24"/>
        </w:rPr>
        <w:t xml:space="preserve">ограниченное вмешательство </w:t>
      </w:r>
      <w:r>
        <w:rPr>
          <w:rFonts w:ascii="Times New Roman" w:hAnsi="Times New Roman" w:cs="Times New Roman"/>
          <w:sz w:val="24"/>
          <w:szCs w:val="24"/>
        </w:rPr>
        <w:t>контролирующих органов позволили руковод</w:t>
      </w:r>
      <w:r w:rsidR="00BA613C">
        <w:rPr>
          <w:rFonts w:ascii="Times New Roman" w:hAnsi="Times New Roman" w:cs="Times New Roman"/>
          <w:sz w:val="24"/>
          <w:szCs w:val="24"/>
        </w:rPr>
        <w:t xml:space="preserve">ителям предприятий снизить часть производственных издержек за счет экономии на фильтрах и прочем экологическом оборудовании. </w:t>
      </w:r>
      <w:r w:rsidR="00DD3E1B">
        <w:rPr>
          <w:rFonts w:ascii="Times New Roman" w:hAnsi="Times New Roman" w:cs="Times New Roman"/>
          <w:sz w:val="24"/>
          <w:szCs w:val="24"/>
        </w:rPr>
        <w:t xml:space="preserve">Как следствие, несмотря на </w:t>
      </w:r>
      <w:r w:rsidR="00075494">
        <w:rPr>
          <w:rFonts w:ascii="Times New Roman" w:hAnsi="Times New Roman" w:cs="Times New Roman"/>
          <w:sz w:val="24"/>
          <w:szCs w:val="24"/>
        </w:rPr>
        <w:t xml:space="preserve">общее сокращение объемов производства, объемы выбросов в атмосферу </w:t>
      </w:r>
      <w:r w:rsidR="00075494" w:rsidRPr="00075494">
        <w:rPr>
          <w:rFonts w:ascii="Times New Roman" w:hAnsi="Times New Roman" w:cs="Times New Roman"/>
          <w:sz w:val="24"/>
          <w:szCs w:val="24"/>
        </w:rPr>
        <w:t>загрязняющих веществ от стационарных источников</w:t>
      </w:r>
      <w:r w:rsidR="00075494">
        <w:rPr>
          <w:rFonts w:ascii="Times New Roman" w:hAnsi="Times New Roman" w:cs="Times New Roman"/>
          <w:sz w:val="24"/>
          <w:szCs w:val="24"/>
        </w:rPr>
        <w:t xml:space="preserve"> выросли в годы кризиса и продолжают расти сейчас. Данная тенденция является негативной, для ее перелома требуются усилия органов, регулирующих ситуацию в сфере экологии.</w:t>
      </w:r>
    </w:p>
    <w:sectPr w:rsidR="00652553" w:rsidRPr="00E3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D6"/>
    <w:rsid w:val="00061DDC"/>
    <w:rsid w:val="00075494"/>
    <w:rsid w:val="000A10AC"/>
    <w:rsid w:val="000D051F"/>
    <w:rsid w:val="000D06AA"/>
    <w:rsid w:val="000E26D9"/>
    <w:rsid w:val="000E4692"/>
    <w:rsid w:val="000F21AF"/>
    <w:rsid w:val="000F7751"/>
    <w:rsid w:val="00100A51"/>
    <w:rsid w:val="00146469"/>
    <w:rsid w:val="00176936"/>
    <w:rsid w:val="001C254C"/>
    <w:rsid w:val="001E2AD9"/>
    <w:rsid w:val="00210117"/>
    <w:rsid w:val="0026211B"/>
    <w:rsid w:val="0030110B"/>
    <w:rsid w:val="0030674D"/>
    <w:rsid w:val="00372E7B"/>
    <w:rsid w:val="0039797F"/>
    <w:rsid w:val="003F4467"/>
    <w:rsid w:val="003F7A8A"/>
    <w:rsid w:val="00427F74"/>
    <w:rsid w:val="00490EE6"/>
    <w:rsid w:val="00495D99"/>
    <w:rsid w:val="0049601A"/>
    <w:rsid w:val="004F68A9"/>
    <w:rsid w:val="005050A9"/>
    <w:rsid w:val="00524AEC"/>
    <w:rsid w:val="0054005A"/>
    <w:rsid w:val="00601FC2"/>
    <w:rsid w:val="00626C65"/>
    <w:rsid w:val="00652553"/>
    <w:rsid w:val="00671671"/>
    <w:rsid w:val="006C4C17"/>
    <w:rsid w:val="006D12DA"/>
    <w:rsid w:val="006D210D"/>
    <w:rsid w:val="007267C1"/>
    <w:rsid w:val="00747E63"/>
    <w:rsid w:val="0079524C"/>
    <w:rsid w:val="007B087E"/>
    <w:rsid w:val="007E5FEB"/>
    <w:rsid w:val="00967056"/>
    <w:rsid w:val="0099700A"/>
    <w:rsid w:val="009A147E"/>
    <w:rsid w:val="009D5E86"/>
    <w:rsid w:val="009D7459"/>
    <w:rsid w:val="009D7852"/>
    <w:rsid w:val="009E172A"/>
    <w:rsid w:val="009F1B52"/>
    <w:rsid w:val="00A060DB"/>
    <w:rsid w:val="00A551B2"/>
    <w:rsid w:val="00A61290"/>
    <w:rsid w:val="00AF38BC"/>
    <w:rsid w:val="00B448A3"/>
    <w:rsid w:val="00B81224"/>
    <w:rsid w:val="00BA613C"/>
    <w:rsid w:val="00BD18BD"/>
    <w:rsid w:val="00BE2171"/>
    <w:rsid w:val="00C36F19"/>
    <w:rsid w:val="00C93EF1"/>
    <w:rsid w:val="00CB6818"/>
    <w:rsid w:val="00CD448F"/>
    <w:rsid w:val="00CF4B49"/>
    <w:rsid w:val="00D04F97"/>
    <w:rsid w:val="00D33BBD"/>
    <w:rsid w:val="00D47B35"/>
    <w:rsid w:val="00D933C4"/>
    <w:rsid w:val="00DC5D7A"/>
    <w:rsid w:val="00DD3E1B"/>
    <w:rsid w:val="00DF6606"/>
    <w:rsid w:val="00E32498"/>
    <w:rsid w:val="00E33CBA"/>
    <w:rsid w:val="00E62AB6"/>
    <w:rsid w:val="00E90AD6"/>
    <w:rsid w:val="00EA3496"/>
    <w:rsid w:val="00EB261F"/>
    <w:rsid w:val="00EB5614"/>
    <w:rsid w:val="00EB5FF5"/>
    <w:rsid w:val="00EC42B8"/>
    <w:rsid w:val="00F26AF7"/>
    <w:rsid w:val="00F84F69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5400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40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40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5400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40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40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57;&#1072;&#1096;&#1072;.%20&#1041;&#1077;&#1079;&#1086;&#1087;&#1072;&#1089;&#1085;&#1086;&#1089;&#1090;&#1100;%20&#1055;&#1077;&#1088;&#1084;&#1080;%20&#1074;%20&#1089;&#1088;&#1072;&#1074;&#1085;&#1077;&#1085;&#1080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41;&#1077;&#1079;&#1086;&#1087;&#1072;&#1089;&#1085;&#1086;&#1089;&#1090;&#1100;%20&#1055;&#1077;&#1088;&#1084;&#1080;.%20&#1056;&#1072;&#1089;&#1095;&#1077;&#1090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41;&#1077;&#1079;&#1086;&#1087;&#1072;&#1089;&#1085;&#1086;&#1089;&#1090;&#1100;%20&#1055;&#1077;&#1088;&#1084;&#1080;.%20&#1056;&#1072;&#1089;&#1095;&#1077;&#1090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41;&#1077;&#1079;&#1086;&#1087;&#1072;&#1089;&#1085;&#1086;&#1089;&#1090;&#1100;%20&#1055;&#1077;&#1088;&#1084;&#1080;.%20&#1056;&#1072;&#1089;&#1095;&#1077;&#1090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41;&#1077;&#1079;&#1086;&#1087;&#1072;&#1089;&#1085;&#1086;&#1089;&#1090;&#1100;%20&#1055;&#1077;&#1088;&#1084;&#1080;.%20&#1056;&#1072;&#1089;&#1095;&#1077;&#1090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7;&#1090;&#1072;&#1090;&#1080;&#1089;&#1090;&#1080;&#1082;&#1072;\&#1055;&#1077;&#1088;&#1084;&#1100;&#1089;&#1090;&#1072;&#1090;\&#1050;&#1086;&#1087;&#1080;&#1103;%20&#1075;.&#1055;&#1077;&#1088;&#1084;&#1100;%20&#1054;&#1093;&#1088;&#1072;&#1085;&#1072;%20&#1086;&#1082;&#1088;.&#1089;&#1088;&#1077;&#1076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57;&#1072;&#1096;&#1072;.%20&#1041;&#1077;&#1079;&#1086;&#1087;&#1072;&#1089;&#1085;&#1086;&#1089;&#1090;&#1100;%20&#1055;&#1077;&#1088;&#1084;&#1080;%20&#1074;%20&#1089;&#1088;&#1072;&#1074;&#1085;&#1077;&#1085;&#108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41;&#1077;&#1079;&#1086;&#1087;&#1072;&#1089;&#1085;&#1086;&#1089;&#1090;&#1100;%20&#1055;&#1077;&#1088;&#1084;&#1080;.%20&#1056;&#1072;&#1089;&#1095;&#1077;&#1090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41;&#1077;&#1079;&#1086;&#1087;&#1072;&#1089;&#1085;&#1086;&#1089;&#1090;&#1100;%20&#1055;&#1077;&#1088;&#1084;&#1080;.%20&#1056;&#1072;&#1089;&#1095;&#1077;&#1090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41;&#1077;&#1079;&#1086;&#1087;&#1072;&#1089;&#1085;&#1086;&#1089;&#1090;&#1100;%20&#1055;&#1077;&#1088;&#1084;&#1080;.%20&#1056;&#1072;&#1089;&#1095;&#1077;&#1090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41;&#1077;&#1079;&#1086;&#1087;&#1072;&#1089;&#1085;&#1086;&#1089;&#1090;&#1100;%20&#1055;&#1077;&#1088;&#1084;&#1080;.%20&#1056;&#1072;&#1089;&#1095;&#1077;&#1090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41;&#1077;&#1079;&#1086;&#1087;&#1072;&#1089;&#1085;&#1086;&#1089;&#1090;&#1100;%20&#1055;&#1077;&#1088;&#1084;&#1080;.%20&#1056;&#1072;&#1089;&#1095;&#1077;&#1090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41;&#1077;&#1079;&#1086;&#1087;&#1072;&#1089;&#1085;&#1086;&#1089;&#1090;&#1100;%20&#1055;&#1077;&#1088;&#1084;&#1080;.%20&#1056;&#1072;&#1089;&#1095;&#1077;&#1090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48;\&#1048;&#1056;&#1048;&#1080;&#1043;&#1055;\&#1055;&#1045;&#1056;&#1052;&#1068;\&#1056;&#1072;&#1079;&#1076;&#1077;&#1083;%207.%20&#1041;&#1077;&#1079;&#1086;&#1087;&#1072;&#1089;&#1085;&#1086;&#1090;&#1100;\&#1041;&#1077;&#1079;&#1086;&#1087;&#1072;&#1089;&#1085;&#1086;&#1089;&#1090;&#1100;%20&#1055;&#1077;&#1088;&#1084;&#1080;.%20&#1056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'[Саша. Безопасность Перми в сравнении.xlsx]Расчеты'!$B$3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cat>
            <c:numRef>
              <c:f>'[Саша. Безопасность Перми в сравнении.xlsx]Расчеты'!$F$2:$P$2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'[Саша. Безопасность Перми в сравнении.xlsx]Расчеты'!$F$3:$P$3</c:f>
              <c:numCache>
                <c:formatCode>General</c:formatCode>
                <c:ptCount val="11"/>
                <c:pt idx="0">
                  <c:v>2033</c:v>
                </c:pt>
                <c:pt idx="1">
                  <c:v>1739</c:v>
                </c:pt>
                <c:pt idx="2">
                  <c:v>1907</c:v>
                </c:pt>
                <c:pt idx="3">
                  <c:v>2012</c:v>
                </c:pt>
                <c:pt idx="4">
                  <c:v>2484</c:v>
                </c:pt>
                <c:pt idx="5">
                  <c:v>2706</c:v>
                </c:pt>
                <c:pt idx="6">
                  <c:v>2521</c:v>
                </c:pt>
                <c:pt idx="7">
                  <c:v>2261</c:v>
                </c:pt>
                <c:pt idx="8">
                  <c:v>2110</c:v>
                </c:pt>
                <c:pt idx="9">
                  <c:v>1839</c:v>
                </c:pt>
                <c:pt idx="10">
                  <c:v>1622.25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'[Саша. Безопасность Перми в сравнении.xlsx]Расчеты'!$B$4</c:f>
              <c:strCache>
                <c:ptCount val="1"/>
                <c:pt idx="0">
                  <c:v>Приволжский федеральный округ</c:v>
                </c:pt>
              </c:strCache>
            </c:strRef>
          </c:tx>
          <c:cat>
            <c:numRef>
              <c:f>'[Саша. Безопасность Перми в сравнении.xlsx]Расчеты'!$F$2:$P$2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'[Саша. Безопасность Перми в сравнении.xlsx]Расчеты'!$F$4:$P$4</c:f>
              <c:numCache>
                <c:formatCode>General</c:formatCode>
                <c:ptCount val="11"/>
                <c:pt idx="0">
                  <c:v>1920</c:v>
                </c:pt>
                <c:pt idx="1">
                  <c:v>1565</c:v>
                </c:pt>
                <c:pt idx="2">
                  <c:v>1773</c:v>
                </c:pt>
                <c:pt idx="3">
                  <c:v>1951</c:v>
                </c:pt>
                <c:pt idx="4">
                  <c:v>2650</c:v>
                </c:pt>
                <c:pt idx="5">
                  <c:v>2967</c:v>
                </c:pt>
                <c:pt idx="6">
                  <c:v>2619</c:v>
                </c:pt>
                <c:pt idx="7">
                  <c:v>2298</c:v>
                </c:pt>
                <c:pt idx="8">
                  <c:v>2118</c:v>
                </c:pt>
                <c:pt idx="9">
                  <c:v>1851</c:v>
                </c:pt>
                <c:pt idx="10">
                  <c:v>1572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'[Саша. Безопасность Перми в сравнении.xlsx]Расчеты'!$B$5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numRef>
              <c:f>'[Саша. Безопасность Перми в сравнении.xlsx]Расчеты'!$F$2:$P$2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'[Саша. Безопасность Перми в сравнении.xlsx]Расчеты'!$F$5:$P$5</c:f>
              <c:numCache>
                <c:formatCode>General</c:formatCode>
                <c:ptCount val="11"/>
                <c:pt idx="0">
                  <c:v>3087</c:v>
                </c:pt>
                <c:pt idx="1">
                  <c:v>2595</c:v>
                </c:pt>
                <c:pt idx="2">
                  <c:v>3113</c:v>
                </c:pt>
                <c:pt idx="3">
                  <c:v>3494</c:v>
                </c:pt>
                <c:pt idx="4">
                  <c:v>4492</c:v>
                </c:pt>
                <c:pt idx="5">
                  <c:v>4941</c:v>
                </c:pt>
                <c:pt idx="6">
                  <c:v>4302</c:v>
                </c:pt>
                <c:pt idx="7">
                  <c:v>3599</c:v>
                </c:pt>
                <c:pt idx="8">
                  <c:v>3262</c:v>
                </c:pt>
                <c:pt idx="9">
                  <c:v>2784</c:v>
                </c:pt>
                <c:pt idx="10">
                  <c:v>2244.75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'[Саша. Безопасность Перми в сравнении.xlsx]Расчеты'!$B$6</c:f>
              <c:strCache>
                <c:ptCount val="1"/>
                <c:pt idx="0">
                  <c:v>ПЕРМЬ</c:v>
                </c:pt>
              </c:strCache>
            </c:strRef>
          </c:tx>
          <c:cat>
            <c:numRef>
              <c:f>'[Саша. Безопасность Перми в сравнении.xlsx]Расчеты'!$F$2:$P$2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'[Саша. Безопасность Перми в сравнении.xlsx]Расчеты'!$F$6:$P$6</c:f>
              <c:numCache>
                <c:formatCode>General</c:formatCode>
                <c:ptCount val="11"/>
                <c:pt idx="0">
                  <c:v>3643.3774969974629</c:v>
                </c:pt>
                <c:pt idx="1">
                  <c:v>3388.0994715734892</c:v>
                </c:pt>
                <c:pt idx="2">
                  <c:v>4014.2927869639584</c:v>
                </c:pt>
                <c:pt idx="3">
                  <c:v>4550.3974238045748</c:v>
                </c:pt>
                <c:pt idx="4">
                  <c:v>5761.1325150076154</c:v>
                </c:pt>
                <c:pt idx="5">
                  <c:v>6380.9438205878405</c:v>
                </c:pt>
                <c:pt idx="6">
                  <c:v>5313.873138002079</c:v>
                </c:pt>
                <c:pt idx="7">
                  <c:v>4388.5916701663409</c:v>
                </c:pt>
                <c:pt idx="8">
                  <c:v>4005.230560257879</c:v>
                </c:pt>
                <c:pt idx="9">
                  <c:v>2934.2090660532504</c:v>
                </c:pt>
                <c:pt idx="10">
                  <c:v>2108.1685535521378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884672"/>
        <c:axId val="211906944"/>
      </c:lineChart>
      <c:catAx>
        <c:axId val="21188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906944"/>
        <c:crosses val="autoZero"/>
        <c:auto val="1"/>
        <c:lblAlgn val="ctr"/>
        <c:lblOffset val="100"/>
        <c:noMultiLvlLbl val="0"/>
      </c:catAx>
      <c:valAx>
        <c:axId val="21190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88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утонувших на водоемах г. Перми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'Вода и лед'!$B$4</c:f>
              <c:strCache>
                <c:ptCount val="1"/>
                <c:pt idx="0">
                  <c:v>Количество утонувших на водоемах г.Перми, чел.</c:v>
                </c:pt>
              </c:strCache>
            </c:strRef>
          </c:tx>
          <c:invertIfNegative val="0"/>
          <c:cat>
            <c:numRef>
              <c:f>'Вода и лед'!$D$3:$N$3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'Вода и лед'!$D$4:$N$4</c:f>
              <c:numCache>
                <c:formatCode>General</c:formatCode>
                <c:ptCount val="11"/>
                <c:pt idx="0">
                  <c:v>56</c:v>
                </c:pt>
                <c:pt idx="1">
                  <c:v>36</c:v>
                </c:pt>
                <c:pt idx="2">
                  <c:v>58</c:v>
                </c:pt>
                <c:pt idx="3">
                  <c:v>46</c:v>
                </c:pt>
                <c:pt idx="4">
                  <c:v>34</c:v>
                </c:pt>
                <c:pt idx="5">
                  <c:v>49</c:v>
                </c:pt>
                <c:pt idx="6">
                  <c:v>42</c:v>
                </c:pt>
                <c:pt idx="7">
                  <c:v>27</c:v>
                </c:pt>
                <c:pt idx="8">
                  <c:v>22</c:v>
                </c:pt>
                <c:pt idx="9">
                  <c:v>49</c:v>
                </c:pt>
                <c:pt idx="10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483072"/>
        <c:axId val="212493056"/>
        <c:axId val="0"/>
      </c:bar3DChart>
      <c:catAx>
        <c:axId val="21248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493056"/>
        <c:crosses val="autoZero"/>
        <c:auto val="1"/>
        <c:lblAlgn val="ctr"/>
        <c:lblOffset val="100"/>
        <c:noMultiLvlLbl val="0"/>
      </c:catAx>
      <c:valAx>
        <c:axId val="21249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483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пострадавших от гололеда, падения снега и льда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'Вода и лед'!$B$9</c:f>
              <c:strCache>
                <c:ptCount val="1"/>
                <c:pt idx="0">
                  <c:v>Количество пострадавших вследствие гололеда, падения снега, льда с крыш домов, чел.</c:v>
                </c:pt>
              </c:strCache>
            </c:strRef>
          </c:tx>
          <c:invertIfNegative val="0"/>
          <c:cat>
            <c:numRef>
              <c:f>'Вода и лед'!$D$3:$N$3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'Вода и лед'!$C$9:$M$9</c:f>
              <c:numCache>
                <c:formatCode>General</c:formatCode>
                <c:ptCount val="11"/>
                <c:pt idx="0">
                  <c:v>11</c:v>
                </c:pt>
                <c:pt idx="1">
                  <c:v>16</c:v>
                </c:pt>
                <c:pt idx="2">
                  <c:v>8</c:v>
                </c:pt>
                <c:pt idx="3">
                  <c:v>3</c:v>
                </c:pt>
                <c:pt idx="4">
                  <c:v>5</c:v>
                </c:pt>
                <c:pt idx="5">
                  <c:v>7</c:v>
                </c:pt>
                <c:pt idx="6">
                  <c:v>3</c:v>
                </c:pt>
                <c:pt idx="7">
                  <c:v>21</c:v>
                </c:pt>
                <c:pt idx="8">
                  <c:v>13</c:v>
                </c:pt>
                <c:pt idx="9">
                  <c:v>3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526208"/>
        <c:axId val="212527744"/>
        <c:axId val="0"/>
      </c:bar3DChart>
      <c:catAx>
        <c:axId val="21252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527744"/>
        <c:crosses val="autoZero"/>
        <c:auto val="1"/>
        <c:lblAlgn val="ctr"/>
        <c:lblOffset val="100"/>
        <c:noMultiLvlLbl val="0"/>
      </c:catAx>
      <c:valAx>
        <c:axId val="21252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526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дорожно-транспортных происшествий в г. Пермь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ДТП!$B$3</c:f>
              <c:strCache>
                <c:ptCount val="1"/>
                <c:pt idx="0">
                  <c:v>Количество дорожно-транспортных происшествий, единиц</c:v>
                </c:pt>
              </c:strCache>
            </c:strRef>
          </c:tx>
          <c:invertIfNegative val="0"/>
          <c:cat>
            <c:numRef>
              <c:f>ДТП!$E$2:$M$2</c:f>
              <c:numCache>
                <c:formatCode>General</c:formatCode>
                <c:ptCount val="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numCache>
            </c:numRef>
          </c:cat>
          <c:val>
            <c:numRef>
              <c:f>ДТП!$E$3:$M$3</c:f>
              <c:numCache>
                <c:formatCode>General</c:formatCode>
                <c:ptCount val="9"/>
                <c:pt idx="0">
                  <c:v>1475</c:v>
                </c:pt>
                <c:pt idx="1">
                  <c:v>1538</c:v>
                </c:pt>
                <c:pt idx="2">
                  <c:v>1535</c:v>
                </c:pt>
                <c:pt idx="3">
                  <c:v>1557</c:v>
                </c:pt>
                <c:pt idx="4">
                  <c:v>1474</c:v>
                </c:pt>
                <c:pt idx="5">
                  <c:v>1452</c:v>
                </c:pt>
                <c:pt idx="6">
                  <c:v>1274</c:v>
                </c:pt>
                <c:pt idx="7">
                  <c:v>1248</c:v>
                </c:pt>
                <c:pt idx="8">
                  <c:v>1242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540416"/>
        <c:axId val="212579072"/>
        <c:axId val="0"/>
      </c:bar3DChart>
      <c:catAx>
        <c:axId val="21254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579072"/>
        <c:crosses val="autoZero"/>
        <c:auto val="1"/>
        <c:lblAlgn val="ctr"/>
        <c:lblOffset val="100"/>
        <c:noMultiLvlLbl val="0"/>
      </c:catAx>
      <c:valAx>
        <c:axId val="212579072"/>
        <c:scaling>
          <c:orientation val="minMax"/>
          <c:min val="1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5404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Число жертв ДТП в г. Пермь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ДТП!$B$9</c:f>
              <c:strCache>
                <c:ptCount val="1"/>
                <c:pt idx="0">
                  <c:v>Количество раненых, чел.</c:v>
                </c:pt>
              </c:strCache>
            </c:strRef>
          </c:tx>
          <c:invertIfNegative val="0"/>
          <c:cat>
            <c:numRef>
              <c:f>ДТП!$E$7:$M$7</c:f>
              <c:numCache>
                <c:formatCode>General</c:formatCode>
                <c:ptCount val="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numCache>
            </c:numRef>
          </c:cat>
          <c:val>
            <c:numRef>
              <c:f>ДТП!$E$9:$M$9</c:f>
              <c:numCache>
                <c:formatCode>General</c:formatCode>
                <c:ptCount val="9"/>
                <c:pt idx="0">
                  <c:v>1696</c:v>
                </c:pt>
                <c:pt idx="1">
                  <c:v>1689</c:v>
                </c:pt>
                <c:pt idx="2">
                  <c:v>1740</c:v>
                </c:pt>
                <c:pt idx="3">
                  <c:v>1784</c:v>
                </c:pt>
                <c:pt idx="4">
                  <c:v>1624</c:v>
                </c:pt>
                <c:pt idx="5">
                  <c:v>1578</c:v>
                </c:pt>
                <c:pt idx="6">
                  <c:v>1458</c:v>
                </c:pt>
                <c:pt idx="7">
                  <c:v>1427</c:v>
                </c:pt>
                <c:pt idx="8">
                  <c:v>1433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13760"/>
        <c:axId val="212615552"/>
      </c:barChart>
      <c:lineChart>
        <c:grouping val="standard"/>
        <c:varyColors val="0"/>
        <c:ser>
          <c:idx val="0"/>
          <c:order val="0"/>
          <c:tx>
            <c:strRef>
              <c:f>ДТП!$B$8</c:f>
              <c:strCache>
                <c:ptCount val="1"/>
                <c:pt idx="0">
                  <c:v>Количество погибших, чел.</c:v>
                </c:pt>
              </c:strCache>
            </c:strRef>
          </c:tx>
          <c:marker>
            <c:symbol val="none"/>
          </c:marker>
          <c:cat>
            <c:numRef>
              <c:f>ДТП!$E$7:$M$7</c:f>
              <c:numCache>
                <c:formatCode>General</c:formatCode>
                <c:ptCount val="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numCache>
            </c:numRef>
          </c:cat>
          <c:val>
            <c:numRef>
              <c:f>ДТП!$E$8:$M$8</c:f>
              <c:numCache>
                <c:formatCode>General</c:formatCode>
                <c:ptCount val="9"/>
                <c:pt idx="0">
                  <c:v>164</c:v>
                </c:pt>
                <c:pt idx="1">
                  <c:v>193</c:v>
                </c:pt>
                <c:pt idx="2">
                  <c:v>186</c:v>
                </c:pt>
                <c:pt idx="3">
                  <c:v>172</c:v>
                </c:pt>
                <c:pt idx="4">
                  <c:v>149</c:v>
                </c:pt>
                <c:pt idx="5">
                  <c:v>143</c:v>
                </c:pt>
                <c:pt idx="6">
                  <c:v>117</c:v>
                </c:pt>
                <c:pt idx="7">
                  <c:v>110</c:v>
                </c:pt>
                <c:pt idx="8">
                  <c:v>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619264"/>
        <c:axId val="212617472"/>
      </c:lineChart>
      <c:catAx>
        <c:axId val="21261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2615552"/>
        <c:crosses val="autoZero"/>
        <c:auto val="1"/>
        <c:lblAlgn val="ctr"/>
        <c:lblOffset val="100"/>
        <c:noMultiLvlLbl val="0"/>
      </c:catAx>
      <c:valAx>
        <c:axId val="21261555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12613760"/>
        <c:crosses val="autoZero"/>
        <c:crossBetween val="between"/>
      </c:valAx>
      <c:valAx>
        <c:axId val="21261747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12619264"/>
        <c:crosses val="max"/>
        <c:crossBetween val="between"/>
      </c:valAx>
      <c:catAx>
        <c:axId val="212619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2617472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Выбросы в атмосферу загрязняющих веществ от стационарных источников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Лист3!$A$4</c:f>
              <c:strCache>
                <c:ptCount val="1"/>
                <c:pt idx="0">
                  <c:v>Выбросы в атмосферу загрязняющих веществ от стационарных источников, тыс.тонн</c:v>
                </c:pt>
              </c:strCache>
            </c:strRef>
          </c:tx>
          <c:invertIfNegative val="0"/>
          <c:cat>
            <c:numRef>
              <c:f>Лист3!$C$3:$M$3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Лист3!$C$4:$M$4</c:f>
              <c:numCache>
                <c:formatCode>0.00</c:formatCode>
                <c:ptCount val="11"/>
                <c:pt idx="0">
                  <c:v>43.069000000000003</c:v>
                </c:pt>
                <c:pt idx="1">
                  <c:v>43.808999999999997</c:v>
                </c:pt>
                <c:pt idx="2">
                  <c:v>40.332999999999998</c:v>
                </c:pt>
                <c:pt idx="3">
                  <c:v>37.091999999999999</c:v>
                </c:pt>
                <c:pt idx="4">
                  <c:v>35.579000000000001</c:v>
                </c:pt>
                <c:pt idx="5">
                  <c:v>34.432000000000002</c:v>
                </c:pt>
                <c:pt idx="6">
                  <c:v>34.975999999999999</c:v>
                </c:pt>
                <c:pt idx="7">
                  <c:v>33.036000000000001</c:v>
                </c:pt>
                <c:pt idx="8">
                  <c:v>33.090000000000003</c:v>
                </c:pt>
                <c:pt idx="9">
                  <c:v>33.143000000000001</c:v>
                </c:pt>
                <c:pt idx="10">
                  <c:v>34.076999999999998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640128"/>
        <c:axId val="212641664"/>
        <c:axId val="0"/>
      </c:bar3DChart>
      <c:catAx>
        <c:axId val="21264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641664"/>
        <c:crosses val="autoZero"/>
        <c:auto val="1"/>
        <c:lblAlgn val="ctr"/>
        <c:lblOffset val="100"/>
        <c:noMultiLvlLbl val="0"/>
      </c:catAx>
      <c:valAx>
        <c:axId val="21264166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12640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'[Саша. Безопасность Перми в сравнении.xlsx]Расчеты'!$B$31</c:f>
              <c:strCache>
                <c:ptCount val="1"/>
                <c:pt idx="0">
                  <c:v>Выявлено лиц, совершивших преступления, человек</c:v>
                </c:pt>
              </c:strCache>
            </c:strRef>
          </c:tx>
          <c:cat>
            <c:numRef>
              <c:f>'[Саша. Безопасность Перми в сравнении.xlsx]Расчеты'!$F$2:$P$2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'[Саша. Безопасность Перми в сравнении.xlsx]Расчеты'!$C$33:$M$33</c:f>
              <c:numCache>
                <c:formatCode>General</c:formatCode>
                <c:ptCount val="11"/>
                <c:pt idx="0">
                  <c:v>9661</c:v>
                </c:pt>
                <c:pt idx="1">
                  <c:v>9916</c:v>
                </c:pt>
                <c:pt idx="2">
                  <c:v>9414</c:v>
                </c:pt>
                <c:pt idx="3">
                  <c:v>9789</c:v>
                </c:pt>
                <c:pt idx="4">
                  <c:v>10936</c:v>
                </c:pt>
                <c:pt idx="5">
                  <c:v>11133</c:v>
                </c:pt>
                <c:pt idx="6">
                  <c:v>10446</c:v>
                </c:pt>
                <c:pt idx="7">
                  <c:v>9624</c:v>
                </c:pt>
                <c:pt idx="8">
                  <c:v>9854</c:v>
                </c:pt>
                <c:pt idx="9">
                  <c:v>8351</c:v>
                </c:pt>
                <c:pt idx="10">
                  <c:v>9364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'[Саша. Безопасность Перми в сравнении.xlsx]Расчеты'!$B$1</c:f>
              <c:strCache>
                <c:ptCount val="1"/>
                <c:pt idx="0">
                  <c:v>Число зарегистрированных преступлений на 100000 человек населения</c:v>
                </c:pt>
              </c:strCache>
            </c:strRef>
          </c:tx>
          <c:cat>
            <c:numRef>
              <c:f>'[Саша. Безопасность Перми в сравнении.xlsx]Расчеты'!$F$2:$P$2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'[Саша. Безопасность Перми в сравнении.xlsx]Расчеты'!$F$6:$P$6</c:f>
              <c:numCache>
                <c:formatCode>General</c:formatCode>
                <c:ptCount val="11"/>
                <c:pt idx="0">
                  <c:v>3643.3774969974629</c:v>
                </c:pt>
                <c:pt idx="1">
                  <c:v>3388.0994715734892</c:v>
                </c:pt>
                <c:pt idx="2">
                  <c:v>4014.2927869639584</c:v>
                </c:pt>
                <c:pt idx="3">
                  <c:v>4550.3974238045748</c:v>
                </c:pt>
                <c:pt idx="4">
                  <c:v>5761.1325150076154</c:v>
                </c:pt>
                <c:pt idx="5">
                  <c:v>6380.9438205878405</c:v>
                </c:pt>
                <c:pt idx="6">
                  <c:v>5313.873138002079</c:v>
                </c:pt>
                <c:pt idx="7">
                  <c:v>4388.5916701663409</c:v>
                </c:pt>
                <c:pt idx="8">
                  <c:v>4005.230560257879</c:v>
                </c:pt>
                <c:pt idx="9">
                  <c:v>2934.2090660532504</c:v>
                </c:pt>
                <c:pt idx="10">
                  <c:v>2108.1685535521378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931904"/>
        <c:axId val="211933440"/>
      </c:lineChart>
      <c:catAx>
        <c:axId val="21193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933440"/>
        <c:crosses val="autoZero"/>
        <c:auto val="1"/>
        <c:lblAlgn val="ctr"/>
        <c:lblOffset val="100"/>
        <c:noMultiLvlLbl val="0"/>
      </c:catAx>
      <c:valAx>
        <c:axId val="21193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93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Удельный вес пьяных преступников в г. Пермь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'Стр-ра'!$B$3</c:f>
              <c:strCache>
                <c:ptCount val="1"/>
                <c:pt idx="0">
                  <c:v>Удельный вес пьяных преступников, %</c:v>
                </c:pt>
              </c:strCache>
            </c:strRef>
          </c:tx>
          <c:invertIfNegative val="0"/>
          <c:cat>
            <c:numRef>
              <c:f>'Стр-ра'!$C$2:$M$2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'Стр-ра'!$C$3:$M$3</c:f>
              <c:numCache>
                <c:formatCode>General</c:formatCode>
                <c:ptCount val="11"/>
                <c:pt idx="0">
                  <c:v>26.5</c:v>
                </c:pt>
                <c:pt idx="1">
                  <c:v>28</c:v>
                </c:pt>
                <c:pt idx="2">
                  <c:v>30.7</c:v>
                </c:pt>
                <c:pt idx="3">
                  <c:v>27.8</c:v>
                </c:pt>
                <c:pt idx="4">
                  <c:v>25.3</c:v>
                </c:pt>
                <c:pt idx="5">
                  <c:v>18.5</c:v>
                </c:pt>
                <c:pt idx="6">
                  <c:v>14.3</c:v>
                </c:pt>
                <c:pt idx="7">
                  <c:v>13.8</c:v>
                </c:pt>
                <c:pt idx="8">
                  <c:v>14.5</c:v>
                </c:pt>
                <c:pt idx="9">
                  <c:v>14.9</c:v>
                </c:pt>
                <c:pt idx="10">
                  <c:v>15.1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945728"/>
        <c:axId val="211955712"/>
        <c:axId val="0"/>
      </c:bar3DChart>
      <c:catAx>
        <c:axId val="21194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955712"/>
        <c:crosses val="autoZero"/>
        <c:auto val="1"/>
        <c:lblAlgn val="ctr"/>
        <c:lblOffset val="100"/>
        <c:noMultiLvlLbl val="0"/>
      </c:catAx>
      <c:valAx>
        <c:axId val="21195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9457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'Стр-ра'!$N$33</c:f>
              <c:strCache>
                <c:ptCount val="1"/>
                <c:pt idx="0">
                  <c:v>Структура преступности в г. Пермь, 2011 г.</c:v>
                </c:pt>
              </c:strCache>
            </c:strRef>
          </c:tx>
          <c:explosion val="25"/>
          <c:dLbls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'Стр-ра'!$B$34:$B$40</c:f>
              <c:strCache>
                <c:ptCount val="7"/>
                <c:pt idx="0">
                  <c:v>умышленные убийства</c:v>
                </c:pt>
                <c:pt idx="1">
                  <c:v>умышленное причинение
тяжкого вреда здоровью
</c:v>
                </c:pt>
                <c:pt idx="2">
                  <c:v>кражи</c:v>
                </c:pt>
                <c:pt idx="3">
                  <c:v>грабежи</c:v>
                </c:pt>
                <c:pt idx="4">
                  <c:v>разбои</c:v>
                </c:pt>
                <c:pt idx="5">
                  <c:v>наркобизнес</c:v>
                </c:pt>
                <c:pt idx="6">
                  <c:v>ПРОЧЕЕ</c:v>
                </c:pt>
              </c:strCache>
            </c:strRef>
          </c:cat>
          <c:val>
            <c:numRef>
              <c:f>'Стр-ра'!$N$34:$N$40</c:f>
              <c:numCache>
                <c:formatCode>General</c:formatCode>
                <c:ptCount val="7"/>
                <c:pt idx="0">
                  <c:v>0.48350398179749721</c:v>
                </c:pt>
                <c:pt idx="1">
                  <c:v>1.7538869927948424</c:v>
                </c:pt>
                <c:pt idx="2">
                  <c:v>51.147136897990144</c:v>
                </c:pt>
                <c:pt idx="3">
                  <c:v>8.1958665149791425</c:v>
                </c:pt>
                <c:pt idx="4">
                  <c:v>1.0570724307925672</c:v>
                </c:pt>
                <c:pt idx="5">
                  <c:v>4.1666666666666661</c:v>
                </c:pt>
                <c:pt idx="6">
                  <c:v>33.195866514979144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преступлений в сфере наркобизнеса Перми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'Стр-ра'!$B$41</c:f>
              <c:strCache>
                <c:ptCount val="1"/>
                <c:pt idx="0">
                  <c:v>Доля преступлений в сфере наркобизнеса от общего числа преступлений, %
</c:v>
                </c:pt>
              </c:strCache>
            </c:strRef>
          </c:tx>
          <c:invertIfNegative val="0"/>
          <c:cat>
            <c:numRef>
              <c:f>'Стр-ра'!$D$22:$N$22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'Стр-ра'!$D$39:$N$39</c:f>
              <c:numCache>
                <c:formatCode>General</c:formatCode>
                <c:ptCount val="11"/>
                <c:pt idx="0">
                  <c:v>6.14073546336384</c:v>
                </c:pt>
                <c:pt idx="1">
                  <c:v>4.2431564369272481</c:v>
                </c:pt>
                <c:pt idx="2">
                  <c:v>4.116829619335947</c:v>
                </c:pt>
                <c:pt idx="3">
                  <c:v>2.2313176656984419</c:v>
                </c:pt>
                <c:pt idx="4">
                  <c:v>1.899453055375959</c:v>
                </c:pt>
                <c:pt idx="5">
                  <c:v>2.1366844987496436</c:v>
                </c:pt>
                <c:pt idx="6">
                  <c:v>2.6152761098720956</c:v>
                </c:pt>
                <c:pt idx="7">
                  <c:v>2.5633913505767052</c:v>
                </c:pt>
                <c:pt idx="8">
                  <c:v>2.9661874873456164</c:v>
                </c:pt>
                <c:pt idx="9">
                  <c:v>3.8579238730529859</c:v>
                </c:pt>
                <c:pt idx="10">
                  <c:v>4.1666666666666661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999360"/>
        <c:axId val="212341120"/>
        <c:axId val="0"/>
      </c:bar3DChart>
      <c:catAx>
        <c:axId val="21199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341120"/>
        <c:crosses val="autoZero"/>
        <c:auto val="1"/>
        <c:lblAlgn val="ctr"/>
        <c:lblOffset val="100"/>
        <c:noMultiLvlLbl val="0"/>
      </c:catAx>
      <c:valAx>
        <c:axId val="21234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999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рецидивистов среди несовершеннолетних преступников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Подр.прест!$C$7</c:f>
              <c:strCache>
                <c:ptCount val="1"/>
                <c:pt idx="0">
                  <c:v>Доля рецидивистов среди несовершеннолетних, совершивших преступления, %</c:v>
                </c:pt>
              </c:strCache>
            </c:strRef>
          </c:tx>
          <c:invertIfNegative val="0"/>
          <c:cat>
            <c:numRef>
              <c:f>Подр.прест!$D$3:$N$3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Подр.прест!$D$7:$N$7</c:f>
              <c:numCache>
                <c:formatCode>General</c:formatCode>
                <c:ptCount val="11"/>
                <c:pt idx="0">
                  <c:v>13.093065693430658</c:v>
                </c:pt>
                <c:pt idx="1">
                  <c:v>22.834645669291341</c:v>
                </c:pt>
                <c:pt idx="2">
                  <c:v>16.234309623430963</c:v>
                </c:pt>
                <c:pt idx="3">
                  <c:v>16.746411483253588</c:v>
                </c:pt>
                <c:pt idx="4">
                  <c:v>16.228748068006183</c:v>
                </c:pt>
                <c:pt idx="5">
                  <c:v>16.519434628975265</c:v>
                </c:pt>
                <c:pt idx="6">
                  <c:v>17.178502879078692</c:v>
                </c:pt>
                <c:pt idx="7">
                  <c:v>17.489421720733429</c:v>
                </c:pt>
                <c:pt idx="8">
                  <c:v>18.996960486322191</c:v>
                </c:pt>
                <c:pt idx="9">
                  <c:v>25</c:v>
                </c:pt>
                <c:pt idx="10">
                  <c:v>18.327402135231317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361984"/>
        <c:axId val="212363520"/>
        <c:axId val="0"/>
      </c:bar3DChart>
      <c:catAx>
        <c:axId val="21236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363520"/>
        <c:crosses val="autoZero"/>
        <c:auto val="1"/>
        <c:lblAlgn val="ctr"/>
        <c:lblOffset val="100"/>
        <c:noMultiLvlLbl val="0"/>
      </c:catAx>
      <c:valAx>
        <c:axId val="21236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361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Уровень раскрываемости преступлений в г. Пермь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Раскрыв!$B$12</c:f>
              <c:strCache>
                <c:ptCount val="1"/>
                <c:pt idx="0">
                  <c:v>Раскрыто преступлений, единиц</c:v>
                </c:pt>
              </c:strCache>
            </c:strRef>
          </c:tx>
          <c:invertIfNegative val="0"/>
          <c:cat>
            <c:numRef>
              <c:f>Раскрыв!$C$10:$M$10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Раскрыв!$C$12:$M$12</c:f>
              <c:numCache>
                <c:formatCode>General</c:formatCode>
                <c:ptCount val="11"/>
                <c:pt idx="0">
                  <c:v>21640.941999999995</c:v>
                </c:pt>
                <c:pt idx="1">
                  <c:v>16798.814999999999</c:v>
                </c:pt>
                <c:pt idx="2">
                  <c:v>14628.173999999999</c:v>
                </c:pt>
                <c:pt idx="3">
                  <c:v>19859.028000000002</c:v>
                </c:pt>
                <c:pt idx="4">
                  <c:v>20601.72</c:v>
                </c:pt>
                <c:pt idx="5">
                  <c:v>21102.787999999997</c:v>
                </c:pt>
                <c:pt idx="6">
                  <c:v>17521.973999999998</c:v>
                </c:pt>
                <c:pt idx="7">
                  <c:v>15531.416999999999</c:v>
                </c:pt>
                <c:pt idx="8">
                  <c:v>15646.752</c:v>
                </c:pt>
                <c:pt idx="9">
                  <c:v>12447.523999999999</c:v>
                </c:pt>
                <c:pt idx="10">
                  <c:v>10674.576000000001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90272"/>
        <c:axId val="212391808"/>
      </c:barChart>
      <c:lineChart>
        <c:grouping val="standard"/>
        <c:varyColors val="0"/>
        <c:ser>
          <c:idx val="0"/>
          <c:order val="0"/>
          <c:tx>
            <c:strRef>
              <c:f>Раскрыв!$B$11</c:f>
              <c:strCache>
                <c:ptCount val="1"/>
                <c:pt idx="0">
                  <c:v>Уровень раскрываемости преступлений, % (правая шкала)</c:v>
                </c:pt>
              </c:strCache>
            </c:strRef>
          </c:tx>
          <c:marker>
            <c:symbol val="none"/>
          </c:marker>
          <c:cat>
            <c:numRef>
              <c:f>Раскрыв!$C$10:$M$10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Раскрыв!$C$11:$M$11</c:f>
              <c:numCache>
                <c:formatCode>General</c:formatCode>
                <c:ptCount val="11"/>
                <c:pt idx="0">
                  <c:v>59.3</c:v>
                </c:pt>
                <c:pt idx="1">
                  <c:v>49.5</c:v>
                </c:pt>
                <c:pt idx="2">
                  <c:v>36.299999999999997</c:v>
                </c:pt>
                <c:pt idx="3">
                  <c:v>43.7</c:v>
                </c:pt>
                <c:pt idx="4">
                  <c:v>36</c:v>
                </c:pt>
                <c:pt idx="5">
                  <c:v>33.4</c:v>
                </c:pt>
                <c:pt idx="6">
                  <c:v>33.4</c:v>
                </c:pt>
                <c:pt idx="7">
                  <c:v>35.9</c:v>
                </c:pt>
                <c:pt idx="8">
                  <c:v>39.6</c:v>
                </c:pt>
                <c:pt idx="9">
                  <c:v>42.8</c:v>
                </c:pt>
                <c:pt idx="10">
                  <c:v>50.6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395520"/>
        <c:axId val="212393984"/>
      </c:lineChart>
      <c:catAx>
        <c:axId val="21239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2391808"/>
        <c:crosses val="autoZero"/>
        <c:auto val="1"/>
        <c:lblAlgn val="ctr"/>
        <c:lblOffset val="100"/>
        <c:noMultiLvlLbl val="0"/>
      </c:catAx>
      <c:valAx>
        <c:axId val="21239180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12390272"/>
        <c:crosses val="autoZero"/>
        <c:crossBetween val="between"/>
      </c:valAx>
      <c:valAx>
        <c:axId val="21239398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12395520"/>
        <c:crosses val="max"/>
        <c:crossBetween val="between"/>
      </c:valAx>
      <c:catAx>
        <c:axId val="212395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239398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пострадавших при несчастных случаях на производстве в г. Пермь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Производ!$B$3</c:f>
              <c:strCache>
                <c:ptCount val="1"/>
                <c:pt idx="0">
                  <c:v>Численность пострадавших с утратой трудоспособности и со смертельным исходом</c:v>
                </c:pt>
              </c:strCache>
            </c:strRef>
          </c:tx>
          <c:cat>
            <c:numRef>
              <c:f>Производ!$D$2:$N$2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Производ!$D$3:$N$3</c:f>
              <c:numCache>
                <c:formatCode>General</c:formatCode>
                <c:ptCount val="11"/>
                <c:pt idx="0">
                  <c:v>1391</c:v>
                </c:pt>
                <c:pt idx="1">
                  <c:v>1216</c:v>
                </c:pt>
                <c:pt idx="2">
                  <c:v>951</c:v>
                </c:pt>
                <c:pt idx="3">
                  <c:v>939</c:v>
                </c:pt>
                <c:pt idx="4">
                  <c:v>787</c:v>
                </c:pt>
                <c:pt idx="5">
                  <c:v>755</c:v>
                </c:pt>
                <c:pt idx="6">
                  <c:v>748</c:v>
                </c:pt>
                <c:pt idx="7">
                  <c:v>682</c:v>
                </c:pt>
                <c:pt idx="8">
                  <c:v>535</c:v>
                </c:pt>
                <c:pt idx="9">
                  <c:v>582</c:v>
                </c:pt>
                <c:pt idx="10">
                  <c:v>492.11111111111109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36864"/>
        <c:axId val="212438400"/>
      </c:lineChart>
      <c:catAx>
        <c:axId val="21243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438400"/>
        <c:crosses val="autoZero"/>
        <c:auto val="1"/>
        <c:lblAlgn val="ctr"/>
        <c:lblOffset val="100"/>
        <c:noMultiLvlLbl val="0"/>
      </c:catAx>
      <c:valAx>
        <c:axId val="21243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43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Число пожаров в г. Пермь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Пожары!$B$50</c:f>
              <c:strCache>
                <c:ptCount val="1"/>
                <c:pt idx="0">
                  <c:v>Общее количество пожаров </c:v>
                </c:pt>
              </c:strCache>
            </c:strRef>
          </c:tx>
          <c:invertIfNegative val="0"/>
          <c:cat>
            <c:numRef>
              <c:f>Пожары!$D$3:$M$3</c:f>
              <c:numCache>
                <c:formatCode>General</c:formatCode>
                <c:ptCount val="10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</c:numCache>
            </c:numRef>
          </c:cat>
          <c:val>
            <c:numRef>
              <c:f>Пожары!$C$50:$L$50</c:f>
              <c:numCache>
                <c:formatCode>General</c:formatCode>
                <c:ptCount val="10"/>
                <c:pt idx="0">
                  <c:v>1958.2316150000001</c:v>
                </c:pt>
                <c:pt idx="1">
                  <c:v>1810.3952160000001</c:v>
                </c:pt>
                <c:pt idx="2">
                  <c:v>1699.1860885714284</c:v>
                </c:pt>
                <c:pt idx="3">
                  <c:v>1505.4610515714287</c:v>
                </c:pt>
                <c:pt idx="4">
                  <c:v>1533.6272305714285</c:v>
                </c:pt>
                <c:pt idx="5">
                  <c:v>1422.621486</c:v>
                </c:pt>
                <c:pt idx="6">
                  <c:v>1124.2413282857144</c:v>
                </c:pt>
                <c:pt idx="7">
                  <c:v>900.68363000000011</c:v>
                </c:pt>
                <c:pt idx="8">
                  <c:v>762.20973000000004</c:v>
                </c:pt>
                <c:pt idx="9">
                  <c:v>634.43048599999997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56960"/>
        <c:axId val="212458496"/>
      </c:barChart>
      <c:lineChart>
        <c:grouping val="standard"/>
        <c:varyColors val="0"/>
        <c:ser>
          <c:idx val="0"/>
          <c:order val="0"/>
          <c:tx>
            <c:strRef>
              <c:f>Пожары!$B$49</c:f>
              <c:strCache>
                <c:ptCount val="1"/>
                <c:pt idx="0">
                  <c:v>Количество пожаров на 10 тыс.населения</c:v>
                </c:pt>
              </c:strCache>
            </c:strRef>
          </c:tx>
          <c:marker>
            <c:symbol val="none"/>
          </c:marker>
          <c:cat>
            <c:numRef>
              <c:f>Раскрыв!$C$10:$M$10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Пожары!$C$49:$L$49</c:f>
              <c:numCache>
                <c:formatCode>General</c:formatCode>
                <c:ptCount val="10"/>
                <c:pt idx="0">
                  <c:v>19.55</c:v>
                </c:pt>
                <c:pt idx="1">
                  <c:v>18.034285714285716</c:v>
                </c:pt>
                <c:pt idx="2">
                  <c:v>17.014285714285712</c:v>
                </c:pt>
                <c:pt idx="3">
                  <c:v>15.155714285714286</c:v>
                </c:pt>
                <c:pt idx="4">
                  <c:v>15.488571428571428</c:v>
                </c:pt>
                <c:pt idx="5">
                  <c:v>14.41</c:v>
                </c:pt>
                <c:pt idx="6">
                  <c:v>11.404285714285715</c:v>
                </c:pt>
                <c:pt idx="7">
                  <c:v>9.1242857142857154</c:v>
                </c:pt>
                <c:pt idx="8">
                  <c:v>7.6914285714285713</c:v>
                </c:pt>
                <c:pt idx="9">
                  <c:v>6.3357142857142863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70400"/>
        <c:axId val="212468864"/>
      </c:lineChart>
      <c:catAx>
        <c:axId val="21245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2458496"/>
        <c:crosses val="autoZero"/>
        <c:auto val="1"/>
        <c:lblAlgn val="ctr"/>
        <c:lblOffset val="100"/>
        <c:noMultiLvlLbl val="0"/>
      </c:catAx>
      <c:valAx>
        <c:axId val="21245849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12456960"/>
        <c:crosses val="autoZero"/>
        <c:crossBetween val="between"/>
      </c:valAx>
      <c:valAx>
        <c:axId val="2124688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12470400"/>
        <c:crosses val="max"/>
        <c:crossBetween val="between"/>
      </c:valAx>
      <c:catAx>
        <c:axId val="212470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246886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2012-09-18T13:46:00Z</cp:lastPrinted>
  <dcterms:created xsi:type="dcterms:W3CDTF">2012-10-26T08:45:00Z</dcterms:created>
  <dcterms:modified xsi:type="dcterms:W3CDTF">2012-10-26T08:46:00Z</dcterms:modified>
</cp:coreProperties>
</file>