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4" w:rsidRDefault="00A94E7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журнал «Экономика и предпринимательство»</w:t>
      </w:r>
    </w:p>
    <w:p w:rsidR="00A94E74" w:rsidRDefault="00A94E7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анкета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E74" w:rsidRPr="00287734" w:rsidTr="00227BDA">
        <w:tc>
          <w:tcPr>
            <w:tcW w:w="9854" w:type="dxa"/>
            <w:gridSpan w:val="3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Информация об авторе и публикации</w:t>
            </w:r>
          </w:p>
        </w:tc>
      </w:tr>
      <w:tr w:rsidR="00A94E74" w:rsidRPr="00287734" w:rsidTr="00A94E74">
        <w:trPr>
          <w:trHeight w:val="445"/>
        </w:trPr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economics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Professor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  - Высшая школа экономики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–  High school of economics 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85" w:type="dxa"/>
          </w:tcPr>
          <w:p w:rsidR="00A94E74" w:rsidRPr="00287734" w:rsidRDefault="00055BDD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Professor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285" w:type="dxa"/>
          </w:tcPr>
          <w:p w:rsidR="00DF2A62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8(812)5600091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89119624386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285" w:type="dxa"/>
          </w:tcPr>
          <w:p w:rsidR="00A94E74" w:rsidRPr="00287734" w:rsidRDefault="00735399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2A62" w:rsidRPr="0028773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193171 СПб, ул. Седова, д.55, корп.2</w:t>
              </w:r>
            </w:hyperlink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Адрес домашний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188643,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Vasilisa_m@mail.ru</w:t>
            </w:r>
          </w:p>
        </w:tc>
        <w:tc>
          <w:tcPr>
            <w:tcW w:w="3285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Эффективная система выя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ления рисков компании как фактор формирования ее ф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нансово-устойчивой структ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3285" w:type="dxa"/>
          </w:tcPr>
          <w:p w:rsidR="00A94E74" w:rsidRPr="00A94E74" w:rsidRDefault="00A94E74" w:rsidP="0028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 effective system of the risk identification is a factor of f</w:t>
            </w:r>
            <w:r w:rsidRPr="00A94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94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nancial stability of a company</w:t>
            </w:r>
          </w:p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E74" w:rsidRPr="00DE74F9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Риск ме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неджмент наравне с финансовым менеджментом в настоящее время становя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основными компонентами, позволявшими организовать эффективное управление компанией. В соответствии  с методологией системного анализа, 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дол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на представлять собой мн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гоуровневые системы, кот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рые позволяют вовлечь в процесс управления рисками  всех заинтересованных лиц. В центре  системы управл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ния рисками  лежит процед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ра выявления рисками, кот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рая  должна соответствовать теоретическим рекомендац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734" w:rsidRPr="00287734">
              <w:rPr>
                <w:rFonts w:ascii="Times New Roman" w:hAnsi="Times New Roman" w:cs="Times New Roman"/>
                <w:sz w:val="24"/>
                <w:szCs w:val="24"/>
              </w:rPr>
              <w:t>ям и быть внутренне и внешне сбалансирована.</w:t>
            </w:r>
            <w:bookmarkEnd w:id="0"/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Risk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and financial management 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components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corporate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ance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DE7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existing the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ries  of financial manag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  consist both  of financial anal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sis, planning, and  the allo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F2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ance  of the implied volatile of  further incomes and costs. 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A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c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cording to the methodology of a systematic analysis, ERM system must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 presented as a multi-level system, </w:t>
            </w:r>
            <w:proofErr w:type="gramStart"/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 i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volves</w:t>
            </w:r>
            <w:proofErr w:type="gramEnd"/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 employees in the process of risk management. The </w:t>
            </w:r>
            <w:proofErr w:type="gramStart"/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process  of</w:t>
            </w:r>
            <w:proofErr w:type="gramEnd"/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risk identific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tion  is 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in the focus of impl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e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mentation ERM system.</w:t>
            </w:r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Class</w:t>
            </w:r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fication should be </w:t>
            </w:r>
            <w:proofErr w:type="gramStart"/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matching  the</w:t>
            </w:r>
            <w:proofErr w:type="gramEnd"/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theoretical  requirements of  organization management and </w:t>
            </w:r>
            <w:r w:rsidRPr="00DF2A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be externally and internally balanced. </w:t>
            </w:r>
          </w:p>
        </w:tc>
      </w:tr>
      <w:tr w:rsidR="00A94E74" w:rsidRPr="00287734" w:rsidTr="00A94E74">
        <w:tc>
          <w:tcPr>
            <w:tcW w:w="3284" w:type="dxa"/>
          </w:tcPr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слова</w:t>
            </w:r>
          </w:p>
        </w:tc>
        <w:tc>
          <w:tcPr>
            <w:tcW w:w="3285" w:type="dxa"/>
          </w:tcPr>
          <w:p w:rsidR="00A94E74" w:rsidRPr="00287734" w:rsidRDefault="00DF2A62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корпоративного управления, стандарты </w:t>
            </w:r>
            <w:proofErr w:type="gramStart"/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  <w:proofErr w:type="gramEnd"/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, требования для создания классификации рисков,  группы рисков, би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734">
              <w:rPr>
                <w:rFonts w:ascii="Times New Roman" w:hAnsi="Times New Roman" w:cs="Times New Roman"/>
                <w:sz w:val="24"/>
                <w:szCs w:val="24"/>
              </w:rPr>
              <w:t xml:space="preserve">нес-процессы </w:t>
            </w:r>
          </w:p>
        </w:tc>
        <w:tc>
          <w:tcPr>
            <w:tcW w:w="3285" w:type="dxa"/>
          </w:tcPr>
          <w:p w:rsidR="00DF2A62" w:rsidRPr="00DF2A62" w:rsidRDefault="00DF2A62" w:rsidP="00287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73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principles of a corporate go</w:t>
            </w:r>
            <w:r w:rsidRPr="0028773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v</w:t>
            </w:r>
            <w:r w:rsidRPr="0028773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 xml:space="preserve">ernance, risk management standards, </w:t>
            </w:r>
            <w:r w:rsidRPr="00DF2A6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 xml:space="preserve">the requirements for the risk classification,  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bus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ness-process</w:t>
            </w:r>
            <w:r w:rsidRPr="0028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F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risk groups</w:t>
            </w:r>
          </w:p>
          <w:p w:rsidR="00A94E74" w:rsidRPr="00287734" w:rsidRDefault="00A94E74" w:rsidP="0028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4E74" w:rsidRPr="00DF2A62" w:rsidRDefault="00A94E7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E74" w:rsidRPr="00DF2A62" w:rsidRDefault="00A94E7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411" w:rsidRDefault="00A94E7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ЭФФЕКТИВНАЯ СИСТЕМА ВЫЯВЛЕНИЯ РИСКОВ КОМПАНИИ</w:t>
      </w:r>
      <w:r w:rsidR="006660E3" w:rsidRPr="00E07413">
        <w:rPr>
          <w:rFonts w:ascii="Times New Roman" w:hAnsi="Times New Roman" w:cs="Times New Roman"/>
          <w:b/>
          <w:sz w:val="24"/>
          <w:szCs w:val="24"/>
        </w:rPr>
        <w:t xml:space="preserve"> КАК ФАКТОР ФОРМИРОВАНИ</w:t>
      </w:r>
      <w:r w:rsidR="00EC5CE5" w:rsidRPr="00E07413">
        <w:rPr>
          <w:rFonts w:ascii="Times New Roman" w:hAnsi="Times New Roman" w:cs="Times New Roman"/>
          <w:b/>
          <w:sz w:val="24"/>
          <w:szCs w:val="24"/>
        </w:rPr>
        <w:t>Я</w:t>
      </w:r>
      <w:r w:rsidR="006660E3" w:rsidRPr="00E07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6660E3" w:rsidRPr="00E07413">
        <w:rPr>
          <w:rFonts w:ascii="Times New Roman" w:hAnsi="Times New Roman" w:cs="Times New Roman"/>
          <w:b/>
          <w:sz w:val="24"/>
          <w:szCs w:val="24"/>
        </w:rPr>
        <w:t>ФИНАНСОВО-УСТОЙЧИВОЙ СТРУКТУРЫ.</w:t>
      </w:r>
    </w:p>
    <w:p w:rsidR="00287734" w:rsidRPr="00E07413" w:rsidRDefault="00287734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Корпоративный риск-менеджмент в  работу российских компаний реального сектора  н</w:t>
      </w:r>
      <w:r w:rsidR="00662684" w:rsidRPr="00E07413">
        <w:rPr>
          <w:rFonts w:ascii="Times New Roman" w:hAnsi="Times New Roman" w:cs="Times New Roman"/>
          <w:sz w:val="24"/>
          <w:szCs w:val="24"/>
        </w:rPr>
        <w:t>ачал внедряться совсем  недавно</w:t>
      </w:r>
      <w:r w:rsidRPr="00E07413">
        <w:rPr>
          <w:rFonts w:ascii="Times New Roman" w:hAnsi="Times New Roman" w:cs="Times New Roman"/>
          <w:sz w:val="24"/>
          <w:szCs w:val="24"/>
        </w:rPr>
        <w:t xml:space="preserve"> и сейчас находиться на стадии становления. Возможность корпорации оценивать, контролировать и эффективно управлять своими рисками является сильным конкурентным преимуществом  и способствует оптимизации профиля риск – д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ходност</w:t>
      </w:r>
      <w:r w:rsidR="000868DE" w:rsidRPr="00E07413">
        <w:rPr>
          <w:rFonts w:ascii="Times New Roman" w:hAnsi="Times New Roman" w:cs="Times New Roman"/>
          <w:sz w:val="24"/>
          <w:szCs w:val="24"/>
        </w:rPr>
        <w:t>ь</w:t>
      </w:r>
      <w:r w:rsidRPr="00E07413">
        <w:rPr>
          <w:rFonts w:ascii="Times New Roman" w:hAnsi="Times New Roman" w:cs="Times New Roman"/>
          <w:sz w:val="24"/>
          <w:szCs w:val="24"/>
        </w:rPr>
        <w:t>, использованию и  размещению  капитала, то есть способствует повышению сто</w:t>
      </w:r>
      <w:r w:rsidRPr="00E07413">
        <w:rPr>
          <w:rFonts w:ascii="Times New Roman" w:hAnsi="Times New Roman" w:cs="Times New Roman"/>
          <w:sz w:val="24"/>
          <w:szCs w:val="24"/>
        </w:rPr>
        <w:t>и</w:t>
      </w:r>
      <w:r w:rsidRPr="00E07413">
        <w:rPr>
          <w:rFonts w:ascii="Times New Roman" w:hAnsi="Times New Roman" w:cs="Times New Roman"/>
          <w:sz w:val="24"/>
          <w:szCs w:val="24"/>
        </w:rPr>
        <w:t xml:space="preserve">мости для акционеров, </w:t>
      </w:r>
      <w:proofErr w:type="spellStart"/>
      <w:r w:rsidR="004C23CC" w:rsidRPr="00E07413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700BAF" w:rsidRPr="00E07413">
        <w:rPr>
          <w:rFonts w:ascii="Times New Roman" w:hAnsi="Times New Roman" w:cs="Times New Roman"/>
          <w:sz w:val="24"/>
          <w:szCs w:val="24"/>
        </w:rPr>
        <w:t>, а также формированию финансово-устойчивой стру</w:t>
      </w:r>
      <w:r w:rsidR="00700BAF" w:rsidRPr="00E07413">
        <w:rPr>
          <w:rFonts w:ascii="Times New Roman" w:hAnsi="Times New Roman" w:cs="Times New Roman"/>
          <w:sz w:val="24"/>
          <w:szCs w:val="24"/>
        </w:rPr>
        <w:t>к</w:t>
      </w:r>
      <w:r w:rsidR="00700BAF" w:rsidRPr="00E07413">
        <w:rPr>
          <w:rFonts w:ascii="Times New Roman" w:hAnsi="Times New Roman" w:cs="Times New Roman"/>
          <w:sz w:val="24"/>
          <w:szCs w:val="24"/>
        </w:rPr>
        <w:t>туры компании</w:t>
      </w:r>
      <w:r w:rsidRPr="00E07413">
        <w:rPr>
          <w:rFonts w:ascii="Times New Roman" w:hAnsi="Times New Roman" w:cs="Times New Roman"/>
          <w:sz w:val="24"/>
          <w:szCs w:val="24"/>
        </w:rPr>
        <w:t>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Необходимость внедрения в корпоративное управление интегрированных систем управления рисками обусловлен</w:t>
      </w:r>
      <w:r w:rsidR="00662684" w:rsidRPr="00E07413">
        <w:rPr>
          <w:rFonts w:ascii="Times New Roman" w:hAnsi="Times New Roman" w:cs="Times New Roman"/>
          <w:sz w:val="24"/>
          <w:szCs w:val="24"/>
        </w:rPr>
        <w:t xml:space="preserve">а, </w:t>
      </w:r>
      <w:r w:rsidRPr="00E07413">
        <w:rPr>
          <w:rFonts w:ascii="Times New Roman" w:hAnsi="Times New Roman" w:cs="Times New Roman"/>
          <w:sz w:val="24"/>
          <w:szCs w:val="24"/>
        </w:rPr>
        <w:t>в первую очередь, со следующими факторами:</w:t>
      </w:r>
      <w:r w:rsidR="004C2DCC" w:rsidRPr="00E07413">
        <w:rPr>
          <w:rFonts w:ascii="Times New Roman" w:hAnsi="Times New Roman" w:cs="Times New Roman"/>
          <w:sz w:val="24"/>
          <w:szCs w:val="24"/>
        </w:rPr>
        <w:t xml:space="preserve"> р</w:t>
      </w:r>
      <w:r w:rsidRPr="00E07413">
        <w:rPr>
          <w:rFonts w:ascii="Times New Roman" w:hAnsi="Times New Roman" w:cs="Times New Roman"/>
          <w:sz w:val="24"/>
          <w:szCs w:val="24"/>
        </w:rPr>
        <w:t>ез</w:t>
      </w:r>
      <w:r w:rsidR="00584EF3" w:rsidRPr="00E07413">
        <w:rPr>
          <w:rFonts w:ascii="Times New Roman" w:hAnsi="Times New Roman" w:cs="Times New Roman"/>
          <w:sz w:val="24"/>
          <w:szCs w:val="24"/>
        </w:rPr>
        <w:t>к</w:t>
      </w:r>
      <w:r w:rsidRPr="00E07413">
        <w:rPr>
          <w:rFonts w:ascii="Times New Roman" w:hAnsi="Times New Roman" w:cs="Times New Roman"/>
          <w:sz w:val="24"/>
          <w:szCs w:val="24"/>
        </w:rPr>
        <w:t>ое во</w:t>
      </w:r>
      <w:r w:rsidRPr="00E07413">
        <w:rPr>
          <w:rFonts w:ascii="Times New Roman" w:hAnsi="Times New Roman" w:cs="Times New Roman"/>
          <w:sz w:val="24"/>
          <w:szCs w:val="24"/>
        </w:rPr>
        <w:t>з</w:t>
      </w:r>
      <w:r w:rsidRPr="00E07413">
        <w:rPr>
          <w:rFonts w:ascii="Times New Roman" w:hAnsi="Times New Roman" w:cs="Times New Roman"/>
          <w:sz w:val="24"/>
          <w:szCs w:val="24"/>
        </w:rPr>
        <w:t>растание  спектра рисков</w:t>
      </w:r>
      <w:r w:rsidR="0040301D" w:rsidRPr="00E07413">
        <w:rPr>
          <w:rFonts w:ascii="Times New Roman" w:hAnsi="Times New Roman" w:cs="Times New Roman"/>
          <w:sz w:val="24"/>
          <w:szCs w:val="24"/>
        </w:rPr>
        <w:t>, которые</w:t>
      </w:r>
      <w:r w:rsidRPr="00E07413">
        <w:rPr>
          <w:rFonts w:ascii="Times New Roman" w:hAnsi="Times New Roman" w:cs="Times New Roman"/>
          <w:sz w:val="24"/>
          <w:szCs w:val="24"/>
        </w:rPr>
        <w:t xml:space="preserve"> настоящее время становиться основной характеристикой  любой деятельности компании</w:t>
      </w:r>
      <w:r w:rsidR="004C2DCC" w:rsidRPr="00E07413">
        <w:rPr>
          <w:rFonts w:ascii="Times New Roman" w:hAnsi="Times New Roman" w:cs="Times New Roman"/>
          <w:sz w:val="24"/>
          <w:szCs w:val="24"/>
        </w:rPr>
        <w:t>; и</w:t>
      </w:r>
      <w:r w:rsidRPr="00E07413">
        <w:rPr>
          <w:rFonts w:ascii="Times New Roman" w:hAnsi="Times New Roman" w:cs="Times New Roman"/>
          <w:sz w:val="24"/>
          <w:szCs w:val="24"/>
        </w:rPr>
        <w:t xml:space="preserve">зменение отношения к весомости риска.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Компании уделяют больше внимания управлению рисками, которые приводят к краху всего бизнеса</w:t>
      </w:r>
      <w:r w:rsidR="004C2DCC" w:rsidRPr="00E07413">
        <w:rPr>
          <w:rFonts w:ascii="Times New Roman" w:hAnsi="Times New Roman" w:cs="Times New Roman"/>
          <w:sz w:val="24"/>
          <w:szCs w:val="24"/>
        </w:rPr>
        <w:t>; у</w:t>
      </w:r>
      <w:r w:rsidRPr="00E07413">
        <w:rPr>
          <w:rFonts w:ascii="Times New Roman" w:hAnsi="Times New Roman" w:cs="Times New Roman"/>
          <w:sz w:val="24"/>
          <w:szCs w:val="24"/>
        </w:rPr>
        <w:t>величение статус риск-менеджмента на организационном уровне</w:t>
      </w:r>
      <w:r w:rsidR="005B7E16" w:rsidRPr="00E07413">
        <w:rPr>
          <w:rFonts w:ascii="Times New Roman" w:hAnsi="Times New Roman" w:cs="Times New Roman"/>
          <w:sz w:val="24"/>
          <w:szCs w:val="24"/>
        </w:rPr>
        <w:t>;</w:t>
      </w:r>
      <w:r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="005B7E16" w:rsidRPr="00E07413">
        <w:rPr>
          <w:rFonts w:ascii="Times New Roman" w:hAnsi="Times New Roman" w:cs="Times New Roman"/>
          <w:sz w:val="24"/>
          <w:szCs w:val="24"/>
        </w:rPr>
        <w:t>необходимость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полномасштабной стратегии управления рисками в отношении технической, экономической, политической, правовой и экологической составляющей риска</w:t>
      </w:r>
      <w:r w:rsidR="004C2DCC" w:rsidRPr="00E07413">
        <w:rPr>
          <w:rFonts w:ascii="Times New Roman" w:hAnsi="Times New Roman" w:cs="Times New Roman"/>
          <w:sz w:val="24"/>
          <w:szCs w:val="24"/>
        </w:rPr>
        <w:t>; в</w:t>
      </w:r>
      <w:r w:rsidRPr="00E07413">
        <w:rPr>
          <w:rFonts w:ascii="Times New Roman" w:hAnsi="Times New Roman" w:cs="Times New Roman"/>
          <w:sz w:val="24"/>
          <w:szCs w:val="24"/>
        </w:rPr>
        <w:t>озможность привлечения западных  пар</w:t>
      </w:r>
      <w:r w:rsidRPr="00E07413">
        <w:rPr>
          <w:rFonts w:ascii="Times New Roman" w:hAnsi="Times New Roman" w:cs="Times New Roman"/>
          <w:sz w:val="24"/>
          <w:szCs w:val="24"/>
        </w:rPr>
        <w:t>т</w:t>
      </w:r>
      <w:r w:rsidRPr="00E07413">
        <w:rPr>
          <w:rFonts w:ascii="Times New Roman" w:hAnsi="Times New Roman" w:cs="Times New Roman"/>
          <w:sz w:val="24"/>
          <w:szCs w:val="24"/>
        </w:rPr>
        <w:t>неров в отечественный  инвестиционный процесс вынуждает  российские компании испол</w:t>
      </w:r>
      <w:r w:rsidRPr="00E07413">
        <w:rPr>
          <w:rFonts w:ascii="Times New Roman" w:hAnsi="Times New Roman" w:cs="Times New Roman"/>
          <w:sz w:val="24"/>
          <w:szCs w:val="24"/>
        </w:rPr>
        <w:t>ь</w:t>
      </w:r>
      <w:r w:rsidRPr="00E07413">
        <w:rPr>
          <w:rFonts w:ascii="Times New Roman" w:hAnsi="Times New Roman" w:cs="Times New Roman"/>
          <w:sz w:val="24"/>
          <w:szCs w:val="24"/>
        </w:rPr>
        <w:t>зовать для  оценки инвестиционных</w:t>
      </w:r>
      <w:r w:rsidRPr="00E07413">
        <w:rPr>
          <w:rFonts w:ascii="Times New Roman" w:hAnsi="Times New Roman" w:cs="Times New Roman"/>
          <w:sz w:val="24"/>
          <w:szCs w:val="24"/>
        </w:rPr>
        <w:tab/>
        <w:t>проектов весь  спектр рисков, методы управления которыми приемлемы в международной практике.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Данный процесс требует перестройки всех уровней корпоративного управления с целью создания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риск-ориентированной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модели корп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ративного управления.</w:t>
      </w:r>
    </w:p>
    <w:p w:rsidR="006B7448" w:rsidRPr="00E07413" w:rsidRDefault="006B7448" w:rsidP="00E07413">
      <w:pPr>
        <w:pStyle w:val="a4"/>
        <w:spacing w:before="0" w:after="0" w:line="360" w:lineRule="auto"/>
        <w:ind w:firstLine="709"/>
        <w:jc w:val="both"/>
      </w:pPr>
      <w:r w:rsidRPr="00E07413">
        <w:t xml:space="preserve">Репутация, а значит  и интерес со стороны клиентов, потенциальных инвесторов, </w:t>
      </w:r>
      <w:proofErr w:type="spellStart"/>
      <w:r w:rsidRPr="00E07413">
        <w:t>стейкхолдеров</w:t>
      </w:r>
      <w:proofErr w:type="spellEnd"/>
      <w:r w:rsidRPr="00E07413">
        <w:t xml:space="preserve"> компании  напрямую зависит от организации качественного и эффективного корпоративного управления, соответствующего самым современным стандартам    управл</w:t>
      </w:r>
      <w:r w:rsidRPr="00E07413">
        <w:t>е</w:t>
      </w:r>
      <w:r w:rsidRPr="00E07413">
        <w:t xml:space="preserve">ния и включающего в себя все возможные аспекты </w:t>
      </w:r>
      <w:proofErr w:type="spellStart"/>
      <w:r w:rsidRPr="00E07413">
        <w:t>менеджериальных</w:t>
      </w:r>
      <w:proofErr w:type="spellEnd"/>
      <w:r w:rsidRPr="00E07413">
        <w:t xml:space="preserve"> </w:t>
      </w:r>
      <w:r w:rsidR="0030743B">
        <w:t>методик</w:t>
      </w:r>
      <w:r w:rsidRPr="00E07413">
        <w:t>.</w:t>
      </w:r>
    </w:p>
    <w:p w:rsidR="006B7448" w:rsidRPr="00E07413" w:rsidRDefault="006B7448" w:rsidP="00E07413">
      <w:pPr>
        <w:pStyle w:val="a4"/>
        <w:spacing w:before="0" w:after="0" w:line="360" w:lineRule="auto"/>
        <w:ind w:firstLine="709"/>
        <w:jc w:val="both"/>
        <w:rPr>
          <w:bCs/>
        </w:rPr>
      </w:pPr>
      <w:r w:rsidRPr="00E07413">
        <w:lastRenderedPageBreak/>
        <w:t>Современная концепция корпоративного управления в компаниях реального сектора экономики, равно как и в любых коммерческих организациях, объединяет усилия аудиторов и директоров и направлена не на снижения уровня риска, а  на формирование потенциала р</w:t>
      </w:r>
      <w:r w:rsidRPr="00E07413">
        <w:t>о</w:t>
      </w:r>
      <w:r w:rsidRPr="00E07413">
        <w:t>ста стоимости компании с учетом риска</w:t>
      </w:r>
      <w:r w:rsidRPr="00E07413">
        <w:rPr>
          <w:bCs/>
        </w:rPr>
        <w:t>. Таким образом, современное корпоративное упра</w:t>
      </w:r>
      <w:r w:rsidRPr="00E07413">
        <w:rPr>
          <w:bCs/>
        </w:rPr>
        <w:t>в</w:t>
      </w:r>
      <w:r w:rsidRPr="00E07413">
        <w:rPr>
          <w:bCs/>
        </w:rPr>
        <w:t>ление компании должно быть  организовано таким образом, чтобы заставить работать на с</w:t>
      </w:r>
      <w:r w:rsidRPr="00E07413">
        <w:rPr>
          <w:bCs/>
        </w:rPr>
        <w:t>е</w:t>
      </w:r>
      <w:r w:rsidRPr="00E07413">
        <w:rPr>
          <w:bCs/>
        </w:rPr>
        <w:t>бя все возможные риски, присущие его основной деятельности.</w:t>
      </w:r>
    </w:p>
    <w:p w:rsidR="006B7448" w:rsidRPr="00E07413" w:rsidRDefault="006B7448" w:rsidP="00E07413">
      <w:pPr>
        <w:pStyle w:val="a4"/>
        <w:spacing w:before="0" w:after="0" w:line="360" w:lineRule="auto"/>
        <w:ind w:firstLine="709"/>
        <w:jc w:val="both"/>
        <w:rPr>
          <w:bCs/>
        </w:rPr>
      </w:pPr>
      <w:r w:rsidRPr="00E07413">
        <w:rPr>
          <w:bCs/>
        </w:rPr>
        <w:t>Существуют ключевые принципы организации эффективного корпоративного упра</w:t>
      </w:r>
      <w:r w:rsidRPr="00E07413">
        <w:rPr>
          <w:bCs/>
        </w:rPr>
        <w:t>в</w:t>
      </w:r>
      <w:r w:rsidRPr="00E07413">
        <w:rPr>
          <w:bCs/>
        </w:rPr>
        <w:t>ления, основываясь на которые, руководство добивается хороших результатов: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Ключевые компетенции: компания должна  иметь в штате  сотрудников, кот</w:t>
      </w:r>
      <w:r w:rsidRPr="00E07413">
        <w:rPr>
          <w:bCs/>
        </w:rPr>
        <w:t>о</w:t>
      </w:r>
      <w:r w:rsidRPr="00E07413">
        <w:rPr>
          <w:bCs/>
        </w:rPr>
        <w:t>рые обладают достаточными знаниями, компетенциями и опытом для решения возложенных на них задач;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Ресурсы и процессы: компания должна  обладать достаточным объемом ресу</w:t>
      </w:r>
      <w:r w:rsidRPr="00E07413">
        <w:rPr>
          <w:bCs/>
        </w:rPr>
        <w:t>р</w:t>
      </w:r>
      <w:r w:rsidRPr="00E07413">
        <w:rPr>
          <w:bCs/>
        </w:rPr>
        <w:t>сов или возможностью их мобилизации с целью реализации все текущих и стратегических задач, а так же сохранения финансовой независимости, ликвидности и платежеспособности;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Непрерывность образования и развития. Данный принцип предполагает  нал</w:t>
      </w:r>
      <w:r w:rsidRPr="00E07413">
        <w:rPr>
          <w:bCs/>
        </w:rPr>
        <w:t>и</w:t>
      </w:r>
      <w:r w:rsidRPr="00E07413">
        <w:rPr>
          <w:bCs/>
        </w:rPr>
        <w:t>чие возможности  ключевых и рядовых сотрудников осуществлять непрерывное  повышение  квалификации в соответствии с поставленными перед ними задачами;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Компенсации и вознаграждения: оплата труда сотрудников происходит аде</w:t>
      </w:r>
      <w:r w:rsidRPr="00E07413">
        <w:rPr>
          <w:bCs/>
        </w:rPr>
        <w:t>к</w:t>
      </w:r>
      <w:r w:rsidRPr="00E07413">
        <w:rPr>
          <w:bCs/>
        </w:rPr>
        <w:t>ватно затраченным усилиям и получаемым банком доходам;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Независимость ключевых сторон, таких как внутренний аудит и управление рисками.  Данные отделы подчиняются непосредственно руководству, в противном случае могут возникнуть ситуации, когда  отделы будут негативно воздействовать друг на друга;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Риск-аппетит. Компания  должна  заранее определить уровень для каждого в</w:t>
      </w:r>
      <w:r w:rsidRPr="00E07413">
        <w:rPr>
          <w:bCs/>
        </w:rPr>
        <w:t>и</w:t>
      </w:r>
      <w:r w:rsidRPr="00E07413">
        <w:rPr>
          <w:bCs/>
        </w:rPr>
        <w:t>да риска, в пределах которого  он может принимать управленческие решения. Риск-аппетит должен быть  измеряем для дальнейшего каскадирования этого показателя на все отделы;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Регулярное проведение внешних проверок работы инвестиционного банка с целью определения  эффективных и целесообразных направлений деятельности;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Четкость и иерархия ответственности:  обязанности ключевых и рядовых с</w:t>
      </w:r>
      <w:r w:rsidRPr="00E07413">
        <w:rPr>
          <w:bCs/>
        </w:rPr>
        <w:t>о</w:t>
      </w:r>
      <w:r w:rsidRPr="00E07413">
        <w:rPr>
          <w:bCs/>
        </w:rPr>
        <w:t>трудников на всех уровнях должны быть четко определены;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Раскрытие информации и прозрачность бизнеса;</w:t>
      </w:r>
    </w:p>
    <w:p w:rsidR="006B7448" w:rsidRPr="00E07413" w:rsidRDefault="006B7448" w:rsidP="00E07413">
      <w:pPr>
        <w:pStyle w:val="a4"/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bCs/>
        </w:rPr>
      </w:pPr>
      <w:r w:rsidRPr="00E07413">
        <w:rPr>
          <w:bCs/>
        </w:rPr>
        <w:t>Надежность  и честность ключевых фигур.</w:t>
      </w:r>
    </w:p>
    <w:p w:rsidR="006B7448" w:rsidRPr="00E07413" w:rsidRDefault="006B7448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Корпоративное управление, организованное в соответствии с данными принципами, позволит сформировать конкурентоспособное предприятие с репутацией  надежного партн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 xml:space="preserve">ра. Большинство указанных принципов реализовано в существующих стандартах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, которые и стоит  учитывать  при организации корпоративного управления в </w:t>
      </w:r>
      <w:r w:rsidRPr="00E07413">
        <w:rPr>
          <w:rFonts w:ascii="Times New Roman" w:hAnsi="Times New Roman" w:cs="Times New Roman"/>
          <w:sz w:val="24"/>
          <w:szCs w:val="24"/>
        </w:rPr>
        <w:lastRenderedPageBreak/>
        <w:t>компании. Данные стандарты направлены на избежание формирования   кризисной ситуации в компании, которая нарушит  ее устойчивую работу и может спровоцировать уход осно</w:t>
      </w:r>
      <w:r w:rsidRPr="00E07413">
        <w:rPr>
          <w:rFonts w:ascii="Times New Roman" w:hAnsi="Times New Roman" w:cs="Times New Roman"/>
          <w:sz w:val="24"/>
          <w:szCs w:val="24"/>
        </w:rPr>
        <w:t>в</w:t>
      </w:r>
      <w:r w:rsidRPr="00E07413">
        <w:rPr>
          <w:rFonts w:ascii="Times New Roman" w:hAnsi="Times New Roman" w:cs="Times New Roman"/>
          <w:sz w:val="24"/>
          <w:szCs w:val="24"/>
        </w:rPr>
        <w:t>ных клиентов, контрагентов и даже ключевых фигур менеджмента.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448" w:rsidRPr="00E07413" w:rsidRDefault="006B7448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стандарты в большинстве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 внутренними аудиторами и в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ведущих  фондовых бирж. Однако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других компаний, целью которых в настоящий момент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</w:rPr>
        <w:t>является не столько ра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мещение акций лил</w:t>
      </w:r>
      <w:proofErr w:type="gramEnd"/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облигаций на бирже,  желание повысить эффективность внутренних би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нес процессов. Для таких компаний методология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будет направленная не  столько на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 внешним регламентам, сколько на  внедрение процессов внутре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него контроля, ориентированного на стратегическое развитие и наращение стоимости орг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низации, а так же на 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управление следующими показателями с учетом риска: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NOPAT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FCF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Market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Value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Value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Carrying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>Value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Предпочтения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риском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продемонстрированы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рис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23435" w:rsidRPr="00E0741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958E3" w:rsidRPr="00E07413" w:rsidRDefault="001958E3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E3" w:rsidRPr="00E07413" w:rsidRDefault="001958E3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C0320" wp14:editId="21F0BE6A">
            <wp:extent cx="4911047" cy="2321960"/>
            <wp:effectExtent l="0" t="0" r="2349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3435" w:rsidRPr="00E07413" w:rsidRDefault="00D23435" w:rsidP="00E0741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</w:pPr>
      <w:r w:rsidRPr="00E0741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Source</w:t>
      </w:r>
      <w:r w:rsidRPr="00E07413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: </w:t>
      </w:r>
      <w:r w:rsidRPr="00E074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Market Risk Management at Russian Power Companies. – www.kpmg.com</w:t>
      </w:r>
    </w:p>
    <w:p w:rsidR="00D23435" w:rsidRPr="00E07413" w:rsidRDefault="00D23435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8E3" w:rsidRPr="00E07413" w:rsidRDefault="001958E3" w:rsidP="00E07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Рис. 1. </w:t>
      </w:r>
      <w:r w:rsidR="00437059" w:rsidRPr="00E07413">
        <w:rPr>
          <w:rFonts w:ascii="Times New Roman" w:hAnsi="Times New Roman" w:cs="Times New Roman"/>
          <w:sz w:val="24"/>
          <w:szCs w:val="24"/>
        </w:rPr>
        <w:t>Предпочтения менеджмента при выборе показателя под риском</w:t>
      </w:r>
    </w:p>
    <w:p w:rsidR="006B7448" w:rsidRPr="00E07413" w:rsidRDefault="006B7448" w:rsidP="00E07413">
      <w:pPr>
        <w:pStyle w:val="a4"/>
        <w:spacing w:before="0" w:after="0" w:line="360" w:lineRule="auto"/>
        <w:ind w:firstLine="709"/>
        <w:jc w:val="both"/>
      </w:pPr>
      <w:r w:rsidRPr="00E07413">
        <w:t xml:space="preserve">  В первую очередь это относится к  требованиям достаточности капитала, наличие лицензии, наличие аттестованного государством персонала, а так же наличие  хорошо п</w:t>
      </w:r>
      <w:r w:rsidRPr="00E07413">
        <w:t>о</w:t>
      </w:r>
      <w:r w:rsidRPr="00E07413">
        <w:t>ставленных систем учета, внутреннего контроля,  системы управления  рисками и конфли</w:t>
      </w:r>
      <w:r w:rsidRPr="00E07413">
        <w:t>к</w:t>
      </w:r>
      <w:r w:rsidRPr="00E07413">
        <w:t>тами интересов.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Очевидно, что снизить  корпоративные риски до нуля невозможно</w:t>
      </w:r>
      <w:r w:rsidR="00D23435" w:rsidRPr="00E07413">
        <w:rPr>
          <w:rFonts w:ascii="Times New Roman" w:hAnsi="Times New Roman" w:cs="Times New Roman"/>
          <w:sz w:val="24"/>
          <w:szCs w:val="24"/>
        </w:rPr>
        <w:t xml:space="preserve"> и зачастую </w:t>
      </w:r>
      <w:r w:rsidR="001F0662" w:rsidRPr="00E07413">
        <w:rPr>
          <w:rFonts w:ascii="Times New Roman" w:hAnsi="Times New Roman" w:cs="Times New Roman"/>
          <w:sz w:val="24"/>
          <w:szCs w:val="24"/>
        </w:rPr>
        <w:t xml:space="preserve">это </w:t>
      </w:r>
      <w:r w:rsidR="00D23435" w:rsidRPr="00E07413">
        <w:rPr>
          <w:rFonts w:ascii="Times New Roman" w:hAnsi="Times New Roman" w:cs="Times New Roman"/>
          <w:sz w:val="24"/>
          <w:szCs w:val="24"/>
        </w:rPr>
        <w:t xml:space="preserve">не является основной целью </w:t>
      </w:r>
      <w:proofErr w:type="gramStart"/>
      <w:r w:rsidR="00D23435" w:rsidRPr="00E07413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="00D23435" w:rsidRPr="00E07413">
        <w:rPr>
          <w:rFonts w:ascii="Times New Roman" w:hAnsi="Times New Roman" w:cs="Times New Roman"/>
          <w:sz w:val="24"/>
          <w:szCs w:val="24"/>
        </w:rPr>
        <w:t xml:space="preserve"> в компании. Помимо этого,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приближение к н</w:t>
      </w:r>
      <w:r w:rsidRPr="00E07413">
        <w:rPr>
          <w:rFonts w:ascii="Times New Roman" w:hAnsi="Times New Roman" w:cs="Times New Roman"/>
          <w:sz w:val="24"/>
          <w:szCs w:val="24"/>
        </w:rPr>
        <w:t>у</w:t>
      </w:r>
      <w:r w:rsidRPr="00E07413">
        <w:rPr>
          <w:rFonts w:ascii="Times New Roman" w:hAnsi="Times New Roman" w:cs="Times New Roman"/>
          <w:sz w:val="24"/>
          <w:szCs w:val="24"/>
        </w:rPr>
        <w:t xml:space="preserve">левому значению требует высоких затрат на мероприятия по элиминированию рисков. </w:t>
      </w:r>
      <w:r w:rsidR="00662684" w:rsidRPr="00E07413">
        <w:rPr>
          <w:rFonts w:ascii="Times New Roman" w:hAnsi="Times New Roman" w:cs="Times New Roman"/>
          <w:sz w:val="24"/>
          <w:szCs w:val="24"/>
        </w:rPr>
        <w:t>Сл</w:t>
      </w:r>
      <w:r w:rsidR="00662684" w:rsidRPr="00E07413">
        <w:rPr>
          <w:rFonts w:ascii="Times New Roman" w:hAnsi="Times New Roman" w:cs="Times New Roman"/>
          <w:sz w:val="24"/>
          <w:szCs w:val="24"/>
        </w:rPr>
        <w:t>е</w:t>
      </w:r>
      <w:r w:rsidR="00662684" w:rsidRPr="00E07413">
        <w:rPr>
          <w:rFonts w:ascii="Times New Roman" w:hAnsi="Times New Roman" w:cs="Times New Roman"/>
          <w:sz w:val="24"/>
          <w:szCs w:val="24"/>
        </w:rPr>
        <w:t>довательно,</w:t>
      </w:r>
      <w:r w:rsidRPr="00E07413">
        <w:rPr>
          <w:rFonts w:ascii="Times New Roman" w:hAnsi="Times New Roman" w:cs="Times New Roman"/>
          <w:sz w:val="24"/>
          <w:szCs w:val="24"/>
        </w:rPr>
        <w:t xml:space="preserve"> необходимо выбирать наиболее оптимальный  компромиссный вариант соотн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шения «риск-доходность» и выбор этот обусловлен  конкретными стратегиями компании.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lastRenderedPageBreak/>
        <w:t xml:space="preserve">На практике, возникновение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как новой философии  стратегическ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го управления в бизнесе приходиться на середину 1990</w:t>
      </w:r>
      <w:r w:rsidR="00584EF3" w:rsidRPr="00E07413">
        <w:rPr>
          <w:rFonts w:ascii="Times New Roman" w:hAnsi="Times New Roman" w:cs="Times New Roman"/>
          <w:sz w:val="24"/>
          <w:szCs w:val="24"/>
        </w:rPr>
        <w:t>-</w:t>
      </w:r>
      <w:r w:rsidRPr="00E07413">
        <w:rPr>
          <w:rFonts w:ascii="Times New Roman" w:hAnsi="Times New Roman" w:cs="Times New Roman"/>
          <w:sz w:val="24"/>
          <w:szCs w:val="24"/>
        </w:rPr>
        <w:t xml:space="preserve">ых годов. </w:t>
      </w:r>
      <w:r w:rsidR="00662684" w:rsidRPr="00E07413">
        <w:rPr>
          <w:rFonts w:ascii="Times New Roman" w:hAnsi="Times New Roman" w:cs="Times New Roman"/>
          <w:sz w:val="24"/>
          <w:szCs w:val="24"/>
        </w:rPr>
        <w:t>Р</w:t>
      </w:r>
      <w:r w:rsidRPr="00E07413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условно можно поделить на три этапа: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 риск-менеджмент </w:t>
      </w:r>
      <w:r w:rsidRPr="00E07413">
        <w:rPr>
          <w:rFonts w:ascii="Times New Roman" w:hAnsi="Times New Roman" w:cs="Times New Roman"/>
          <w:sz w:val="24"/>
          <w:szCs w:val="24"/>
        </w:rPr>
        <w:t>в качестве функции отдела стратегического управления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; </w:t>
      </w:r>
      <w:r w:rsidRPr="00E07413">
        <w:rPr>
          <w:rFonts w:ascii="Times New Roman" w:hAnsi="Times New Roman" w:cs="Times New Roman"/>
          <w:sz w:val="24"/>
          <w:szCs w:val="24"/>
        </w:rPr>
        <w:t>применение подхода «снизу-вверх», при котором  все виды рисков  управлялись отдельно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; </w:t>
      </w:r>
      <w:r w:rsidRPr="00E07413">
        <w:rPr>
          <w:rFonts w:ascii="Times New Roman" w:hAnsi="Times New Roman" w:cs="Times New Roman"/>
          <w:sz w:val="24"/>
          <w:szCs w:val="24"/>
        </w:rPr>
        <w:t>комплексн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ая </w:t>
      </w:r>
      <w:r w:rsidRPr="00E07413">
        <w:rPr>
          <w:rFonts w:ascii="Times New Roman" w:hAnsi="Times New Roman" w:cs="Times New Roman"/>
          <w:sz w:val="24"/>
          <w:szCs w:val="24"/>
        </w:rPr>
        <w:t>систем</w:t>
      </w:r>
      <w:r w:rsidR="0040301D"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 xml:space="preserve"> корпоративного управления ри</w:t>
      </w:r>
      <w:r w:rsidRPr="00E07413">
        <w:rPr>
          <w:rFonts w:ascii="Times New Roman" w:hAnsi="Times New Roman" w:cs="Times New Roman"/>
          <w:sz w:val="24"/>
          <w:szCs w:val="24"/>
        </w:rPr>
        <w:t>с</w:t>
      </w:r>
      <w:r w:rsidRPr="00E07413">
        <w:rPr>
          <w:rFonts w:ascii="Times New Roman" w:hAnsi="Times New Roman" w:cs="Times New Roman"/>
          <w:sz w:val="24"/>
          <w:szCs w:val="24"/>
        </w:rPr>
        <w:t>ками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2684" w:rsidRPr="00E07413">
        <w:rPr>
          <w:rFonts w:ascii="Times New Roman" w:hAnsi="Times New Roman" w:cs="Times New Roman"/>
          <w:sz w:val="24"/>
          <w:szCs w:val="24"/>
        </w:rPr>
        <w:t>П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рименение комплексной системы дает </w:t>
      </w:r>
      <w:r w:rsidRPr="00E07413">
        <w:rPr>
          <w:rFonts w:ascii="Times New Roman" w:hAnsi="Times New Roman" w:cs="Times New Roman"/>
          <w:sz w:val="24"/>
          <w:szCs w:val="24"/>
        </w:rPr>
        <w:t>возможн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E07413">
        <w:rPr>
          <w:rFonts w:ascii="Times New Roman" w:hAnsi="Times New Roman" w:cs="Times New Roman"/>
          <w:sz w:val="24"/>
          <w:szCs w:val="24"/>
        </w:rPr>
        <w:t xml:space="preserve">  получить сопоставимые оценки  по всем видам риска и агрегировать их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, так как: </w:t>
      </w:r>
      <w:r w:rsidRPr="00E07413">
        <w:rPr>
          <w:rFonts w:ascii="Times New Roman" w:hAnsi="Times New Roman" w:cs="Times New Roman"/>
          <w:sz w:val="24"/>
          <w:szCs w:val="24"/>
        </w:rPr>
        <w:t>един</w:t>
      </w:r>
      <w:r w:rsidR="00790EBD" w:rsidRPr="00E07413">
        <w:rPr>
          <w:rFonts w:ascii="Times New Roman" w:hAnsi="Times New Roman" w:cs="Times New Roman"/>
          <w:sz w:val="24"/>
          <w:szCs w:val="24"/>
        </w:rPr>
        <w:t>ое</w:t>
      </w:r>
      <w:r w:rsidRPr="00E07413">
        <w:rPr>
          <w:rFonts w:ascii="Times New Roman" w:hAnsi="Times New Roman" w:cs="Times New Roman"/>
          <w:sz w:val="24"/>
          <w:szCs w:val="24"/>
        </w:rPr>
        <w:t xml:space="preserve"> хранилищ</w:t>
      </w:r>
      <w:r w:rsidR="00790EBD"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790EBD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содержит согл</w:t>
      </w:r>
      <w:r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>сованную и преобразованную информацию об открытых позициях и рыночных данных;</w:t>
      </w:r>
      <w:r w:rsidR="00790EBD" w:rsidRPr="00E07413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E07413">
        <w:rPr>
          <w:rFonts w:ascii="Times New Roman" w:hAnsi="Times New Roman" w:cs="Times New Roman"/>
          <w:sz w:val="24"/>
          <w:szCs w:val="24"/>
        </w:rPr>
        <w:t>компромисс между моделями для отдельных видов рисков и моделью общего, интегрированного риска;</w:t>
      </w:r>
      <w:r w:rsidR="00790EBD" w:rsidRPr="00E07413">
        <w:rPr>
          <w:rFonts w:ascii="Times New Roman" w:hAnsi="Times New Roman" w:cs="Times New Roman"/>
          <w:sz w:val="24"/>
          <w:szCs w:val="24"/>
        </w:rPr>
        <w:t xml:space="preserve"> внедряется</w:t>
      </w:r>
      <w:r w:rsidRPr="00E074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90EBD"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>, способ</w:t>
      </w:r>
      <w:r w:rsidR="00790EBD" w:rsidRPr="00E07413">
        <w:rPr>
          <w:rFonts w:ascii="Times New Roman" w:hAnsi="Times New Roman" w:cs="Times New Roman"/>
          <w:sz w:val="24"/>
          <w:szCs w:val="24"/>
        </w:rPr>
        <w:t>ная</w:t>
      </w:r>
      <w:r w:rsidRPr="00E07413">
        <w:rPr>
          <w:rFonts w:ascii="Times New Roman" w:hAnsi="Times New Roman" w:cs="Times New Roman"/>
          <w:sz w:val="24"/>
          <w:szCs w:val="24"/>
        </w:rPr>
        <w:t xml:space="preserve"> анализировать различные факторы риска в единой  интегрированной и согласованной среде.</w:t>
      </w:r>
      <w:proofErr w:type="gramEnd"/>
    </w:p>
    <w:p w:rsidR="004604BB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413">
        <w:rPr>
          <w:rFonts w:ascii="Times New Roman" w:hAnsi="Times New Roman" w:cs="Times New Roman"/>
          <w:sz w:val="24"/>
          <w:szCs w:val="24"/>
        </w:rPr>
        <w:t>Данный подход представлен в корпоративном риск-менеджменте  (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>ERM</w:t>
      </w:r>
      <w:r w:rsidRPr="00E07413">
        <w:rPr>
          <w:rFonts w:ascii="Times New Roman" w:hAnsi="Times New Roman" w:cs="Times New Roman"/>
          <w:sz w:val="24"/>
          <w:szCs w:val="24"/>
        </w:rPr>
        <w:t>) или инт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грированном управлением риск</w:t>
      </w:r>
      <w:r w:rsidR="000868DE" w:rsidRPr="00E07413">
        <w:rPr>
          <w:rFonts w:ascii="Times New Roman" w:hAnsi="Times New Roman" w:cs="Times New Roman"/>
          <w:sz w:val="24"/>
          <w:szCs w:val="24"/>
        </w:rPr>
        <w:t>ом</w:t>
      </w:r>
      <w:r w:rsidRPr="00E07413">
        <w:rPr>
          <w:rFonts w:ascii="Times New Roman" w:hAnsi="Times New Roman" w:cs="Times New Roman"/>
          <w:sz w:val="24"/>
          <w:szCs w:val="24"/>
        </w:rPr>
        <w:t xml:space="preserve"> на уровне  всей организации.</w:t>
      </w:r>
      <w:proofErr w:type="gramEnd"/>
      <w:r w:rsidR="0040301D" w:rsidRPr="00E07413">
        <w:rPr>
          <w:rFonts w:ascii="Times New Roman" w:hAnsi="Times New Roman" w:cs="Times New Roman"/>
          <w:sz w:val="24"/>
          <w:szCs w:val="24"/>
        </w:rPr>
        <w:t xml:space="preserve"> Однако </w:t>
      </w:r>
      <w:r w:rsidRPr="00E07413">
        <w:rPr>
          <w:rFonts w:ascii="Times New Roman" w:hAnsi="Times New Roman" w:cs="Times New Roman"/>
          <w:sz w:val="24"/>
          <w:szCs w:val="24"/>
        </w:rPr>
        <w:t>необходимость</w:t>
      </w:r>
      <w:r w:rsidR="0040301D" w:rsidRPr="00E07413">
        <w:rPr>
          <w:rFonts w:ascii="Times New Roman" w:hAnsi="Times New Roman" w:cs="Times New Roman"/>
          <w:sz w:val="24"/>
          <w:szCs w:val="24"/>
        </w:rPr>
        <w:t xml:space="preserve"> от</w:t>
      </w:r>
      <w:r w:rsidR="0040301D" w:rsidRPr="00E07413">
        <w:rPr>
          <w:rFonts w:ascii="Times New Roman" w:hAnsi="Times New Roman" w:cs="Times New Roman"/>
          <w:sz w:val="24"/>
          <w:szCs w:val="24"/>
        </w:rPr>
        <w:t>е</w:t>
      </w:r>
      <w:r w:rsidR="0040301D" w:rsidRPr="00E07413">
        <w:rPr>
          <w:rFonts w:ascii="Times New Roman" w:hAnsi="Times New Roman" w:cs="Times New Roman"/>
          <w:sz w:val="24"/>
          <w:szCs w:val="24"/>
        </w:rPr>
        <w:t>чественных компаний</w:t>
      </w:r>
      <w:r w:rsidRPr="00E07413">
        <w:rPr>
          <w:rFonts w:ascii="Times New Roman" w:hAnsi="Times New Roman" w:cs="Times New Roman"/>
          <w:sz w:val="24"/>
          <w:szCs w:val="24"/>
        </w:rPr>
        <w:t xml:space="preserve"> соответствовать западным стандартам и  внедрять  в свою работу и</w:t>
      </w:r>
      <w:r w:rsidRPr="00E07413">
        <w:rPr>
          <w:rFonts w:ascii="Times New Roman" w:hAnsi="Times New Roman" w:cs="Times New Roman"/>
          <w:sz w:val="24"/>
          <w:szCs w:val="24"/>
        </w:rPr>
        <w:t>н</w:t>
      </w:r>
      <w:r w:rsidRPr="00E07413">
        <w:rPr>
          <w:rFonts w:ascii="Times New Roman" w:hAnsi="Times New Roman" w:cs="Times New Roman"/>
          <w:sz w:val="24"/>
          <w:szCs w:val="24"/>
        </w:rPr>
        <w:t>тегрированные системы управления рисками</w:t>
      </w:r>
      <w:r w:rsidR="004604BB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процесс длительный и весьма трудоемкий, так как менеджмент компаний зачастую не обладает развитым инструментарием, информацио</w:t>
      </w:r>
      <w:r w:rsidRPr="00E07413">
        <w:rPr>
          <w:rFonts w:ascii="Times New Roman" w:hAnsi="Times New Roman" w:cs="Times New Roman"/>
          <w:sz w:val="24"/>
          <w:szCs w:val="24"/>
        </w:rPr>
        <w:t>н</w:t>
      </w:r>
      <w:r w:rsidRPr="00E07413">
        <w:rPr>
          <w:rFonts w:ascii="Times New Roman" w:hAnsi="Times New Roman" w:cs="Times New Roman"/>
          <w:sz w:val="24"/>
          <w:szCs w:val="24"/>
        </w:rPr>
        <w:t>ным и материальным обеспечением для внедрения систем управления риском в работу</w:t>
      </w:r>
      <w:r w:rsidR="004604BB" w:rsidRPr="00E07413">
        <w:rPr>
          <w:rFonts w:ascii="Times New Roman" w:hAnsi="Times New Roman" w:cs="Times New Roman"/>
          <w:sz w:val="24"/>
          <w:szCs w:val="24"/>
        </w:rPr>
        <w:t xml:space="preserve"> в с</w:t>
      </w:r>
      <w:r w:rsidR="004604BB" w:rsidRPr="00E07413">
        <w:rPr>
          <w:rFonts w:ascii="Times New Roman" w:hAnsi="Times New Roman" w:cs="Times New Roman"/>
          <w:sz w:val="24"/>
          <w:szCs w:val="24"/>
        </w:rPr>
        <w:t>и</w:t>
      </w:r>
      <w:r w:rsidR="004604BB" w:rsidRPr="00E07413">
        <w:rPr>
          <w:rFonts w:ascii="Times New Roman" w:hAnsi="Times New Roman" w:cs="Times New Roman"/>
          <w:sz w:val="24"/>
          <w:szCs w:val="24"/>
        </w:rPr>
        <w:t xml:space="preserve">лу следующих причин: </w:t>
      </w:r>
    </w:p>
    <w:p w:rsidR="004604BB" w:rsidRPr="00E07413" w:rsidRDefault="00142411" w:rsidP="00E074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Отсутствие нормативного и методического обеспечения  риск менеджмента внутри компании, которое должно стать основой долгосрочной политики управления риск</w:t>
      </w:r>
      <w:r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0868DE" w:rsidRPr="00E07413" w:rsidRDefault="00142411" w:rsidP="00E074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Нехватка квалифицированных риск менеджеров  и сотрудников, имеющих опыт  и необходимое образование  по управлению рисками.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 Консалтинговый рынок  РФ пр</w:t>
      </w:r>
      <w:r w:rsidR="000868DE" w:rsidRPr="00E07413">
        <w:rPr>
          <w:rFonts w:ascii="Times New Roman" w:hAnsi="Times New Roman" w:cs="Times New Roman"/>
          <w:sz w:val="24"/>
          <w:szCs w:val="24"/>
        </w:rPr>
        <w:t>е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имущественно представлен  тремя группами «брендовых» консультантов: 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Marsh</w:t>
      </w:r>
      <w:r w:rsidR="00C07520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="000868DE" w:rsidRPr="00E07413">
        <w:rPr>
          <w:rFonts w:ascii="Times New Roman" w:hAnsi="Times New Roman" w:cs="Times New Roman"/>
          <w:sz w:val="24"/>
          <w:szCs w:val="24"/>
        </w:rPr>
        <w:t>«большая четверка» аудиторов (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KPMG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68DE" w:rsidRPr="00E07413">
        <w:rPr>
          <w:rFonts w:ascii="Times New Roman" w:hAnsi="Times New Roman" w:cs="Times New Roman"/>
          <w:sz w:val="24"/>
          <w:szCs w:val="24"/>
        </w:rPr>
        <w:t>&amp;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Deloitte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 &amp; </w:t>
      </w:r>
      <w:r w:rsidR="000868DE" w:rsidRPr="00E07413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), «Большая </w:t>
      </w:r>
      <w:proofErr w:type="spellStart"/>
      <w:proofErr w:type="gramStart"/>
      <w:r w:rsidR="000868DE" w:rsidRPr="00E07413">
        <w:rPr>
          <w:rFonts w:ascii="Times New Roman" w:hAnsi="Times New Roman" w:cs="Times New Roman"/>
          <w:sz w:val="24"/>
          <w:szCs w:val="24"/>
        </w:rPr>
        <w:t>консалтерская</w:t>
      </w:r>
      <w:proofErr w:type="spellEnd"/>
      <w:r w:rsidR="000868DE" w:rsidRPr="00E07413">
        <w:rPr>
          <w:rFonts w:ascii="Times New Roman" w:hAnsi="Times New Roman" w:cs="Times New Roman"/>
          <w:sz w:val="24"/>
          <w:szCs w:val="24"/>
        </w:rPr>
        <w:t xml:space="preserve">  че</w:t>
      </w:r>
      <w:r w:rsidR="000868DE" w:rsidRPr="00E07413">
        <w:rPr>
          <w:rFonts w:ascii="Times New Roman" w:hAnsi="Times New Roman" w:cs="Times New Roman"/>
          <w:sz w:val="24"/>
          <w:szCs w:val="24"/>
        </w:rPr>
        <w:t>т</w:t>
      </w:r>
      <w:r w:rsidR="000868DE" w:rsidRPr="00E07413">
        <w:rPr>
          <w:rFonts w:ascii="Times New Roman" w:hAnsi="Times New Roman" w:cs="Times New Roman"/>
          <w:sz w:val="24"/>
          <w:szCs w:val="24"/>
        </w:rPr>
        <w:t>верка</w:t>
      </w:r>
      <w:proofErr w:type="gramEnd"/>
      <w:r w:rsidR="000868DE" w:rsidRPr="00E0741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0868DE" w:rsidRPr="00E07413">
        <w:rPr>
          <w:rFonts w:ascii="Times New Roman" w:hAnsi="Times New Roman" w:cs="Times New Roman"/>
          <w:sz w:val="24"/>
          <w:szCs w:val="24"/>
        </w:rPr>
        <w:t>Oliver</w:t>
      </w:r>
      <w:proofErr w:type="spellEnd"/>
      <w:r w:rsidR="000868DE" w:rsidRPr="00E0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DE" w:rsidRPr="00E07413">
        <w:rPr>
          <w:rFonts w:ascii="Times New Roman" w:hAnsi="Times New Roman" w:cs="Times New Roman"/>
          <w:sz w:val="24"/>
          <w:szCs w:val="24"/>
        </w:rPr>
        <w:t>Wyman</w:t>
      </w:r>
      <w:proofErr w:type="spellEnd"/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8DE" w:rsidRPr="00E07413">
        <w:rPr>
          <w:rFonts w:ascii="Times New Roman" w:hAnsi="Times New Roman" w:cs="Times New Roman"/>
          <w:sz w:val="24"/>
          <w:szCs w:val="24"/>
        </w:rPr>
        <w:t>McKinsey</w:t>
      </w:r>
      <w:proofErr w:type="spellEnd"/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8DE" w:rsidRPr="00E07413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="000868DE" w:rsidRPr="00E07413">
        <w:rPr>
          <w:rFonts w:ascii="Times New Roman" w:hAnsi="Times New Roman" w:cs="Times New Roman"/>
          <w:sz w:val="24"/>
          <w:szCs w:val="24"/>
        </w:rPr>
        <w:t xml:space="preserve">, BCG). </w:t>
      </w:r>
    </w:p>
    <w:p w:rsidR="000868DE" w:rsidRPr="00E07413" w:rsidRDefault="004604BB" w:rsidP="00E074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Высокие затраты на внедрение.</w:t>
      </w:r>
      <w:r w:rsidR="00142411" w:rsidRPr="00E07413">
        <w:rPr>
          <w:rFonts w:ascii="Times New Roman" w:hAnsi="Times New Roman" w:cs="Times New Roman"/>
          <w:sz w:val="24"/>
          <w:szCs w:val="24"/>
        </w:rPr>
        <w:t xml:space="preserve"> По некоторым оценкам, затраты на внедрение риск менеджмента в работу крупной компании  составляют до 0, 5 мил</w:t>
      </w:r>
      <w:r w:rsidR="000868DE" w:rsidRPr="00E07413">
        <w:rPr>
          <w:rFonts w:ascii="Times New Roman" w:hAnsi="Times New Roman" w:cs="Times New Roman"/>
          <w:sz w:val="24"/>
          <w:szCs w:val="24"/>
        </w:rPr>
        <w:t xml:space="preserve">лиона долларов США. </w:t>
      </w:r>
    </w:p>
    <w:p w:rsidR="00142411" w:rsidRPr="00E07413" w:rsidRDefault="00142411" w:rsidP="00E074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hAnsi="Times New Roman" w:cs="Times New Roman"/>
          <w:sz w:val="24"/>
          <w:szCs w:val="24"/>
        </w:rPr>
        <w:t>В настоящее время, в качестве основы для построения системы управления корпор</w:t>
      </w:r>
      <w:r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>тивными рисками, как правило</w:t>
      </w:r>
      <w:r w:rsidR="00C52316" w:rsidRPr="00E07413">
        <w:rPr>
          <w:rFonts w:ascii="Times New Roman" w:hAnsi="Times New Roman" w:cs="Times New Roman"/>
          <w:sz w:val="24"/>
          <w:szCs w:val="24"/>
        </w:rPr>
        <w:t>,</w:t>
      </w:r>
      <w:r w:rsidRPr="00E07413">
        <w:rPr>
          <w:rFonts w:ascii="Times New Roman" w:hAnsi="Times New Roman" w:cs="Times New Roman"/>
          <w:sz w:val="24"/>
          <w:szCs w:val="24"/>
        </w:rPr>
        <w:t xml:space="preserve"> используется один из действующих стандартов управления рисками</w:t>
      </w:r>
      <w:r w:rsidR="00700BAF" w:rsidRPr="00E07413">
        <w:rPr>
          <w:rFonts w:ascii="Times New Roman" w:hAnsi="Times New Roman" w:cs="Times New Roman"/>
          <w:sz w:val="24"/>
          <w:szCs w:val="24"/>
        </w:rPr>
        <w:t xml:space="preserve">: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управления рисками Австралии и Новой Зеландии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NZS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4360:2004, стандарт управления рисками</w:t>
      </w:r>
      <w:r w:rsidR="0097227A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IRM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AIRMIC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ALARM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27A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рисками организации – интегрированная схема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ERM</w:t>
      </w:r>
      <w:r w:rsidR="0097227A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Базель II</w:t>
      </w:r>
      <w:r w:rsidR="0097227A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2F23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C2F23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="00700B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31010:2009.</w:t>
      </w:r>
      <w:r w:rsidR="00AA77D7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с</w:t>
      </w:r>
      <w:r w:rsidR="009759DC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</w:t>
      </w:r>
      <w:r w:rsidR="009759DC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59DC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целесообразность применения российскими компаниями </w:t>
      </w:r>
      <w:r w:rsidR="009759DC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59DC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9759DC" w:rsidRPr="00E07413" w:rsidRDefault="009759DC" w:rsidP="00E07413">
      <w:pPr>
        <w:pStyle w:val="a3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9759DC" w:rsidRPr="00E07413" w:rsidRDefault="009759DC" w:rsidP="00E07413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действующие стандарты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gramEnd"/>
    </w:p>
    <w:tbl>
      <w:tblPr>
        <w:tblW w:w="9464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619"/>
        <w:gridCol w:w="3685"/>
        <w:gridCol w:w="3544"/>
      </w:tblGrid>
      <w:tr w:rsidR="00AA77D7" w:rsidRPr="00E07413" w:rsidTr="00E07413">
        <w:trPr>
          <w:trHeight w:val="6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59DC" w:rsidRPr="00E07413" w:rsidRDefault="00E07413" w:rsidP="00E0741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ботчик. </w:t>
            </w:r>
          </w:p>
          <w:p w:rsidR="00AA77D7" w:rsidRPr="00E07413" w:rsidRDefault="00AA77D7" w:rsidP="00E0741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прим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стандарта в современных условиях российскими компан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реального сектора</w:t>
            </w:r>
          </w:p>
        </w:tc>
      </w:tr>
      <w:tr w:rsidR="00AA77D7" w:rsidRPr="00E07413" w:rsidTr="00E0741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Austra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ian/New Ze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 Risk Ma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agement Stan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ard. AS/NZS 4360:2004.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437059" w:rsidRPr="00E07413" w:rsidRDefault="00437059" w:rsidP="00E0741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стандарта - определить, выявить источник риска, отследить его развитие и влияние. Стандарт применим как для предприятий, так и для час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лиц. Стандарт содержит о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 рекомендации и не применим для конкретной отрасли или эк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 единице</w:t>
            </w:r>
          </w:p>
          <w:p w:rsidR="00AA77D7" w:rsidRPr="00E07413" w:rsidRDefault="00AA77D7" w:rsidP="00E07413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применение на различных уровнях организации: стратегическом, тактическом и операционном.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  <w:proofErr w:type="gramStart"/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proofErr w:type="gramEnd"/>
            <w:r w:rsidRPr="00E07413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проектах, при поиске необходимых реш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ний и при управлении отдельн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413">
              <w:rPr>
                <w:rFonts w:ascii="Times New Roman" w:hAnsi="Times New Roman" w:cs="Times New Roman"/>
                <w:sz w:val="24"/>
                <w:szCs w:val="24"/>
              </w:rPr>
              <w:t>ми зонами риска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A77D7" w:rsidRPr="00E07413" w:rsidTr="00E0741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7059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Risk </w:t>
            </w:r>
          </w:p>
          <w:p w:rsidR="00437059" w:rsidRPr="00E07413" w:rsidRDefault="00AA77D7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agement </w:t>
            </w:r>
          </w:p>
          <w:p w:rsidR="00AA77D7" w:rsidRPr="00E07413" w:rsidRDefault="00AA77D7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ard. FERMA, 2002.</w:t>
            </w:r>
          </w:p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437059" w:rsidRPr="00E07413" w:rsidRDefault="00437059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для внедр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риск-менеджмента на пре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приятии для специалистов без специальных навыков</w:t>
            </w:r>
            <w:proofErr w:type="gramStart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одержит алгоритм действий, не специал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 под конкретную структ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ру. Требует настройки</w:t>
            </w:r>
          </w:p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обязател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ным, но применяется в целях п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системы управления для внутреннего пользования. Включает в себя требования к раскрытию информации</w:t>
            </w:r>
          </w:p>
        </w:tc>
      </w:tr>
      <w:tr w:rsidR="00AA77D7" w:rsidRPr="00E07413" w:rsidTr="00E0741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prise Risk Management – Integrated Framework. OSO, USA, 2004.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437059" w:rsidRPr="00E07413" w:rsidRDefault="00437059" w:rsidP="00E07413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для использов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внутренними аудиторами, цель которых – вывести компанию на фондовый рынок</w:t>
            </w:r>
            <w:proofErr w:type="gramStart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еприменим без привлечения внешнего спец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алиста</w:t>
            </w:r>
          </w:p>
          <w:p w:rsidR="00AA77D7" w:rsidRPr="00E07413" w:rsidRDefault="00AA77D7" w:rsidP="00E0741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spacing w:after="0" w:line="360" w:lineRule="auto"/>
              <w:ind w:firstLine="6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</w:t>
            </w:r>
            <w:proofErr w:type="gramEnd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комп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намеривается осуществлять размещение ценных бумаг на нью-йоркской фондовой бирже</w:t>
            </w:r>
          </w:p>
        </w:tc>
      </w:tr>
      <w:tr w:rsidR="00AA77D7" w:rsidRPr="00E07413" w:rsidTr="00E0741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Basel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Basel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Committee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Banking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pervision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2004. 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437059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Применяется в банковской сфере. </w:t>
            </w:r>
            <w:r w:rsid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 подразумевает собой формирование резервов к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питала для </w:t>
            </w:r>
            <w:proofErr w:type="gramStart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  <w:proofErr w:type="gramEnd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стандартах видов рисков </w:t>
            </w:r>
          </w:p>
          <w:p w:rsidR="00437059" w:rsidRPr="00E07413" w:rsidRDefault="00437059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437059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приемлем для прим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 реальном секторе эк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номики, так как  излишнее резе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вирование оттягивает финанс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 ресурсы из операционной и инвестиционной деятельности и тормозит процесс  увеличения капитализации компании </w:t>
            </w:r>
          </w:p>
        </w:tc>
      </w:tr>
      <w:tr w:rsidR="00AA77D7" w:rsidRPr="00E07413" w:rsidTr="00E0741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bottom w:w="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31000:2009  «</w:t>
            </w:r>
            <w:proofErr w:type="gramEnd"/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рисков, мет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оценки рисков».</w:t>
            </w:r>
          </w:p>
          <w:p w:rsidR="00AA77D7" w:rsidRPr="00E07413" w:rsidRDefault="00CC2F23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стандарт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77D7"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437059" w:rsidRPr="00E07413" w:rsidRDefault="00437059" w:rsidP="00E07413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последний из пр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нятых стандартов, содержит о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щее  руководство, но не детализ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 перечень мер</w:t>
            </w:r>
          </w:p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D7" w:rsidRPr="00E07413" w:rsidRDefault="00AA77D7" w:rsidP="00E0741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40" w:type="dxa"/>
              <w:right w:w="40" w:type="dxa"/>
            </w:tcMar>
            <w:vAlign w:val="center"/>
          </w:tcPr>
          <w:p w:rsidR="00AA77D7" w:rsidRPr="00E07413" w:rsidRDefault="00AA77D7" w:rsidP="00E074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примен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организациям, цель которых - интегрировать процесс упра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риском в управление орг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низацией, стратегию, планиров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менеджмент, процессы о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четности, политики, ценности и культуру организации</w:t>
            </w:r>
          </w:p>
        </w:tc>
      </w:tr>
    </w:tbl>
    <w:p w:rsidR="00AA77D7" w:rsidRPr="00E07413" w:rsidRDefault="00AA77D7" w:rsidP="00E074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11" w:rsidRPr="00E07413" w:rsidRDefault="00142411" w:rsidP="00E074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практическом использовании, эти стандарты дополняют друг друга и представл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собой общее руководство, применимое к любой компании в любой сфере деятельности, но, в свою очередь,  достаточно сильно отличаются с точки зрения их возможного использ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(банковский сектор, требования к публичным компаниям, рекомендации к формиров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внутренних бизнес-процессов и т.д.).</w:t>
      </w:r>
      <w:r w:rsidR="00C07520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 использование связано с целым рядом особенностей, среди которых стоит отметить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приятие стандартов и сертификация специалистов не гарантирует  удовлетвор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качества работы;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стандартов зачастую требует реструктуризации бизнес-процессов;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необходимость соответствовать стандартам сужает возможности бизнеса, огранич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уровень ответственности перед инвесторами, лишает компанию мобильности в прин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управленческих решений;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стандартов законодательно придает им принудительный характер, что л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компанию  возможности приобрести дополнительные конкурентные преимущества в глазах акционеров и потенциальных инвесторов;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может привести к ложному представлению о безопа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компании;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финансирование риска не может подлежать стандартизации;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приемлемость риска  напрямую зависит от предпочтений менеджмента и собстве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а стандартизация не может учесть  предпринимательский фактор принятия риска;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риска третьими лицами носит сугубо личный характер.</w:t>
      </w:r>
    </w:p>
    <w:p w:rsidR="00142411" w:rsidRPr="00E07413" w:rsidRDefault="00142411" w:rsidP="00E074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при постановке системы управления рисками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прим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положения действующих стандартов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gramEnd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формируют общие руководящие принципы, гибкие в практическом применении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их необходимо </w:t>
      </w:r>
      <w:r w:rsidRPr="00E07413">
        <w:rPr>
          <w:rFonts w:ascii="Times New Roman" w:hAnsi="Times New Roman" w:cs="Times New Roman"/>
          <w:sz w:val="24"/>
          <w:szCs w:val="24"/>
        </w:rPr>
        <w:t>адапт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E07413">
        <w:rPr>
          <w:rFonts w:ascii="Times New Roman" w:hAnsi="Times New Roman" w:cs="Times New Roman"/>
          <w:sz w:val="24"/>
          <w:szCs w:val="24"/>
        </w:rPr>
        <w:t>к конкретной компании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 Адаптация, в первую очередь осуществляется через формализованное описание системы, то есть составление уникальной классификации рисков. </w:t>
      </w:r>
      <w:r w:rsidRPr="00E07413">
        <w:rPr>
          <w:rFonts w:ascii="Times New Roman" w:hAnsi="Times New Roman" w:cs="Times New Roman"/>
          <w:sz w:val="24"/>
          <w:szCs w:val="24"/>
        </w:rPr>
        <w:t>Целью формализации является выделение  рисков, способных повлиять на результат де</w:t>
      </w:r>
      <w:r w:rsidRPr="00E07413">
        <w:rPr>
          <w:rFonts w:ascii="Times New Roman" w:hAnsi="Times New Roman" w:cs="Times New Roman"/>
          <w:sz w:val="24"/>
          <w:szCs w:val="24"/>
        </w:rPr>
        <w:t>я</w:t>
      </w:r>
      <w:r w:rsidRPr="00E07413">
        <w:rPr>
          <w:rFonts w:ascii="Times New Roman" w:hAnsi="Times New Roman" w:cs="Times New Roman"/>
          <w:sz w:val="24"/>
          <w:szCs w:val="24"/>
        </w:rPr>
        <w:t xml:space="preserve">тельности компании, а так же вероятность их появления и возможную величину ущерба. </w:t>
      </w:r>
    </w:p>
    <w:p w:rsidR="004604BB" w:rsidRPr="00E07413" w:rsidRDefault="00142411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более 20 классификаций рисков корпоративного уровня, используемых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выше стандартах. Наиболее распространенная классификация рисков, применяемая отечественн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сектора, является расширенная классификация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FERMA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04BB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тратегические риски</w:t>
      </w:r>
      <w:r w:rsidR="004604BB"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инансовые риски</w:t>
      </w:r>
      <w:r w:rsidR="004604BB"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перационные риски,</w:t>
      </w:r>
      <w:r w:rsidR="004604BB"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иски опасностей и угроз</w:t>
      </w:r>
      <w:r w:rsidR="004604BB"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ридические риски,</w:t>
      </w:r>
      <w:r w:rsidR="004604BB"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4DE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появляющиеся</w:t>
      </w:r>
      <w:r w:rsidRPr="00E0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Анализ представленных стандартов  и опыта внедрения в работу отечественных ко</w:t>
      </w:r>
      <w:r w:rsidRPr="00E07413">
        <w:rPr>
          <w:rFonts w:ascii="Times New Roman" w:hAnsi="Times New Roman" w:cs="Times New Roman"/>
          <w:sz w:val="24"/>
          <w:szCs w:val="24"/>
        </w:rPr>
        <w:t>м</w:t>
      </w:r>
      <w:r w:rsidRPr="00E07413">
        <w:rPr>
          <w:rFonts w:ascii="Times New Roman" w:hAnsi="Times New Roman" w:cs="Times New Roman"/>
          <w:sz w:val="24"/>
          <w:szCs w:val="24"/>
        </w:rPr>
        <w:t xml:space="preserve">паний системы 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>ERM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показал, что  между 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отечественными и зарубежными </w:t>
      </w:r>
      <w:r w:rsidRPr="00E07413">
        <w:rPr>
          <w:rFonts w:ascii="Times New Roman" w:hAnsi="Times New Roman" w:cs="Times New Roman"/>
          <w:sz w:val="24"/>
          <w:szCs w:val="24"/>
        </w:rPr>
        <w:t>классификациями  рисков нет существенной разницы, за исключением  того фактора, что иностранные авторы  чаще, чем отечественные, говорят о необходимости  взаимосвязи управления рисками и с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здания стоимости для акционеров.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Следовательно, более приемлемым подходом  к классификации рисков компании р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 xml:space="preserve">ального  сектора становиться подход, учитывающий специфику  организации 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конкретной </w:t>
      </w:r>
      <w:r w:rsidRPr="00E07413">
        <w:rPr>
          <w:rFonts w:ascii="Times New Roman" w:hAnsi="Times New Roman" w:cs="Times New Roman"/>
          <w:sz w:val="24"/>
          <w:szCs w:val="24"/>
        </w:rPr>
        <w:t>бизнес-процессов, позволяющий определить и конкретизировать  объект риск менеджмента, соответствующий  стратегии организации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 xml:space="preserve">уровню  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и этапу </w:t>
      </w:r>
      <w:r w:rsidRPr="00E07413">
        <w:rPr>
          <w:rFonts w:ascii="Times New Roman" w:hAnsi="Times New Roman" w:cs="Times New Roman"/>
          <w:sz w:val="24"/>
          <w:szCs w:val="24"/>
        </w:rPr>
        <w:t>ее развития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. </w:t>
      </w:r>
      <w:r w:rsidR="001F0662" w:rsidRPr="00E07413">
        <w:rPr>
          <w:rFonts w:ascii="Times New Roman" w:hAnsi="Times New Roman" w:cs="Times New Roman"/>
          <w:color w:val="000000"/>
          <w:sz w:val="24"/>
          <w:szCs w:val="24"/>
        </w:rPr>
        <w:t>Поскольку с опер</w:t>
      </w:r>
      <w:r w:rsidR="001F0662" w:rsidRPr="00E074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0662" w:rsidRPr="00E07413">
        <w:rPr>
          <w:rFonts w:ascii="Times New Roman" w:hAnsi="Times New Roman" w:cs="Times New Roman"/>
          <w:color w:val="000000"/>
          <w:sz w:val="24"/>
          <w:szCs w:val="24"/>
        </w:rPr>
        <w:t>ционными рисками сталкивается любое из подразделений компании, то работа по выявл</w:t>
      </w:r>
      <w:r w:rsidR="001F0662" w:rsidRPr="00E074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0662" w:rsidRPr="00E07413">
        <w:rPr>
          <w:rFonts w:ascii="Times New Roman" w:hAnsi="Times New Roman" w:cs="Times New Roman"/>
          <w:color w:val="000000"/>
          <w:sz w:val="24"/>
          <w:szCs w:val="24"/>
        </w:rPr>
        <w:t xml:space="preserve">нию рисков целесообразно вести сбалансированно и по всем направлениям. Подразделения дают экспертную оценку вероятности наступления рискового события и проводят сценарный анализ возможных последствий для компании в целом. </w:t>
      </w:r>
      <w:r w:rsidRPr="00E07413">
        <w:rPr>
          <w:rFonts w:ascii="Times New Roman" w:hAnsi="Times New Roman" w:cs="Times New Roman"/>
          <w:sz w:val="24"/>
          <w:szCs w:val="24"/>
        </w:rPr>
        <w:t>Исходя из степени проработанности указанной задачи, существующей методики управления рисками и его целей  сформулируем основные требования  к классификации рисков компании реального сектора:</w:t>
      </w:r>
      <w:r w:rsidR="00C07520" w:rsidRPr="00E07413">
        <w:rPr>
          <w:rFonts w:ascii="Times New Roman" w:hAnsi="Times New Roman" w:cs="Times New Roman"/>
          <w:sz w:val="24"/>
          <w:szCs w:val="24"/>
        </w:rPr>
        <w:t xml:space="preserve"> н</w:t>
      </w:r>
      <w:r w:rsidR="006E34DE" w:rsidRPr="00E07413">
        <w:rPr>
          <w:rFonts w:ascii="Times New Roman" w:hAnsi="Times New Roman" w:cs="Times New Roman"/>
          <w:sz w:val="24"/>
          <w:szCs w:val="24"/>
        </w:rPr>
        <w:t xml:space="preserve">еобходимость </w:t>
      </w:r>
      <w:proofErr w:type="gramStart"/>
      <w:r w:rsidR="006E34DE" w:rsidRPr="00E07413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как источник</w:t>
      </w:r>
      <w:r w:rsidR="006E34DE"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 xml:space="preserve"> возникновения угроз, так  и фактор</w:t>
      </w:r>
      <w:r w:rsidR="006E34DE" w:rsidRPr="00E07413">
        <w:rPr>
          <w:rFonts w:ascii="Times New Roman" w:hAnsi="Times New Roman" w:cs="Times New Roman"/>
          <w:sz w:val="24"/>
          <w:szCs w:val="24"/>
        </w:rPr>
        <w:t>ов</w:t>
      </w:r>
      <w:r w:rsidRPr="00E07413">
        <w:rPr>
          <w:rFonts w:ascii="Times New Roman" w:hAnsi="Times New Roman" w:cs="Times New Roman"/>
          <w:sz w:val="24"/>
          <w:szCs w:val="24"/>
        </w:rPr>
        <w:t xml:space="preserve"> создания стоимости;</w:t>
      </w:r>
      <w:r w:rsidR="00C07520" w:rsidRPr="00E07413">
        <w:rPr>
          <w:rFonts w:ascii="Times New Roman" w:hAnsi="Times New Roman" w:cs="Times New Roman"/>
          <w:sz w:val="24"/>
          <w:szCs w:val="24"/>
        </w:rPr>
        <w:t xml:space="preserve"> е</w:t>
      </w:r>
      <w:r w:rsidRPr="00E07413">
        <w:rPr>
          <w:rFonts w:ascii="Times New Roman" w:hAnsi="Times New Roman" w:cs="Times New Roman"/>
          <w:sz w:val="24"/>
          <w:szCs w:val="24"/>
        </w:rPr>
        <w:t>диную м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тодологическ</w:t>
      </w:r>
      <w:r w:rsidR="00B85D79" w:rsidRPr="00E07413">
        <w:rPr>
          <w:rFonts w:ascii="Times New Roman" w:hAnsi="Times New Roman" w:cs="Times New Roman"/>
          <w:sz w:val="24"/>
          <w:szCs w:val="24"/>
        </w:rPr>
        <w:t>ая</w:t>
      </w:r>
      <w:r w:rsidRPr="00E07413">
        <w:rPr>
          <w:rFonts w:ascii="Times New Roman" w:hAnsi="Times New Roman" w:cs="Times New Roman"/>
          <w:sz w:val="24"/>
          <w:szCs w:val="24"/>
        </w:rPr>
        <w:t xml:space="preserve"> баз</w:t>
      </w:r>
      <w:r w:rsidR="00B85D79"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 xml:space="preserve"> для различных компаний, ситуаций и целей;</w:t>
      </w:r>
      <w:r w:rsidR="00C07520" w:rsidRPr="00E07413">
        <w:rPr>
          <w:rFonts w:ascii="Times New Roman" w:hAnsi="Times New Roman" w:cs="Times New Roman"/>
          <w:sz w:val="24"/>
          <w:szCs w:val="24"/>
        </w:rPr>
        <w:t xml:space="preserve"> в</w:t>
      </w:r>
      <w:r w:rsidR="00B85D79" w:rsidRPr="00E07413">
        <w:rPr>
          <w:rFonts w:ascii="Times New Roman" w:hAnsi="Times New Roman" w:cs="Times New Roman"/>
          <w:sz w:val="24"/>
          <w:szCs w:val="24"/>
        </w:rPr>
        <w:t>озможность настройки</w:t>
      </w:r>
      <w:r w:rsidRPr="00E07413">
        <w:rPr>
          <w:rFonts w:ascii="Times New Roman" w:hAnsi="Times New Roman" w:cs="Times New Roman"/>
          <w:sz w:val="24"/>
          <w:szCs w:val="24"/>
        </w:rPr>
        <w:t xml:space="preserve"> в зависимости от различных  рисков конкретной компании;</w:t>
      </w:r>
      <w:r w:rsidR="00C07520" w:rsidRPr="00E07413">
        <w:rPr>
          <w:rFonts w:ascii="Times New Roman" w:hAnsi="Times New Roman" w:cs="Times New Roman"/>
          <w:sz w:val="24"/>
          <w:szCs w:val="24"/>
        </w:rPr>
        <w:t xml:space="preserve"> н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еобходимость </w:t>
      </w:r>
      <w:r w:rsidRPr="00E07413">
        <w:rPr>
          <w:rFonts w:ascii="Times New Roman" w:hAnsi="Times New Roman" w:cs="Times New Roman"/>
          <w:sz w:val="24"/>
          <w:szCs w:val="24"/>
        </w:rPr>
        <w:t>способствовать  реализации основной цели  деятельности компании и соответствовать принципам системн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сти, комплексности, непрерывности и целеполагания.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lastRenderedPageBreak/>
        <w:t xml:space="preserve"> Исходя из этого, классификация рисков должна быть сбалансирована  по следующим направлениям: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 xml:space="preserve"> источникам угроз  и драйверов  стоимости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независимости  по отношению к преобразованиям  бизнес- процессов и гибкости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принципам управления.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413">
        <w:rPr>
          <w:rFonts w:ascii="Times New Roman" w:hAnsi="Times New Roman" w:cs="Times New Roman"/>
          <w:sz w:val="24"/>
          <w:szCs w:val="24"/>
        </w:rPr>
        <w:t>Таким образом, используя  методологию создания стоимости</w:t>
      </w:r>
      <w:r w:rsidR="007106D6" w:rsidRPr="00E07413">
        <w:rPr>
          <w:rFonts w:ascii="Times New Roman" w:hAnsi="Times New Roman" w:cs="Times New Roman"/>
          <w:sz w:val="24"/>
          <w:szCs w:val="24"/>
        </w:rPr>
        <w:t>,</w:t>
      </w:r>
      <w:r w:rsidRPr="00E07413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7106D6"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7106D6" w:rsidRPr="00E07413">
        <w:rPr>
          <w:rFonts w:ascii="Times New Roman" w:hAnsi="Times New Roman" w:cs="Times New Roman"/>
          <w:sz w:val="24"/>
          <w:szCs w:val="24"/>
        </w:rPr>
        <w:t>ы</w:t>
      </w:r>
      <w:r w:rsidRPr="00E07413">
        <w:rPr>
          <w:rFonts w:ascii="Times New Roman" w:hAnsi="Times New Roman" w:cs="Times New Roman"/>
          <w:sz w:val="24"/>
          <w:szCs w:val="24"/>
        </w:rPr>
        <w:t xml:space="preserve"> управления рисками, методику  создания стратегических карт управления, можно прийти к выводу, что  более целесообразно  сбалансировать  классификацию  рисков, бизнес-процессы, области и сферы управления</w:t>
      </w:r>
      <w:r w:rsidR="00B85D79" w:rsidRPr="00E07413">
        <w:rPr>
          <w:rFonts w:ascii="Times New Roman" w:hAnsi="Times New Roman" w:cs="Times New Roman"/>
          <w:sz w:val="24"/>
          <w:szCs w:val="24"/>
        </w:rPr>
        <w:t>, а с</w:t>
      </w:r>
      <w:r w:rsidRPr="00E07413">
        <w:rPr>
          <w:rFonts w:ascii="Times New Roman" w:hAnsi="Times New Roman" w:cs="Times New Roman"/>
          <w:sz w:val="24"/>
          <w:szCs w:val="24"/>
        </w:rPr>
        <w:t xml:space="preserve"> учетом  специфики  деятельности компании р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ального сектора основные бизнес-процессы  можно разделить  на следующие группы: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прое</w:t>
      </w:r>
      <w:r w:rsidRPr="00E07413">
        <w:rPr>
          <w:rFonts w:ascii="Times New Roman" w:hAnsi="Times New Roman" w:cs="Times New Roman"/>
          <w:sz w:val="24"/>
          <w:szCs w:val="24"/>
        </w:rPr>
        <w:t>к</w:t>
      </w:r>
      <w:r w:rsidRPr="00E07413">
        <w:rPr>
          <w:rFonts w:ascii="Times New Roman" w:hAnsi="Times New Roman" w:cs="Times New Roman"/>
          <w:sz w:val="24"/>
          <w:szCs w:val="24"/>
        </w:rPr>
        <w:t>тирование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работа с поставщиками и партнерами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осуществление текущей деятельности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поддержка рынка продукции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развитие дополнительных направлений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>.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Совокупность вспом</w:t>
      </w:r>
      <w:r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>гательных процессов в общем виде не подлежит однозначной классификации, так как они в значительной  степени зависят  от специфики компании.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В качестве областей управления  целесообразно выделить: организацию бизнес-процессов в целом, финансирование, реализация  инновационной деятельности, управление человеческими ресурсами.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 xml:space="preserve"> Среду управления формируют собственники бизнеса, менед</w:t>
      </w:r>
      <w:r w:rsidRPr="00E07413">
        <w:rPr>
          <w:rFonts w:ascii="Times New Roman" w:hAnsi="Times New Roman" w:cs="Times New Roman"/>
          <w:sz w:val="24"/>
          <w:szCs w:val="24"/>
        </w:rPr>
        <w:t>ж</w:t>
      </w:r>
      <w:r w:rsidRPr="00E07413">
        <w:rPr>
          <w:rFonts w:ascii="Times New Roman" w:hAnsi="Times New Roman" w:cs="Times New Roman"/>
          <w:sz w:val="24"/>
          <w:szCs w:val="24"/>
        </w:rPr>
        <w:t>мент, государство и органы власти, социальная  и внешняя  среды.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При использовании пре</w:t>
      </w:r>
      <w:r w:rsidRPr="00E07413">
        <w:rPr>
          <w:rFonts w:ascii="Times New Roman" w:hAnsi="Times New Roman" w:cs="Times New Roman"/>
          <w:sz w:val="24"/>
          <w:szCs w:val="24"/>
        </w:rPr>
        <w:t>д</w:t>
      </w:r>
      <w:r w:rsidRPr="00E07413">
        <w:rPr>
          <w:rFonts w:ascii="Times New Roman" w:hAnsi="Times New Roman" w:cs="Times New Roman"/>
          <w:sz w:val="24"/>
          <w:szCs w:val="24"/>
        </w:rPr>
        <w:t>лагаемого подхода области и среда управления могут быть изменены  в зависимости от уточненных условий и целей классификации. Например, при проведении  классификации  в рамках отдельных проектов, а не применительно ко всей организации, области управления могут быть заменены  на различные виды ресурсов (финансовые, информационные, энерг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тические, временные и т.д.)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В зависимости от организационно – правовой формы компании некоторые из  элеме</w:t>
      </w:r>
      <w:r w:rsidRPr="00E07413">
        <w:rPr>
          <w:rFonts w:ascii="Times New Roman" w:hAnsi="Times New Roman" w:cs="Times New Roman"/>
          <w:sz w:val="24"/>
          <w:szCs w:val="24"/>
        </w:rPr>
        <w:t>н</w:t>
      </w:r>
      <w:r w:rsidRPr="00E07413">
        <w:rPr>
          <w:rFonts w:ascii="Times New Roman" w:hAnsi="Times New Roman" w:cs="Times New Roman"/>
          <w:sz w:val="24"/>
          <w:szCs w:val="24"/>
        </w:rPr>
        <w:t>тов среды управления  могут быть объединены, изменены или более детализированы.</w:t>
      </w:r>
    </w:p>
    <w:p w:rsidR="00C720E9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 Единой методологической базой в предлагаемой классификации будет  проекция  бизнес-процессов на области и среду управления. Характеристика гибкости в данном случае будет достигнута за счет  возможности определения частных рисков бизнес-процессов, фо</w:t>
      </w:r>
      <w:r w:rsidRPr="00E07413">
        <w:rPr>
          <w:rFonts w:ascii="Times New Roman" w:hAnsi="Times New Roman" w:cs="Times New Roman"/>
          <w:sz w:val="24"/>
          <w:szCs w:val="24"/>
        </w:rPr>
        <w:t>р</w:t>
      </w:r>
      <w:r w:rsidRPr="00E07413">
        <w:rPr>
          <w:rFonts w:ascii="Times New Roman" w:hAnsi="Times New Roman" w:cs="Times New Roman"/>
          <w:sz w:val="24"/>
          <w:szCs w:val="24"/>
        </w:rPr>
        <w:t xml:space="preserve">мируемых средой и областью управления, а так же консолидации частных рисков в  группы и </w:t>
      </w:r>
      <w:proofErr w:type="spellStart"/>
      <w:r w:rsidRPr="00E07413">
        <w:rPr>
          <w:rFonts w:ascii="Times New Roman" w:hAnsi="Times New Roman" w:cs="Times New Roman"/>
          <w:sz w:val="24"/>
          <w:szCs w:val="24"/>
        </w:rPr>
        <w:t>надгруппы</w:t>
      </w:r>
      <w:proofErr w:type="spellEnd"/>
      <w:r w:rsidRPr="00E07413">
        <w:rPr>
          <w:rFonts w:ascii="Times New Roman" w:hAnsi="Times New Roman" w:cs="Times New Roman"/>
          <w:sz w:val="24"/>
          <w:szCs w:val="24"/>
        </w:rPr>
        <w:t>.</w:t>
      </w:r>
      <w:r w:rsidR="006512BE" w:rsidRPr="00E07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E9" w:rsidRPr="00E07413" w:rsidRDefault="00C720E9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деятельности компании по  </w:t>
      </w:r>
      <w:proofErr w:type="gramStart"/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бизнес-направлениям</w:t>
      </w:r>
      <w:proofErr w:type="gramEnd"/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которых непосредственно не связаны между собой, гораздо более целесообразно в целях   снижения рисков, нежели использование классических приемов снижения риска (страхование, хедж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рование, отказ). Так как снижение рисков - достаточно сложный процесс, требующий   р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сурсов и участия многих сотрудников, а так же жесткого контроля над разными сферами д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компании. Риски, выявленные при помощи предлагаемой классификации   можно оценить с высокой степенью точности (например, финансовые потери в результате возни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новения просроченной дебиторской задолженности  при </w:t>
      </w:r>
      <w:r w:rsidRPr="00E07413">
        <w:rPr>
          <w:rFonts w:ascii="Times New Roman" w:hAnsi="Times New Roman" w:cs="Times New Roman"/>
          <w:sz w:val="24"/>
          <w:szCs w:val="24"/>
        </w:rPr>
        <w:t>работе с поставщиками и партнер</w:t>
      </w:r>
      <w:r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>ми</w:t>
      </w:r>
      <w:r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кроме того, они управляемы.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Адаптация предложенной классификации  к работе конкретной компании  заключае</w:t>
      </w:r>
      <w:r w:rsidRPr="00E07413">
        <w:rPr>
          <w:rFonts w:ascii="Times New Roman" w:hAnsi="Times New Roman" w:cs="Times New Roman"/>
          <w:sz w:val="24"/>
          <w:szCs w:val="24"/>
        </w:rPr>
        <w:t>т</w:t>
      </w:r>
      <w:r w:rsidRPr="00E07413">
        <w:rPr>
          <w:rFonts w:ascii="Times New Roman" w:hAnsi="Times New Roman" w:cs="Times New Roman"/>
          <w:sz w:val="24"/>
          <w:szCs w:val="24"/>
        </w:rPr>
        <w:t xml:space="preserve">ся в выявлении характерных для нее частных рисков, групп и </w:t>
      </w:r>
      <w:proofErr w:type="spellStart"/>
      <w:r w:rsidRPr="00E07413">
        <w:rPr>
          <w:rFonts w:ascii="Times New Roman" w:hAnsi="Times New Roman" w:cs="Times New Roman"/>
          <w:sz w:val="24"/>
          <w:szCs w:val="24"/>
        </w:rPr>
        <w:t>надгрупп</w:t>
      </w:r>
      <w:proofErr w:type="spellEnd"/>
      <w:r w:rsidRPr="00E07413">
        <w:rPr>
          <w:rFonts w:ascii="Times New Roman" w:hAnsi="Times New Roman" w:cs="Times New Roman"/>
          <w:sz w:val="24"/>
          <w:szCs w:val="24"/>
        </w:rPr>
        <w:t>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В предлагаемой классификации  частными рисками  являются первичные риски, во</w:t>
      </w:r>
      <w:r w:rsidRPr="00E07413">
        <w:rPr>
          <w:rFonts w:ascii="Times New Roman" w:hAnsi="Times New Roman" w:cs="Times New Roman"/>
          <w:sz w:val="24"/>
          <w:szCs w:val="24"/>
        </w:rPr>
        <w:t>з</w:t>
      </w:r>
      <w:r w:rsidRPr="00E07413">
        <w:rPr>
          <w:rFonts w:ascii="Times New Roman" w:hAnsi="Times New Roman" w:cs="Times New Roman"/>
          <w:sz w:val="24"/>
          <w:szCs w:val="24"/>
        </w:rPr>
        <w:t xml:space="preserve">никающие в бизнес-процессах под влиянием среды и области управления. По результатам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исследования структуры организации бизнес-процессов  крупных российских  компаний р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ального сектора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 xml:space="preserve"> можно выделить следующие группы рисков, относящиеся к влиянию  обл</w:t>
      </w:r>
      <w:r w:rsidRPr="00E07413">
        <w:rPr>
          <w:rFonts w:ascii="Times New Roman" w:hAnsi="Times New Roman" w:cs="Times New Roman"/>
          <w:sz w:val="24"/>
          <w:szCs w:val="24"/>
        </w:rPr>
        <w:t>а</w:t>
      </w:r>
      <w:r w:rsidRPr="00E07413">
        <w:rPr>
          <w:rFonts w:ascii="Times New Roman" w:hAnsi="Times New Roman" w:cs="Times New Roman"/>
          <w:sz w:val="24"/>
          <w:szCs w:val="24"/>
        </w:rPr>
        <w:t>сти управления на бизнес-процессы: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маркетинговые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организационные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финансовые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и</w:t>
      </w:r>
      <w:r w:rsidRPr="00E07413">
        <w:rPr>
          <w:rFonts w:ascii="Times New Roman" w:hAnsi="Times New Roman" w:cs="Times New Roman"/>
          <w:sz w:val="24"/>
          <w:szCs w:val="24"/>
        </w:rPr>
        <w:t>н</w:t>
      </w:r>
      <w:r w:rsidRPr="00E07413">
        <w:rPr>
          <w:rFonts w:ascii="Times New Roman" w:hAnsi="Times New Roman" w:cs="Times New Roman"/>
          <w:sz w:val="24"/>
          <w:szCs w:val="24"/>
        </w:rPr>
        <w:t>новационные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кадровые риски.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Следующие группы рисков формируются в бизнес-процессах под влиянием среды управления. К ним относятся: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риски действий собственников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и </w:t>
      </w:r>
      <w:r w:rsidRPr="00E07413">
        <w:rPr>
          <w:rFonts w:ascii="Times New Roman" w:hAnsi="Times New Roman" w:cs="Times New Roman"/>
          <w:sz w:val="24"/>
          <w:szCs w:val="24"/>
        </w:rPr>
        <w:t>спровоцированные действием менеджеров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политические</w:t>
      </w:r>
      <w:r w:rsidR="00B85D79" w:rsidRPr="00E07413">
        <w:rPr>
          <w:rFonts w:ascii="Times New Roman" w:hAnsi="Times New Roman" w:cs="Times New Roman"/>
          <w:sz w:val="24"/>
          <w:szCs w:val="24"/>
        </w:rPr>
        <w:t>,</w:t>
      </w:r>
      <w:r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E07413">
        <w:rPr>
          <w:rFonts w:ascii="Times New Roman" w:hAnsi="Times New Roman" w:cs="Times New Roman"/>
          <w:sz w:val="24"/>
          <w:szCs w:val="24"/>
        </w:rPr>
        <w:t>риски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и риски внешней среды. </w:t>
      </w:r>
      <w:r w:rsidRPr="00E07413">
        <w:rPr>
          <w:rFonts w:ascii="Times New Roman" w:hAnsi="Times New Roman" w:cs="Times New Roman"/>
          <w:sz w:val="24"/>
          <w:szCs w:val="24"/>
        </w:rPr>
        <w:t>Данные группы ри</w:t>
      </w:r>
      <w:r w:rsidRPr="00E07413">
        <w:rPr>
          <w:rFonts w:ascii="Times New Roman" w:hAnsi="Times New Roman" w:cs="Times New Roman"/>
          <w:sz w:val="24"/>
          <w:szCs w:val="24"/>
        </w:rPr>
        <w:t>с</w:t>
      </w:r>
      <w:r w:rsidRPr="00E07413">
        <w:rPr>
          <w:rFonts w:ascii="Times New Roman" w:hAnsi="Times New Roman" w:cs="Times New Roman"/>
          <w:sz w:val="24"/>
          <w:szCs w:val="24"/>
        </w:rPr>
        <w:t>ков образованы при объединении частных рисков по областям и сферам управления.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Следующие группы рисков возникают под влиянием бизнес-процессов на сферы и области управления.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проектные риски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риски снабжения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и производства, </w:t>
      </w:r>
      <w:r w:rsidRPr="00E07413">
        <w:rPr>
          <w:rFonts w:ascii="Times New Roman" w:hAnsi="Times New Roman" w:cs="Times New Roman"/>
          <w:sz w:val="24"/>
          <w:szCs w:val="24"/>
        </w:rPr>
        <w:t xml:space="preserve"> риски реализации и поддержки рынка продукции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, </w:t>
      </w:r>
      <w:r w:rsidRPr="00E07413">
        <w:rPr>
          <w:rFonts w:ascii="Times New Roman" w:hAnsi="Times New Roman" w:cs="Times New Roman"/>
          <w:sz w:val="24"/>
          <w:szCs w:val="24"/>
        </w:rPr>
        <w:t>риски вспомогательных бизнес- проце</w:t>
      </w:r>
      <w:r w:rsidRPr="00E07413">
        <w:rPr>
          <w:rFonts w:ascii="Times New Roman" w:hAnsi="Times New Roman" w:cs="Times New Roman"/>
          <w:sz w:val="24"/>
          <w:szCs w:val="24"/>
        </w:rPr>
        <w:t>с</w:t>
      </w:r>
      <w:r w:rsidRPr="00E07413">
        <w:rPr>
          <w:rFonts w:ascii="Times New Roman" w:hAnsi="Times New Roman" w:cs="Times New Roman"/>
          <w:sz w:val="24"/>
          <w:szCs w:val="24"/>
        </w:rPr>
        <w:t>сов.</w:t>
      </w:r>
      <w:r w:rsidR="004C23CC" w:rsidRPr="00E07413">
        <w:rPr>
          <w:rFonts w:ascii="Times New Roman" w:hAnsi="Times New Roman" w:cs="Times New Roman"/>
          <w:sz w:val="24"/>
          <w:szCs w:val="24"/>
        </w:rPr>
        <w:t xml:space="preserve">  В результате, </w:t>
      </w:r>
      <w:r w:rsidRPr="00E07413">
        <w:rPr>
          <w:rFonts w:ascii="Times New Roman" w:hAnsi="Times New Roman" w:cs="Times New Roman"/>
          <w:sz w:val="24"/>
          <w:szCs w:val="24"/>
        </w:rPr>
        <w:t>мы получаем достаточно емкую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="00CC2F23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классификацию рисков, к которой в ц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лях управления общим уровнем риска компании можно применить факторный анализ</w:t>
      </w:r>
      <w:r w:rsidR="00B85D79" w:rsidRPr="00E07413">
        <w:rPr>
          <w:rFonts w:ascii="Times New Roman" w:hAnsi="Times New Roman" w:cs="Times New Roman"/>
          <w:sz w:val="24"/>
          <w:szCs w:val="24"/>
        </w:rPr>
        <w:t xml:space="preserve">. 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При более глубоком анализе  каждой из групп рисков,  можно выявить частные показатели риска и использовать их в дальнейшей стратегии управления рисками  компании. </w:t>
      </w:r>
    </w:p>
    <w:p w:rsidR="005463B3" w:rsidRPr="00E07413" w:rsidRDefault="005463B3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color w:val="000000"/>
          <w:sz w:val="24"/>
          <w:szCs w:val="24"/>
        </w:rPr>
        <w:t xml:space="preserve">Цель  этого способа классификации состоит в получении информации о фактическом положении дел не только основе проверок, ревизий, анализа, но и за счет моделирования бизнес-процессов. Таким образом, использование этого метода предусматривает оценку уже существующих процедур </w:t>
      </w:r>
      <w:proofErr w:type="gramStart"/>
      <w:r w:rsidRPr="00E07413">
        <w:rPr>
          <w:rFonts w:ascii="Times New Roman" w:hAnsi="Times New Roman" w:cs="Times New Roman"/>
          <w:color w:val="000000"/>
          <w:sz w:val="24"/>
          <w:szCs w:val="24"/>
        </w:rPr>
        <w:t>риск-менеджмента</w:t>
      </w:r>
      <w:proofErr w:type="gramEnd"/>
      <w:r w:rsidRPr="00E07413">
        <w:rPr>
          <w:rFonts w:ascii="Times New Roman" w:hAnsi="Times New Roman" w:cs="Times New Roman"/>
          <w:color w:val="000000"/>
          <w:sz w:val="24"/>
          <w:szCs w:val="24"/>
        </w:rPr>
        <w:t xml:space="preserve"> и выявление новых направлений.  Риск-аудит дает возможность выявить сильные и слабые стороны процедур и методов контроля, напра</w:t>
      </w:r>
      <w:r w:rsidRPr="00E074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7413">
        <w:rPr>
          <w:rFonts w:ascii="Times New Roman" w:hAnsi="Times New Roman" w:cs="Times New Roman"/>
          <w:color w:val="000000"/>
          <w:sz w:val="24"/>
          <w:szCs w:val="24"/>
        </w:rPr>
        <w:t>ления их дальнейшего развития. Этот способ весьма эффективен, когда критические ситу</w:t>
      </w:r>
      <w:r w:rsidRPr="00E074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7413">
        <w:rPr>
          <w:rFonts w:ascii="Times New Roman" w:hAnsi="Times New Roman" w:cs="Times New Roman"/>
          <w:color w:val="000000"/>
          <w:sz w:val="24"/>
          <w:szCs w:val="24"/>
        </w:rPr>
        <w:t>ции и наиболее весомые риски нужно выявить в сжатые сроки.</w:t>
      </w:r>
    </w:p>
    <w:p w:rsidR="00955A19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 Риск предприятия в целом  может быть представлен в виде интегрального показателя при консолидации всех групп рисков. </w:t>
      </w:r>
      <w:r w:rsidR="006512BE" w:rsidRPr="00E07413">
        <w:rPr>
          <w:rFonts w:ascii="Times New Roman" w:hAnsi="Times New Roman" w:cs="Times New Roman"/>
          <w:sz w:val="24"/>
          <w:szCs w:val="24"/>
        </w:rPr>
        <w:t>Такой</w:t>
      </w:r>
      <w:r w:rsidRPr="00E07413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6512BE" w:rsidRPr="00E07413">
        <w:rPr>
          <w:rFonts w:ascii="Times New Roman" w:hAnsi="Times New Roman" w:cs="Times New Roman"/>
          <w:sz w:val="24"/>
          <w:szCs w:val="24"/>
        </w:rPr>
        <w:t>имеет</w:t>
      </w:r>
      <w:r w:rsidRPr="00E07413">
        <w:rPr>
          <w:rFonts w:ascii="Times New Roman" w:hAnsi="Times New Roman" w:cs="Times New Roman"/>
          <w:sz w:val="24"/>
          <w:szCs w:val="24"/>
        </w:rPr>
        <w:t xml:space="preserve"> исключительн</w:t>
      </w:r>
      <w:r w:rsidR="006512BE" w:rsidRPr="00E07413">
        <w:rPr>
          <w:rFonts w:ascii="Times New Roman" w:hAnsi="Times New Roman" w:cs="Times New Roman"/>
          <w:sz w:val="24"/>
          <w:szCs w:val="24"/>
        </w:rPr>
        <w:t>о</w:t>
      </w:r>
      <w:r w:rsidRPr="00E07413">
        <w:rPr>
          <w:rFonts w:ascii="Times New Roman" w:hAnsi="Times New Roman" w:cs="Times New Roman"/>
          <w:sz w:val="24"/>
          <w:szCs w:val="24"/>
        </w:rPr>
        <w:t xml:space="preserve"> теоретическое значение</w:t>
      </w:r>
      <w:r w:rsidR="006512BE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>при</w:t>
      </w:r>
      <w:r w:rsidR="006512BE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</w:rPr>
        <w:t xml:space="preserve"> рассмотрении компании как объекта инвестиций в целях определения общего уровня </w:t>
      </w:r>
      <w:r w:rsidR="006512BE" w:rsidRPr="00E07413">
        <w:rPr>
          <w:rFonts w:ascii="Times New Roman" w:hAnsi="Times New Roman" w:cs="Times New Roman"/>
          <w:sz w:val="24"/>
          <w:szCs w:val="24"/>
        </w:rPr>
        <w:t xml:space="preserve">риска и </w:t>
      </w:r>
      <w:r w:rsidRPr="00E07413">
        <w:rPr>
          <w:rFonts w:ascii="Times New Roman" w:hAnsi="Times New Roman" w:cs="Times New Roman"/>
          <w:sz w:val="24"/>
          <w:szCs w:val="24"/>
        </w:rPr>
        <w:t>доходности.</w:t>
      </w:r>
      <w:r w:rsidR="001631E7" w:rsidRPr="00E07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A19" w:rsidRPr="00E07413" w:rsidRDefault="00955A19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В свою очередь, среди экономистов существует полемика в отношении </w:t>
      </w:r>
      <w:proofErr w:type="gramStart"/>
      <w:r w:rsidRPr="00E07413">
        <w:rPr>
          <w:rFonts w:ascii="Times New Roman" w:hAnsi="Times New Roman" w:cs="Times New Roman"/>
          <w:sz w:val="24"/>
          <w:szCs w:val="24"/>
        </w:rPr>
        <w:t>целесообра</w:t>
      </w:r>
      <w:r w:rsidRPr="00E07413">
        <w:rPr>
          <w:rFonts w:ascii="Times New Roman" w:hAnsi="Times New Roman" w:cs="Times New Roman"/>
          <w:sz w:val="24"/>
          <w:szCs w:val="24"/>
        </w:rPr>
        <w:t>з</w:t>
      </w:r>
      <w:r w:rsidRPr="00E07413">
        <w:rPr>
          <w:rFonts w:ascii="Times New Roman" w:hAnsi="Times New Roman" w:cs="Times New Roman"/>
          <w:sz w:val="24"/>
          <w:szCs w:val="24"/>
        </w:rPr>
        <w:t>ности применения  интегрального показателя риска компании</w:t>
      </w:r>
      <w:proofErr w:type="gramEnd"/>
      <w:r w:rsidRPr="00E07413">
        <w:rPr>
          <w:rFonts w:ascii="Times New Roman" w:hAnsi="Times New Roman" w:cs="Times New Roman"/>
          <w:sz w:val="24"/>
          <w:szCs w:val="24"/>
        </w:rPr>
        <w:t>. Однако его нельзя недооц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нивать в процессе деятельности компании, недооценка может привести к неполной или н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lastRenderedPageBreak/>
        <w:t>корректной оценке влияния тех или иных рисков интегральный показатель. Происходит это по следующим причинам:</w:t>
      </w:r>
    </w:p>
    <w:p w:rsidR="00955A19" w:rsidRPr="00E07413" w:rsidRDefault="00955A19" w:rsidP="00E0741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целый ряд    </w:t>
      </w:r>
      <w:proofErr w:type="spell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рискообразующих</w:t>
      </w:r>
      <w:proofErr w:type="spellEnd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оказывающих взаимное воздействие  на динамику сразу нескольких видов рисков. </w:t>
      </w:r>
    </w:p>
    <w:p w:rsidR="00955A19" w:rsidRPr="00E07413" w:rsidRDefault="00955A19" w:rsidP="00E07413">
      <w:pPr>
        <w:pStyle w:val="a4"/>
        <w:numPr>
          <w:ilvl w:val="0"/>
          <w:numId w:val="7"/>
        </w:numPr>
        <w:spacing w:before="0" w:after="0" w:line="360" w:lineRule="auto"/>
        <w:ind w:left="0" w:firstLine="709"/>
        <w:jc w:val="both"/>
      </w:pPr>
      <w:proofErr w:type="spellStart"/>
      <w:r w:rsidRPr="00E07413">
        <w:t>Рискообразующие</w:t>
      </w:r>
      <w:proofErr w:type="spellEnd"/>
      <w:r w:rsidRPr="00E07413">
        <w:t xml:space="preserve"> </w:t>
      </w:r>
      <w:proofErr w:type="gramStart"/>
      <w:r w:rsidRPr="00E07413">
        <w:t>факторы</w:t>
      </w:r>
      <w:proofErr w:type="gramEnd"/>
      <w:r w:rsidRPr="00E07413">
        <w:t xml:space="preserve">  как правило  выделяются только  в качестве фа</w:t>
      </w:r>
      <w:r w:rsidRPr="00E07413">
        <w:t>к</w:t>
      </w:r>
      <w:r w:rsidRPr="00E07413">
        <w:t>торов прямого воздействия на конкретные виды рисков, игнорируя косвенное влияние или влияние второго порядка</w:t>
      </w:r>
    </w:p>
    <w:p w:rsidR="00955A19" w:rsidRPr="00E07413" w:rsidRDefault="00955A19" w:rsidP="00E07413">
      <w:pPr>
        <w:pStyle w:val="a4"/>
        <w:spacing w:before="0" w:after="0" w:line="360" w:lineRule="auto"/>
        <w:ind w:firstLine="709"/>
        <w:jc w:val="both"/>
      </w:pPr>
      <w:r w:rsidRPr="00E07413">
        <w:t>Поэтому  тенденция к излишнему селективному анализу рисков с рассмотрением во</w:t>
      </w:r>
      <w:r w:rsidRPr="00E07413">
        <w:t>з</w:t>
      </w:r>
      <w:r w:rsidRPr="00E07413">
        <w:t xml:space="preserve">действия на них всех факторов  искажает   </w:t>
      </w:r>
      <w:r w:rsidRPr="00E07413">
        <w:rPr>
          <w:iCs/>
        </w:rPr>
        <w:t>интегральный</w:t>
      </w:r>
      <w:r w:rsidRPr="00E07413">
        <w:t xml:space="preserve"> показатель и   понижает эффекти</w:t>
      </w:r>
      <w:r w:rsidRPr="00E07413">
        <w:t>в</w:t>
      </w:r>
      <w:r w:rsidRPr="00E07413">
        <w:t xml:space="preserve">ность формируемых рекомендаций по оптимизации исследуемых рисков. </w:t>
      </w:r>
    </w:p>
    <w:p w:rsidR="00955A19" w:rsidRPr="00E07413" w:rsidRDefault="00955A19" w:rsidP="00E07413">
      <w:pPr>
        <w:pStyle w:val="a4"/>
        <w:spacing w:before="0" w:after="0" w:line="360" w:lineRule="auto"/>
        <w:ind w:firstLine="709"/>
        <w:jc w:val="both"/>
      </w:pPr>
      <w:r w:rsidRPr="00E07413">
        <w:t xml:space="preserve">Помимо этого,  </w:t>
      </w:r>
      <w:r w:rsidRPr="00E07413">
        <w:rPr>
          <w:iCs/>
        </w:rPr>
        <w:t>интегральные</w:t>
      </w:r>
      <w:r w:rsidRPr="00E07413">
        <w:t xml:space="preserve"> показатели    снижают эффективность управления ри</w:t>
      </w:r>
      <w:r w:rsidRPr="00E07413">
        <w:t>с</w:t>
      </w:r>
      <w:r w:rsidRPr="00E07413">
        <w:t>ками на уровне бизнес-процессов.</w:t>
      </w:r>
    </w:p>
    <w:p w:rsidR="00955A19" w:rsidRPr="00E07413" w:rsidRDefault="00955A19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Комплексный подход к исследованию рисков, т.е. учет воздействия на интегральный показатель  риска   рисков   прямого воздействия и  косвенного, а так же их взаимного вли</w:t>
      </w:r>
      <w:r w:rsidRPr="00E07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E07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 на всех уровнях деятельности организации позволит повысить эффективность управл</w:t>
      </w:r>
      <w:r w:rsidRPr="00E07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E07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рисками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Настройка данной классификации  по уровням и горизонтам планирования и управл</w:t>
      </w:r>
      <w:r w:rsidRPr="00E07413">
        <w:rPr>
          <w:rFonts w:ascii="Times New Roman" w:hAnsi="Times New Roman" w:cs="Times New Roman"/>
          <w:sz w:val="24"/>
          <w:szCs w:val="24"/>
        </w:rPr>
        <w:t>е</w:t>
      </w:r>
      <w:r w:rsidRPr="00E07413">
        <w:rPr>
          <w:rFonts w:ascii="Times New Roman" w:hAnsi="Times New Roman" w:cs="Times New Roman"/>
          <w:sz w:val="24"/>
          <w:szCs w:val="24"/>
        </w:rPr>
        <w:t>ния в целом осуществляется при внедрении дополнительного классификационного признака – горизонта планирования</w:t>
      </w:r>
      <w:r w:rsidR="00662684" w:rsidRPr="00E07413">
        <w:rPr>
          <w:rFonts w:ascii="Times New Roman" w:hAnsi="Times New Roman" w:cs="Times New Roman"/>
          <w:sz w:val="24"/>
          <w:szCs w:val="24"/>
        </w:rPr>
        <w:t xml:space="preserve"> –</w:t>
      </w:r>
      <w:r w:rsidRPr="00E07413">
        <w:rPr>
          <w:rFonts w:ascii="Times New Roman" w:hAnsi="Times New Roman" w:cs="Times New Roman"/>
          <w:sz w:val="24"/>
          <w:szCs w:val="24"/>
        </w:rPr>
        <w:t xml:space="preserve"> оперативного</w:t>
      </w:r>
      <w:r w:rsidR="00662684" w:rsidRPr="00E07413">
        <w:rPr>
          <w:rFonts w:ascii="Times New Roman" w:hAnsi="Times New Roman" w:cs="Times New Roman"/>
          <w:sz w:val="24"/>
          <w:szCs w:val="24"/>
        </w:rPr>
        <w:t>,</w:t>
      </w:r>
      <w:r w:rsidRPr="00E07413">
        <w:rPr>
          <w:rFonts w:ascii="Times New Roman" w:hAnsi="Times New Roman" w:cs="Times New Roman"/>
          <w:sz w:val="24"/>
          <w:szCs w:val="24"/>
        </w:rPr>
        <w:t xml:space="preserve"> тактического  и стратегического уровня рисков. </w:t>
      </w:r>
      <w:r w:rsidR="005B7E16" w:rsidRPr="00E07413">
        <w:rPr>
          <w:rFonts w:ascii="Times New Roman" w:hAnsi="Times New Roman" w:cs="Times New Roman"/>
          <w:sz w:val="24"/>
          <w:szCs w:val="24"/>
        </w:rPr>
        <w:t>П</w:t>
      </w:r>
      <w:r w:rsidRPr="00E07413">
        <w:rPr>
          <w:rFonts w:ascii="Times New Roman" w:hAnsi="Times New Roman" w:cs="Times New Roman"/>
          <w:sz w:val="24"/>
          <w:szCs w:val="24"/>
        </w:rPr>
        <w:t>одобное дополнение позволяет решить важную методологическую задачу – сформировать спектр рисков  и рисковый портфель корпорации.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 xml:space="preserve">Спектр рисков   - довольно статичная категория и синхронно меняется с изменением стратегии компании или  в связи с изменением внешней среды. Структурно, спектр рисков состоит из  стратегических рисков и включает классы  и отдельные группы рисков. </w:t>
      </w:r>
      <w:r w:rsidR="00662684" w:rsidRPr="00E07413">
        <w:rPr>
          <w:rFonts w:ascii="Times New Roman" w:hAnsi="Times New Roman" w:cs="Times New Roman"/>
          <w:sz w:val="24"/>
          <w:szCs w:val="24"/>
        </w:rPr>
        <w:t>Р</w:t>
      </w:r>
      <w:r w:rsidRPr="00E07413">
        <w:rPr>
          <w:rFonts w:ascii="Times New Roman" w:hAnsi="Times New Roman" w:cs="Times New Roman"/>
          <w:sz w:val="24"/>
          <w:szCs w:val="24"/>
        </w:rPr>
        <w:t>исковый профиль   формируется на основе  оценки и мониторинга рисков, входящих в спектр рисков и состоит из  тактических и операционных и некоторых частных рисков.</w:t>
      </w:r>
    </w:p>
    <w:p w:rsidR="00C720E9" w:rsidRPr="00E07413" w:rsidRDefault="00142411" w:rsidP="00E0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413">
        <w:rPr>
          <w:rFonts w:ascii="Times New Roman" w:hAnsi="Times New Roman" w:cs="Times New Roman"/>
          <w:sz w:val="24"/>
          <w:szCs w:val="24"/>
        </w:rPr>
        <w:t>Таким образом, мы получаем  комплексную и системную  классификацию рисков компании, позволяющую выявлять, анализировать  внешние и внутренние риски, осущест</w:t>
      </w:r>
      <w:r w:rsidRPr="00E07413">
        <w:rPr>
          <w:rFonts w:ascii="Times New Roman" w:hAnsi="Times New Roman" w:cs="Times New Roman"/>
          <w:sz w:val="24"/>
          <w:szCs w:val="24"/>
        </w:rPr>
        <w:t>в</w:t>
      </w:r>
      <w:r w:rsidRPr="00E07413">
        <w:rPr>
          <w:rFonts w:ascii="Times New Roman" w:hAnsi="Times New Roman" w:cs="Times New Roman"/>
          <w:sz w:val="24"/>
          <w:szCs w:val="24"/>
        </w:rPr>
        <w:t>лять настройку системы с учетом специфики  исследуемой компании, а также  проводить факторный анализ  риска  с целью дальнейшего воздействия на отдельные из компонентов  показателя интегрального риска корпорации.</w:t>
      </w:r>
      <w:r w:rsidR="00C720E9" w:rsidRPr="00E07413">
        <w:rPr>
          <w:rFonts w:ascii="Times New Roman" w:hAnsi="Times New Roman" w:cs="Times New Roman"/>
          <w:sz w:val="24"/>
          <w:szCs w:val="24"/>
        </w:rPr>
        <w:t xml:space="preserve"> </w:t>
      </w:r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системы выявления  рисков позв</w:t>
      </w:r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 улучшить финансовое состояние компании и повысить эффективность ее операционной деятельности, а также получить высокий инвестиционный рейтинг, более выгодно </w:t>
      </w:r>
      <w:proofErr w:type="gramStart"/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 капитал</w:t>
      </w:r>
      <w:proofErr w:type="gramEnd"/>
      <w:r w:rsidR="00C720E9" w:rsidRPr="00E0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2411" w:rsidRPr="00E07413" w:rsidRDefault="00142411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3B" w:rsidRPr="00E07413" w:rsidRDefault="0080493B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23" w:rsidRPr="00E07413" w:rsidRDefault="00E07413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13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CC2F23" w:rsidRPr="00E07413" w:rsidRDefault="00CC2F23" w:rsidP="0003481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13">
        <w:rPr>
          <w:rFonts w:ascii="Times New Roman" w:hAnsi="Times New Roman" w:cs="Times New Roman"/>
          <w:bCs/>
          <w:sz w:val="24"/>
          <w:szCs w:val="24"/>
        </w:rPr>
        <w:t>Бадалова</w:t>
      </w:r>
      <w:proofErr w:type="spellEnd"/>
      <w:r w:rsidRPr="00E07413">
        <w:rPr>
          <w:rFonts w:ascii="Times New Roman" w:hAnsi="Times New Roman" w:cs="Times New Roman"/>
          <w:bCs/>
          <w:sz w:val="24"/>
          <w:szCs w:val="24"/>
        </w:rPr>
        <w:t xml:space="preserve"> А.Г. Управление рисками производственных систем: теория, метод</w:t>
      </w:r>
      <w:r w:rsidRPr="00E07413">
        <w:rPr>
          <w:rFonts w:ascii="Times New Roman" w:hAnsi="Times New Roman" w:cs="Times New Roman"/>
          <w:bCs/>
          <w:sz w:val="24"/>
          <w:szCs w:val="24"/>
        </w:rPr>
        <w:t>о</w:t>
      </w:r>
      <w:r w:rsidRPr="00E07413">
        <w:rPr>
          <w:rFonts w:ascii="Times New Roman" w:hAnsi="Times New Roman" w:cs="Times New Roman"/>
          <w:bCs/>
          <w:sz w:val="24"/>
          <w:szCs w:val="24"/>
        </w:rPr>
        <w:t>логия, механизмы реализации</w:t>
      </w:r>
      <w:r w:rsidR="00287734">
        <w:rPr>
          <w:rFonts w:ascii="Times New Roman" w:hAnsi="Times New Roman" w:cs="Times New Roman"/>
          <w:bCs/>
          <w:sz w:val="24"/>
          <w:szCs w:val="24"/>
        </w:rPr>
        <w:t xml:space="preserve">: монография </w:t>
      </w:r>
      <w:r w:rsidR="00287734" w:rsidRPr="00287734">
        <w:rPr>
          <w:rFonts w:ascii="Times New Roman" w:hAnsi="Times New Roman" w:cs="Times New Roman"/>
          <w:bCs/>
          <w:sz w:val="24"/>
          <w:szCs w:val="24"/>
        </w:rPr>
        <w:t>[</w:t>
      </w:r>
      <w:r w:rsidR="00287734">
        <w:rPr>
          <w:rFonts w:ascii="Times New Roman" w:hAnsi="Times New Roman" w:cs="Times New Roman"/>
          <w:bCs/>
          <w:sz w:val="24"/>
          <w:szCs w:val="24"/>
        </w:rPr>
        <w:t>Текст</w:t>
      </w:r>
      <w:r w:rsidR="00287734" w:rsidRPr="00287734">
        <w:rPr>
          <w:rFonts w:ascii="Times New Roman" w:hAnsi="Times New Roman" w:cs="Times New Roman"/>
          <w:bCs/>
          <w:sz w:val="24"/>
          <w:szCs w:val="24"/>
        </w:rPr>
        <w:t>]</w:t>
      </w:r>
      <w:r w:rsidR="0028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734" w:rsidRPr="00287734">
        <w:rPr>
          <w:rFonts w:ascii="Times New Roman" w:hAnsi="Times New Roman" w:cs="Times New Roman"/>
          <w:bCs/>
          <w:sz w:val="24"/>
          <w:szCs w:val="24"/>
        </w:rPr>
        <w:t>/</w:t>
      </w:r>
      <w:r w:rsidR="0028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734" w:rsidRPr="00E07413">
        <w:rPr>
          <w:rFonts w:ascii="Times New Roman" w:hAnsi="Times New Roman" w:cs="Times New Roman"/>
          <w:bCs/>
          <w:sz w:val="24"/>
          <w:szCs w:val="24"/>
        </w:rPr>
        <w:t xml:space="preserve">А.Г. </w:t>
      </w:r>
      <w:proofErr w:type="spellStart"/>
      <w:r w:rsidR="00287734" w:rsidRPr="00E07413">
        <w:rPr>
          <w:rFonts w:ascii="Times New Roman" w:hAnsi="Times New Roman" w:cs="Times New Roman"/>
          <w:bCs/>
          <w:sz w:val="24"/>
          <w:szCs w:val="24"/>
        </w:rPr>
        <w:t>Бадалова</w:t>
      </w:r>
      <w:proofErr w:type="spellEnd"/>
      <w:r w:rsidRPr="00E07413">
        <w:rPr>
          <w:rFonts w:ascii="Times New Roman" w:hAnsi="Times New Roman" w:cs="Times New Roman"/>
          <w:bCs/>
          <w:sz w:val="24"/>
          <w:szCs w:val="24"/>
        </w:rPr>
        <w:t>. – М,: «</w:t>
      </w:r>
      <w:proofErr w:type="spellStart"/>
      <w:r w:rsidRPr="00E07413">
        <w:rPr>
          <w:rFonts w:ascii="Times New Roman" w:hAnsi="Times New Roman" w:cs="Times New Roman"/>
          <w:bCs/>
          <w:sz w:val="24"/>
          <w:szCs w:val="24"/>
        </w:rPr>
        <w:t>Станкин</w:t>
      </w:r>
      <w:proofErr w:type="spellEnd"/>
      <w:r w:rsidRPr="00E07413">
        <w:rPr>
          <w:rFonts w:ascii="Times New Roman" w:hAnsi="Times New Roman" w:cs="Times New Roman"/>
          <w:bCs/>
          <w:sz w:val="24"/>
          <w:szCs w:val="24"/>
        </w:rPr>
        <w:t>», «ЯНУС-К», 2006. – 328 с.</w:t>
      </w:r>
    </w:p>
    <w:p w:rsidR="00CC2F23" w:rsidRPr="000C5EAF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Шеметев</w:t>
      </w:r>
      <w:proofErr w:type="spellEnd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Комплексное управление рисками в системе </w:t>
      </w:r>
      <w:proofErr w:type="gramStart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gramEnd"/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AF"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0C5EAF"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="000C5E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Шеметев</w:t>
      </w:r>
      <w:proofErr w:type="spellEnd"/>
      <w:r w:rsidR="000C5EAF"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0C5EAF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исследования и инновации. – О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тябрь, 2011. </w:t>
      </w:r>
      <w:r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074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C5EA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074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web</w:t>
        </w:r>
        <w:r w:rsidRPr="000C5EA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074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snauka</w:t>
        </w:r>
        <w:proofErr w:type="spellEnd"/>
        <w:r w:rsidRPr="000C5EA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074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0C5EA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E074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issues</w:t>
        </w:r>
        <w:r w:rsidRPr="000C5EA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/2011/10/3004</w:t>
        </w:r>
      </w:hyperlink>
      <w:r w:rsidRPr="000C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F23" w:rsidRPr="00E07413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07413">
        <w:rPr>
          <w:rFonts w:ascii="Times New Roman" w:hAnsi="Times New Roman" w:cs="Times New Roman"/>
          <w:sz w:val="24"/>
          <w:szCs w:val="24"/>
          <w:lang w:val="en-US" w:eastAsia="ru-RU"/>
        </w:rPr>
        <w:t>Danthine</w:t>
      </w:r>
      <w:proofErr w:type="spellEnd"/>
      <w:r w:rsidRPr="00E0741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J.–P.</w:t>
      </w:r>
      <w:proofErr w:type="gramStart"/>
      <w:r w:rsidRPr="00E07413">
        <w:rPr>
          <w:rFonts w:ascii="Times New Roman" w:hAnsi="Times New Roman" w:cs="Times New Roman"/>
          <w:sz w:val="24"/>
          <w:szCs w:val="24"/>
          <w:lang w:val="en-US" w:eastAsia="ru-RU"/>
        </w:rPr>
        <w:t>,  J</w:t>
      </w:r>
      <w:proofErr w:type="gramEnd"/>
      <w:r w:rsidRPr="00E07413">
        <w:rPr>
          <w:rFonts w:ascii="Times New Roman" w:hAnsi="Times New Roman" w:cs="Times New Roman"/>
          <w:sz w:val="24"/>
          <w:szCs w:val="24"/>
          <w:lang w:val="en-US" w:eastAsia="ru-RU"/>
        </w:rPr>
        <w:t>. Donaldson “Intermediate Financial Theory” Prentice-Hall 2002.</w:t>
      </w:r>
    </w:p>
    <w:p w:rsidR="00CC2F23" w:rsidRPr="00E07413" w:rsidRDefault="00CC2F23" w:rsidP="0003481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74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John Hull. 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4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Risk Management and Financial Institutions. – 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>Prentice Hall Publishers</w:t>
      </w:r>
      <w:r w:rsidRPr="00E074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2006. – 528 </w:t>
      </w:r>
      <w:r w:rsidRPr="00E07413">
        <w:rPr>
          <w:rFonts w:ascii="Times New Roman" w:hAnsi="Times New Roman" w:cs="Times New Roman"/>
          <w:bCs/>
          <w:sz w:val="24"/>
          <w:szCs w:val="24"/>
        </w:rPr>
        <w:t>с</w:t>
      </w:r>
      <w:r w:rsidRPr="00E074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C2F23" w:rsidRPr="00E07413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074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House Linacre, Jordan C. Hill. The professional handbook </w:t>
      </w:r>
      <w:proofErr w:type="gramStart"/>
      <w:r w:rsidRPr="00E07413">
        <w:rPr>
          <w:rFonts w:ascii="Times New Roman" w:eastAsia="Calibri" w:hAnsi="Times New Roman" w:cs="Times New Roman"/>
          <w:sz w:val="24"/>
          <w:szCs w:val="24"/>
          <w:lang w:val="en-US"/>
        </w:rPr>
        <w:t>of  financial</w:t>
      </w:r>
      <w:proofErr w:type="gramEnd"/>
      <w:r w:rsidRPr="00E074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risk ma</w:t>
      </w:r>
      <w:r w:rsidRPr="00E0741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07413">
        <w:rPr>
          <w:rFonts w:ascii="Times New Roman" w:eastAsia="Calibri" w:hAnsi="Times New Roman" w:cs="Times New Roman"/>
          <w:sz w:val="24"/>
          <w:szCs w:val="24"/>
          <w:lang w:val="en-US"/>
        </w:rPr>
        <w:t>agement. - Reed Education and  Professional Publishing LTD. 2000</w:t>
      </w:r>
    </w:p>
    <w:p w:rsidR="00CC2F23" w:rsidRPr="00034811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41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Merton R. Finance Theory. 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 URL</w:t>
      </w:r>
      <w:r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034811">
          <w:rPr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34811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34811">
          <w:rPr>
            <w:rFonts w:ascii="Times New Roman" w:hAnsi="Times New Roman" w:cs="Times New Roman"/>
            <w:sz w:val="24"/>
            <w:szCs w:val="24"/>
            <w:lang w:val="en-US" w:eastAsia="ru-RU"/>
          </w:rPr>
          <w:t>prmia</w:t>
        </w:r>
        <w:proofErr w:type="spellEnd"/>
        <w:r w:rsidRPr="00034811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34811">
          <w:rPr>
            <w:rFonts w:ascii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 xml:space="preserve"> (дата о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ращения 18.02.2013)</w:t>
      </w:r>
    </w:p>
    <w:p w:rsidR="00034811" w:rsidRPr="00034811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811">
        <w:rPr>
          <w:rFonts w:ascii="Times New Roman" w:hAnsi="Times New Roman" w:cs="Times New Roman"/>
          <w:sz w:val="24"/>
          <w:szCs w:val="24"/>
          <w:lang w:val="en-US"/>
        </w:rPr>
        <w:t xml:space="preserve">Market Risk Management at Russian Power Companies. </w:t>
      </w:r>
      <w:r w:rsidR="00034811" w:rsidRPr="00034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034811" w:rsidRPr="000348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48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481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481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811">
          <w:rPr>
            <w:rFonts w:ascii="Times New Roman" w:hAnsi="Times New Roman" w:cs="Times New Roman"/>
            <w:sz w:val="24"/>
            <w:szCs w:val="24"/>
            <w:lang w:val="en-US"/>
          </w:rPr>
          <w:t>kpmg</w:t>
        </w:r>
        <w:proofErr w:type="spellEnd"/>
        <w:r w:rsidRPr="00034811">
          <w:rPr>
            <w:rFonts w:ascii="Times New Roman" w:hAnsi="Times New Roman" w:cs="Times New Roman"/>
            <w:sz w:val="24"/>
            <w:szCs w:val="24"/>
          </w:rPr>
          <w:t>.</w:t>
        </w:r>
        <w:r w:rsidRPr="00034811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34811">
        <w:rPr>
          <w:rFonts w:ascii="Times New Roman" w:hAnsi="Times New Roman" w:cs="Times New Roman"/>
          <w:sz w:val="24"/>
          <w:szCs w:val="24"/>
        </w:rPr>
        <w:t xml:space="preserve"> 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(д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та обращения 18.02.2013)</w:t>
      </w:r>
    </w:p>
    <w:p w:rsidR="00034811" w:rsidRPr="00034811" w:rsidRDefault="00CC2F23" w:rsidP="000348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811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E07413">
        <w:rPr>
          <w:rFonts w:ascii="Times New Roman" w:hAnsi="Times New Roman" w:cs="Times New Roman"/>
          <w:sz w:val="24"/>
          <w:szCs w:val="24"/>
          <w:lang w:val="en-US"/>
        </w:rPr>
        <w:t xml:space="preserve">Principles of good governance.  </w:t>
      </w:r>
      <w:r w:rsidR="00034811" w:rsidRPr="00E07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034811" w:rsidRPr="00E0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4811" w:rsidRPr="0003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074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481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413">
          <w:rPr>
            <w:rFonts w:ascii="Times New Roman" w:hAnsi="Times New Roman" w:cs="Times New Roman"/>
            <w:sz w:val="24"/>
            <w:szCs w:val="24"/>
            <w:lang w:val="en-US"/>
          </w:rPr>
          <w:t>prmia</w:t>
        </w:r>
        <w:proofErr w:type="spellEnd"/>
        <w:r w:rsidRPr="00034811">
          <w:rPr>
            <w:rFonts w:ascii="Times New Roman" w:hAnsi="Times New Roman" w:cs="Times New Roman"/>
            <w:sz w:val="24"/>
            <w:szCs w:val="24"/>
          </w:rPr>
          <w:t>.</w:t>
        </w:r>
        <w:r w:rsidRPr="00E07413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034811">
        <w:rPr>
          <w:rFonts w:ascii="Times New Roman" w:hAnsi="Times New Roman" w:cs="Times New Roman"/>
          <w:sz w:val="24"/>
          <w:szCs w:val="24"/>
        </w:rPr>
        <w:t xml:space="preserve"> </w:t>
      </w:r>
      <w:r w:rsidR="00034811" w:rsidRPr="00034811">
        <w:rPr>
          <w:rFonts w:ascii="Times New Roman" w:hAnsi="Times New Roman" w:cs="Times New Roman"/>
          <w:sz w:val="24"/>
          <w:szCs w:val="24"/>
          <w:lang w:eastAsia="ru-RU"/>
        </w:rPr>
        <w:t>(дата обращения 18.02.2013)</w:t>
      </w:r>
    </w:p>
    <w:p w:rsidR="00CC2F23" w:rsidRPr="00034811" w:rsidRDefault="00CC2F23" w:rsidP="00034811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</w:p>
    <w:p w:rsidR="006512BE" w:rsidRPr="00E07413" w:rsidRDefault="006512BE" w:rsidP="00E0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12BE" w:rsidRPr="00E07413" w:rsidSect="00E074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CF"/>
    <w:multiLevelType w:val="hybridMultilevel"/>
    <w:tmpl w:val="4CC22B16"/>
    <w:lvl w:ilvl="0" w:tplc="4C62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53164"/>
    <w:multiLevelType w:val="hybridMultilevel"/>
    <w:tmpl w:val="B6E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AAD"/>
    <w:multiLevelType w:val="hybridMultilevel"/>
    <w:tmpl w:val="111A8364"/>
    <w:lvl w:ilvl="0" w:tplc="4C62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F1106"/>
    <w:multiLevelType w:val="hybridMultilevel"/>
    <w:tmpl w:val="CCDC89E6"/>
    <w:lvl w:ilvl="0" w:tplc="E2F4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C5A0D"/>
    <w:multiLevelType w:val="hybridMultilevel"/>
    <w:tmpl w:val="464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41B0"/>
    <w:multiLevelType w:val="multilevel"/>
    <w:tmpl w:val="5B4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04D66"/>
    <w:multiLevelType w:val="hybridMultilevel"/>
    <w:tmpl w:val="1EE6A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F24EA"/>
    <w:multiLevelType w:val="hybridMultilevel"/>
    <w:tmpl w:val="31A63C70"/>
    <w:lvl w:ilvl="0" w:tplc="C054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339E"/>
    <w:multiLevelType w:val="hybridMultilevel"/>
    <w:tmpl w:val="D4E4DC90"/>
    <w:lvl w:ilvl="0" w:tplc="7052594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4626A"/>
    <w:multiLevelType w:val="hybridMultilevel"/>
    <w:tmpl w:val="8D1A9E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11"/>
    <w:rsid w:val="00034811"/>
    <w:rsid w:val="00055BDD"/>
    <w:rsid w:val="000868DE"/>
    <w:rsid w:val="000C5EAF"/>
    <w:rsid w:val="000F7D33"/>
    <w:rsid w:val="00142411"/>
    <w:rsid w:val="001631E7"/>
    <w:rsid w:val="001958E3"/>
    <w:rsid w:val="001F0662"/>
    <w:rsid w:val="00287734"/>
    <w:rsid w:val="0030743B"/>
    <w:rsid w:val="0040301D"/>
    <w:rsid w:val="00431FAF"/>
    <w:rsid w:val="00437059"/>
    <w:rsid w:val="004604BB"/>
    <w:rsid w:val="004C23CC"/>
    <w:rsid w:val="004C2DCC"/>
    <w:rsid w:val="005463B3"/>
    <w:rsid w:val="00584EF3"/>
    <w:rsid w:val="005B7E16"/>
    <w:rsid w:val="005D4C5A"/>
    <w:rsid w:val="006512BE"/>
    <w:rsid w:val="00662684"/>
    <w:rsid w:val="006660E3"/>
    <w:rsid w:val="00694C1D"/>
    <w:rsid w:val="006B7448"/>
    <w:rsid w:val="006E34DE"/>
    <w:rsid w:val="006F5BF6"/>
    <w:rsid w:val="00700BAF"/>
    <w:rsid w:val="007106D6"/>
    <w:rsid w:val="00735399"/>
    <w:rsid w:val="00790EBD"/>
    <w:rsid w:val="0080493B"/>
    <w:rsid w:val="00955A19"/>
    <w:rsid w:val="0097227A"/>
    <w:rsid w:val="009759DC"/>
    <w:rsid w:val="00A94E74"/>
    <w:rsid w:val="00AA77D7"/>
    <w:rsid w:val="00B85D79"/>
    <w:rsid w:val="00C07520"/>
    <w:rsid w:val="00C52316"/>
    <w:rsid w:val="00C720E9"/>
    <w:rsid w:val="00C84CCB"/>
    <w:rsid w:val="00CC2F23"/>
    <w:rsid w:val="00CE4A6F"/>
    <w:rsid w:val="00D23435"/>
    <w:rsid w:val="00DE3FA4"/>
    <w:rsid w:val="00DE74F9"/>
    <w:rsid w:val="00DF2A62"/>
    <w:rsid w:val="00E07413"/>
    <w:rsid w:val="00E7742B"/>
    <w:rsid w:val="00E861F4"/>
    <w:rsid w:val="00EC5CE5"/>
    <w:rsid w:val="00F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3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6B74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3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C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8">
    <w:name w:val="Текст сноски Знак"/>
    <w:basedOn w:val="a0"/>
    <w:link w:val="a7"/>
    <w:semiHidden/>
    <w:rsid w:val="00CC2F2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a9">
    <w:name w:val="Emphasis"/>
    <w:qFormat/>
    <w:rsid w:val="00CC2F23"/>
    <w:rPr>
      <w:rFonts w:cs="Times New Roman"/>
      <w:i/>
      <w:iCs/>
    </w:rPr>
  </w:style>
  <w:style w:type="character" w:styleId="aa">
    <w:name w:val="Hyperlink"/>
    <w:rsid w:val="00CC2F23"/>
    <w:rPr>
      <w:color w:val="0000FF"/>
      <w:u w:val="single"/>
    </w:rPr>
  </w:style>
  <w:style w:type="table" w:styleId="ab">
    <w:name w:val="Table Grid"/>
    <w:basedOn w:val="a1"/>
    <w:uiPriority w:val="59"/>
    <w:rsid w:val="00A9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3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6B74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3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C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8">
    <w:name w:val="Текст сноски Знак"/>
    <w:basedOn w:val="a0"/>
    <w:link w:val="a7"/>
    <w:semiHidden/>
    <w:rsid w:val="00CC2F2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a9">
    <w:name w:val="Emphasis"/>
    <w:qFormat/>
    <w:rsid w:val="00CC2F23"/>
    <w:rPr>
      <w:rFonts w:cs="Times New Roman"/>
      <w:i/>
      <w:iCs/>
    </w:rPr>
  </w:style>
  <w:style w:type="character" w:styleId="aa">
    <w:name w:val="Hyperlink"/>
    <w:rsid w:val="00CC2F23"/>
    <w:rPr>
      <w:color w:val="0000FF"/>
      <w:u w:val="single"/>
    </w:rPr>
  </w:style>
  <w:style w:type="table" w:styleId="ab">
    <w:name w:val="Table Grid"/>
    <w:basedOn w:val="a1"/>
    <w:uiPriority w:val="59"/>
    <w:rsid w:val="00A9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nauka.ru/issues/2011/10/30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hse.spb.ru/about/map" TargetMode="External"/><Relationship Id="rId11" Type="http://schemas.openxmlformats.org/officeDocument/2006/relationships/hyperlink" Target="http://www.prm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m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mia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NOPAT</c:v>
                </c:pt>
                <c:pt idx="1">
                  <c:v>FCF</c:v>
                </c:pt>
                <c:pt idx="2">
                  <c:v>Book Value</c:v>
                </c:pt>
                <c:pt idx="3">
                  <c:v>Market Value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</c:v>
                </c:pt>
                <c:pt idx="1">
                  <c:v>0.75</c:v>
                </c:pt>
                <c:pt idx="2">
                  <c:v>0.33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13760"/>
        <c:axId val="165474304"/>
      </c:barChart>
      <c:catAx>
        <c:axId val="16861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74304"/>
        <c:crosses val="autoZero"/>
        <c:auto val="1"/>
        <c:lblAlgn val="ctr"/>
        <c:lblOffset val="100"/>
        <c:noMultiLvlLbl val="0"/>
      </c:catAx>
      <c:valAx>
        <c:axId val="16547430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8613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</cp:revision>
  <dcterms:created xsi:type="dcterms:W3CDTF">2013-03-13T04:38:00Z</dcterms:created>
  <dcterms:modified xsi:type="dcterms:W3CDTF">2013-03-13T04:38:00Z</dcterms:modified>
</cp:coreProperties>
</file>