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47" w:rsidRPr="00A21220" w:rsidRDefault="00BC2247" w:rsidP="00BC2247">
      <w:pPr>
        <w:spacing w:after="0" w:line="240" w:lineRule="auto"/>
        <w:jc w:val="center"/>
        <w:rPr>
          <w:rFonts w:ascii="Times New Roman" w:hAnsi="Times New Roman"/>
          <w:b/>
          <w:sz w:val="20"/>
          <w:szCs w:val="20"/>
        </w:rPr>
      </w:pPr>
      <w:r w:rsidRPr="00A21220">
        <w:rPr>
          <w:rFonts w:ascii="Times New Roman" w:hAnsi="Times New Roman"/>
          <w:b/>
          <w:sz w:val="20"/>
          <w:szCs w:val="20"/>
        </w:rPr>
        <w:t>АНАЛИЗ РЫНОЧНЫХ ФАКТОРОВ В ЗАДАЧАХ ПРОГНОЗИРОВАНИЯ ДОХОДНОСТИ ФИНАНСОВЫХ ИНСТРУМЕНТОВ РОССИЙСКОГО РЫНКА</w:t>
      </w:r>
    </w:p>
    <w:p w:rsidR="00BC2247" w:rsidRPr="00A21220" w:rsidRDefault="00BC2247" w:rsidP="00BC2247">
      <w:pPr>
        <w:autoSpaceDE w:val="0"/>
        <w:autoSpaceDN w:val="0"/>
        <w:adjustRightInd w:val="0"/>
        <w:spacing w:after="0" w:line="240" w:lineRule="auto"/>
        <w:jc w:val="center"/>
        <w:rPr>
          <w:rFonts w:ascii="Times New Roman" w:hAnsi="Times New Roman"/>
          <w:sz w:val="20"/>
          <w:szCs w:val="20"/>
        </w:rPr>
      </w:pPr>
    </w:p>
    <w:p w:rsidR="00BC2247" w:rsidRPr="00A21220" w:rsidRDefault="00BC2247" w:rsidP="00BC2247">
      <w:pPr>
        <w:autoSpaceDE w:val="0"/>
        <w:autoSpaceDN w:val="0"/>
        <w:adjustRightInd w:val="0"/>
        <w:spacing w:after="0" w:line="240" w:lineRule="auto"/>
        <w:jc w:val="center"/>
        <w:rPr>
          <w:rFonts w:ascii="Times New Roman" w:hAnsi="Times New Roman"/>
          <w:sz w:val="20"/>
          <w:szCs w:val="20"/>
        </w:rPr>
      </w:pPr>
      <w:r w:rsidRPr="00A21220">
        <w:rPr>
          <w:rFonts w:ascii="Times New Roman" w:hAnsi="Times New Roman"/>
          <w:sz w:val="20"/>
          <w:szCs w:val="20"/>
        </w:rPr>
        <w:t>Увайсов С.У., Журавлёва Ю.Н., Палий С. П.</w:t>
      </w:r>
    </w:p>
    <w:p w:rsidR="00BC2247" w:rsidRPr="00A21220" w:rsidRDefault="00BC2247" w:rsidP="00BC2247">
      <w:pPr>
        <w:autoSpaceDE w:val="0"/>
        <w:autoSpaceDN w:val="0"/>
        <w:adjustRightInd w:val="0"/>
        <w:spacing w:after="0" w:line="240" w:lineRule="auto"/>
        <w:jc w:val="center"/>
        <w:rPr>
          <w:rFonts w:ascii="Times New Roman" w:hAnsi="Times New Roman"/>
          <w:b/>
          <w:i/>
          <w:sz w:val="20"/>
          <w:szCs w:val="20"/>
        </w:rPr>
      </w:pPr>
      <w:r w:rsidRPr="00A21220">
        <w:rPr>
          <w:rFonts w:ascii="Times New Roman" w:hAnsi="Times New Roman"/>
          <w:i/>
          <w:sz w:val="20"/>
          <w:szCs w:val="20"/>
        </w:rPr>
        <w:t>МИЭМ НИУ ВШЭ</w:t>
      </w:r>
    </w:p>
    <w:p w:rsidR="00BC2247" w:rsidRPr="00A21220" w:rsidRDefault="00BC2247" w:rsidP="00BC2247">
      <w:pPr>
        <w:spacing w:after="0" w:line="240" w:lineRule="auto"/>
        <w:rPr>
          <w:rFonts w:ascii="Times New Roman" w:hAnsi="Times New Roman"/>
          <w:sz w:val="20"/>
          <w:szCs w:val="20"/>
        </w:rPr>
      </w:pPr>
    </w:p>
    <w:p w:rsidR="00BC2247" w:rsidRPr="00A21220" w:rsidRDefault="00BC2247" w:rsidP="00BC2247">
      <w:pPr>
        <w:autoSpaceDE w:val="0"/>
        <w:autoSpaceDN w:val="0"/>
        <w:adjustRightInd w:val="0"/>
        <w:spacing w:after="0" w:line="240" w:lineRule="auto"/>
        <w:ind w:firstLine="709"/>
        <w:jc w:val="both"/>
        <w:rPr>
          <w:rFonts w:ascii="Times New Roman" w:hAnsi="Times New Roman"/>
          <w:sz w:val="20"/>
          <w:szCs w:val="20"/>
        </w:rPr>
      </w:pPr>
      <w:r w:rsidRPr="00A21220">
        <w:rPr>
          <w:rFonts w:ascii="Times New Roman" w:hAnsi="Times New Roman"/>
          <w:sz w:val="20"/>
          <w:szCs w:val="20"/>
        </w:rPr>
        <w:t>Рассмотрена задача анализа рыночных факторов финансовой системы в задачах прогнозирования доходности финансовых инструментов российского рынка. Проведено ранжирование рыночных факторов в регрессионных моделях прогнозирования доходности финансовых инструментов.</w:t>
      </w:r>
    </w:p>
    <w:p w:rsidR="00BC2247" w:rsidRDefault="00BC2247" w:rsidP="00BC2247">
      <w:pPr>
        <w:spacing w:after="0" w:line="240" w:lineRule="auto"/>
        <w:ind w:firstLine="709"/>
        <w:rPr>
          <w:rFonts w:ascii="Times New Roman" w:hAnsi="Times New Roman"/>
          <w:sz w:val="20"/>
          <w:szCs w:val="20"/>
        </w:rPr>
      </w:pPr>
    </w:p>
    <w:p w:rsidR="00BC2247" w:rsidRPr="00A21220" w:rsidRDefault="00BC2247" w:rsidP="00BC2247">
      <w:pPr>
        <w:spacing w:after="0" w:line="240" w:lineRule="auto"/>
        <w:ind w:firstLine="708"/>
        <w:rPr>
          <w:rFonts w:ascii="Times New Roman" w:hAnsi="Times New Roman"/>
          <w:b/>
          <w:sz w:val="20"/>
          <w:szCs w:val="20"/>
          <w:lang w:val="en-US"/>
        </w:rPr>
      </w:pPr>
      <w:r w:rsidRPr="00A21220">
        <w:rPr>
          <w:rFonts w:ascii="Times New Roman" w:hAnsi="Times New Roman"/>
          <w:b/>
          <w:sz w:val="20"/>
          <w:szCs w:val="20"/>
          <w:lang w:val="en-US"/>
        </w:rPr>
        <w:t>Analysis of market factors problems in prediction of return of financial instruments on the russian market. Uvaysov S. U., Zhuravleva J.N., Paliy S. P.</w:t>
      </w:r>
    </w:p>
    <w:p w:rsidR="00BC2247" w:rsidRPr="00A21220" w:rsidRDefault="00BC2247" w:rsidP="00BC2247">
      <w:pPr>
        <w:spacing w:after="0" w:line="240" w:lineRule="auto"/>
        <w:ind w:firstLine="709"/>
        <w:jc w:val="both"/>
        <w:rPr>
          <w:rFonts w:ascii="Times New Roman" w:hAnsi="Times New Roman"/>
          <w:sz w:val="20"/>
          <w:szCs w:val="20"/>
          <w:lang w:val="en-US"/>
        </w:rPr>
      </w:pPr>
      <w:r w:rsidRPr="00A21220">
        <w:rPr>
          <w:rFonts w:ascii="Times New Roman" w:hAnsi="Times New Roman"/>
          <w:sz w:val="20"/>
          <w:szCs w:val="20"/>
          <w:lang w:val="en-US"/>
        </w:rPr>
        <w:t xml:space="preserve">A problem of analysis of financial system market factors in the context of forecasting returns of financial instruments on the Russian market is reviewed. A ranking of market factors in the regression models predicting profitability of financial instruments is conducted. </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Прогнозирование финансовой доходности является одним из наиболее важных этапов при принятии решения о покупке (продаже) финансовых инструментов. Определение наиболее значимых факторов, влияющих на доходность, является актуальной задачей. </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В качестве исходных данных для построения математических моделей доходности были рассмотрены 38 показателей финансовой системы, описывающие российский рынок акций, российский денежный рынок, российский рынок облигаций, международный рынок ценных бумаг. Проведена классификация показателей с точки зрения влияния различных видов рыночного риска, в результате которой получены 1 валютный показатель, 9 товарных показателей, 23 фондовых показателей, 5 процентных показателей.</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В общем виде модель прогнозирования доходности финансового инструмента имеет вид уравнения линейной множественной регрессии:</w:t>
      </w:r>
    </w:p>
    <w:p w:rsidR="00BC2247" w:rsidRPr="00A21220" w:rsidRDefault="00BC2247" w:rsidP="00BC2247">
      <w:pPr>
        <w:pStyle w:val="a3"/>
        <w:spacing w:line="240" w:lineRule="auto"/>
        <w:ind w:firstLine="0"/>
        <w:jc w:val="center"/>
        <w:rPr>
          <w:bCs w:val="0"/>
          <w:iCs w:val="0"/>
          <w:spacing w:val="-3"/>
          <w:sz w:val="20"/>
          <w:szCs w:val="20"/>
        </w:rPr>
      </w:pPr>
      <w:r w:rsidRPr="00A21220">
        <w:rPr>
          <w:bCs w:val="0"/>
          <w:iCs w:val="0"/>
          <w:spacing w:val="-3"/>
          <w:position w:val="-12"/>
          <w:sz w:val="20"/>
          <w:szCs w:val="20"/>
        </w:rPr>
        <w:object w:dxaOrig="2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25.1pt" o:ole="">
            <v:imagedata r:id="rId5" o:title=""/>
          </v:shape>
          <o:OLEObject Type="Embed" ProgID="Equation.3" ShapeID="_x0000_i1025" DrawAspect="Content" ObjectID="_1414241255" r:id="rId6"/>
        </w:object>
      </w:r>
      <w:r w:rsidRPr="00A21220">
        <w:rPr>
          <w:bCs w:val="0"/>
          <w:iCs w:val="0"/>
          <w:spacing w:val="-3"/>
          <w:sz w:val="20"/>
          <w:szCs w:val="20"/>
        </w:rPr>
        <w:t>,                                                      (1)</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где Y – зависимая переменная, в качестве которой принята доходность финансового инструмента; </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object w:dxaOrig="680" w:dyaOrig="360">
          <v:shape id="_x0000_i1026" type="#_x0000_t75" style="width:45.2pt;height:25.95pt" o:ole="">
            <v:imagedata r:id="rId7" o:title=""/>
          </v:shape>
          <o:OLEObject Type="Embed" ProgID="Equation.3" ShapeID="_x0000_i1026" DrawAspect="Content" ObjectID="_1414241256" r:id="rId8"/>
        </w:object>
      </w:r>
      <w:r w:rsidRPr="00A21220">
        <w:rPr>
          <w:rFonts w:ascii="Times New Roman" w:hAnsi="Times New Roman"/>
          <w:sz w:val="20"/>
          <w:szCs w:val="20"/>
        </w:rPr>
        <w:t xml:space="preserve"> – независимые переменные, представляющие собой показатели финансовой системы; </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object w:dxaOrig="740" w:dyaOrig="360">
          <v:shape id="_x0000_i1027" type="#_x0000_t75" style="width:47.7pt;height:22.6pt" o:ole="">
            <v:imagedata r:id="rId9" o:title=""/>
          </v:shape>
          <o:OLEObject Type="Embed" ProgID="Equation.3" ShapeID="_x0000_i1027" DrawAspect="Content" ObjectID="_1414241257" r:id="rId10"/>
        </w:object>
      </w:r>
      <w:r w:rsidRPr="00A21220">
        <w:rPr>
          <w:rFonts w:ascii="Times New Roman" w:hAnsi="Times New Roman"/>
          <w:sz w:val="20"/>
          <w:szCs w:val="20"/>
        </w:rPr>
        <w:t>– параметры (коэффициенты) модели (1).</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Для исследования в качестве экспериментальных данных были взяты 10 финансовых инструментов, выбранных случайным образом из так называемых «голубых фишек». Термин «голубые фишки» обозначает акции наиболее крупных, ликвидных и надежных компаний со стабильными показателями получаемых доходов и выплачиваемых дивидендов. Для расчетов были использованы доходности акций за период с 12 сентября </w:t>
      </w:r>
      <w:smartTag w:uri="urn:schemas-microsoft-com:office:smarttags" w:element="metricconverter">
        <w:smartTagPr>
          <w:attr w:name="ProductID" w:val="2006 г"/>
        </w:smartTagPr>
        <w:r w:rsidRPr="00A21220">
          <w:rPr>
            <w:rFonts w:ascii="Times New Roman" w:hAnsi="Times New Roman"/>
            <w:sz w:val="20"/>
            <w:szCs w:val="20"/>
          </w:rPr>
          <w:t>2006 г</w:t>
        </w:r>
      </w:smartTag>
      <w:r w:rsidRPr="00A21220">
        <w:rPr>
          <w:rFonts w:ascii="Times New Roman" w:hAnsi="Times New Roman"/>
          <w:sz w:val="20"/>
          <w:szCs w:val="20"/>
        </w:rPr>
        <w:t xml:space="preserve">. по 14 сентября </w:t>
      </w:r>
      <w:smartTag w:uri="urn:schemas-microsoft-com:office:smarttags" w:element="metricconverter">
        <w:smartTagPr>
          <w:attr w:name="ProductID" w:val="2011 г"/>
        </w:smartTagPr>
        <w:r w:rsidRPr="00A21220">
          <w:rPr>
            <w:rFonts w:ascii="Times New Roman" w:hAnsi="Times New Roman"/>
            <w:sz w:val="20"/>
            <w:szCs w:val="20"/>
          </w:rPr>
          <w:t>2011 г</w:t>
        </w:r>
      </w:smartTag>
      <w:r w:rsidRPr="00A21220">
        <w:rPr>
          <w:rFonts w:ascii="Times New Roman" w:hAnsi="Times New Roman"/>
          <w:sz w:val="20"/>
          <w:szCs w:val="20"/>
        </w:rPr>
        <w:t xml:space="preserve">. (1240 наблюдений). </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Для нахождения оценок коэффициентов уравнения (1) провели </w:t>
      </w:r>
      <w:r w:rsidRPr="00A21220">
        <w:rPr>
          <w:rFonts w:ascii="Times New Roman" w:hAnsi="Times New Roman"/>
          <w:i/>
          <w:sz w:val="20"/>
          <w:szCs w:val="20"/>
        </w:rPr>
        <w:t>n</w:t>
      </w:r>
      <w:r w:rsidRPr="00A21220">
        <w:rPr>
          <w:rFonts w:ascii="Times New Roman" w:hAnsi="Times New Roman"/>
          <w:sz w:val="20"/>
          <w:szCs w:val="20"/>
        </w:rPr>
        <w:t xml:space="preserve"> наблюдений для построения уравнений прогнозов доходности </w:t>
      </w:r>
      <w:r w:rsidRPr="00A21220">
        <w:rPr>
          <w:rFonts w:ascii="Times New Roman" w:hAnsi="Times New Roman"/>
          <w:i/>
          <w:sz w:val="20"/>
          <w:szCs w:val="20"/>
        </w:rPr>
        <w:t>m</w:t>
      </w:r>
      <w:r w:rsidRPr="00A21220">
        <w:rPr>
          <w:rFonts w:ascii="Times New Roman" w:hAnsi="Times New Roman"/>
          <w:sz w:val="20"/>
          <w:szCs w:val="20"/>
        </w:rPr>
        <w:t xml:space="preserve"> финансовых инструментов. Уравнение регрессии для каждого наблюдения </w:t>
      </w:r>
      <w:r w:rsidRPr="00A21220">
        <w:rPr>
          <w:rFonts w:ascii="Times New Roman" w:hAnsi="Times New Roman"/>
          <w:i/>
          <w:sz w:val="20"/>
          <w:szCs w:val="20"/>
        </w:rPr>
        <w:t>t</w:t>
      </w:r>
      <w:r w:rsidRPr="00A21220">
        <w:rPr>
          <w:rFonts w:ascii="Times New Roman" w:hAnsi="Times New Roman"/>
          <w:sz w:val="20"/>
          <w:szCs w:val="20"/>
        </w:rPr>
        <w:t xml:space="preserve"> и каждого финансового инструмента </w:t>
      </w:r>
      <w:r w:rsidRPr="00A21220">
        <w:rPr>
          <w:rFonts w:ascii="Times New Roman" w:hAnsi="Times New Roman"/>
          <w:i/>
          <w:sz w:val="20"/>
          <w:szCs w:val="20"/>
        </w:rPr>
        <w:t>j</w:t>
      </w:r>
      <w:r w:rsidRPr="00A21220">
        <w:rPr>
          <w:rFonts w:ascii="Times New Roman" w:hAnsi="Times New Roman"/>
          <w:sz w:val="20"/>
          <w:szCs w:val="20"/>
        </w:rPr>
        <w:t xml:space="preserve"> имеет следующий вид:</w:t>
      </w:r>
    </w:p>
    <w:p w:rsidR="00BC2247" w:rsidRPr="00A21220" w:rsidRDefault="00BC2247" w:rsidP="00BC2247">
      <w:pPr>
        <w:pStyle w:val="a3"/>
        <w:spacing w:line="240" w:lineRule="auto"/>
        <w:ind w:firstLine="564"/>
        <w:jc w:val="center"/>
        <w:rPr>
          <w:bCs w:val="0"/>
          <w:iCs w:val="0"/>
          <w:spacing w:val="-3"/>
          <w:sz w:val="20"/>
          <w:szCs w:val="20"/>
        </w:rPr>
      </w:pPr>
      <w:r w:rsidRPr="00A21220">
        <w:rPr>
          <w:bCs w:val="0"/>
          <w:iCs w:val="0"/>
          <w:spacing w:val="-3"/>
          <w:position w:val="-28"/>
          <w:sz w:val="20"/>
          <w:szCs w:val="20"/>
        </w:rPr>
        <w:object w:dxaOrig="4000" w:dyaOrig="680">
          <v:shape id="_x0000_i1028" type="#_x0000_t75" style="width:223.55pt;height:43.55pt" o:ole="">
            <v:imagedata r:id="rId11" o:title=""/>
          </v:shape>
          <o:OLEObject Type="Embed" ProgID="Equation.3" ShapeID="_x0000_i1028" DrawAspect="Content" ObjectID="_1414241258" r:id="rId12"/>
        </w:object>
      </w:r>
      <w:r w:rsidRPr="00A21220">
        <w:rPr>
          <w:bCs w:val="0"/>
          <w:iCs w:val="0"/>
          <w:spacing w:val="-3"/>
          <w:sz w:val="20"/>
          <w:szCs w:val="20"/>
        </w:rPr>
        <w:t>,                           (2)</w:t>
      </w:r>
    </w:p>
    <w:p w:rsidR="00BC2247" w:rsidRPr="00A21220" w:rsidRDefault="00BC2247" w:rsidP="00BC2247">
      <w:pPr>
        <w:pStyle w:val="a3"/>
        <w:spacing w:line="240" w:lineRule="auto"/>
        <w:ind w:firstLine="0"/>
        <w:rPr>
          <w:bCs w:val="0"/>
          <w:i/>
          <w:iCs w:val="0"/>
          <w:spacing w:val="-3"/>
          <w:sz w:val="20"/>
          <w:szCs w:val="20"/>
        </w:rPr>
      </w:pPr>
      <w:r w:rsidRPr="00A21220">
        <w:rPr>
          <w:sz w:val="20"/>
          <w:szCs w:val="20"/>
        </w:rPr>
        <w:t xml:space="preserve">где </w:t>
      </w:r>
      <w:r w:rsidRPr="00A21220">
        <w:rPr>
          <w:position w:val="-14"/>
          <w:sz w:val="20"/>
          <w:szCs w:val="20"/>
        </w:rPr>
        <w:object w:dxaOrig="300" w:dyaOrig="380">
          <v:shape id="_x0000_i1029" type="#_x0000_t75" style="width:20.95pt;height:20.1pt" o:ole="">
            <v:imagedata r:id="rId13" o:title=""/>
          </v:shape>
          <o:OLEObject Type="Embed" ProgID="Equation.3" ShapeID="_x0000_i1029" DrawAspect="Content" ObjectID="_1414241259" r:id="rId14"/>
        </w:object>
      </w:r>
      <w:r w:rsidRPr="00A21220">
        <w:rPr>
          <w:sz w:val="20"/>
          <w:szCs w:val="20"/>
        </w:rPr>
        <w:t xml:space="preserve">– значение регрессора </w:t>
      </w:r>
      <w:r w:rsidRPr="00A21220">
        <w:rPr>
          <w:position w:val="-14"/>
          <w:sz w:val="20"/>
          <w:szCs w:val="20"/>
        </w:rPr>
        <w:object w:dxaOrig="279" w:dyaOrig="380">
          <v:shape id="_x0000_i1030" type="#_x0000_t75" style="width:19.25pt;height:20.1pt" o:ole="">
            <v:imagedata r:id="rId15" o:title=""/>
          </v:shape>
          <o:OLEObject Type="Embed" ProgID="Equation.3" ShapeID="_x0000_i1030" DrawAspect="Content" ObjectID="_1414241260" r:id="rId16"/>
        </w:object>
      </w:r>
      <w:r w:rsidRPr="00A21220">
        <w:rPr>
          <w:sz w:val="20"/>
          <w:szCs w:val="20"/>
        </w:rPr>
        <w:t xml:space="preserve"> в наблюдении </w:t>
      </w:r>
      <w:r w:rsidRPr="00A21220">
        <w:rPr>
          <w:i/>
          <w:sz w:val="20"/>
          <w:szCs w:val="20"/>
        </w:rPr>
        <w:t>t</w:t>
      </w:r>
      <w:r w:rsidRPr="00A21220">
        <w:rPr>
          <w:sz w:val="20"/>
          <w:szCs w:val="20"/>
        </w:rPr>
        <w:t xml:space="preserve">,  </w:t>
      </w:r>
      <w:r w:rsidRPr="00A21220">
        <w:rPr>
          <w:position w:val="-10"/>
          <w:sz w:val="20"/>
          <w:szCs w:val="20"/>
        </w:rPr>
        <w:object w:dxaOrig="820" w:dyaOrig="380">
          <v:shape id="_x0000_i1031" type="#_x0000_t75" style="width:41pt;height:22.6pt" o:ole="">
            <v:imagedata r:id="rId17" o:title=""/>
          </v:shape>
          <o:OLEObject Type="Embed" ProgID="Equation.3" ShapeID="_x0000_i1031" DrawAspect="Content" ObjectID="_1414241261" r:id="rId18"/>
        </w:object>
      </w:r>
      <w:r w:rsidRPr="00A21220">
        <w:rPr>
          <w:sz w:val="20"/>
          <w:szCs w:val="20"/>
        </w:rPr>
        <w:t>,</w:t>
      </w:r>
      <w:r w:rsidRPr="00A21220">
        <w:rPr>
          <w:bCs w:val="0"/>
          <w:i/>
          <w:iCs w:val="0"/>
          <w:spacing w:val="-3"/>
          <w:sz w:val="20"/>
          <w:szCs w:val="20"/>
        </w:rPr>
        <w:t xml:space="preserve"> </w:t>
      </w:r>
    </w:p>
    <w:p w:rsidR="00BC2247" w:rsidRPr="00A21220" w:rsidRDefault="00BC2247" w:rsidP="00BC2247">
      <w:pPr>
        <w:pStyle w:val="a3"/>
        <w:spacing w:line="240" w:lineRule="auto"/>
        <w:ind w:firstLine="476"/>
        <w:rPr>
          <w:bCs w:val="0"/>
          <w:iCs w:val="0"/>
          <w:spacing w:val="-3"/>
          <w:sz w:val="20"/>
          <w:szCs w:val="20"/>
        </w:rPr>
      </w:pPr>
      <w:r w:rsidRPr="00A21220">
        <w:rPr>
          <w:bCs w:val="0"/>
          <w:i/>
          <w:iCs w:val="0"/>
          <w:spacing w:val="-3"/>
          <w:sz w:val="20"/>
          <w:szCs w:val="20"/>
        </w:rPr>
        <w:t>n</w:t>
      </w:r>
      <w:r w:rsidRPr="00A21220">
        <w:rPr>
          <w:bCs w:val="0"/>
          <w:iCs w:val="0"/>
          <w:spacing w:val="-3"/>
          <w:sz w:val="20"/>
          <w:szCs w:val="20"/>
        </w:rPr>
        <w:t xml:space="preserve"> – количество наблюдений, </w:t>
      </w:r>
      <w:r w:rsidRPr="00A21220">
        <w:rPr>
          <w:bCs w:val="0"/>
          <w:i/>
          <w:iCs w:val="0"/>
          <w:spacing w:val="-3"/>
          <w:sz w:val="20"/>
          <w:szCs w:val="20"/>
          <w:lang w:val="en-US"/>
        </w:rPr>
        <w:t>m</w:t>
      </w:r>
      <w:r w:rsidRPr="00A21220">
        <w:rPr>
          <w:bCs w:val="0"/>
          <w:iCs w:val="0"/>
          <w:spacing w:val="-3"/>
          <w:sz w:val="20"/>
          <w:szCs w:val="20"/>
        </w:rPr>
        <w:t xml:space="preserve"> – количество финансовых инструментов.</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Включение независимых переменных в ЛМР (2) проведено при помощи алгоритма пошагового включения переменных.  Модели ЛМР (2) для каждого финансового инструмента прошли проверку качества при помощи коэффициента детерминации </w:t>
      </w:r>
      <w:r w:rsidRPr="00A21220">
        <w:rPr>
          <w:rFonts w:ascii="Times New Roman" w:hAnsi="Times New Roman"/>
          <w:position w:val="-4"/>
          <w:sz w:val="20"/>
          <w:szCs w:val="20"/>
        </w:rPr>
        <w:object w:dxaOrig="340" w:dyaOrig="300">
          <v:shape id="_x0000_i1032" type="#_x0000_t75" style="width:17.6pt;height:15.05pt" o:ole="">
            <v:imagedata r:id="rId19" o:title=""/>
          </v:shape>
          <o:OLEObject Type="Embed" ProgID="Equation.3" ShapeID="_x0000_i1032" DrawAspect="Content" ObjectID="_1414241262" r:id="rId20"/>
        </w:object>
      </w:r>
      <w:r w:rsidRPr="00A21220">
        <w:rPr>
          <w:rFonts w:ascii="Times New Roman" w:hAnsi="Times New Roman"/>
          <w:sz w:val="20"/>
          <w:szCs w:val="20"/>
        </w:rPr>
        <w:t xml:space="preserve">. Результатом моделирования на 15 сентября </w:t>
      </w:r>
      <w:smartTag w:uri="urn:schemas-microsoft-com:office:smarttags" w:element="metricconverter">
        <w:smartTagPr>
          <w:attr w:name="ProductID" w:val="2011 г"/>
        </w:smartTagPr>
        <w:r w:rsidRPr="00A21220">
          <w:rPr>
            <w:rFonts w:ascii="Times New Roman" w:hAnsi="Times New Roman"/>
            <w:sz w:val="20"/>
            <w:szCs w:val="20"/>
          </w:rPr>
          <w:t>2011 г</w:t>
        </w:r>
      </w:smartTag>
      <w:r w:rsidRPr="00A21220">
        <w:rPr>
          <w:rFonts w:ascii="Times New Roman" w:hAnsi="Times New Roman"/>
          <w:sz w:val="20"/>
          <w:szCs w:val="20"/>
        </w:rPr>
        <w:t>. стали 10 уравнений вида (2), позволяющие рассчитать прогнозы доходности (таблица 1).</w:t>
      </w:r>
    </w:p>
    <w:p w:rsidR="00BC2247" w:rsidRPr="00A21220" w:rsidRDefault="00BC2247" w:rsidP="00BC2247">
      <w:pPr>
        <w:shd w:val="clear" w:color="auto" w:fill="FFFFFF"/>
        <w:spacing w:after="0" w:line="240" w:lineRule="auto"/>
        <w:ind w:firstLine="720"/>
        <w:jc w:val="right"/>
        <w:rPr>
          <w:rFonts w:ascii="Times New Roman" w:hAnsi="Times New Roman"/>
          <w:sz w:val="20"/>
          <w:szCs w:val="20"/>
        </w:rPr>
      </w:pPr>
      <w:r w:rsidRPr="00A21220">
        <w:rPr>
          <w:rFonts w:ascii="Times New Roman" w:hAnsi="Times New Roman"/>
          <w:sz w:val="20"/>
          <w:szCs w:val="20"/>
        </w:rPr>
        <w:t>Таблица 1</w:t>
      </w:r>
    </w:p>
    <w:p w:rsidR="00BC2247" w:rsidRPr="00A21220" w:rsidRDefault="00BC2247" w:rsidP="00BC2247">
      <w:pPr>
        <w:shd w:val="clear" w:color="auto" w:fill="FFFFFF"/>
        <w:spacing w:after="0" w:line="240" w:lineRule="auto"/>
        <w:ind w:firstLine="720"/>
        <w:jc w:val="center"/>
        <w:rPr>
          <w:rFonts w:ascii="Times New Roman" w:hAnsi="Times New Roman"/>
          <w:sz w:val="20"/>
          <w:szCs w:val="20"/>
        </w:rPr>
      </w:pPr>
      <w:r w:rsidRPr="00A21220">
        <w:rPr>
          <w:rFonts w:ascii="Times New Roman" w:hAnsi="Times New Roman"/>
          <w:sz w:val="20"/>
          <w:szCs w:val="20"/>
        </w:rPr>
        <w:t>Описание уравнений доходности финансовых инструментов</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p>
    <w:tbl>
      <w:tblPr>
        <w:tblW w:w="833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02"/>
        <w:gridCol w:w="1362"/>
        <w:gridCol w:w="1276"/>
        <w:gridCol w:w="1276"/>
        <w:gridCol w:w="1338"/>
        <w:gridCol w:w="1680"/>
      </w:tblGrid>
      <w:tr w:rsidR="00BC2247" w:rsidRPr="00A21220" w:rsidTr="004D50F3">
        <w:trPr>
          <w:trHeight w:val="289"/>
          <w:jc w:val="center"/>
        </w:trPr>
        <w:tc>
          <w:tcPr>
            <w:tcW w:w="1402" w:type="dxa"/>
            <w:vMerge w:val="restart"/>
            <w:shd w:val="clear" w:color="auto" w:fill="auto"/>
            <w:vAlign w:val="center"/>
          </w:tcPr>
          <w:p w:rsidR="00BC2247" w:rsidRPr="00A21220" w:rsidRDefault="00BC2247" w:rsidP="004D50F3">
            <w:pPr>
              <w:spacing w:after="0" w:line="240" w:lineRule="auto"/>
              <w:ind w:firstLine="34"/>
              <w:jc w:val="center"/>
              <w:rPr>
                <w:rFonts w:ascii="Times New Roman" w:hAnsi="Times New Roman"/>
                <w:spacing w:val="-4"/>
                <w:sz w:val="20"/>
                <w:szCs w:val="20"/>
              </w:rPr>
            </w:pPr>
            <w:r w:rsidRPr="00A21220">
              <w:rPr>
                <w:rFonts w:ascii="Times New Roman" w:hAnsi="Times New Roman"/>
                <w:spacing w:val="-4"/>
                <w:sz w:val="20"/>
                <w:szCs w:val="20"/>
              </w:rPr>
              <w:t>Финансовый</w:t>
            </w:r>
          </w:p>
          <w:p w:rsidR="00BC2247" w:rsidRPr="00A21220" w:rsidRDefault="00BC2247" w:rsidP="004D50F3">
            <w:pPr>
              <w:spacing w:after="0" w:line="240" w:lineRule="auto"/>
              <w:ind w:firstLine="34"/>
              <w:jc w:val="center"/>
              <w:rPr>
                <w:rFonts w:ascii="Times New Roman" w:hAnsi="Times New Roman"/>
                <w:sz w:val="20"/>
                <w:szCs w:val="20"/>
              </w:rPr>
            </w:pPr>
            <w:r w:rsidRPr="00A21220">
              <w:rPr>
                <w:rFonts w:ascii="Times New Roman" w:hAnsi="Times New Roman"/>
                <w:spacing w:val="-4"/>
                <w:sz w:val="20"/>
                <w:szCs w:val="20"/>
              </w:rPr>
              <w:t>инструмент</w:t>
            </w:r>
          </w:p>
        </w:tc>
        <w:tc>
          <w:tcPr>
            <w:tcW w:w="5252" w:type="dxa"/>
            <w:gridSpan w:val="4"/>
            <w:shd w:val="clear" w:color="auto" w:fill="auto"/>
            <w:noWrap/>
            <w:vAlign w:val="bottom"/>
          </w:tcPr>
          <w:p w:rsidR="00BC2247" w:rsidRPr="00A21220" w:rsidRDefault="00BC2247" w:rsidP="004D50F3">
            <w:pPr>
              <w:spacing w:after="0" w:line="240" w:lineRule="auto"/>
              <w:ind w:hanging="29"/>
              <w:jc w:val="center"/>
              <w:rPr>
                <w:rFonts w:ascii="Times New Roman" w:hAnsi="Times New Roman"/>
                <w:sz w:val="20"/>
                <w:szCs w:val="20"/>
              </w:rPr>
            </w:pPr>
            <w:r w:rsidRPr="00A21220">
              <w:rPr>
                <w:rFonts w:ascii="Times New Roman" w:hAnsi="Times New Roman"/>
                <w:sz w:val="20"/>
                <w:szCs w:val="20"/>
              </w:rPr>
              <w:t xml:space="preserve">Количество переменных </w:t>
            </w:r>
          </w:p>
          <w:p w:rsidR="00BC2247" w:rsidRPr="00A21220" w:rsidRDefault="00BC2247" w:rsidP="004D50F3">
            <w:pPr>
              <w:spacing w:after="0" w:line="240" w:lineRule="auto"/>
              <w:ind w:hanging="29"/>
              <w:jc w:val="center"/>
              <w:rPr>
                <w:rFonts w:ascii="Times New Roman" w:hAnsi="Times New Roman"/>
                <w:sz w:val="20"/>
                <w:szCs w:val="20"/>
              </w:rPr>
            </w:pPr>
            <w:r w:rsidRPr="00A21220">
              <w:rPr>
                <w:rFonts w:ascii="Times New Roman" w:hAnsi="Times New Roman"/>
                <w:sz w:val="20"/>
                <w:szCs w:val="20"/>
              </w:rPr>
              <w:t>в группе показателей</w:t>
            </w:r>
          </w:p>
        </w:tc>
        <w:tc>
          <w:tcPr>
            <w:tcW w:w="1680" w:type="dxa"/>
            <w:vMerge w:val="restart"/>
            <w:shd w:val="clear" w:color="auto" w:fill="auto"/>
            <w:noWrap/>
            <w:vAlign w:val="center"/>
          </w:tcPr>
          <w:p w:rsidR="00BC2247" w:rsidRPr="00A21220" w:rsidRDefault="00BC2247" w:rsidP="004D50F3">
            <w:pPr>
              <w:spacing w:after="0" w:line="240" w:lineRule="auto"/>
              <w:ind w:firstLine="564"/>
              <w:jc w:val="center"/>
              <w:rPr>
                <w:rFonts w:ascii="Times New Roman" w:hAnsi="Times New Roman"/>
                <w:spacing w:val="-3"/>
                <w:sz w:val="20"/>
                <w:szCs w:val="20"/>
              </w:rPr>
            </w:pPr>
          </w:p>
          <w:p w:rsidR="00BC2247" w:rsidRPr="00A21220" w:rsidRDefault="00BC2247" w:rsidP="004D50F3">
            <w:pPr>
              <w:spacing w:after="0" w:line="240" w:lineRule="auto"/>
              <w:ind w:firstLine="37"/>
              <w:jc w:val="center"/>
              <w:rPr>
                <w:rFonts w:ascii="Times New Roman" w:hAnsi="Times New Roman"/>
                <w:spacing w:val="-3"/>
                <w:sz w:val="20"/>
                <w:szCs w:val="20"/>
              </w:rPr>
            </w:pPr>
            <w:r w:rsidRPr="00A21220">
              <w:rPr>
                <w:rFonts w:ascii="Times New Roman" w:hAnsi="Times New Roman"/>
                <w:spacing w:val="-3"/>
                <w:sz w:val="20"/>
                <w:szCs w:val="20"/>
              </w:rPr>
              <w:pict>
                <v:shape id="_x0000_s1026" type="#_x0000_t75" style="position:absolute;left:0;text-align:left;margin-left:18pt;margin-top:21.75pt;width:15.75pt;height:15.45pt;z-index:251660288">
                  <v:imagedata r:id="rId21" o:title=""/>
                </v:shape>
                <o:OLEObject Type="Embed" ProgID="Equation.3" ShapeID="_x0000_s1026" DrawAspect="Content" ObjectID="_1414241273" r:id="rId22"/>
              </w:pict>
            </w:r>
            <w:r w:rsidRPr="00A21220">
              <w:rPr>
                <w:rFonts w:ascii="Times New Roman" w:hAnsi="Times New Roman"/>
                <w:spacing w:val="-3"/>
                <w:sz w:val="20"/>
                <w:szCs w:val="20"/>
              </w:rPr>
              <w:t>Коэффициент детерминации</w:t>
            </w:r>
          </w:p>
        </w:tc>
      </w:tr>
      <w:tr w:rsidR="00BC2247" w:rsidRPr="00A21220" w:rsidTr="004D50F3">
        <w:trPr>
          <w:trHeight w:val="739"/>
          <w:jc w:val="center"/>
        </w:trPr>
        <w:tc>
          <w:tcPr>
            <w:tcW w:w="1402" w:type="dxa"/>
            <w:vMerge/>
            <w:vAlign w:val="center"/>
          </w:tcPr>
          <w:p w:rsidR="00BC2247" w:rsidRPr="00A21220" w:rsidRDefault="00BC2247" w:rsidP="004D50F3">
            <w:pPr>
              <w:spacing w:after="0" w:line="240" w:lineRule="auto"/>
              <w:ind w:firstLine="35"/>
              <w:rPr>
                <w:rFonts w:ascii="Times New Roman" w:hAnsi="Times New Roman"/>
                <w:sz w:val="20"/>
                <w:szCs w:val="20"/>
              </w:rPr>
            </w:pPr>
          </w:p>
        </w:tc>
        <w:tc>
          <w:tcPr>
            <w:tcW w:w="1362" w:type="dxa"/>
            <w:vMerge w:val="restart"/>
            <w:shd w:val="clear" w:color="auto" w:fill="auto"/>
            <w:vAlign w:val="center"/>
          </w:tcPr>
          <w:p w:rsidR="00BC2247" w:rsidRPr="00A21220" w:rsidRDefault="00BC2247" w:rsidP="004D50F3">
            <w:pPr>
              <w:spacing w:after="0" w:line="240" w:lineRule="auto"/>
              <w:ind w:firstLine="21"/>
              <w:jc w:val="center"/>
              <w:rPr>
                <w:rFonts w:ascii="Times New Roman" w:hAnsi="Times New Roman"/>
                <w:spacing w:val="-4"/>
                <w:sz w:val="20"/>
                <w:szCs w:val="20"/>
              </w:rPr>
            </w:pPr>
            <w:r w:rsidRPr="00A21220">
              <w:rPr>
                <w:rFonts w:ascii="Times New Roman" w:hAnsi="Times New Roman"/>
                <w:spacing w:val="-4"/>
                <w:sz w:val="20"/>
                <w:szCs w:val="20"/>
              </w:rPr>
              <w:t>Валютные показатели</w:t>
            </w:r>
          </w:p>
        </w:tc>
        <w:tc>
          <w:tcPr>
            <w:tcW w:w="1276" w:type="dxa"/>
            <w:vMerge w:val="restart"/>
            <w:shd w:val="clear" w:color="auto" w:fill="auto"/>
            <w:vAlign w:val="center"/>
          </w:tcPr>
          <w:p w:rsidR="00BC2247" w:rsidRPr="00A21220" w:rsidRDefault="00BC2247" w:rsidP="004D50F3">
            <w:pPr>
              <w:spacing w:after="0" w:line="240" w:lineRule="auto"/>
              <w:ind w:hanging="19"/>
              <w:jc w:val="center"/>
              <w:rPr>
                <w:rFonts w:ascii="Times New Roman" w:hAnsi="Times New Roman"/>
                <w:spacing w:val="-4"/>
                <w:sz w:val="20"/>
                <w:szCs w:val="20"/>
              </w:rPr>
            </w:pPr>
            <w:r w:rsidRPr="00A21220">
              <w:rPr>
                <w:rFonts w:ascii="Times New Roman" w:hAnsi="Times New Roman"/>
                <w:spacing w:val="-4"/>
                <w:sz w:val="20"/>
                <w:szCs w:val="20"/>
              </w:rPr>
              <w:t>Товарные показатели</w:t>
            </w:r>
          </w:p>
        </w:tc>
        <w:tc>
          <w:tcPr>
            <w:tcW w:w="1276" w:type="dxa"/>
            <w:vMerge w:val="restart"/>
            <w:shd w:val="clear" w:color="auto" w:fill="auto"/>
            <w:vAlign w:val="center"/>
          </w:tcPr>
          <w:p w:rsidR="00BC2247" w:rsidRPr="00A21220" w:rsidRDefault="00BC2247" w:rsidP="004D50F3">
            <w:pPr>
              <w:spacing w:after="0" w:line="240" w:lineRule="auto"/>
              <w:ind w:firstLine="3"/>
              <w:jc w:val="center"/>
              <w:rPr>
                <w:rFonts w:ascii="Times New Roman" w:hAnsi="Times New Roman"/>
                <w:spacing w:val="-4"/>
                <w:sz w:val="20"/>
                <w:szCs w:val="20"/>
              </w:rPr>
            </w:pPr>
            <w:r w:rsidRPr="00A21220">
              <w:rPr>
                <w:rFonts w:ascii="Times New Roman" w:hAnsi="Times New Roman"/>
                <w:spacing w:val="-4"/>
                <w:sz w:val="20"/>
                <w:szCs w:val="20"/>
              </w:rPr>
              <w:t>Фондовые показатели</w:t>
            </w:r>
          </w:p>
        </w:tc>
        <w:tc>
          <w:tcPr>
            <w:tcW w:w="1338" w:type="dxa"/>
            <w:vMerge w:val="restart"/>
            <w:shd w:val="clear" w:color="auto" w:fill="auto"/>
            <w:vAlign w:val="center"/>
          </w:tcPr>
          <w:p w:rsidR="00BC2247" w:rsidRPr="00A21220" w:rsidRDefault="00BC2247" w:rsidP="004D50F3">
            <w:pPr>
              <w:spacing w:after="0" w:line="240" w:lineRule="auto"/>
              <w:ind w:firstLine="41"/>
              <w:jc w:val="center"/>
              <w:rPr>
                <w:rFonts w:ascii="Times New Roman" w:hAnsi="Times New Roman"/>
                <w:spacing w:val="-4"/>
                <w:sz w:val="20"/>
                <w:szCs w:val="20"/>
              </w:rPr>
            </w:pPr>
            <w:r w:rsidRPr="00A21220">
              <w:rPr>
                <w:rFonts w:ascii="Times New Roman" w:hAnsi="Times New Roman"/>
                <w:spacing w:val="-4"/>
                <w:sz w:val="20"/>
                <w:szCs w:val="20"/>
              </w:rPr>
              <w:t>Процентные показатели</w:t>
            </w:r>
          </w:p>
        </w:tc>
        <w:tc>
          <w:tcPr>
            <w:tcW w:w="1680" w:type="dxa"/>
            <w:vMerge/>
            <w:vAlign w:val="center"/>
          </w:tcPr>
          <w:p w:rsidR="00BC2247" w:rsidRPr="00A21220" w:rsidRDefault="00BC2247" w:rsidP="004D50F3">
            <w:pPr>
              <w:spacing w:after="0" w:line="240" w:lineRule="auto"/>
              <w:ind w:firstLine="564"/>
              <w:rPr>
                <w:rFonts w:ascii="Times New Roman" w:hAnsi="Times New Roman"/>
                <w:spacing w:val="-3"/>
                <w:sz w:val="20"/>
                <w:szCs w:val="20"/>
              </w:rPr>
            </w:pPr>
          </w:p>
        </w:tc>
      </w:tr>
      <w:tr w:rsidR="00BC2247" w:rsidRPr="00A21220" w:rsidTr="004D50F3">
        <w:trPr>
          <w:trHeight w:val="464"/>
          <w:jc w:val="center"/>
        </w:trPr>
        <w:tc>
          <w:tcPr>
            <w:tcW w:w="1402" w:type="dxa"/>
            <w:vMerge/>
            <w:vAlign w:val="center"/>
          </w:tcPr>
          <w:p w:rsidR="00BC2247" w:rsidRPr="00A21220" w:rsidRDefault="00BC2247" w:rsidP="004D50F3">
            <w:pPr>
              <w:spacing w:after="0" w:line="240" w:lineRule="auto"/>
              <w:ind w:firstLine="35"/>
              <w:rPr>
                <w:rFonts w:ascii="Times New Roman" w:hAnsi="Times New Roman"/>
                <w:sz w:val="20"/>
                <w:szCs w:val="20"/>
              </w:rPr>
            </w:pPr>
          </w:p>
        </w:tc>
        <w:tc>
          <w:tcPr>
            <w:tcW w:w="1362" w:type="dxa"/>
            <w:vMerge/>
            <w:vAlign w:val="center"/>
          </w:tcPr>
          <w:p w:rsidR="00BC2247" w:rsidRPr="00A21220" w:rsidRDefault="00BC2247" w:rsidP="004D50F3">
            <w:pPr>
              <w:spacing w:after="0" w:line="240" w:lineRule="auto"/>
              <w:ind w:firstLine="21"/>
              <w:rPr>
                <w:rFonts w:ascii="Times New Roman" w:hAnsi="Times New Roman"/>
                <w:sz w:val="20"/>
                <w:szCs w:val="20"/>
              </w:rPr>
            </w:pPr>
          </w:p>
        </w:tc>
        <w:tc>
          <w:tcPr>
            <w:tcW w:w="1276" w:type="dxa"/>
            <w:vMerge/>
            <w:vAlign w:val="center"/>
          </w:tcPr>
          <w:p w:rsidR="00BC2247" w:rsidRPr="00A21220" w:rsidRDefault="00BC2247" w:rsidP="004D50F3">
            <w:pPr>
              <w:spacing w:after="0" w:line="240" w:lineRule="auto"/>
              <w:ind w:hanging="19"/>
              <w:rPr>
                <w:rFonts w:ascii="Times New Roman" w:hAnsi="Times New Roman"/>
                <w:sz w:val="20"/>
                <w:szCs w:val="20"/>
              </w:rPr>
            </w:pPr>
          </w:p>
        </w:tc>
        <w:tc>
          <w:tcPr>
            <w:tcW w:w="1276" w:type="dxa"/>
            <w:vMerge/>
            <w:vAlign w:val="center"/>
          </w:tcPr>
          <w:p w:rsidR="00BC2247" w:rsidRPr="00A21220" w:rsidRDefault="00BC2247" w:rsidP="004D50F3">
            <w:pPr>
              <w:spacing w:after="0" w:line="240" w:lineRule="auto"/>
              <w:ind w:firstLine="3"/>
              <w:rPr>
                <w:rFonts w:ascii="Times New Roman" w:hAnsi="Times New Roman"/>
                <w:sz w:val="20"/>
                <w:szCs w:val="20"/>
              </w:rPr>
            </w:pPr>
          </w:p>
        </w:tc>
        <w:tc>
          <w:tcPr>
            <w:tcW w:w="1338" w:type="dxa"/>
            <w:vMerge/>
            <w:vAlign w:val="center"/>
          </w:tcPr>
          <w:p w:rsidR="00BC2247" w:rsidRPr="00A21220" w:rsidRDefault="00BC2247" w:rsidP="004D50F3">
            <w:pPr>
              <w:spacing w:after="0" w:line="240" w:lineRule="auto"/>
              <w:ind w:firstLine="41"/>
              <w:rPr>
                <w:rFonts w:ascii="Times New Roman" w:hAnsi="Times New Roman"/>
                <w:sz w:val="20"/>
                <w:szCs w:val="20"/>
              </w:rPr>
            </w:pPr>
          </w:p>
        </w:tc>
        <w:tc>
          <w:tcPr>
            <w:tcW w:w="1680" w:type="dxa"/>
            <w:vMerge/>
            <w:vAlign w:val="center"/>
          </w:tcPr>
          <w:p w:rsidR="00BC2247" w:rsidRPr="00A21220" w:rsidRDefault="00BC2247" w:rsidP="004D50F3">
            <w:pPr>
              <w:spacing w:after="0" w:line="240" w:lineRule="auto"/>
              <w:ind w:firstLine="564"/>
              <w:rPr>
                <w:rFonts w:ascii="Times New Roman" w:hAnsi="Times New Roman"/>
                <w:spacing w:val="-3"/>
                <w:sz w:val="20"/>
                <w:szCs w:val="20"/>
              </w:rPr>
            </w:pP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«Газпром»</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0</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4</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17</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1</w:t>
            </w:r>
          </w:p>
        </w:tc>
        <w:tc>
          <w:tcPr>
            <w:tcW w:w="1680" w:type="dxa"/>
            <w:shd w:val="clear" w:color="auto" w:fill="auto"/>
            <w:vAlign w:val="bottom"/>
          </w:tcPr>
          <w:p w:rsidR="00BC2247" w:rsidRPr="00A21220" w:rsidRDefault="00BC2247" w:rsidP="004D50F3">
            <w:pPr>
              <w:spacing w:after="0" w:line="240" w:lineRule="auto"/>
              <w:ind w:hanging="11"/>
              <w:jc w:val="center"/>
              <w:rPr>
                <w:rFonts w:ascii="Times New Roman" w:hAnsi="Times New Roman"/>
                <w:sz w:val="20"/>
                <w:szCs w:val="20"/>
              </w:rPr>
            </w:pPr>
            <w:r w:rsidRPr="00A21220">
              <w:rPr>
                <w:rFonts w:ascii="Times New Roman" w:hAnsi="Times New Roman"/>
                <w:sz w:val="20"/>
                <w:szCs w:val="20"/>
              </w:rPr>
              <w:t>68,00%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rPr>
                <w:rFonts w:ascii="Times New Roman" w:hAnsi="Times New Roman"/>
                <w:sz w:val="20"/>
                <w:szCs w:val="20"/>
              </w:rPr>
            </w:pPr>
            <w:r w:rsidRPr="00A21220">
              <w:rPr>
                <w:rFonts w:ascii="Times New Roman" w:hAnsi="Times New Roman"/>
                <w:spacing w:val="-3"/>
                <w:sz w:val="20"/>
                <w:szCs w:val="20"/>
              </w:rPr>
              <w:t>«Лукойл»</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5</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19</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2</w:t>
            </w:r>
          </w:p>
        </w:tc>
        <w:tc>
          <w:tcPr>
            <w:tcW w:w="1680" w:type="dxa"/>
            <w:shd w:val="clear" w:color="auto" w:fill="auto"/>
            <w:vAlign w:val="bottom"/>
          </w:tcPr>
          <w:p w:rsidR="00BC2247" w:rsidRPr="00A21220" w:rsidRDefault="00BC2247" w:rsidP="004D50F3">
            <w:pPr>
              <w:spacing w:after="0" w:line="240" w:lineRule="auto"/>
              <w:ind w:firstLine="7"/>
              <w:jc w:val="center"/>
              <w:rPr>
                <w:rFonts w:ascii="Times New Roman" w:hAnsi="Times New Roman"/>
                <w:sz w:val="20"/>
                <w:szCs w:val="20"/>
              </w:rPr>
            </w:pPr>
            <w:r w:rsidRPr="00A21220">
              <w:rPr>
                <w:rFonts w:ascii="Times New Roman" w:hAnsi="Times New Roman"/>
                <w:sz w:val="20"/>
                <w:szCs w:val="20"/>
              </w:rPr>
              <w:t>70,00%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hanging="1"/>
              <w:rPr>
                <w:rFonts w:ascii="Times New Roman" w:hAnsi="Times New Roman"/>
                <w:sz w:val="20"/>
                <w:szCs w:val="20"/>
              </w:rPr>
            </w:pPr>
            <w:r w:rsidRPr="00A21220">
              <w:rPr>
                <w:rFonts w:ascii="Times New Roman" w:hAnsi="Times New Roman"/>
                <w:spacing w:val="-3"/>
                <w:sz w:val="20"/>
                <w:szCs w:val="20"/>
              </w:rPr>
              <w:t>«Ростелеком»</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5</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18</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3</w:t>
            </w:r>
          </w:p>
        </w:tc>
        <w:tc>
          <w:tcPr>
            <w:tcW w:w="1680" w:type="dxa"/>
            <w:shd w:val="clear" w:color="auto" w:fill="auto"/>
            <w:vAlign w:val="bottom"/>
          </w:tcPr>
          <w:p w:rsidR="00BC2247" w:rsidRPr="00A21220" w:rsidRDefault="00BC2247" w:rsidP="004D50F3">
            <w:pPr>
              <w:spacing w:after="0" w:line="240" w:lineRule="auto"/>
              <w:ind w:hanging="11"/>
              <w:jc w:val="center"/>
              <w:rPr>
                <w:rFonts w:ascii="Times New Roman" w:hAnsi="Times New Roman"/>
                <w:sz w:val="20"/>
                <w:szCs w:val="20"/>
              </w:rPr>
            </w:pPr>
            <w:r w:rsidRPr="00A21220">
              <w:rPr>
                <w:rFonts w:ascii="Times New Roman" w:hAnsi="Times New Roman"/>
                <w:sz w:val="20"/>
                <w:szCs w:val="20"/>
              </w:rPr>
              <w:t>71,00%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«СНГ»</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5</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15</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2</w:t>
            </w:r>
          </w:p>
        </w:tc>
        <w:tc>
          <w:tcPr>
            <w:tcW w:w="1680" w:type="dxa"/>
            <w:shd w:val="clear" w:color="auto" w:fill="auto"/>
            <w:vAlign w:val="bottom"/>
          </w:tcPr>
          <w:p w:rsidR="00BC2247" w:rsidRPr="00A21220" w:rsidRDefault="00BC2247" w:rsidP="004D50F3">
            <w:pPr>
              <w:spacing w:after="0" w:line="240" w:lineRule="auto"/>
              <w:ind w:firstLine="19"/>
              <w:jc w:val="center"/>
              <w:rPr>
                <w:rFonts w:ascii="Times New Roman" w:hAnsi="Times New Roman"/>
                <w:sz w:val="20"/>
                <w:szCs w:val="20"/>
              </w:rPr>
            </w:pPr>
            <w:r w:rsidRPr="00A21220">
              <w:rPr>
                <w:rFonts w:ascii="Times New Roman" w:hAnsi="Times New Roman"/>
                <w:sz w:val="20"/>
                <w:szCs w:val="20"/>
              </w:rPr>
              <w:t>67,50%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«Сбербанк»</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6</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13</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0</w:t>
            </w:r>
          </w:p>
        </w:tc>
        <w:tc>
          <w:tcPr>
            <w:tcW w:w="1680" w:type="dxa"/>
            <w:shd w:val="clear" w:color="auto" w:fill="auto"/>
            <w:vAlign w:val="bottom"/>
          </w:tcPr>
          <w:p w:rsidR="00BC2247" w:rsidRPr="00A21220" w:rsidRDefault="00BC2247" w:rsidP="004D50F3">
            <w:pPr>
              <w:spacing w:after="0" w:line="240" w:lineRule="auto"/>
              <w:ind w:hanging="53"/>
              <w:jc w:val="center"/>
              <w:rPr>
                <w:rFonts w:ascii="Times New Roman" w:hAnsi="Times New Roman"/>
                <w:sz w:val="20"/>
                <w:szCs w:val="20"/>
              </w:rPr>
            </w:pPr>
            <w:r w:rsidRPr="00A21220">
              <w:rPr>
                <w:rFonts w:ascii="Times New Roman" w:hAnsi="Times New Roman"/>
                <w:sz w:val="20"/>
                <w:szCs w:val="20"/>
              </w:rPr>
              <w:t>67,00%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«Роснефть»</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3</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16</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2</w:t>
            </w:r>
          </w:p>
        </w:tc>
        <w:tc>
          <w:tcPr>
            <w:tcW w:w="1680" w:type="dxa"/>
            <w:shd w:val="clear" w:color="auto" w:fill="auto"/>
            <w:vAlign w:val="bottom"/>
          </w:tcPr>
          <w:p w:rsidR="00BC2247" w:rsidRPr="00A21220" w:rsidRDefault="00BC2247" w:rsidP="004D50F3">
            <w:pPr>
              <w:spacing w:after="0" w:line="240" w:lineRule="auto"/>
              <w:ind w:hanging="11"/>
              <w:jc w:val="center"/>
              <w:rPr>
                <w:rFonts w:ascii="Times New Roman" w:hAnsi="Times New Roman"/>
                <w:sz w:val="20"/>
                <w:szCs w:val="20"/>
              </w:rPr>
            </w:pPr>
            <w:r w:rsidRPr="00A21220">
              <w:rPr>
                <w:rFonts w:ascii="Times New Roman" w:hAnsi="Times New Roman"/>
                <w:sz w:val="20"/>
                <w:szCs w:val="20"/>
              </w:rPr>
              <w:t>68,50%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«Новатек»</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0</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5</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13</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0</w:t>
            </w:r>
          </w:p>
        </w:tc>
        <w:tc>
          <w:tcPr>
            <w:tcW w:w="1680" w:type="dxa"/>
            <w:shd w:val="clear" w:color="auto" w:fill="auto"/>
            <w:vAlign w:val="bottom"/>
          </w:tcPr>
          <w:p w:rsidR="00BC2247" w:rsidRPr="00A21220" w:rsidRDefault="00BC2247" w:rsidP="004D50F3">
            <w:pPr>
              <w:spacing w:after="0" w:line="240" w:lineRule="auto"/>
              <w:ind w:firstLine="37"/>
              <w:jc w:val="center"/>
              <w:rPr>
                <w:rFonts w:ascii="Times New Roman" w:hAnsi="Times New Roman"/>
                <w:sz w:val="20"/>
                <w:szCs w:val="20"/>
              </w:rPr>
            </w:pPr>
            <w:r w:rsidRPr="00A21220">
              <w:rPr>
                <w:rFonts w:ascii="Times New Roman" w:hAnsi="Times New Roman"/>
                <w:sz w:val="20"/>
                <w:szCs w:val="20"/>
              </w:rPr>
              <w:t>69,50%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«полюс»</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0</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6</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14</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3</w:t>
            </w:r>
          </w:p>
        </w:tc>
        <w:tc>
          <w:tcPr>
            <w:tcW w:w="1680" w:type="dxa"/>
            <w:shd w:val="clear" w:color="auto" w:fill="auto"/>
            <w:vAlign w:val="bottom"/>
          </w:tcPr>
          <w:p w:rsidR="00BC2247" w:rsidRPr="00A21220" w:rsidRDefault="00BC2247" w:rsidP="004D50F3">
            <w:pPr>
              <w:spacing w:after="0" w:line="240" w:lineRule="auto"/>
              <w:ind w:hanging="11"/>
              <w:jc w:val="center"/>
              <w:rPr>
                <w:rFonts w:ascii="Times New Roman" w:hAnsi="Times New Roman"/>
                <w:sz w:val="20"/>
                <w:szCs w:val="20"/>
              </w:rPr>
            </w:pPr>
            <w:r w:rsidRPr="00A21220">
              <w:rPr>
                <w:rFonts w:ascii="Times New Roman" w:hAnsi="Times New Roman"/>
                <w:sz w:val="20"/>
                <w:szCs w:val="20"/>
              </w:rPr>
              <w:t>69,00%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«МТС»</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7</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16</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1</w:t>
            </w:r>
          </w:p>
        </w:tc>
        <w:tc>
          <w:tcPr>
            <w:tcW w:w="1680" w:type="dxa"/>
            <w:shd w:val="clear" w:color="auto" w:fill="auto"/>
            <w:vAlign w:val="bottom"/>
          </w:tcPr>
          <w:p w:rsidR="00BC2247" w:rsidRPr="00A21220" w:rsidRDefault="00BC2247" w:rsidP="004D50F3">
            <w:pPr>
              <w:spacing w:after="0" w:line="240" w:lineRule="auto"/>
              <w:ind w:firstLine="19"/>
              <w:jc w:val="center"/>
              <w:rPr>
                <w:rFonts w:ascii="Times New Roman" w:hAnsi="Times New Roman"/>
                <w:sz w:val="20"/>
                <w:szCs w:val="20"/>
              </w:rPr>
            </w:pPr>
            <w:r w:rsidRPr="00A21220">
              <w:rPr>
                <w:rFonts w:ascii="Times New Roman" w:hAnsi="Times New Roman"/>
                <w:sz w:val="20"/>
                <w:szCs w:val="20"/>
              </w:rPr>
              <w:t>70,50%</w:t>
            </w:r>
          </w:p>
        </w:tc>
      </w:tr>
      <w:tr w:rsidR="00BC2247" w:rsidRPr="00A21220" w:rsidTr="004D50F3">
        <w:trPr>
          <w:trHeight w:hRule="exact" w:val="243"/>
          <w:jc w:val="center"/>
        </w:trPr>
        <w:tc>
          <w:tcPr>
            <w:tcW w:w="1402" w:type="dxa"/>
            <w:shd w:val="clear" w:color="auto" w:fill="auto"/>
          </w:tcPr>
          <w:p w:rsidR="00BC2247" w:rsidRPr="00A21220" w:rsidRDefault="00BC2247" w:rsidP="004D50F3">
            <w:pPr>
              <w:spacing w:after="0" w:line="240" w:lineRule="auto"/>
              <w:ind w:firstLine="35"/>
              <w:rPr>
                <w:rFonts w:ascii="Times New Roman" w:hAnsi="Times New Roman"/>
                <w:sz w:val="20"/>
                <w:szCs w:val="20"/>
              </w:rPr>
            </w:pPr>
            <w:r w:rsidRPr="00A21220">
              <w:rPr>
                <w:rFonts w:ascii="Times New Roman" w:hAnsi="Times New Roman"/>
                <w:spacing w:val="-3"/>
                <w:sz w:val="20"/>
                <w:szCs w:val="20"/>
              </w:rPr>
              <w:t>«НЛМК»</w:t>
            </w:r>
          </w:p>
        </w:tc>
        <w:tc>
          <w:tcPr>
            <w:tcW w:w="1362" w:type="dxa"/>
            <w:shd w:val="clear" w:color="auto" w:fill="auto"/>
          </w:tcPr>
          <w:p w:rsidR="00BC2247" w:rsidRPr="00A21220" w:rsidRDefault="00BC2247" w:rsidP="004D50F3">
            <w:pPr>
              <w:spacing w:after="0" w:line="240" w:lineRule="auto"/>
              <w:ind w:firstLine="21"/>
              <w:jc w:val="center"/>
              <w:rPr>
                <w:rFonts w:ascii="Times New Roman" w:hAnsi="Times New Roman"/>
                <w:sz w:val="20"/>
                <w:szCs w:val="20"/>
              </w:rPr>
            </w:pPr>
            <w:r w:rsidRPr="00A21220">
              <w:rPr>
                <w:rFonts w:ascii="Times New Roman" w:hAnsi="Times New Roman"/>
                <w:spacing w:val="-3"/>
                <w:sz w:val="20"/>
                <w:szCs w:val="20"/>
              </w:rPr>
              <w:t>1</w:t>
            </w:r>
          </w:p>
        </w:tc>
        <w:tc>
          <w:tcPr>
            <w:tcW w:w="1276" w:type="dxa"/>
            <w:shd w:val="clear" w:color="auto" w:fill="auto"/>
          </w:tcPr>
          <w:p w:rsidR="00BC2247" w:rsidRPr="00A21220" w:rsidRDefault="00BC2247" w:rsidP="004D50F3">
            <w:pPr>
              <w:spacing w:after="0" w:line="240" w:lineRule="auto"/>
              <w:ind w:hanging="19"/>
              <w:jc w:val="center"/>
              <w:rPr>
                <w:rFonts w:ascii="Times New Roman" w:hAnsi="Times New Roman"/>
                <w:sz w:val="20"/>
                <w:szCs w:val="20"/>
              </w:rPr>
            </w:pPr>
            <w:r w:rsidRPr="00A21220">
              <w:rPr>
                <w:rFonts w:ascii="Times New Roman" w:hAnsi="Times New Roman"/>
                <w:spacing w:val="-3"/>
                <w:sz w:val="20"/>
                <w:szCs w:val="20"/>
              </w:rPr>
              <w:t>7</w:t>
            </w:r>
          </w:p>
        </w:tc>
        <w:tc>
          <w:tcPr>
            <w:tcW w:w="1276" w:type="dxa"/>
            <w:shd w:val="clear" w:color="auto" w:fill="auto"/>
          </w:tcPr>
          <w:p w:rsidR="00BC2247" w:rsidRPr="00A21220" w:rsidRDefault="00BC2247" w:rsidP="004D50F3">
            <w:pPr>
              <w:spacing w:after="0" w:line="240" w:lineRule="auto"/>
              <w:ind w:firstLine="3"/>
              <w:jc w:val="center"/>
              <w:rPr>
                <w:rFonts w:ascii="Times New Roman" w:hAnsi="Times New Roman"/>
                <w:sz w:val="20"/>
                <w:szCs w:val="20"/>
              </w:rPr>
            </w:pPr>
            <w:r w:rsidRPr="00A21220">
              <w:rPr>
                <w:rFonts w:ascii="Times New Roman" w:hAnsi="Times New Roman"/>
                <w:spacing w:val="-3"/>
                <w:sz w:val="20"/>
                <w:szCs w:val="20"/>
              </w:rPr>
              <w:t>17</w:t>
            </w:r>
          </w:p>
        </w:tc>
        <w:tc>
          <w:tcPr>
            <w:tcW w:w="1338" w:type="dxa"/>
            <w:shd w:val="clear" w:color="auto" w:fill="auto"/>
          </w:tcPr>
          <w:p w:rsidR="00BC2247" w:rsidRPr="00A21220" w:rsidRDefault="00BC2247" w:rsidP="004D50F3">
            <w:pPr>
              <w:spacing w:after="0" w:line="240" w:lineRule="auto"/>
              <w:ind w:firstLine="41"/>
              <w:jc w:val="center"/>
              <w:rPr>
                <w:rFonts w:ascii="Times New Roman" w:hAnsi="Times New Roman"/>
                <w:sz w:val="20"/>
                <w:szCs w:val="20"/>
              </w:rPr>
            </w:pPr>
            <w:r w:rsidRPr="00A21220">
              <w:rPr>
                <w:rFonts w:ascii="Times New Roman" w:hAnsi="Times New Roman"/>
                <w:spacing w:val="-3"/>
                <w:sz w:val="20"/>
                <w:szCs w:val="20"/>
              </w:rPr>
              <w:t>1</w:t>
            </w:r>
          </w:p>
        </w:tc>
        <w:tc>
          <w:tcPr>
            <w:tcW w:w="1680" w:type="dxa"/>
            <w:shd w:val="clear" w:color="auto" w:fill="auto"/>
            <w:vAlign w:val="bottom"/>
          </w:tcPr>
          <w:p w:rsidR="00BC2247" w:rsidRPr="00A21220" w:rsidRDefault="00BC2247" w:rsidP="004D50F3">
            <w:pPr>
              <w:spacing w:after="0" w:line="240" w:lineRule="auto"/>
              <w:ind w:hanging="71"/>
              <w:jc w:val="center"/>
              <w:rPr>
                <w:rFonts w:ascii="Times New Roman" w:hAnsi="Times New Roman"/>
                <w:sz w:val="20"/>
                <w:szCs w:val="20"/>
              </w:rPr>
            </w:pPr>
            <w:r w:rsidRPr="00A21220">
              <w:rPr>
                <w:rFonts w:ascii="Times New Roman" w:hAnsi="Times New Roman"/>
                <w:sz w:val="20"/>
                <w:szCs w:val="20"/>
              </w:rPr>
              <w:t>71,50%</w:t>
            </w:r>
          </w:p>
        </w:tc>
      </w:tr>
    </w:tbl>
    <w:p w:rsidR="00BC2247" w:rsidRPr="00A21220" w:rsidRDefault="00BC2247" w:rsidP="00BC2247">
      <w:pPr>
        <w:pStyle w:val="a3"/>
        <w:spacing w:line="240" w:lineRule="auto"/>
        <w:ind w:firstLine="564"/>
        <w:rPr>
          <w:bCs w:val="0"/>
          <w:iCs w:val="0"/>
          <w:spacing w:val="-3"/>
          <w:sz w:val="20"/>
          <w:szCs w:val="20"/>
        </w:rPr>
      </w:pPr>
    </w:p>
    <w:p w:rsidR="00BC2247" w:rsidRPr="00A21220" w:rsidRDefault="00BC2247" w:rsidP="00BC2247">
      <w:pPr>
        <w:spacing w:after="0" w:line="240" w:lineRule="auto"/>
        <w:ind w:firstLine="720"/>
        <w:jc w:val="both"/>
        <w:rPr>
          <w:rFonts w:ascii="Times New Roman" w:hAnsi="Times New Roman"/>
          <w:sz w:val="20"/>
          <w:szCs w:val="20"/>
        </w:rPr>
      </w:pPr>
      <w:r w:rsidRPr="00A21220">
        <w:rPr>
          <w:rFonts w:ascii="Times New Roman" w:hAnsi="Times New Roman"/>
          <w:sz w:val="20"/>
          <w:szCs w:val="20"/>
        </w:rPr>
        <w:t>В уравнениях множественной регрессии (таб. 1) нормированные (стандартизированные) коэффициенты регрессии использовались для сравнения влияния факторов на зависимые переменные [1] и определения ранга независимых переменных (таб.2).</w:t>
      </w:r>
    </w:p>
    <w:p w:rsidR="00BC2247" w:rsidRPr="00A21220" w:rsidRDefault="00BC2247" w:rsidP="00BC2247">
      <w:pPr>
        <w:spacing w:after="0" w:line="240" w:lineRule="auto"/>
        <w:ind w:firstLine="709"/>
        <w:jc w:val="right"/>
        <w:rPr>
          <w:rFonts w:ascii="Times New Roman" w:hAnsi="Times New Roman"/>
          <w:sz w:val="20"/>
          <w:szCs w:val="20"/>
        </w:rPr>
      </w:pPr>
      <w:r w:rsidRPr="00A21220">
        <w:rPr>
          <w:rFonts w:ascii="Times New Roman" w:hAnsi="Times New Roman"/>
          <w:sz w:val="20"/>
          <w:szCs w:val="20"/>
        </w:rPr>
        <w:t>Таблица 2</w:t>
      </w:r>
    </w:p>
    <w:p w:rsidR="00BC2247" w:rsidRPr="00A21220" w:rsidRDefault="00BC2247" w:rsidP="00BC2247">
      <w:pPr>
        <w:spacing w:after="0" w:line="240" w:lineRule="auto"/>
        <w:jc w:val="center"/>
        <w:rPr>
          <w:rFonts w:ascii="Times New Roman" w:hAnsi="Times New Roman"/>
          <w:b/>
          <w:sz w:val="20"/>
          <w:szCs w:val="20"/>
        </w:rPr>
      </w:pPr>
    </w:p>
    <w:p w:rsidR="00BC2247" w:rsidRPr="00A21220" w:rsidRDefault="00BC2247" w:rsidP="00BC2247">
      <w:pPr>
        <w:spacing w:after="0" w:line="240" w:lineRule="auto"/>
        <w:jc w:val="center"/>
        <w:rPr>
          <w:rFonts w:ascii="Times New Roman" w:hAnsi="Times New Roman"/>
          <w:b/>
          <w:sz w:val="20"/>
          <w:szCs w:val="20"/>
        </w:rPr>
      </w:pPr>
      <w:r w:rsidRPr="00A21220">
        <w:rPr>
          <w:rFonts w:ascii="Times New Roman" w:hAnsi="Times New Roman"/>
          <w:b/>
          <w:sz w:val="20"/>
          <w:szCs w:val="20"/>
        </w:rPr>
        <w:t xml:space="preserve">Ранжированные коэффициенты по уровню значимости </w:t>
      </w:r>
    </w:p>
    <w:p w:rsidR="00BC2247" w:rsidRPr="00A21220" w:rsidRDefault="00BC2247" w:rsidP="00BC2247">
      <w:pPr>
        <w:spacing w:after="0" w:line="240" w:lineRule="auto"/>
        <w:jc w:val="center"/>
        <w:rPr>
          <w:rFonts w:ascii="Times New Roman" w:hAnsi="Times New Roman"/>
          <w:b/>
          <w:sz w:val="20"/>
          <w:szCs w:val="20"/>
        </w:rPr>
      </w:pPr>
      <w:r w:rsidRPr="00A21220">
        <w:rPr>
          <w:rFonts w:ascii="Times New Roman" w:hAnsi="Times New Roman"/>
          <w:b/>
          <w:sz w:val="20"/>
          <w:szCs w:val="20"/>
        </w:rPr>
        <w:t>уравнений доходности финансовых инструментов</w:t>
      </w:r>
    </w:p>
    <w:p w:rsidR="00BC2247" w:rsidRPr="00A21220" w:rsidRDefault="00BC2247" w:rsidP="00BC2247">
      <w:pPr>
        <w:spacing w:after="0" w:line="240" w:lineRule="auto"/>
        <w:jc w:val="center"/>
        <w:rPr>
          <w:rFonts w:ascii="Times New Roman" w:hAnsi="Times New Roman"/>
          <w:b/>
          <w:sz w:val="20"/>
          <w:szCs w:val="20"/>
        </w:rPr>
      </w:pPr>
    </w:p>
    <w:tbl>
      <w:tblPr>
        <w:tblW w:w="9639" w:type="dxa"/>
        <w:jc w:val="center"/>
        <w:tblLayout w:type="fixed"/>
        <w:tblLook w:val="0000"/>
      </w:tblPr>
      <w:tblGrid>
        <w:gridCol w:w="687"/>
        <w:gridCol w:w="708"/>
        <w:gridCol w:w="571"/>
        <w:gridCol w:w="600"/>
        <w:gridCol w:w="530"/>
        <w:gridCol w:w="530"/>
        <w:gridCol w:w="690"/>
        <w:gridCol w:w="760"/>
        <w:gridCol w:w="592"/>
        <w:gridCol w:w="530"/>
        <w:gridCol w:w="547"/>
        <w:gridCol w:w="534"/>
        <w:gridCol w:w="752"/>
        <w:gridCol w:w="939"/>
        <w:gridCol w:w="669"/>
      </w:tblGrid>
      <w:tr w:rsidR="00BC2247" w:rsidRPr="00A21220" w:rsidTr="004D50F3">
        <w:trPr>
          <w:cantSplit/>
          <w:trHeight w:val="1092"/>
          <w:jc w:val="center"/>
        </w:trPr>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2247" w:rsidRPr="00A21220" w:rsidRDefault="00BC2247" w:rsidP="004D50F3">
            <w:pPr>
              <w:spacing w:after="0" w:line="240" w:lineRule="auto"/>
              <w:jc w:val="center"/>
              <w:rPr>
                <w:rFonts w:ascii="Times New Roman" w:hAnsi="Times New Roman"/>
                <w:b/>
                <w:sz w:val="20"/>
                <w:szCs w:val="20"/>
              </w:rPr>
            </w:pPr>
          </w:p>
        </w:tc>
        <w:tc>
          <w:tcPr>
            <w:tcW w:w="367"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«Газпром»</w:t>
            </w:r>
          </w:p>
        </w:tc>
        <w:tc>
          <w:tcPr>
            <w:tcW w:w="296"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«Лукойл»</w:t>
            </w:r>
          </w:p>
        </w:tc>
        <w:tc>
          <w:tcPr>
            <w:tcW w:w="311"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«Ростелеком»</w:t>
            </w:r>
          </w:p>
        </w:tc>
        <w:tc>
          <w:tcPr>
            <w:tcW w:w="275"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«СНГ»</w:t>
            </w:r>
          </w:p>
        </w:tc>
        <w:tc>
          <w:tcPr>
            <w:tcW w:w="275"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«Сбербанк»</w:t>
            </w:r>
          </w:p>
        </w:tc>
        <w:tc>
          <w:tcPr>
            <w:tcW w:w="358"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«Роснефть»</w:t>
            </w:r>
          </w:p>
        </w:tc>
        <w:tc>
          <w:tcPr>
            <w:tcW w:w="394"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«Новатек»</w:t>
            </w:r>
          </w:p>
        </w:tc>
        <w:tc>
          <w:tcPr>
            <w:tcW w:w="307"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«Полюс»</w:t>
            </w:r>
          </w:p>
        </w:tc>
        <w:tc>
          <w:tcPr>
            <w:tcW w:w="275"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«МТС»</w:t>
            </w:r>
          </w:p>
        </w:tc>
        <w:tc>
          <w:tcPr>
            <w:tcW w:w="284"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pacing w:val="-3"/>
                <w:sz w:val="20"/>
                <w:szCs w:val="20"/>
              </w:rPr>
              <w:t>«НЛМК»</w:t>
            </w:r>
          </w:p>
        </w:tc>
        <w:tc>
          <w:tcPr>
            <w:tcW w:w="277"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Кол-во</w:t>
            </w:r>
          </w:p>
        </w:tc>
        <w:tc>
          <w:tcPr>
            <w:tcW w:w="390"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сумма</w:t>
            </w:r>
          </w:p>
        </w:tc>
        <w:tc>
          <w:tcPr>
            <w:tcW w:w="487"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ср-ранг</w:t>
            </w:r>
          </w:p>
        </w:tc>
        <w:tc>
          <w:tcPr>
            <w:tcW w:w="347" w:type="pct"/>
            <w:tcBorders>
              <w:top w:val="single" w:sz="4" w:space="0" w:color="auto"/>
              <w:left w:val="nil"/>
              <w:bottom w:val="single" w:sz="4" w:space="0" w:color="auto"/>
              <w:right w:val="single" w:sz="4" w:space="0" w:color="auto"/>
            </w:tcBorders>
            <w:shd w:val="clear" w:color="auto" w:fill="auto"/>
            <w:noWrap/>
            <w:textDirection w:val="btLr"/>
            <w:vAlign w:val="center"/>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место</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212</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30,29</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29,88</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X3</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10</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36,90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X4</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147</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29,40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4</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X5</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12</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216</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X6</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174</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21,75</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X7</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230</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28,75</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6</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X8</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6</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157</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26,17</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X9</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137</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27,40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10</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X10</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6</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136</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22,67</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X11</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24,14</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X12</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9</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250</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27,78</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X13</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201</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28,71</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X14</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21,13</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X15</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138</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27,60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9</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X16</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187</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26,71</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X17</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191</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27,29</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11</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X18</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135</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12</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X19</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146</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29,20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X20</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24,13</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X21</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113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22,60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X22</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36</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162</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23,14</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X23</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9</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25,89</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X24</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38</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X25</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X26</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132</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26,40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X27</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180</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25,71</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X28</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25,38</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X29</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24,71</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X30</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118</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23,60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X31</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79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26,33</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19</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lastRenderedPageBreak/>
              <w:t>X32</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X33</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53</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26,50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X34</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29</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4</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108</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X35</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34</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27</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10</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252</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25,20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24</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X36</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35</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33</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9</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26,56</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X37</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31</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18</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8</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169</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21,13</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r>
      <w:tr w:rsidR="00BC2247" w:rsidRPr="00A21220" w:rsidTr="004D50F3">
        <w:trPr>
          <w:trHeight w:val="255"/>
          <w:jc w:val="center"/>
        </w:trPr>
        <w:tc>
          <w:tcPr>
            <w:tcW w:w="357" w:type="pct"/>
            <w:tcBorders>
              <w:top w:val="nil"/>
              <w:left w:val="single" w:sz="4" w:space="0" w:color="auto"/>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b/>
                <w:sz w:val="20"/>
                <w:szCs w:val="20"/>
              </w:rPr>
            </w:pPr>
            <w:r w:rsidRPr="00A21220">
              <w:rPr>
                <w:rFonts w:ascii="Times New Roman" w:hAnsi="Times New Roman"/>
                <w:b/>
                <w:sz w:val="20"/>
                <w:szCs w:val="20"/>
              </w:rPr>
              <w:t>X38</w:t>
            </w:r>
          </w:p>
        </w:tc>
        <w:tc>
          <w:tcPr>
            <w:tcW w:w="36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17</w:t>
            </w:r>
          </w:p>
        </w:tc>
        <w:tc>
          <w:tcPr>
            <w:tcW w:w="296"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13</w:t>
            </w:r>
          </w:p>
        </w:tc>
        <w:tc>
          <w:tcPr>
            <w:tcW w:w="311"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37</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16</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c>
          <w:tcPr>
            <w:tcW w:w="358"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0</w:t>
            </w:r>
          </w:p>
        </w:tc>
        <w:tc>
          <w:tcPr>
            <w:tcW w:w="39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25</w:t>
            </w:r>
          </w:p>
        </w:tc>
        <w:tc>
          <w:tcPr>
            <w:tcW w:w="30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22</w:t>
            </w:r>
          </w:p>
        </w:tc>
        <w:tc>
          <w:tcPr>
            <w:tcW w:w="275"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30</w:t>
            </w:r>
          </w:p>
        </w:tc>
        <w:tc>
          <w:tcPr>
            <w:tcW w:w="284"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15</w:t>
            </w:r>
          </w:p>
        </w:tc>
        <w:tc>
          <w:tcPr>
            <w:tcW w:w="27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9</w:t>
            </w:r>
          </w:p>
        </w:tc>
        <w:tc>
          <w:tcPr>
            <w:tcW w:w="390"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207</w:t>
            </w:r>
          </w:p>
        </w:tc>
        <w:tc>
          <w:tcPr>
            <w:tcW w:w="48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23,00</w:t>
            </w:r>
          </w:p>
        </w:tc>
        <w:tc>
          <w:tcPr>
            <w:tcW w:w="347" w:type="pct"/>
            <w:tcBorders>
              <w:top w:val="nil"/>
              <w:left w:val="nil"/>
              <w:bottom w:val="single" w:sz="4" w:space="0" w:color="auto"/>
              <w:right w:val="single" w:sz="4" w:space="0" w:color="auto"/>
            </w:tcBorders>
            <w:shd w:val="clear" w:color="auto" w:fill="auto"/>
            <w:noWrap/>
            <w:vAlign w:val="bottom"/>
          </w:tcPr>
          <w:p w:rsidR="00BC2247" w:rsidRPr="00A21220" w:rsidRDefault="00BC2247" w:rsidP="004D50F3">
            <w:pPr>
              <w:spacing w:after="0" w:line="240" w:lineRule="auto"/>
              <w:jc w:val="center"/>
              <w:rPr>
                <w:rFonts w:ascii="Times New Roman" w:hAnsi="Times New Roman"/>
                <w:sz w:val="20"/>
                <w:szCs w:val="20"/>
              </w:rPr>
            </w:pPr>
            <w:r w:rsidRPr="00A21220">
              <w:rPr>
                <w:rFonts w:ascii="Times New Roman" w:hAnsi="Times New Roman"/>
                <w:sz w:val="20"/>
                <w:szCs w:val="20"/>
              </w:rPr>
              <w:t>32</w:t>
            </w:r>
          </w:p>
        </w:tc>
      </w:tr>
    </w:tbl>
    <w:p w:rsidR="00BC2247" w:rsidRPr="00A21220" w:rsidRDefault="00BC2247" w:rsidP="00BC2247">
      <w:pPr>
        <w:spacing w:after="0" w:line="240" w:lineRule="auto"/>
        <w:jc w:val="both"/>
        <w:rPr>
          <w:rFonts w:ascii="Times New Roman" w:hAnsi="Times New Roman"/>
          <w:sz w:val="20"/>
          <w:szCs w:val="20"/>
        </w:rPr>
      </w:pPr>
    </w:p>
    <w:p w:rsidR="00BC2247" w:rsidRPr="00A21220" w:rsidRDefault="00BC2247" w:rsidP="00BC2247">
      <w:pPr>
        <w:spacing w:after="0" w:line="240" w:lineRule="auto"/>
        <w:ind w:firstLine="900"/>
        <w:jc w:val="both"/>
        <w:rPr>
          <w:rFonts w:ascii="Times New Roman" w:hAnsi="Times New Roman"/>
          <w:sz w:val="20"/>
          <w:szCs w:val="20"/>
        </w:rPr>
      </w:pPr>
      <w:r w:rsidRPr="00A21220">
        <w:rPr>
          <w:rFonts w:ascii="Times New Roman" w:hAnsi="Times New Roman"/>
          <w:sz w:val="20"/>
          <w:szCs w:val="20"/>
        </w:rPr>
        <w:t>Согласно полученной таблицы 2 был проведен анализ переменных, встречающихся не менее, чем в шести уравнениях доходности. Получены выводы:</w:t>
      </w:r>
    </w:p>
    <w:p w:rsidR="00BC2247" w:rsidRPr="00A21220" w:rsidRDefault="00BC2247" w:rsidP="00BC2247">
      <w:pPr>
        <w:spacing w:after="0" w:line="240" w:lineRule="auto"/>
        <w:ind w:firstLine="720"/>
        <w:jc w:val="both"/>
        <w:rPr>
          <w:rFonts w:ascii="Times New Roman" w:hAnsi="Times New Roman"/>
          <w:color w:val="FF0000"/>
          <w:sz w:val="20"/>
          <w:szCs w:val="20"/>
        </w:rPr>
      </w:pPr>
      <w:r w:rsidRPr="00A21220">
        <w:rPr>
          <w:rFonts w:ascii="Times New Roman" w:hAnsi="Times New Roman"/>
          <w:sz w:val="20"/>
          <w:szCs w:val="20"/>
        </w:rPr>
        <w:t>1) наиболее значимой независимой переменной является переменная</w:t>
      </w:r>
      <w:r w:rsidRPr="00A21220">
        <w:rPr>
          <w:rFonts w:ascii="Times New Roman" w:hAnsi="Times New Roman"/>
          <w:color w:val="FF0000"/>
          <w:sz w:val="20"/>
          <w:szCs w:val="20"/>
        </w:rPr>
        <w:t xml:space="preserve"> </w:t>
      </w:r>
      <w:r w:rsidRPr="00A21220">
        <w:rPr>
          <w:rFonts w:ascii="Times New Roman" w:hAnsi="Times New Roman"/>
          <w:position w:val="-12"/>
          <w:sz w:val="20"/>
          <w:szCs w:val="20"/>
        </w:rPr>
        <w:object w:dxaOrig="260" w:dyaOrig="360">
          <v:shape id="_x0000_i1033" type="#_x0000_t75" style="width:18.4pt;height:25.1pt" o:ole="">
            <v:imagedata r:id="rId23" o:title=""/>
          </v:shape>
          <o:OLEObject Type="Embed" ProgID="Equation.3" ShapeID="_x0000_i1033" DrawAspect="Content" ObjectID="_1414241263" r:id="rId24"/>
        </w:object>
      </w:r>
      <w:r w:rsidRPr="00A21220">
        <w:rPr>
          <w:rFonts w:ascii="Times New Roman" w:hAnsi="Times New Roman"/>
          <w:sz w:val="20"/>
          <w:szCs w:val="20"/>
        </w:rPr>
        <w:t xml:space="preserve"> – «Приращение индекса ММВБ (MICEX)» (влияние фондового показателя)</w:t>
      </w:r>
      <w:r w:rsidRPr="00A21220">
        <w:rPr>
          <w:rFonts w:ascii="Times New Roman" w:hAnsi="Times New Roman"/>
          <w:spacing w:val="-3"/>
          <w:sz w:val="20"/>
          <w:szCs w:val="20"/>
        </w:rPr>
        <w:t>, которая встречается в 10 из 10 уравнениях доходности, из них 5 раз стоит на первом месте по уровню значимости, 2 раза стоит на втором месте по уровню значимости, по 1 разу стоит на третьем, четвертом, пятом месте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z w:val="20"/>
          <w:szCs w:val="20"/>
        </w:rPr>
        <w:t xml:space="preserve">2) второй по уровню значимости независимой переменной является </w:t>
      </w:r>
      <w:r w:rsidRPr="00A21220">
        <w:rPr>
          <w:rFonts w:ascii="Times New Roman" w:hAnsi="Times New Roman"/>
          <w:position w:val="-10"/>
          <w:sz w:val="20"/>
          <w:szCs w:val="20"/>
        </w:rPr>
        <w:object w:dxaOrig="240" w:dyaOrig="340">
          <v:shape id="_x0000_i1034" type="#_x0000_t75" style="width:16.75pt;height:24.3pt" o:ole="">
            <v:imagedata r:id="rId25" o:title=""/>
          </v:shape>
          <o:OLEObject Type="Embed" ProgID="Equation.3" ShapeID="_x0000_i1034" DrawAspect="Content" ObjectID="_1414241264" r:id="rId26"/>
        </w:object>
      </w:r>
      <w:r w:rsidRPr="00A21220">
        <w:rPr>
          <w:rFonts w:ascii="Times New Roman" w:hAnsi="Times New Roman"/>
          <w:sz w:val="20"/>
          <w:szCs w:val="20"/>
        </w:rPr>
        <w:t xml:space="preserve"> – «</w:t>
      </w:r>
      <w:r w:rsidRPr="00A21220">
        <w:rPr>
          <w:rFonts w:ascii="Times New Roman" w:hAnsi="Times New Roman"/>
          <w:spacing w:val="-3"/>
          <w:sz w:val="20"/>
          <w:szCs w:val="20"/>
        </w:rPr>
        <w:t>Приращение курса доллара относительно рубля</w:t>
      </w:r>
      <w:r w:rsidRPr="00A21220">
        <w:rPr>
          <w:rFonts w:ascii="Times New Roman" w:hAnsi="Times New Roman"/>
          <w:sz w:val="20"/>
          <w:szCs w:val="20"/>
        </w:rPr>
        <w:t xml:space="preserve">» (влияние валютного показателя), </w:t>
      </w:r>
      <w:r w:rsidRPr="00A21220">
        <w:rPr>
          <w:rFonts w:ascii="Times New Roman" w:hAnsi="Times New Roman"/>
          <w:spacing w:val="-3"/>
          <w:sz w:val="20"/>
          <w:szCs w:val="20"/>
        </w:rPr>
        <w:t xml:space="preserve">которая встречается в 7 из 10 уравнениях доходности, из них 1 раз стоит на первом месте по уровню значимости, 1 раз стоит на седьмом месте по уровню значимости, 5 раз встречается на 9–11 местах по уровню значимости; </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z w:val="20"/>
          <w:szCs w:val="20"/>
        </w:rPr>
        <w:t xml:space="preserve">3) третьей по уровню значимости независимой переменной является </w:t>
      </w:r>
      <w:r w:rsidRPr="00A21220">
        <w:rPr>
          <w:rFonts w:ascii="Times New Roman" w:hAnsi="Times New Roman"/>
          <w:position w:val="-10"/>
          <w:sz w:val="20"/>
          <w:szCs w:val="20"/>
        </w:rPr>
        <w:object w:dxaOrig="260" w:dyaOrig="340">
          <v:shape id="_x0000_i1035" type="#_x0000_t75" style="width:18.4pt;height:24.3pt" o:ole="">
            <v:imagedata r:id="rId27" o:title=""/>
          </v:shape>
          <o:OLEObject Type="Embed" ProgID="Equation.3" ShapeID="_x0000_i1035" DrawAspect="Content" ObjectID="_1414241265" r:id="rId28"/>
        </w:object>
      </w:r>
      <w:r w:rsidRPr="00A21220">
        <w:rPr>
          <w:rFonts w:ascii="Times New Roman" w:hAnsi="Times New Roman"/>
          <w:sz w:val="20"/>
          <w:szCs w:val="20"/>
        </w:rPr>
        <w:t xml:space="preserve"> – «Приращение цены контракта на баррель нефти марки ICE.BRN» (влияние товарного показателя), </w:t>
      </w:r>
      <w:r w:rsidRPr="00A21220">
        <w:rPr>
          <w:rFonts w:ascii="Times New Roman" w:hAnsi="Times New Roman"/>
          <w:spacing w:val="-3"/>
          <w:sz w:val="20"/>
          <w:szCs w:val="20"/>
        </w:rPr>
        <w:t>которая встречается в 8 из 10 уравнениях доходности, из них 1 раз стоит на первом месте по уровню значимости, 1 раз стоит на втором месте по уровню значимости, 6 раз встречается на 5–11 местах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pacing w:val="-3"/>
          <w:sz w:val="20"/>
          <w:szCs w:val="20"/>
        </w:rPr>
        <w:t xml:space="preserve">4) </w:t>
      </w:r>
      <w:r w:rsidRPr="00A21220">
        <w:rPr>
          <w:rFonts w:ascii="Times New Roman" w:hAnsi="Times New Roman"/>
          <w:sz w:val="20"/>
          <w:szCs w:val="20"/>
        </w:rPr>
        <w:t xml:space="preserve">четвертой по уровню значимости независимой переменной является </w:t>
      </w:r>
      <w:r w:rsidRPr="00A21220">
        <w:rPr>
          <w:rFonts w:ascii="Times New Roman" w:hAnsi="Times New Roman"/>
          <w:position w:val="-12"/>
          <w:sz w:val="20"/>
          <w:szCs w:val="20"/>
        </w:rPr>
        <w:object w:dxaOrig="260" w:dyaOrig="360">
          <v:shape id="_x0000_i1036" type="#_x0000_t75" style="width:18.4pt;height:25.1pt" o:ole="">
            <v:imagedata r:id="rId29" o:title=""/>
          </v:shape>
          <o:OLEObject Type="Embed" ProgID="Equation.3" ShapeID="_x0000_i1036" DrawAspect="Content" ObjectID="_1414241266" r:id="rId30"/>
        </w:object>
      </w:r>
      <w:r w:rsidRPr="00A21220">
        <w:rPr>
          <w:rFonts w:ascii="Times New Roman" w:hAnsi="Times New Roman"/>
          <w:sz w:val="20"/>
          <w:szCs w:val="20"/>
        </w:rPr>
        <w:t xml:space="preserve"> – «Приращение индекса гонконгского фондового рынка HSI» (влияние фондового показателя), </w:t>
      </w:r>
      <w:r w:rsidRPr="00A21220">
        <w:rPr>
          <w:rFonts w:ascii="Times New Roman" w:hAnsi="Times New Roman"/>
          <w:spacing w:val="-3"/>
          <w:sz w:val="20"/>
          <w:szCs w:val="20"/>
        </w:rPr>
        <w:t>которая встречается в 8 из 10 уравнениях доходности, из них 1 раз стоит на втором месте по уровню значимости, 1 раз стоит на четвертом месте по уровню значимости, 2 раза стоит на шестом месте по уровню значимости, 4 раза встречается на 12–19 местах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pacing w:val="-3"/>
          <w:sz w:val="20"/>
          <w:szCs w:val="20"/>
        </w:rPr>
        <w:t xml:space="preserve">5) </w:t>
      </w:r>
      <w:r w:rsidRPr="00A21220">
        <w:rPr>
          <w:rFonts w:ascii="Times New Roman" w:hAnsi="Times New Roman"/>
          <w:sz w:val="20"/>
          <w:szCs w:val="20"/>
        </w:rPr>
        <w:t xml:space="preserve">пятой по уровню значимости независимой переменной является </w:t>
      </w:r>
      <w:r w:rsidRPr="00A21220">
        <w:rPr>
          <w:rFonts w:ascii="Times New Roman" w:hAnsi="Times New Roman"/>
          <w:position w:val="-12"/>
          <w:sz w:val="20"/>
          <w:szCs w:val="20"/>
        </w:rPr>
        <w:object w:dxaOrig="320" w:dyaOrig="360">
          <v:shape id="_x0000_i1037" type="#_x0000_t75" style="width:22.6pt;height:25.1pt" o:ole="">
            <v:imagedata r:id="rId31" o:title=""/>
          </v:shape>
          <o:OLEObject Type="Embed" ProgID="Equation.3" ShapeID="_x0000_i1037" DrawAspect="Content" ObjectID="_1414241267" r:id="rId32"/>
        </w:object>
      </w:r>
      <w:r w:rsidRPr="00A21220">
        <w:rPr>
          <w:rFonts w:ascii="Times New Roman" w:hAnsi="Times New Roman"/>
          <w:i/>
          <w:sz w:val="20"/>
          <w:szCs w:val="20"/>
        </w:rPr>
        <w:t xml:space="preserve"> – «</w:t>
      </w:r>
      <w:r w:rsidRPr="00A21220">
        <w:rPr>
          <w:rFonts w:ascii="Times New Roman" w:hAnsi="Times New Roman"/>
          <w:sz w:val="20"/>
          <w:szCs w:val="20"/>
        </w:rPr>
        <w:t>Приращение</w:t>
      </w:r>
      <w:r w:rsidRPr="00A21220">
        <w:rPr>
          <w:rFonts w:ascii="Times New Roman" w:hAnsi="Times New Roman"/>
          <w:spacing w:val="-3"/>
          <w:sz w:val="20"/>
          <w:szCs w:val="20"/>
        </w:rPr>
        <w:t xml:space="preserve"> индекса германского фондового рынка </w:t>
      </w:r>
      <w:r w:rsidRPr="00A21220">
        <w:rPr>
          <w:rFonts w:ascii="Times New Roman" w:hAnsi="Times New Roman"/>
          <w:spacing w:val="-3"/>
          <w:sz w:val="20"/>
          <w:szCs w:val="20"/>
          <w:lang w:val="en-US"/>
        </w:rPr>
        <w:t>GDAXI</w:t>
      </w:r>
      <w:r w:rsidRPr="00A21220">
        <w:rPr>
          <w:rFonts w:ascii="Times New Roman" w:hAnsi="Times New Roman"/>
          <w:spacing w:val="-3"/>
          <w:sz w:val="20"/>
          <w:szCs w:val="20"/>
        </w:rPr>
        <w:t xml:space="preserve">» </w:t>
      </w:r>
      <w:r w:rsidRPr="00A21220">
        <w:rPr>
          <w:rFonts w:ascii="Times New Roman" w:hAnsi="Times New Roman"/>
          <w:sz w:val="20"/>
          <w:szCs w:val="20"/>
        </w:rPr>
        <w:t>(влияние фондового показателя)</w:t>
      </w:r>
      <w:r w:rsidRPr="00A21220">
        <w:rPr>
          <w:rFonts w:ascii="Times New Roman" w:hAnsi="Times New Roman"/>
          <w:spacing w:val="-3"/>
          <w:sz w:val="20"/>
          <w:szCs w:val="20"/>
        </w:rPr>
        <w:t>, которая встречается в 7 из 10 уравнениях доходности, из них 1 раз стоит на пятом месте по уровню значимости, 1 раз стоит на шестом месте по уровню значимости, 1 раза стоит на седьмом месте по уровню значимости, 4 раза встречается на 12–19 местах по уровню значимости;</w:t>
      </w:r>
    </w:p>
    <w:p w:rsidR="00BC2247" w:rsidRPr="00A21220" w:rsidRDefault="00BC2247" w:rsidP="00BC2247">
      <w:pPr>
        <w:spacing w:after="0" w:line="240" w:lineRule="auto"/>
        <w:ind w:firstLine="720"/>
        <w:jc w:val="both"/>
        <w:rPr>
          <w:rFonts w:ascii="Times New Roman" w:hAnsi="Times New Roman"/>
          <w:sz w:val="20"/>
          <w:szCs w:val="20"/>
        </w:rPr>
      </w:pPr>
      <w:r w:rsidRPr="00A21220">
        <w:rPr>
          <w:rFonts w:ascii="Times New Roman" w:hAnsi="Times New Roman"/>
          <w:spacing w:val="-3"/>
          <w:sz w:val="20"/>
          <w:szCs w:val="20"/>
        </w:rPr>
        <w:t xml:space="preserve">6) </w:t>
      </w:r>
      <w:r w:rsidRPr="00A21220">
        <w:rPr>
          <w:rFonts w:ascii="Times New Roman" w:hAnsi="Times New Roman"/>
          <w:sz w:val="20"/>
          <w:szCs w:val="20"/>
        </w:rPr>
        <w:t xml:space="preserve">шестой по уровню значимости независимой переменной является </w:t>
      </w:r>
      <w:r w:rsidRPr="00A21220">
        <w:rPr>
          <w:rFonts w:ascii="Times New Roman" w:hAnsi="Times New Roman"/>
          <w:position w:val="-10"/>
          <w:sz w:val="20"/>
          <w:szCs w:val="20"/>
        </w:rPr>
        <w:object w:dxaOrig="320" w:dyaOrig="340">
          <v:shape id="_x0000_i1038" type="#_x0000_t75" style="width:22.6pt;height:24.3pt" o:ole="">
            <v:imagedata r:id="rId33" o:title=""/>
          </v:shape>
          <o:OLEObject Type="Embed" ProgID="Equation.3" ShapeID="_x0000_i1038" DrawAspect="Content" ObjectID="_1414241268" r:id="rId34"/>
        </w:object>
      </w:r>
      <w:r w:rsidRPr="00A21220">
        <w:rPr>
          <w:rFonts w:ascii="Times New Roman" w:hAnsi="Times New Roman"/>
          <w:b/>
          <w:i/>
          <w:sz w:val="20"/>
          <w:szCs w:val="20"/>
        </w:rPr>
        <w:t xml:space="preserve"> </w:t>
      </w:r>
      <w:r w:rsidRPr="00A21220">
        <w:rPr>
          <w:rFonts w:ascii="Times New Roman" w:hAnsi="Times New Roman"/>
          <w:sz w:val="20"/>
          <w:szCs w:val="20"/>
        </w:rPr>
        <w:t>– «Приращение</w:t>
      </w:r>
      <w:r w:rsidRPr="00A21220">
        <w:rPr>
          <w:rFonts w:ascii="Times New Roman" w:hAnsi="Times New Roman"/>
          <w:spacing w:val="-3"/>
          <w:sz w:val="20"/>
          <w:szCs w:val="20"/>
        </w:rPr>
        <w:t xml:space="preserve"> индекса австрийского фондового рынка </w:t>
      </w:r>
      <w:r w:rsidRPr="00A21220">
        <w:rPr>
          <w:rFonts w:ascii="Times New Roman" w:hAnsi="Times New Roman"/>
          <w:spacing w:val="-3"/>
          <w:sz w:val="20"/>
          <w:szCs w:val="20"/>
          <w:lang w:val="en-US"/>
        </w:rPr>
        <w:t>ATX</w:t>
      </w:r>
      <w:r w:rsidRPr="00A21220">
        <w:rPr>
          <w:rFonts w:ascii="Times New Roman" w:hAnsi="Times New Roman"/>
          <w:spacing w:val="-3"/>
          <w:sz w:val="20"/>
          <w:szCs w:val="20"/>
        </w:rPr>
        <w:t xml:space="preserve">» </w:t>
      </w:r>
      <w:r w:rsidRPr="00A21220">
        <w:rPr>
          <w:rFonts w:ascii="Times New Roman" w:hAnsi="Times New Roman"/>
          <w:sz w:val="20"/>
          <w:szCs w:val="20"/>
        </w:rPr>
        <w:t>(влияние фондового показателя)</w:t>
      </w:r>
      <w:r w:rsidRPr="00A21220">
        <w:rPr>
          <w:rFonts w:ascii="Times New Roman" w:hAnsi="Times New Roman"/>
          <w:spacing w:val="-3"/>
          <w:sz w:val="20"/>
          <w:szCs w:val="20"/>
        </w:rPr>
        <w:t>, которая встречается в 9 из 10 уравнениях доходности, из них 1 раз стоит на втором месте по уровню значимости, 3 раза стоит на третьем месте по уровню значимости, 5 раз встречается на одном из 9–20 местах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z w:val="20"/>
          <w:szCs w:val="20"/>
        </w:rPr>
        <w:t xml:space="preserve">7) </w:t>
      </w:r>
      <w:r w:rsidRPr="00A21220">
        <w:rPr>
          <w:rFonts w:ascii="Times New Roman" w:hAnsi="Times New Roman"/>
          <w:spacing w:val="-2"/>
          <w:sz w:val="20"/>
          <w:szCs w:val="20"/>
        </w:rPr>
        <w:t xml:space="preserve">седьмой по уровню значимости независимой переменной является </w:t>
      </w:r>
      <w:r w:rsidRPr="00A21220">
        <w:rPr>
          <w:rFonts w:ascii="Times New Roman" w:hAnsi="Times New Roman"/>
          <w:spacing w:val="-2"/>
          <w:position w:val="-12"/>
          <w:sz w:val="20"/>
          <w:szCs w:val="20"/>
        </w:rPr>
        <w:object w:dxaOrig="320" w:dyaOrig="360">
          <v:shape id="_x0000_i1039" type="#_x0000_t75" style="width:22.6pt;height:25.1pt" o:ole="">
            <v:imagedata r:id="rId35" o:title=""/>
          </v:shape>
          <o:OLEObject Type="Embed" ProgID="Equation.3" ShapeID="_x0000_i1039" DrawAspect="Content" ObjectID="_1414241269" r:id="rId36"/>
        </w:object>
      </w:r>
      <w:r w:rsidRPr="00A21220">
        <w:rPr>
          <w:rFonts w:ascii="Times New Roman" w:hAnsi="Times New Roman"/>
          <w:b/>
          <w:i/>
          <w:spacing w:val="-2"/>
          <w:sz w:val="20"/>
          <w:szCs w:val="20"/>
        </w:rPr>
        <w:t xml:space="preserve"> </w:t>
      </w:r>
      <w:r w:rsidRPr="00A21220">
        <w:rPr>
          <w:rFonts w:ascii="Times New Roman" w:hAnsi="Times New Roman"/>
          <w:spacing w:val="-2"/>
          <w:sz w:val="20"/>
          <w:szCs w:val="20"/>
        </w:rPr>
        <w:t xml:space="preserve">– </w:t>
      </w:r>
      <w:r w:rsidRPr="00A21220">
        <w:rPr>
          <w:rFonts w:ascii="Times New Roman" w:hAnsi="Times New Roman"/>
          <w:sz w:val="20"/>
          <w:szCs w:val="20"/>
        </w:rPr>
        <w:t>«Приращение</w:t>
      </w:r>
      <w:r w:rsidRPr="00A21220">
        <w:rPr>
          <w:rFonts w:ascii="Times New Roman" w:hAnsi="Times New Roman"/>
          <w:spacing w:val="-3"/>
          <w:sz w:val="20"/>
          <w:szCs w:val="20"/>
        </w:rPr>
        <w:t xml:space="preserve"> индекса словакского фондового рынка </w:t>
      </w:r>
      <w:r w:rsidRPr="00A21220">
        <w:rPr>
          <w:rFonts w:ascii="Times New Roman" w:hAnsi="Times New Roman"/>
          <w:spacing w:val="-3"/>
          <w:sz w:val="20"/>
          <w:szCs w:val="20"/>
          <w:lang w:val="en-US"/>
        </w:rPr>
        <w:t>SA</w:t>
      </w:r>
      <w:r w:rsidRPr="00A21220">
        <w:rPr>
          <w:rFonts w:ascii="Times New Roman" w:hAnsi="Times New Roman"/>
          <w:spacing w:val="-3"/>
          <w:sz w:val="20"/>
          <w:szCs w:val="20"/>
        </w:rPr>
        <w:t xml:space="preserve">Х» </w:t>
      </w:r>
      <w:r w:rsidRPr="00A21220">
        <w:rPr>
          <w:rFonts w:ascii="Times New Roman" w:hAnsi="Times New Roman"/>
          <w:sz w:val="20"/>
          <w:szCs w:val="20"/>
        </w:rPr>
        <w:t>(влияние фондового показателя)</w:t>
      </w:r>
      <w:r w:rsidRPr="00A21220">
        <w:rPr>
          <w:rFonts w:ascii="Times New Roman" w:hAnsi="Times New Roman"/>
          <w:spacing w:val="-3"/>
          <w:sz w:val="20"/>
          <w:szCs w:val="20"/>
        </w:rPr>
        <w:t>, которая встречается в 7 из 10 уравнениях доходности, из них 1 раз стоит на восьмом месте по уровню значимости, 1 раз стоит на девятом месте по уровню значимости, 5 раз встречается на одном из 9–16 местах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pacing w:val="-3"/>
          <w:sz w:val="20"/>
          <w:szCs w:val="20"/>
        </w:rPr>
        <w:t xml:space="preserve">8) </w:t>
      </w:r>
      <w:r w:rsidRPr="00A21220">
        <w:rPr>
          <w:rFonts w:ascii="Times New Roman" w:hAnsi="Times New Roman"/>
          <w:sz w:val="20"/>
          <w:szCs w:val="20"/>
        </w:rPr>
        <w:t xml:space="preserve">восьмой по уровню значимости независимой переменной является </w:t>
      </w:r>
      <w:r w:rsidRPr="00A21220">
        <w:rPr>
          <w:rFonts w:ascii="Times New Roman" w:hAnsi="Times New Roman"/>
          <w:position w:val="-12"/>
          <w:sz w:val="20"/>
          <w:szCs w:val="20"/>
        </w:rPr>
        <w:object w:dxaOrig="260" w:dyaOrig="360">
          <v:shape id="_x0000_i1040" type="#_x0000_t75" style="width:15.9pt;height:22.6pt" o:ole="">
            <v:imagedata r:id="rId37" o:title=""/>
          </v:shape>
          <o:OLEObject Type="Embed" ProgID="Equation.3" ShapeID="_x0000_i1040" DrawAspect="Content" ObjectID="_1414241270" r:id="rId38"/>
        </w:object>
      </w:r>
      <w:r w:rsidRPr="00A21220">
        <w:rPr>
          <w:rFonts w:ascii="Times New Roman" w:hAnsi="Times New Roman"/>
          <w:sz w:val="20"/>
          <w:szCs w:val="20"/>
        </w:rPr>
        <w:t xml:space="preserve"> – «</w:t>
      </w:r>
      <w:r w:rsidRPr="00A21220">
        <w:rPr>
          <w:rFonts w:ascii="Times New Roman" w:hAnsi="Times New Roman"/>
          <w:spacing w:val="-3"/>
          <w:sz w:val="20"/>
          <w:szCs w:val="20"/>
        </w:rPr>
        <w:t xml:space="preserve">Приращение индекса S&amp;P» </w:t>
      </w:r>
      <w:r w:rsidRPr="00A21220">
        <w:rPr>
          <w:rFonts w:ascii="Times New Roman" w:hAnsi="Times New Roman"/>
          <w:sz w:val="20"/>
          <w:szCs w:val="20"/>
        </w:rPr>
        <w:t>(влияние фондового показателя)</w:t>
      </w:r>
      <w:r w:rsidRPr="00A21220">
        <w:rPr>
          <w:rFonts w:ascii="Times New Roman" w:hAnsi="Times New Roman"/>
          <w:spacing w:val="-3"/>
          <w:sz w:val="20"/>
          <w:szCs w:val="20"/>
        </w:rPr>
        <w:t>, которая встречается в 8 из 10 уравнениях доходности, из них 1 раз стоит на втором месте по уровню значимости, 1 раз стоит на третьем месте по уровню значимости, 1 раз стоит на четвертом месте по уровню значимости, 1 раз стоит на пятом месте по уровню значимости, 4 раза встречается на одном из 13–27 местах по уровню значимости;</w:t>
      </w:r>
    </w:p>
    <w:p w:rsidR="00BC2247" w:rsidRPr="00A21220" w:rsidRDefault="00BC2247" w:rsidP="00BC2247">
      <w:pPr>
        <w:spacing w:after="0" w:line="240" w:lineRule="auto"/>
        <w:ind w:firstLine="720"/>
        <w:jc w:val="both"/>
        <w:rPr>
          <w:rFonts w:ascii="Times New Roman" w:hAnsi="Times New Roman"/>
          <w:spacing w:val="-3"/>
          <w:sz w:val="20"/>
          <w:szCs w:val="20"/>
        </w:rPr>
      </w:pPr>
      <w:r w:rsidRPr="00A21220">
        <w:rPr>
          <w:rFonts w:ascii="Times New Roman" w:hAnsi="Times New Roman"/>
          <w:spacing w:val="-3"/>
          <w:sz w:val="20"/>
          <w:szCs w:val="20"/>
        </w:rPr>
        <w:t xml:space="preserve">9) </w:t>
      </w:r>
      <w:r w:rsidRPr="00A21220">
        <w:rPr>
          <w:rFonts w:ascii="Times New Roman" w:hAnsi="Times New Roman"/>
          <w:spacing w:val="-2"/>
          <w:sz w:val="20"/>
          <w:szCs w:val="20"/>
        </w:rPr>
        <w:t xml:space="preserve">девятой по уровню значимости независимой переменной является </w:t>
      </w:r>
      <w:r w:rsidRPr="00A21220">
        <w:rPr>
          <w:rFonts w:ascii="Times New Roman" w:hAnsi="Times New Roman"/>
          <w:spacing w:val="-2"/>
          <w:position w:val="-12"/>
          <w:sz w:val="20"/>
          <w:szCs w:val="20"/>
        </w:rPr>
        <w:object w:dxaOrig="320" w:dyaOrig="360">
          <v:shape id="_x0000_i1041" type="#_x0000_t75" style="width:22.6pt;height:25.1pt" o:ole="">
            <v:imagedata r:id="rId39" o:title=""/>
          </v:shape>
          <o:OLEObject Type="Embed" ProgID="Equation.3" ShapeID="_x0000_i1041" DrawAspect="Content" ObjectID="_1414241271" r:id="rId40"/>
        </w:object>
      </w:r>
      <w:r w:rsidRPr="00A21220">
        <w:rPr>
          <w:rFonts w:ascii="Times New Roman" w:hAnsi="Times New Roman"/>
          <w:b/>
          <w:i/>
          <w:spacing w:val="-2"/>
          <w:sz w:val="20"/>
          <w:szCs w:val="20"/>
        </w:rPr>
        <w:t xml:space="preserve"> </w:t>
      </w:r>
      <w:r w:rsidRPr="00A21220">
        <w:rPr>
          <w:rFonts w:ascii="Times New Roman" w:hAnsi="Times New Roman"/>
          <w:spacing w:val="-2"/>
          <w:sz w:val="20"/>
          <w:szCs w:val="20"/>
        </w:rPr>
        <w:t xml:space="preserve">– </w:t>
      </w:r>
      <w:r w:rsidRPr="00A21220">
        <w:rPr>
          <w:rFonts w:ascii="Times New Roman" w:hAnsi="Times New Roman"/>
          <w:sz w:val="20"/>
          <w:szCs w:val="20"/>
        </w:rPr>
        <w:t>«Приращение</w:t>
      </w:r>
      <w:r w:rsidRPr="00A21220">
        <w:rPr>
          <w:rFonts w:ascii="Times New Roman" w:hAnsi="Times New Roman"/>
          <w:spacing w:val="-3"/>
          <w:sz w:val="20"/>
          <w:szCs w:val="20"/>
        </w:rPr>
        <w:t xml:space="preserve"> индекса болгарского фондового рынка </w:t>
      </w:r>
      <w:r w:rsidRPr="00A21220">
        <w:rPr>
          <w:rFonts w:ascii="Times New Roman" w:hAnsi="Times New Roman"/>
          <w:spacing w:val="-3"/>
          <w:sz w:val="20"/>
          <w:szCs w:val="20"/>
          <w:lang w:val="en-US"/>
        </w:rPr>
        <w:t>BUX</w:t>
      </w:r>
      <w:r w:rsidRPr="00A21220">
        <w:rPr>
          <w:rFonts w:ascii="Times New Roman" w:hAnsi="Times New Roman"/>
          <w:spacing w:val="-3"/>
          <w:sz w:val="20"/>
          <w:szCs w:val="20"/>
        </w:rPr>
        <w:t xml:space="preserve">» </w:t>
      </w:r>
      <w:r w:rsidRPr="00A21220">
        <w:rPr>
          <w:rFonts w:ascii="Times New Roman" w:hAnsi="Times New Roman"/>
          <w:sz w:val="20"/>
          <w:szCs w:val="20"/>
        </w:rPr>
        <w:t>(влияние фондового показателя)</w:t>
      </w:r>
      <w:r w:rsidRPr="00A21220">
        <w:rPr>
          <w:rFonts w:ascii="Times New Roman" w:hAnsi="Times New Roman"/>
          <w:spacing w:val="-3"/>
          <w:sz w:val="20"/>
          <w:szCs w:val="20"/>
        </w:rPr>
        <w:t xml:space="preserve">, которая встречается в 7 из 10 уравнениях доходности, из них 1 раз стоит на шестом месте по уровню значимости, 1 раз стоит на седьмом месте по уровню значимости, 5 раз встречается на одном из 12–16 местах по уровню значимости; </w:t>
      </w:r>
    </w:p>
    <w:p w:rsidR="00BC2247" w:rsidRPr="00A21220" w:rsidRDefault="00BC2247" w:rsidP="00BC2247">
      <w:pPr>
        <w:spacing w:after="0" w:line="240" w:lineRule="auto"/>
        <w:ind w:firstLine="720"/>
        <w:jc w:val="both"/>
        <w:rPr>
          <w:rFonts w:ascii="Times New Roman" w:hAnsi="Times New Roman"/>
          <w:sz w:val="20"/>
          <w:szCs w:val="20"/>
        </w:rPr>
      </w:pPr>
      <w:r w:rsidRPr="00A21220">
        <w:rPr>
          <w:rFonts w:ascii="Times New Roman" w:hAnsi="Times New Roman"/>
          <w:spacing w:val="-3"/>
          <w:sz w:val="20"/>
          <w:szCs w:val="20"/>
        </w:rPr>
        <w:t xml:space="preserve">10) </w:t>
      </w:r>
      <w:r w:rsidRPr="00A21220">
        <w:rPr>
          <w:rFonts w:ascii="Times New Roman" w:hAnsi="Times New Roman"/>
          <w:spacing w:val="-2"/>
          <w:sz w:val="20"/>
          <w:szCs w:val="20"/>
        </w:rPr>
        <w:t xml:space="preserve">десятой по уровню значимости независимой переменной является </w:t>
      </w:r>
      <w:r w:rsidRPr="00A21220">
        <w:rPr>
          <w:rFonts w:ascii="Times New Roman" w:hAnsi="Times New Roman"/>
          <w:spacing w:val="-2"/>
          <w:position w:val="-12"/>
          <w:sz w:val="20"/>
          <w:szCs w:val="20"/>
        </w:rPr>
        <w:object w:dxaOrig="340" w:dyaOrig="360">
          <v:shape id="_x0000_i1042" type="#_x0000_t75" style="width:20.1pt;height:21.75pt" o:ole="">
            <v:imagedata r:id="rId41" o:title=""/>
          </v:shape>
          <o:OLEObject Type="Embed" ProgID="Equation.3" ShapeID="_x0000_i1042" DrawAspect="Content" ObjectID="_1414241272" r:id="rId42"/>
        </w:object>
      </w:r>
      <w:r w:rsidRPr="00A21220">
        <w:rPr>
          <w:rFonts w:ascii="Times New Roman" w:hAnsi="Times New Roman"/>
          <w:b/>
          <w:i/>
          <w:spacing w:val="-2"/>
          <w:sz w:val="20"/>
          <w:szCs w:val="20"/>
        </w:rPr>
        <w:t xml:space="preserve"> </w:t>
      </w:r>
      <w:r w:rsidRPr="00A21220">
        <w:rPr>
          <w:rFonts w:ascii="Times New Roman" w:hAnsi="Times New Roman"/>
          <w:spacing w:val="-2"/>
          <w:sz w:val="20"/>
          <w:szCs w:val="20"/>
        </w:rPr>
        <w:t xml:space="preserve">– </w:t>
      </w:r>
      <w:r w:rsidRPr="00A21220">
        <w:rPr>
          <w:rFonts w:ascii="Times New Roman" w:hAnsi="Times New Roman"/>
          <w:sz w:val="20"/>
          <w:szCs w:val="20"/>
        </w:rPr>
        <w:t>«Приращение индекса корпоративных облигаций» (влияние фондового показателя)</w:t>
      </w:r>
      <w:r w:rsidRPr="00A21220">
        <w:rPr>
          <w:rFonts w:ascii="Times New Roman" w:hAnsi="Times New Roman"/>
          <w:spacing w:val="-3"/>
          <w:sz w:val="20"/>
          <w:szCs w:val="20"/>
        </w:rPr>
        <w:t xml:space="preserve">, которая встречается в 9 из 10 уравнениях </w:t>
      </w:r>
      <w:r w:rsidRPr="00A21220">
        <w:rPr>
          <w:rFonts w:ascii="Times New Roman" w:hAnsi="Times New Roman"/>
          <w:spacing w:val="-3"/>
          <w:sz w:val="20"/>
          <w:szCs w:val="20"/>
        </w:rPr>
        <w:lastRenderedPageBreak/>
        <w:t>доходности, из них 1 раз стоит на четвертом месте по уровню значимости, 1 раз стоит на шестом месте по уровню значимости, 2 раза стоит на седьмом месте по уровню значимости, 5 раз встречается на одном из 8–19 местах по уровню значимости.</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 xml:space="preserve">Проведено ранжирование независимых переменных, включенных в уравнения доходности для 10 финансовых инструментов (рис. 1) согласно классификации рыночных показателей. </w:t>
      </w:r>
    </w:p>
    <w:p w:rsidR="00BC2247" w:rsidRPr="00AC0A65" w:rsidRDefault="00BC2247" w:rsidP="00BC2247">
      <w:pPr>
        <w:pStyle w:val="a3"/>
        <w:spacing w:line="240" w:lineRule="auto"/>
        <w:ind w:firstLine="0"/>
        <w:jc w:val="center"/>
        <w:rPr>
          <w:bCs w:val="0"/>
          <w:i/>
          <w:iCs w:val="0"/>
          <w:spacing w:val="-3"/>
          <w:sz w:val="20"/>
          <w:szCs w:val="20"/>
          <w:lang w:val="en-US"/>
        </w:rPr>
      </w:pPr>
      <w:r>
        <w:rPr>
          <w:i/>
          <w:noProof/>
          <w:sz w:val="20"/>
          <w:szCs w:val="20"/>
          <w:lang w:val="ru-RU" w:eastAsia="ru-RU"/>
        </w:rPr>
        <w:drawing>
          <wp:inline distT="0" distB="0" distL="0" distR="0">
            <wp:extent cx="3902075" cy="1595120"/>
            <wp:effectExtent l="0" t="0" r="0" b="0"/>
            <wp:docPr id="1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902075" cy="1595120"/>
                    </a:xfrm>
                    <a:prstGeom prst="rect">
                      <a:avLst/>
                    </a:prstGeom>
                    <a:noFill/>
                    <a:ln w="9525">
                      <a:noFill/>
                      <a:miter lim="800000"/>
                      <a:headEnd/>
                      <a:tailEnd/>
                    </a:ln>
                  </pic:spPr>
                </pic:pic>
              </a:graphicData>
            </a:graphic>
          </wp:inline>
        </w:drawing>
      </w:r>
    </w:p>
    <w:p w:rsidR="00BC2247" w:rsidRPr="00AC0A65" w:rsidRDefault="00BC2247" w:rsidP="00BC2247">
      <w:pPr>
        <w:pStyle w:val="a3"/>
        <w:spacing w:line="240" w:lineRule="auto"/>
        <w:ind w:firstLine="0"/>
        <w:jc w:val="center"/>
        <w:rPr>
          <w:bCs w:val="0"/>
          <w:i/>
          <w:iCs w:val="0"/>
          <w:spacing w:val="-3"/>
          <w:sz w:val="20"/>
          <w:szCs w:val="20"/>
        </w:rPr>
      </w:pPr>
    </w:p>
    <w:p w:rsidR="00BC2247" w:rsidRPr="00AC0A65" w:rsidRDefault="00BC2247" w:rsidP="00BC2247">
      <w:pPr>
        <w:shd w:val="clear" w:color="auto" w:fill="FFFFFF"/>
        <w:spacing w:after="0" w:line="240" w:lineRule="auto"/>
        <w:jc w:val="center"/>
        <w:rPr>
          <w:rFonts w:ascii="Times New Roman" w:hAnsi="Times New Roman"/>
          <w:i/>
          <w:sz w:val="20"/>
          <w:szCs w:val="20"/>
        </w:rPr>
      </w:pPr>
      <w:r w:rsidRPr="00AC0A65">
        <w:rPr>
          <w:rFonts w:ascii="Times New Roman" w:hAnsi="Times New Roman"/>
          <w:i/>
          <w:sz w:val="20"/>
          <w:szCs w:val="20"/>
        </w:rPr>
        <w:t>Рис. 1. Результаты ранжирования групп показателей, влияющих на доходность финансового инструмента</w:t>
      </w: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p>
    <w:p w:rsidR="00BC2247" w:rsidRPr="00A21220" w:rsidRDefault="00BC2247" w:rsidP="00BC2247">
      <w:pPr>
        <w:shd w:val="clear" w:color="auto" w:fill="FFFFFF"/>
        <w:spacing w:after="0" w:line="240" w:lineRule="auto"/>
        <w:ind w:firstLine="720"/>
        <w:jc w:val="both"/>
        <w:rPr>
          <w:rFonts w:ascii="Times New Roman" w:hAnsi="Times New Roman"/>
          <w:sz w:val="20"/>
          <w:szCs w:val="20"/>
        </w:rPr>
      </w:pPr>
      <w:r w:rsidRPr="00A21220">
        <w:rPr>
          <w:rFonts w:ascii="Times New Roman" w:hAnsi="Times New Roman"/>
          <w:sz w:val="20"/>
          <w:szCs w:val="20"/>
        </w:rPr>
        <w:t>На основе анализа независимых переменных сделан вывод: наибольшее влияние на доходность финансовых инструментов имеет валютный показатель. Влияние фондовых, процентных, товарных показателей находится на одном уровне (рис. 1).</w:t>
      </w:r>
    </w:p>
    <w:p w:rsidR="00BC2247" w:rsidRPr="00A21220" w:rsidRDefault="00BC2247" w:rsidP="00BC2247">
      <w:pPr>
        <w:spacing w:after="0" w:line="240" w:lineRule="auto"/>
        <w:jc w:val="both"/>
        <w:rPr>
          <w:rFonts w:ascii="Times New Roman" w:hAnsi="Times New Roman"/>
          <w:sz w:val="20"/>
          <w:szCs w:val="20"/>
        </w:rPr>
      </w:pPr>
    </w:p>
    <w:p w:rsidR="00BC2247" w:rsidRPr="00A21220" w:rsidRDefault="00BC2247" w:rsidP="00BC2247">
      <w:pPr>
        <w:tabs>
          <w:tab w:val="left" w:pos="1920"/>
        </w:tabs>
        <w:spacing w:after="0" w:line="240" w:lineRule="auto"/>
        <w:jc w:val="center"/>
        <w:rPr>
          <w:rFonts w:ascii="Times New Roman" w:hAnsi="Times New Roman"/>
          <w:b/>
          <w:sz w:val="20"/>
          <w:szCs w:val="20"/>
        </w:rPr>
      </w:pPr>
      <w:r w:rsidRPr="00A21220">
        <w:rPr>
          <w:rFonts w:ascii="Times New Roman" w:hAnsi="Times New Roman"/>
          <w:b/>
          <w:sz w:val="20"/>
          <w:szCs w:val="20"/>
        </w:rPr>
        <w:t>Литература</w:t>
      </w:r>
    </w:p>
    <w:p w:rsidR="00BC2247" w:rsidRPr="00A21220" w:rsidRDefault="00BC2247" w:rsidP="00BC2247">
      <w:pPr>
        <w:numPr>
          <w:ilvl w:val="3"/>
          <w:numId w:val="1"/>
        </w:numPr>
        <w:tabs>
          <w:tab w:val="clear" w:pos="900"/>
          <w:tab w:val="left" w:pos="1148"/>
          <w:tab w:val="num" w:pos="1372"/>
        </w:tabs>
        <w:autoSpaceDE w:val="0"/>
        <w:autoSpaceDN w:val="0"/>
        <w:adjustRightInd w:val="0"/>
        <w:spacing w:after="0" w:line="240" w:lineRule="auto"/>
        <w:ind w:left="0" w:firstLine="840"/>
        <w:jc w:val="both"/>
        <w:rPr>
          <w:rFonts w:ascii="Times New Roman" w:hAnsi="Times New Roman"/>
          <w:sz w:val="20"/>
          <w:szCs w:val="20"/>
        </w:rPr>
      </w:pPr>
      <w:r w:rsidRPr="00A21220">
        <w:rPr>
          <w:rFonts w:ascii="Times New Roman" w:hAnsi="Times New Roman"/>
          <w:sz w:val="20"/>
          <w:szCs w:val="20"/>
        </w:rPr>
        <w:t>Боровиков, В. П. STATISTICA: искусство анализа данных на компьютере. Для профессионалов / В. П. Боровиков. – СПб. : Питер, 2001. – 656 с.</w:t>
      </w:r>
    </w:p>
    <w:p w:rsidR="00BC2247" w:rsidRPr="00A21220" w:rsidRDefault="00BC2247" w:rsidP="00BC2247">
      <w:pPr>
        <w:tabs>
          <w:tab w:val="left" w:pos="1920"/>
        </w:tabs>
        <w:spacing w:after="0" w:line="240" w:lineRule="auto"/>
        <w:ind w:firstLine="709"/>
        <w:jc w:val="center"/>
        <w:rPr>
          <w:rFonts w:ascii="Times New Roman" w:hAnsi="Times New Roman"/>
          <w:sz w:val="20"/>
          <w:szCs w:val="20"/>
        </w:rPr>
      </w:pPr>
    </w:p>
    <w:p w:rsidR="00BC2247" w:rsidRPr="00A21220" w:rsidRDefault="00BC2247" w:rsidP="00BC2247">
      <w:pPr>
        <w:pStyle w:val="3"/>
        <w:spacing w:before="0" w:after="0"/>
        <w:rPr>
          <w:rFonts w:ascii="Times New Roman" w:hAnsi="Times New Roman"/>
          <w:color w:val="000000"/>
          <w:sz w:val="20"/>
          <w:szCs w:val="20"/>
        </w:rPr>
      </w:pPr>
    </w:p>
    <w:p w:rsidR="00686C2F" w:rsidRPr="00BC2247" w:rsidRDefault="00686C2F">
      <w:pPr>
        <w:rPr>
          <w:lang/>
        </w:rPr>
      </w:pPr>
    </w:p>
    <w:sectPr w:rsidR="00686C2F" w:rsidRPr="00BC2247" w:rsidSect="0068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017C"/>
    <w:multiLevelType w:val="hybridMultilevel"/>
    <w:tmpl w:val="F6E2C148"/>
    <w:lvl w:ilvl="0" w:tplc="0419000F">
      <w:start w:val="1"/>
      <w:numFmt w:val="decimal"/>
      <w:lvlText w:val="%1."/>
      <w:lvlJc w:val="left"/>
      <w:pPr>
        <w:tabs>
          <w:tab w:val="num" w:pos="1023"/>
        </w:tabs>
        <w:ind w:left="1023"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6C7A0B78">
      <w:start w:val="1"/>
      <w:numFmt w:val="decimal"/>
      <w:lvlText w:val="%4."/>
      <w:lvlJc w:val="left"/>
      <w:pPr>
        <w:tabs>
          <w:tab w:val="num" w:pos="900"/>
        </w:tabs>
        <w:ind w:left="900" w:hanging="360"/>
      </w:pPr>
      <w:rPr>
        <w:rFonts w:ascii="Times New Roman" w:hAnsi="Times New Roman" w:cs="Times New Roman" w:hint="default"/>
        <w:i w:val="0"/>
        <w:sz w:val="20"/>
        <w:szCs w:val="2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C2247"/>
    <w:rsid w:val="00004C9B"/>
    <w:rsid w:val="0000516C"/>
    <w:rsid w:val="00015B22"/>
    <w:rsid w:val="00021740"/>
    <w:rsid w:val="00025B0E"/>
    <w:rsid w:val="00026113"/>
    <w:rsid w:val="00052172"/>
    <w:rsid w:val="000548E4"/>
    <w:rsid w:val="000816CD"/>
    <w:rsid w:val="000823AF"/>
    <w:rsid w:val="0009142C"/>
    <w:rsid w:val="000A5DF8"/>
    <w:rsid w:val="000B18DB"/>
    <w:rsid w:val="000C2D48"/>
    <w:rsid w:val="000C478E"/>
    <w:rsid w:val="000C6BD5"/>
    <w:rsid w:val="000D3866"/>
    <w:rsid w:val="000D3D96"/>
    <w:rsid w:val="000E088A"/>
    <w:rsid w:val="000E61D0"/>
    <w:rsid w:val="000F77E9"/>
    <w:rsid w:val="001067BB"/>
    <w:rsid w:val="001078B5"/>
    <w:rsid w:val="001307AA"/>
    <w:rsid w:val="00134134"/>
    <w:rsid w:val="00135F32"/>
    <w:rsid w:val="00155C11"/>
    <w:rsid w:val="0015665C"/>
    <w:rsid w:val="00161ED9"/>
    <w:rsid w:val="001740FA"/>
    <w:rsid w:val="001A3901"/>
    <w:rsid w:val="001A63D9"/>
    <w:rsid w:val="001A7734"/>
    <w:rsid w:val="001C2EAF"/>
    <w:rsid w:val="001E3011"/>
    <w:rsid w:val="00200037"/>
    <w:rsid w:val="002012E4"/>
    <w:rsid w:val="00206F1C"/>
    <w:rsid w:val="0021666A"/>
    <w:rsid w:val="0022047F"/>
    <w:rsid w:val="00220A52"/>
    <w:rsid w:val="00220EFB"/>
    <w:rsid w:val="00221BB0"/>
    <w:rsid w:val="00231522"/>
    <w:rsid w:val="00231CC1"/>
    <w:rsid w:val="00234CA8"/>
    <w:rsid w:val="00241C61"/>
    <w:rsid w:val="002420F5"/>
    <w:rsid w:val="00260253"/>
    <w:rsid w:val="002863A5"/>
    <w:rsid w:val="00286DE1"/>
    <w:rsid w:val="0029267D"/>
    <w:rsid w:val="002961D7"/>
    <w:rsid w:val="002A4567"/>
    <w:rsid w:val="002C5918"/>
    <w:rsid w:val="002C7632"/>
    <w:rsid w:val="002F13E6"/>
    <w:rsid w:val="002F220E"/>
    <w:rsid w:val="002F7645"/>
    <w:rsid w:val="00312DB0"/>
    <w:rsid w:val="003147A6"/>
    <w:rsid w:val="0034478C"/>
    <w:rsid w:val="00357286"/>
    <w:rsid w:val="00366A59"/>
    <w:rsid w:val="00372A35"/>
    <w:rsid w:val="00372C34"/>
    <w:rsid w:val="003760EA"/>
    <w:rsid w:val="00387245"/>
    <w:rsid w:val="003905DB"/>
    <w:rsid w:val="00391C07"/>
    <w:rsid w:val="00393049"/>
    <w:rsid w:val="003A0509"/>
    <w:rsid w:val="003A0785"/>
    <w:rsid w:val="003A2FE6"/>
    <w:rsid w:val="003B0058"/>
    <w:rsid w:val="003B5CF4"/>
    <w:rsid w:val="003C2456"/>
    <w:rsid w:val="003C6D11"/>
    <w:rsid w:val="003E2E20"/>
    <w:rsid w:val="003F23E0"/>
    <w:rsid w:val="003F597A"/>
    <w:rsid w:val="00401CF4"/>
    <w:rsid w:val="00425E24"/>
    <w:rsid w:val="0042654F"/>
    <w:rsid w:val="0044039A"/>
    <w:rsid w:val="00442E7B"/>
    <w:rsid w:val="00450024"/>
    <w:rsid w:val="00451F08"/>
    <w:rsid w:val="0046282A"/>
    <w:rsid w:val="00467143"/>
    <w:rsid w:val="0047323E"/>
    <w:rsid w:val="00473C8C"/>
    <w:rsid w:val="00480AFA"/>
    <w:rsid w:val="00481F18"/>
    <w:rsid w:val="00485AAE"/>
    <w:rsid w:val="00486B67"/>
    <w:rsid w:val="00486E38"/>
    <w:rsid w:val="00487CD5"/>
    <w:rsid w:val="00493C89"/>
    <w:rsid w:val="004A2D82"/>
    <w:rsid w:val="004B3D52"/>
    <w:rsid w:val="004C49B1"/>
    <w:rsid w:val="004E018B"/>
    <w:rsid w:val="004E24F3"/>
    <w:rsid w:val="004E5D4F"/>
    <w:rsid w:val="004F061E"/>
    <w:rsid w:val="004F6945"/>
    <w:rsid w:val="0050225A"/>
    <w:rsid w:val="005167C6"/>
    <w:rsid w:val="0052554A"/>
    <w:rsid w:val="00536625"/>
    <w:rsid w:val="00541129"/>
    <w:rsid w:val="00556F47"/>
    <w:rsid w:val="00563B31"/>
    <w:rsid w:val="0056799B"/>
    <w:rsid w:val="00576FC8"/>
    <w:rsid w:val="00577154"/>
    <w:rsid w:val="00580B12"/>
    <w:rsid w:val="00590224"/>
    <w:rsid w:val="00593634"/>
    <w:rsid w:val="005966FE"/>
    <w:rsid w:val="005A396D"/>
    <w:rsid w:val="005B1AD4"/>
    <w:rsid w:val="005B1C31"/>
    <w:rsid w:val="005D25AB"/>
    <w:rsid w:val="005D7AF3"/>
    <w:rsid w:val="005E15B0"/>
    <w:rsid w:val="005E15D2"/>
    <w:rsid w:val="005F79BD"/>
    <w:rsid w:val="00604AC6"/>
    <w:rsid w:val="00607B4B"/>
    <w:rsid w:val="006238BE"/>
    <w:rsid w:val="006246B4"/>
    <w:rsid w:val="00633047"/>
    <w:rsid w:val="00633FFF"/>
    <w:rsid w:val="00634CE2"/>
    <w:rsid w:val="006354CF"/>
    <w:rsid w:val="00641D19"/>
    <w:rsid w:val="006535E0"/>
    <w:rsid w:val="00660E23"/>
    <w:rsid w:val="0066294E"/>
    <w:rsid w:val="00686C2F"/>
    <w:rsid w:val="00697238"/>
    <w:rsid w:val="006A01D7"/>
    <w:rsid w:val="006A5D75"/>
    <w:rsid w:val="006B2281"/>
    <w:rsid w:val="006B3ED2"/>
    <w:rsid w:val="006C4490"/>
    <w:rsid w:val="006C57C9"/>
    <w:rsid w:val="006C78B5"/>
    <w:rsid w:val="006D7D06"/>
    <w:rsid w:val="006E17F9"/>
    <w:rsid w:val="006E503F"/>
    <w:rsid w:val="006F54F0"/>
    <w:rsid w:val="007209F6"/>
    <w:rsid w:val="007245F7"/>
    <w:rsid w:val="007365C4"/>
    <w:rsid w:val="0073702D"/>
    <w:rsid w:val="00753406"/>
    <w:rsid w:val="007566D5"/>
    <w:rsid w:val="00761F01"/>
    <w:rsid w:val="007661F3"/>
    <w:rsid w:val="007829C5"/>
    <w:rsid w:val="007850CA"/>
    <w:rsid w:val="00790B19"/>
    <w:rsid w:val="007A30C3"/>
    <w:rsid w:val="007B2286"/>
    <w:rsid w:val="007B5D13"/>
    <w:rsid w:val="007D171E"/>
    <w:rsid w:val="007D3C65"/>
    <w:rsid w:val="007D57EB"/>
    <w:rsid w:val="007E69BF"/>
    <w:rsid w:val="00812695"/>
    <w:rsid w:val="0082063B"/>
    <w:rsid w:val="00842AD2"/>
    <w:rsid w:val="00855A06"/>
    <w:rsid w:val="0087047E"/>
    <w:rsid w:val="00882455"/>
    <w:rsid w:val="00894541"/>
    <w:rsid w:val="00896D46"/>
    <w:rsid w:val="008A1753"/>
    <w:rsid w:val="008A2F4F"/>
    <w:rsid w:val="008B7134"/>
    <w:rsid w:val="008B78DA"/>
    <w:rsid w:val="008C49D7"/>
    <w:rsid w:val="008C630A"/>
    <w:rsid w:val="008D03F9"/>
    <w:rsid w:val="008D4ACB"/>
    <w:rsid w:val="008E14A3"/>
    <w:rsid w:val="008E1F5A"/>
    <w:rsid w:val="008E1FA4"/>
    <w:rsid w:val="008E47D9"/>
    <w:rsid w:val="008E55A5"/>
    <w:rsid w:val="008F1A9B"/>
    <w:rsid w:val="008F42A8"/>
    <w:rsid w:val="008F5D5F"/>
    <w:rsid w:val="00903C31"/>
    <w:rsid w:val="0093310C"/>
    <w:rsid w:val="00943481"/>
    <w:rsid w:val="009456B7"/>
    <w:rsid w:val="00950638"/>
    <w:rsid w:val="009514BA"/>
    <w:rsid w:val="00953B3F"/>
    <w:rsid w:val="00955C6C"/>
    <w:rsid w:val="00973D74"/>
    <w:rsid w:val="00993E50"/>
    <w:rsid w:val="009956E9"/>
    <w:rsid w:val="00997647"/>
    <w:rsid w:val="009A36C5"/>
    <w:rsid w:val="009A55DE"/>
    <w:rsid w:val="009A76B9"/>
    <w:rsid w:val="009C4446"/>
    <w:rsid w:val="009C54D9"/>
    <w:rsid w:val="009F50DA"/>
    <w:rsid w:val="00A066DA"/>
    <w:rsid w:val="00A0690C"/>
    <w:rsid w:val="00A21B4C"/>
    <w:rsid w:val="00A262DA"/>
    <w:rsid w:val="00A429D7"/>
    <w:rsid w:val="00A50B08"/>
    <w:rsid w:val="00A569B2"/>
    <w:rsid w:val="00A67129"/>
    <w:rsid w:val="00A73B8D"/>
    <w:rsid w:val="00A83B43"/>
    <w:rsid w:val="00A94BF8"/>
    <w:rsid w:val="00A94C96"/>
    <w:rsid w:val="00AA0036"/>
    <w:rsid w:val="00AA5DA3"/>
    <w:rsid w:val="00AA5EAD"/>
    <w:rsid w:val="00AB557A"/>
    <w:rsid w:val="00AB5CEF"/>
    <w:rsid w:val="00AC7B41"/>
    <w:rsid w:val="00AC7E65"/>
    <w:rsid w:val="00AD1C9D"/>
    <w:rsid w:val="00AE2878"/>
    <w:rsid w:val="00AE6BE6"/>
    <w:rsid w:val="00AE7398"/>
    <w:rsid w:val="00AF39F5"/>
    <w:rsid w:val="00B21CD4"/>
    <w:rsid w:val="00B55F78"/>
    <w:rsid w:val="00B61179"/>
    <w:rsid w:val="00B6243F"/>
    <w:rsid w:val="00B63D20"/>
    <w:rsid w:val="00B65B96"/>
    <w:rsid w:val="00B75E71"/>
    <w:rsid w:val="00B806E2"/>
    <w:rsid w:val="00B822D1"/>
    <w:rsid w:val="00B82DF3"/>
    <w:rsid w:val="00B84021"/>
    <w:rsid w:val="00B86110"/>
    <w:rsid w:val="00B86CFA"/>
    <w:rsid w:val="00BA39AB"/>
    <w:rsid w:val="00BA47BB"/>
    <w:rsid w:val="00BA724B"/>
    <w:rsid w:val="00BC2247"/>
    <w:rsid w:val="00BD3775"/>
    <w:rsid w:val="00BE5822"/>
    <w:rsid w:val="00BF0D66"/>
    <w:rsid w:val="00BF249F"/>
    <w:rsid w:val="00BF4A24"/>
    <w:rsid w:val="00C05BB3"/>
    <w:rsid w:val="00C1167C"/>
    <w:rsid w:val="00C23888"/>
    <w:rsid w:val="00C37F3D"/>
    <w:rsid w:val="00C5318B"/>
    <w:rsid w:val="00C736CE"/>
    <w:rsid w:val="00C73EB7"/>
    <w:rsid w:val="00C7409A"/>
    <w:rsid w:val="00C74D25"/>
    <w:rsid w:val="00C850C1"/>
    <w:rsid w:val="00C978ED"/>
    <w:rsid w:val="00CB6635"/>
    <w:rsid w:val="00CD4E8E"/>
    <w:rsid w:val="00CE2365"/>
    <w:rsid w:val="00CE58E1"/>
    <w:rsid w:val="00CE749E"/>
    <w:rsid w:val="00CF3F4C"/>
    <w:rsid w:val="00D016FC"/>
    <w:rsid w:val="00D11768"/>
    <w:rsid w:val="00D149BB"/>
    <w:rsid w:val="00D2099A"/>
    <w:rsid w:val="00D256FB"/>
    <w:rsid w:val="00D25BFC"/>
    <w:rsid w:val="00D34F1F"/>
    <w:rsid w:val="00D35E7C"/>
    <w:rsid w:val="00D43778"/>
    <w:rsid w:val="00D44FE8"/>
    <w:rsid w:val="00D70D74"/>
    <w:rsid w:val="00D81312"/>
    <w:rsid w:val="00D9342F"/>
    <w:rsid w:val="00D93433"/>
    <w:rsid w:val="00D94C02"/>
    <w:rsid w:val="00DC739D"/>
    <w:rsid w:val="00DD271D"/>
    <w:rsid w:val="00DD3064"/>
    <w:rsid w:val="00DD3715"/>
    <w:rsid w:val="00DD6227"/>
    <w:rsid w:val="00DF510C"/>
    <w:rsid w:val="00E422B3"/>
    <w:rsid w:val="00E435D0"/>
    <w:rsid w:val="00E44906"/>
    <w:rsid w:val="00E544A7"/>
    <w:rsid w:val="00E766B9"/>
    <w:rsid w:val="00E77C77"/>
    <w:rsid w:val="00E8222C"/>
    <w:rsid w:val="00E8370B"/>
    <w:rsid w:val="00E9096A"/>
    <w:rsid w:val="00EA23E7"/>
    <w:rsid w:val="00EB62B5"/>
    <w:rsid w:val="00EC1CD0"/>
    <w:rsid w:val="00EC1DD4"/>
    <w:rsid w:val="00EC77C9"/>
    <w:rsid w:val="00ED4787"/>
    <w:rsid w:val="00ED6957"/>
    <w:rsid w:val="00EF760C"/>
    <w:rsid w:val="00F26A95"/>
    <w:rsid w:val="00F27A1C"/>
    <w:rsid w:val="00F345E6"/>
    <w:rsid w:val="00F35DD5"/>
    <w:rsid w:val="00F440FB"/>
    <w:rsid w:val="00F55663"/>
    <w:rsid w:val="00F61F1E"/>
    <w:rsid w:val="00F74DA3"/>
    <w:rsid w:val="00F82DB3"/>
    <w:rsid w:val="00F90ED6"/>
    <w:rsid w:val="00F92ED9"/>
    <w:rsid w:val="00F97EE0"/>
    <w:rsid w:val="00FA035D"/>
    <w:rsid w:val="00FA3D42"/>
    <w:rsid w:val="00FA6BEA"/>
    <w:rsid w:val="00FA7CF4"/>
    <w:rsid w:val="00FB139F"/>
    <w:rsid w:val="00FD1A47"/>
    <w:rsid w:val="00FD2421"/>
    <w:rsid w:val="00FD41F6"/>
    <w:rsid w:val="00FD5570"/>
    <w:rsid w:val="00FD6ECE"/>
    <w:rsid w:val="00FF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47"/>
    <w:rPr>
      <w:rFonts w:ascii="Calibri" w:eastAsia="Calibri" w:hAnsi="Calibri" w:cs="Times New Roman"/>
    </w:rPr>
  </w:style>
  <w:style w:type="paragraph" w:styleId="3">
    <w:name w:val="heading 3"/>
    <w:basedOn w:val="a"/>
    <w:next w:val="a"/>
    <w:link w:val="30"/>
    <w:uiPriority w:val="9"/>
    <w:qFormat/>
    <w:rsid w:val="00BC2247"/>
    <w:pPr>
      <w:keepNext/>
      <w:overflowPunct w:val="0"/>
      <w:autoSpaceDE w:val="0"/>
      <w:autoSpaceDN w:val="0"/>
      <w:adjustRightInd w:val="0"/>
      <w:spacing w:before="240" w:after="60" w:line="240" w:lineRule="auto"/>
      <w:textAlignment w:val="baseline"/>
      <w:outlineLvl w:val="2"/>
    </w:pPr>
    <w:rPr>
      <w:rFonts w:ascii="Arial" w:eastAsia="Times New Roman"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2247"/>
    <w:rPr>
      <w:rFonts w:ascii="Arial" w:eastAsia="Times New Roman" w:hAnsi="Arial" w:cs="Times New Roman"/>
      <w:b/>
      <w:bCs/>
      <w:sz w:val="26"/>
      <w:szCs w:val="26"/>
      <w:lang/>
    </w:rPr>
  </w:style>
  <w:style w:type="paragraph" w:customStyle="1" w:styleId="a3">
    <w:name w:val="!Текст"/>
    <w:basedOn w:val="a"/>
    <w:link w:val="a4"/>
    <w:rsid w:val="00BC2247"/>
    <w:pPr>
      <w:spacing w:after="0" w:line="360" w:lineRule="auto"/>
      <w:ind w:firstLine="720"/>
      <w:jc w:val="both"/>
    </w:pPr>
    <w:rPr>
      <w:rFonts w:ascii="Times New Roman" w:eastAsia="Times New Roman" w:hAnsi="Times New Roman"/>
      <w:bCs/>
      <w:iCs/>
      <w:sz w:val="24"/>
      <w:szCs w:val="24"/>
      <w:lang/>
    </w:rPr>
  </w:style>
  <w:style w:type="character" w:customStyle="1" w:styleId="a4">
    <w:name w:val="!Текст Знак"/>
    <w:link w:val="a3"/>
    <w:rsid w:val="00BC2247"/>
    <w:rPr>
      <w:rFonts w:ascii="Times New Roman" w:eastAsia="Times New Roman" w:hAnsi="Times New Roman" w:cs="Times New Roman"/>
      <w:bCs/>
      <w:iCs/>
      <w:sz w:val="24"/>
      <w:szCs w:val="24"/>
      <w:lang/>
    </w:rPr>
  </w:style>
  <w:style w:type="paragraph" w:styleId="a5">
    <w:name w:val="Balloon Text"/>
    <w:basedOn w:val="a"/>
    <w:link w:val="a6"/>
    <w:uiPriority w:val="99"/>
    <w:semiHidden/>
    <w:unhideWhenUsed/>
    <w:rsid w:val="00BC2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2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9358</Characters>
  <Application>Microsoft Office Word</Application>
  <DocSecurity>0</DocSecurity>
  <Lines>77</Lines>
  <Paragraphs>21</Paragraphs>
  <ScaleCrop>false</ScaleCrop>
  <Company>nil</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2012-11-12T12:01:00Z</dcterms:created>
  <dcterms:modified xsi:type="dcterms:W3CDTF">2012-11-12T12:01:00Z</dcterms:modified>
</cp:coreProperties>
</file>