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3E" w:rsidRPr="00175069" w:rsidRDefault="004E333E" w:rsidP="00175069">
      <w:pPr>
        <w:spacing w:line="360" w:lineRule="auto"/>
        <w:contextualSpacing/>
        <w:jc w:val="center"/>
        <w:rPr>
          <w:rFonts w:ascii="Times New Roman" w:hAnsi="Times New Roman" w:cs="Times New Roman"/>
          <w:b/>
          <w:sz w:val="28"/>
          <w:szCs w:val="28"/>
        </w:rPr>
      </w:pPr>
      <w:r w:rsidRPr="00175069">
        <w:rPr>
          <w:rFonts w:ascii="Times New Roman" w:hAnsi="Times New Roman" w:cs="Times New Roman"/>
          <w:b/>
          <w:sz w:val="28"/>
          <w:szCs w:val="28"/>
        </w:rPr>
        <w:t>Илья Кашницкий</w:t>
      </w:r>
    </w:p>
    <w:p w:rsidR="004E333E" w:rsidRDefault="004E333E" w:rsidP="00175069">
      <w:pPr>
        <w:spacing w:line="360" w:lineRule="auto"/>
        <w:contextualSpacing/>
        <w:jc w:val="center"/>
        <w:rPr>
          <w:rFonts w:ascii="Times New Roman" w:hAnsi="Times New Roman" w:cs="Times New Roman"/>
          <w:i/>
          <w:sz w:val="28"/>
          <w:szCs w:val="28"/>
        </w:rPr>
      </w:pPr>
      <w:r w:rsidRPr="00175069">
        <w:rPr>
          <w:rFonts w:ascii="Times New Roman" w:hAnsi="Times New Roman" w:cs="Times New Roman"/>
          <w:i/>
          <w:sz w:val="28"/>
          <w:szCs w:val="28"/>
        </w:rPr>
        <w:t>НИУ ВШЭ, Институт демографии</w:t>
      </w:r>
      <w:r w:rsidR="007A4321" w:rsidRPr="00175069">
        <w:rPr>
          <w:rFonts w:ascii="Times New Roman" w:hAnsi="Times New Roman" w:cs="Times New Roman"/>
          <w:i/>
          <w:sz w:val="28"/>
          <w:szCs w:val="28"/>
        </w:rPr>
        <w:t>, Центр миграционной политики</w:t>
      </w:r>
    </w:p>
    <w:p w:rsidR="00175069" w:rsidRPr="00175069" w:rsidRDefault="00175069" w:rsidP="00175069">
      <w:pPr>
        <w:spacing w:line="360" w:lineRule="auto"/>
        <w:contextualSpacing/>
        <w:jc w:val="center"/>
        <w:rPr>
          <w:rFonts w:ascii="Times New Roman" w:hAnsi="Times New Roman" w:cs="Times New Roman"/>
          <w:i/>
          <w:sz w:val="28"/>
          <w:szCs w:val="28"/>
        </w:rPr>
      </w:pPr>
      <w:r>
        <w:rPr>
          <w:rFonts w:ascii="Times New Roman" w:hAnsi="Times New Roman" w:cs="Times New Roman"/>
          <w:i/>
          <w:sz w:val="28"/>
          <w:szCs w:val="28"/>
        </w:rPr>
        <w:t>стажер-исследователь</w:t>
      </w:r>
    </w:p>
    <w:p w:rsidR="004E333E" w:rsidRPr="00175069" w:rsidRDefault="000F298A" w:rsidP="00175069">
      <w:pPr>
        <w:spacing w:line="360" w:lineRule="auto"/>
        <w:contextualSpacing/>
        <w:jc w:val="center"/>
        <w:rPr>
          <w:rFonts w:ascii="Times New Roman" w:hAnsi="Times New Roman" w:cs="Times New Roman"/>
          <w:i/>
          <w:sz w:val="28"/>
          <w:szCs w:val="28"/>
        </w:rPr>
      </w:pPr>
      <w:hyperlink r:id="rId7" w:history="1">
        <w:r w:rsidR="0010577C" w:rsidRPr="00175069">
          <w:rPr>
            <w:rStyle w:val="a6"/>
            <w:rFonts w:ascii="Times New Roman" w:hAnsi="Times New Roman" w:cs="Times New Roman"/>
            <w:i/>
            <w:sz w:val="28"/>
            <w:szCs w:val="28"/>
            <w:lang w:val="en-US"/>
          </w:rPr>
          <w:t>ilya</w:t>
        </w:r>
        <w:r w:rsidR="0010577C" w:rsidRPr="005A5641">
          <w:rPr>
            <w:rStyle w:val="a6"/>
            <w:rFonts w:ascii="Times New Roman" w:hAnsi="Times New Roman" w:cs="Times New Roman"/>
            <w:i/>
            <w:sz w:val="28"/>
            <w:szCs w:val="28"/>
          </w:rPr>
          <w:t>.</w:t>
        </w:r>
        <w:r w:rsidR="0010577C" w:rsidRPr="00175069">
          <w:rPr>
            <w:rStyle w:val="a6"/>
            <w:rFonts w:ascii="Times New Roman" w:hAnsi="Times New Roman" w:cs="Times New Roman"/>
            <w:i/>
            <w:sz w:val="28"/>
            <w:szCs w:val="28"/>
            <w:lang w:val="en-US"/>
          </w:rPr>
          <w:t>kashnitsky</w:t>
        </w:r>
        <w:r w:rsidR="0010577C" w:rsidRPr="005A5641">
          <w:rPr>
            <w:rStyle w:val="a6"/>
            <w:rFonts w:ascii="Times New Roman" w:hAnsi="Times New Roman" w:cs="Times New Roman"/>
            <w:i/>
            <w:sz w:val="28"/>
            <w:szCs w:val="28"/>
          </w:rPr>
          <w:t>@</w:t>
        </w:r>
        <w:r w:rsidR="0010577C" w:rsidRPr="00175069">
          <w:rPr>
            <w:rStyle w:val="a6"/>
            <w:rFonts w:ascii="Times New Roman" w:hAnsi="Times New Roman" w:cs="Times New Roman"/>
            <w:i/>
            <w:sz w:val="28"/>
            <w:szCs w:val="28"/>
            <w:lang w:val="en-US"/>
          </w:rPr>
          <w:t>gmail</w:t>
        </w:r>
        <w:r w:rsidR="0010577C" w:rsidRPr="005A5641">
          <w:rPr>
            <w:rStyle w:val="a6"/>
            <w:rFonts w:ascii="Times New Roman" w:hAnsi="Times New Roman" w:cs="Times New Roman"/>
            <w:i/>
            <w:sz w:val="28"/>
            <w:szCs w:val="28"/>
          </w:rPr>
          <w:t>.</w:t>
        </w:r>
        <w:r w:rsidR="0010577C" w:rsidRPr="00175069">
          <w:rPr>
            <w:rStyle w:val="a6"/>
            <w:rFonts w:ascii="Times New Roman" w:hAnsi="Times New Roman" w:cs="Times New Roman"/>
            <w:i/>
            <w:sz w:val="28"/>
            <w:szCs w:val="28"/>
            <w:lang w:val="en-US"/>
          </w:rPr>
          <w:t>com</w:t>
        </w:r>
      </w:hyperlink>
    </w:p>
    <w:p w:rsidR="0010577C" w:rsidRPr="007F573B" w:rsidRDefault="0010577C" w:rsidP="007F573B">
      <w:pPr>
        <w:spacing w:line="360" w:lineRule="auto"/>
        <w:contextualSpacing/>
        <w:jc w:val="right"/>
        <w:rPr>
          <w:rFonts w:ascii="Times New Roman" w:hAnsi="Times New Roman" w:cs="Times New Roman"/>
          <w:sz w:val="28"/>
          <w:szCs w:val="28"/>
        </w:rPr>
      </w:pPr>
    </w:p>
    <w:p w:rsidR="004E333E" w:rsidRPr="007F573B" w:rsidRDefault="00175069" w:rsidP="00175069">
      <w:pPr>
        <w:spacing w:line="360" w:lineRule="auto"/>
        <w:jc w:val="center"/>
        <w:rPr>
          <w:rFonts w:ascii="Times New Roman" w:hAnsi="Times New Roman" w:cs="Times New Roman"/>
          <w:b/>
          <w:sz w:val="28"/>
          <w:szCs w:val="28"/>
        </w:rPr>
      </w:pPr>
      <w:r w:rsidRPr="007F573B">
        <w:rPr>
          <w:rFonts w:ascii="Times New Roman" w:hAnsi="Times New Roman" w:cs="Times New Roman"/>
          <w:b/>
          <w:sz w:val="28"/>
          <w:szCs w:val="28"/>
        </w:rPr>
        <w:t>СПОСОБНА ЛИ РЕГИОНАЛЬНАЯ ПЕРИФЕРИЯ ВЕРНУТЬ МОЛОДЕЖЬ?</w:t>
      </w:r>
    </w:p>
    <w:p w:rsidR="00175069" w:rsidRDefault="00175069" w:rsidP="00D827DB">
      <w:pPr>
        <w:spacing w:line="360" w:lineRule="auto"/>
        <w:ind w:firstLine="709"/>
        <w:contextualSpacing/>
        <w:rPr>
          <w:rFonts w:ascii="Times New Roman" w:hAnsi="Times New Roman" w:cs="Times New Roman"/>
          <w:b/>
          <w:i/>
          <w:sz w:val="28"/>
          <w:szCs w:val="28"/>
        </w:rPr>
      </w:pPr>
    </w:p>
    <w:p w:rsidR="00061824" w:rsidRPr="007F573B" w:rsidRDefault="00061824" w:rsidP="00D827DB">
      <w:pPr>
        <w:spacing w:line="360" w:lineRule="auto"/>
        <w:ind w:firstLine="709"/>
        <w:contextualSpacing/>
        <w:rPr>
          <w:rFonts w:ascii="Times New Roman" w:hAnsi="Times New Roman" w:cs="Times New Roman"/>
          <w:b/>
          <w:i/>
          <w:sz w:val="28"/>
          <w:szCs w:val="28"/>
        </w:rPr>
      </w:pPr>
      <w:r w:rsidRPr="007F573B">
        <w:rPr>
          <w:rFonts w:ascii="Times New Roman" w:hAnsi="Times New Roman" w:cs="Times New Roman"/>
          <w:b/>
          <w:i/>
          <w:sz w:val="28"/>
          <w:szCs w:val="28"/>
        </w:rPr>
        <w:t>Мотивация и гипотезы</w:t>
      </w:r>
    </w:p>
    <w:p w:rsidR="00061824" w:rsidRPr="007F573B" w:rsidRDefault="00EE59AC" w:rsidP="00D827DB">
      <w:pPr>
        <w:spacing w:line="360" w:lineRule="auto"/>
        <w:ind w:firstLine="709"/>
        <w:contextualSpacing/>
        <w:rPr>
          <w:rFonts w:ascii="Times New Roman" w:hAnsi="Times New Roman" w:cs="Times New Roman"/>
          <w:sz w:val="28"/>
          <w:szCs w:val="28"/>
        </w:rPr>
      </w:pPr>
      <w:r w:rsidRPr="007F573B">
        <w:rPr>
          <w:rFonts w:ascii="Times New Roman" w:hAnsi="Times New Roman" w:cs="Times New Roman"/>
          <w:sz w:val="28"/>
          <w:szCs w:val="28"/>
        </w:rPr>
        <w:t>Беглого взгляда на карты последней российской переписи достаточно, чтобы сформировать гипотезы относительно устойчивых паттернов внутрирегиональной миграции</w:t>
      </w:r>
      <w:r w:rsidR="00253969">
        <w:rPr>
          <w:rFonts w:ascii="Times New Roman" w:hAnsi="Times New Roman" w:cs="Times New Roman"/>
          <w:sz w:val="28"/>
          <w:szCs w:val="28"/>
        </w:rPr>
        <w:t xml:space="preserve"> </w:t>
      </w:r>
      <w:r w:rsidR="00253969">
        <w:rPr>
          <w:rFonts w:ascii="Times New Roman" w:hAnsi="Times New Roman" w:cs="Times New Roman"/>
          <w:sz w:val="28"/>
          <w:szCs w:val="28"/>
        </w:rPr>
        <w:fldChar w:fldCharType="begin"/>
      </w:r>
      <w:r w:rsidR="000D651D">
        <w:rPr>
          <w:rFonts w:ascii="Times New Roman" w:hAnsi="Times New Roman" w:cs="Times New Roman"/>
          <w:sz w:val="28"/>
          <w:szCs w:val="28"/>
        </w:rPr>
        <w:instrText xml:space="preserve"> ADDIN ZOTERO_ITEM CSL_CITATION {"citationID":"26btgcchu8","properties":{"formattedCitation":"[5]","plainCitation":"[5]"},"citationItems":[{"id":329,"uris":["http://zotero.org/users/1616214/items/B8GZM56Z"],"uri":["http://zotero.org/users/1616214/items/B8GZM56Z"],"itemData":{"id":329,"type":"article-journal","title":"Что в возрасте тебе моем?","container-title":"Демоскоп Weekly","issue":"581-582","URL":"http://demoscope.ru/weekly/2014/0581/tema01.php","author":[{"family":"Кашницкий","given":"Илья"}],"issued":{"date-parts":[["2014",1]]}}}],"schema":"https://github.com/citation-style-language/schema/raw/master/csl-citation.json"} </w:instrText>
      </w:r>
      <w:r w:rsidR="00253969">
        <w:rPr>
          <w:rFonts w:ascii="Times New Roman" w:hAnsi="Times New Roman" w:cs="Times New Roman"/>
          <w:sz w:val="28"/>
          <w:szCs w:val="28"/>
        </w:rPr>
        <w:fldChar w:fldCharType="separate"/>
      </w:r>
      <w:r w:rsidR="000D651D" w:rsidRPr="000D651D">
        <w:rPr>
          <w:rFonts w:ascii="Times New Roman" w:hAnsi="Times New Roman" w:cs="Times New Roman"/>
          <w:sz w:val="28"/>
        </w:rPr>
        <w:t>[5]</w:t>
      </w:r>
      <w:r w:rsidR="00253969">
        <w:rPr>
          <w:rFonts w:ascii="Times New Roman" w:hAnsi="Times New Roman" w:cs="Times New Roman"/>
          <w:sz w:val="28"/>
          <w:szCs w:val="28"/>
        </w:rPr>
        <w:fldChar w:fldCharType="end"/>
      </w:r>
      <w:r w:rsidRPr="007F573B">
        <w:rPr>
          <w:rFonts w:ascii="Times New Roman" w:hAnsi="Times New Roman" w:cs="Times New Roman"/>
          <w:sz w:val="28"/>
          <w:szCs w:val="28"/>
        </w:rPr>
        <w:t>. Демографическая структура населения, различные характеристики которой отражены на авторских картах (</w:t>
      </w:r>
      <w:r w:rsidR="0049717D" w:rsidRPr="007F573B">
        <w:rPr>
          <w:rFonts w:ascii="Times New Roman" w:hAnsi="Times New Roman" w:cs="Times New Roman"/>
          <w:sz w:val="28"/>
          <w:szCs w:val="28"/>
        </w:rPr>
        <w:t>Приложени</w:t>
      </w:r>
      <w:r w:rsidR="00E03CEC">
        <w:rPr>
          <w:rFonts w:ascii="Times New Roman" w:hAnsi="Times New Roman" w:cs="Times New Roman"/>
          <w:sz w:val="28"/>
          <w:szCs w:val="28"/>
        </w:rPr>
        <w:t>е</w:t>
      </w:r>
      <w:r w:rsidR="0049717D" w:rsidRPr="007F573B">
        <w:rPr>
          <w:rFonts w:ascii="Times New Roman" w:hAnsi="Times New Roman" w:cs="Times New Roman"/>
          <w:sz w:val="28"/>
          <w:szCs w:val="28"/>
        </w:rPr>
        <w:t xml:space="preserve"> 1</w:t>
      </w:r>
      <w:r w:rsidRPr="007F573B">
        <w:rPr>
          <w:rFonts w:ascii="Times New Roman" w:hAnsi="Times New Roman" w:cs="Times New Roman"/>
          <w:sz w:val="28"/>
          <w:szCs w:val="28"/>
        </w:rPr>
        <w:t xml:space="preserve">), наглядно демонстрирует результат длительного воздействия демографических процессов. </w:t>
      </w:r>
      <w:proofErr w:type="gramStart"/>
      <w:r w:rsidRPr="007F573B">
        <w:rPr>
          <w:rFonts w:ascii="Times New Roman" w:hAnsi="Times New Roman" w:cs="Times New Roman"/>
          <w:sz w:val="28"/>
          <w:szCs w:val="28"/>
        </w:rPr>
        <w:t xml:space="preserve">Поскольку мы исследуем современную </w:t>
      </w:r>
      <w:r w:rsidR="00A87A30" w:rsidRPr="007F573B">
        <w:rPr>
          <w:rFonts w:ascii="Times New Roman" w:hAnsi="Times New Roman" w:cs="Times New Roman"/>
          <w:sz w:val="28"/>
          <w:szCs w:val="28"/>
        </w:rPr>
        <w:t>Россию</w:t>
      </w:r>
      <w:r w:rsidR="00A87A30">
        <w:rPr>
          <w:rFonts w:ascii="Times New Roman" w:hAnsi="Times New Roman" w:cs="Times New Roman"/>
          <w:sz w:val="28"/>
          <w:szCs w:val="28"/>
        </w:rPr>
        <w:t xml:space="preserve">, </w:t>
      </w:r>
      <w:r w:rsidRPr="007F573B">
        <w:rPr>
          <w:rFonts w:ascii="Times New Roman" w:hAnsi="Times New Roman" w:cs="Times New Roman"/>
          <w:sz w:val="28"/>
          <w:szCs w:val="28"/>
        </w:rPr>
        <w:t>находящуюся на завершающей с</w:t>
      </w:r>
      <w:r w:rsidR="00A87A30">
        <w:rPr>
          <w:rFonts w:ascii="Times New Roman" w:hAnsi="Times New Roman" w:cs="Times New Roman"/>
          <w:sz w:val="28"/>
          <w:szCs w:val="28"/>
        </w:rPr>
        <w:t>тадии демографического перехода</w:t>
      </w:r>
      <w:r w:rsidRPr="007F573B">
        <w:rPr>
          <w:rFonts w:ascii="Times New Roman" w:hAnsi="Times New Roman" w:cs="Times New Roman"/>
          <w:sz w:val="28"/>
          <w:szCs w:val="28"/>
        </w:rPr>
        <w:t xml:space="preserve">, </w:t>
      </w:r>
      <w:r w:rsidR="00A87A30">
        <w:rPr>
          <w:rFonts w:ascii="Times New Roman" w:hAnsi="Times New Roman" w:cs="Times New Roman"/>
          <w:sz w:val="28"/>
          <w:szCs w:val="28"/>
        </w:rPr>
        <w:t xml:space="preserve">логично предположить, что </w:t>
      </w:r>
      <w:r w:rsidRPr="007F573B">
        <w:rPr>
          <w:rFonts w:ascii="Times New Roman" w:hAnsi="Times New Roman" w:cs="Times New Roman"/>
          <w:sz w:val="28"/>
          <w:szCs w:val="28"/>
        </w:rPr>
        <w:t>определяющий вклад в формирование демографической структуры вносит миграция</w:t>
      </w:r>
      <w:proofErr w:type="gramEnd"/>
      <w:r w:rsidR="00064C82" w:rsidRPr="007F573B">
        <w:rPr>
          <w:rFonts w:ascii="Times New Roman" w:hAnsi="Times New Roman" w:cs="Times New Roman"/>
          <w:sz w:val="28"/>
          <w:szCs w:val="28"/>
        </w:rPr>
        <w:t xml:space="preserve"> </w:t>
      </w:r>
      <w:r w:rsidR="00064C82" w:rsidRPr="007F573B">
        <w:rPr>
          <w:rFonts w:ascii="Times New Roman" w:hAnsi="Times New Roman" w:cs="Times New Roman"/>
          <w:sz w:val="28"/>
          <w:szCs w:val="28"/>
        </w:rPr>
        <w:fldChar w:fldCharType="begin"/>
      </w:r>
      <w:r w:rsidR="005916C4">
        <w:rPr>
          <w:rFonts w:ascii="Times New Roman" w:hAnsi="Times New Roman" w:cs="Times New Roman"/>
          <w:sz w:val="28"/>
          <w:szCs w:val="28"/>
        </w:rPr>
        <w:instrText xml:space="preserve"> ADDIN ZOTERO_ITEM CSL_CITATION {"citationID":"OEiwlStn","properties":{"formattedCitation":"[1, 3]","plainCitation":"[1, 3]"},"citationItems":[{"id":113,"uris":["http://zotero.org/users/1616214/items/XHNCFB6J"],"uri":["http://zotero.org/users/1616214/items/XHNCFB6J"],"itemData":{"id":113,"type":"article-journal","title":"Immigration and Ethnic Change in Low-Fertility Countries: A Third Demographic Transition","container-title":"Population &amp; Development Review","page":"401-446","volume":"32","issue":"3","source":"EBSCOhost","abstract":"This article suggests that, during the beginning of the 21st century, a demographic transition is occurring in Europe and the United States. The author notes that composition of population according to ethnic origin, as well as projections based on population trends, may share in the cause for this trend. The article defines what a demographic transition is, and examines earlier demographic transitions in history. The author also notes that a demographic transition may be aided by low fertility rates, as well as high amounts of immigration to Europe and the U.S.","DOI":"10.1111/j.1728-4457.2006.00131.x","ISSN":"00987921","shortTitle":"Immigration and Ethnic Change in Low-Fertility Countries","journalAbbreviation":"Population &amp; Development Review","author":[{"family":"Coleman","given":"David"}],"issued":{"date-parts":[["2006",9]]},"accessed":{"date-parts":[["2013",12,17]]}},"label":"page"},{"id":93,"uris":["http://zotero.org/users/1616214/items/D35FNKR9"],"uri":["http://zotero.org/users/1616214/items/D35FNKR9"],"itemData":{"id":93,"type":"article-journal","title":"New measures of population reproduction for an era of high migration","container-title":"Population, Space and Place","source":"EBSCOhost","DOI":"10.1002/psp.1799","ISSN":"15448444","journalAbbreviation":"Population, Space and Place","language":"English","author":[{"family":"Ediev","given":"D."},{"family":"Scherbov","given":"S."},{"family":"Coleman","given":"D."}],"issued":{"date-parts":[["2013"]],"season":"01"}},"label":"page"}],"schema":"https://github.com/citation-style-language/schema/raw/master/csl-citation.json"} </w:instrText>
      </w:r>
      <w:r w:rsidR="00064C82" w:rsidRPr="007F573B">
        <w:rPr>
          <w:rFonts w:ascii="Times New Roman" w:hAnsi="Times New Roman" w:cs="Times New Roman"/>
          <w:sz w:val="28"/>
          <w:szCs w:val="28"/>
        </w:rPr>
        <w:fldChar w:fldCharType="separate"/>
      </w:r>
      <w:r w:rsidR="000D651D">
        <w:rPr>
          <w:rFonts w:ascii="Times New Roman" w:hAnsi="Times New Roman" w:cs="Times New Roman"/>
          <w:sz w:val="28"/>
        </w:rPr>
        <w:t>[1</w:t>
      </w:r>
      <w:r w:rsidR="005916C4" w:rsidRPr="005916C4">
        <w:rPr>
          <w:rFonts w:ascii="Times New Roman" w:hAnsi="Times New Roman" w:cs="Times New Roman"/>
          <w:sz w:val="28"/>
        </w:rPr>
        <w:t>]</w:t>
      </w:r>
      <w:r w:rsidR="00064C82" w:rsidRPr="007F573B">
        <w:rPr>
          <w:rFonts w:ascii="Times New Roman" w:hAnsi="Times New Roman" w:cs="Times New Roman"/>
          <w:sz w:val="28"/>
          <w:szCs w:val="28"/>
        </w:rPr>
        <w:fldChar w:fldCharType="end"/>
      </w:r>
      <w:r w:rsidR="000D651D">
        <w:rPr>
          <w:rFonts w:ascii="Times New Roman" w:hAnsi="Times New Roman" w:cs="Times New Roman"/>
          <w:sz w:val="28"/>
          <w:szCs w:val="28"/>
        </w:rPr>
        <w:fldChar w:fldCharType="begin"/>
      </w:r>
      <w:r w:rsidR="000D651D">
        <w:rPr>
          <w:rFonts w:ascii="Times New Roman" w:hAnsi="Times New Roman" w:cs="Times New Roman"/>
          <w:sz w:val="28"/>
          <w:szCs w:val="28"/>
        </w:rPr>
        <w:instrText xml:space="preserve"> ADDIN ZOTERO_ITEM CSL_CITATION {"citationID":"1dfqs6mhf0","properties":{"formattedCitation":"[3]","plainCitation":"[3]"},"citationItems":[{"id":113,"uris":["http://zotero.org/users/1616214/items/XHNCFB6J"],"uri":["http://zotero.org/users/1616214/items/XHNCFB6J"],"itemData":{"id":113,"type":"article-journal","title":"Immigration and Ethnic Change in Low-Fertility Countries: A Third Demographic Transition","container-title":"Population &amp; Development Review","page":"401-446","volume":"32","issue":"3","source":"EBSCOhost","abstract":"This article suggests that, during the beginning of the 21st century, a demographic transition is occurring in Europe and the United States. The author notes that composition of population according to ethnic origin, as well as projections based on population trends, may share in the cause for this trend. The article defines what a demographic transition is, and examines earlier demographic transitions in history. The author also notes that a demographic transition may be aided by low fertility rates, as well as high amounts of immigration to Europe and the U.S.","DOI":"10.1111/j.1728-4457.2006.00131.x","ISSN":"00987921","shortTitle":"Immigration and Ethnic Change in Low-Fertility Countries","journalAbbreviation":"Population &amp; Development Review","author":[{"family":"Coleman","given":"David"}],"issued":{"date-parts":[["2006",9]]},"accessed":{"date-parts":[["2013",12,17]]}}}],"schema":"https://github.com/citation-style-language/schema/raw/master/csl-citation.json"} </w:instrText>
      </w:r>
      <w:r w:rsidR="000D651D">
        <w:rPr>
          <w:rFonts w:ascii="Times New Roman" w:hAnsi="Times New Roman" w:cs="Times New Roman"/>
          <w:sz w:val="28"/>
          <w:szCs w:val="28"/>
        </w:rPr>
        <w:fldChar w:fldCharType="separate"/>
      </w:r>
      <w:r w:rsidR="000D651D" w:rsidRPr="000D651D">
        <w:rPr>
          <w:rFonts w:ascii="Times New Roman" w:hAnsi="Times New Roman" w:cs="Times New Roman"/>
          <w:sz w:val="28"/>
        </w:rPr>
        <w:t>[3]</w:t>
      </w:r>
      <w:r w:rsidR="000D651D">
        <w:rPr>
          <w:rFonts w:ascii="Times New Roman" w:hAnsi="Times New Roman" w:cs="Times New Roman"/>
          <w:sz w:val="28"/>
          <w:szCs w:val="28"/>
        </w:rPr>
        <w:fldChar w:fldCharType="end"/>
      </w:r>
      <w:r w:rsidR="00F4047C" w:rsidRPr="007F573B">
        <w:rPr>
          <w:rFonts w:ascii="Times New Roman" w:hAnsi="Times New Roman" w:cs="Times New Roman"/>
          <w:sz w:val="28"/>
          <w:szCs w:val="28"/>
        </w:rPr>
        <w:t>.</w:t>
      </w:r>
    </w:p>
    <w:p w:rsidR="000C7A0A" w:rsidRDefault="000C7A0A" w:rsidP="00D827DB">
      <w:pPr>
        <w:spacing w:line="360" w:lineRule="auto"/>
        <w:ind w:firstLine="709"/>
        <w:contextualSpacing/>
        <w:rPr>
          <w:rFonts w:ascii="Times New Roman" w:hAnsi="Times New Roman" w:cs="Times New Roman"/>
          <w:b/>
          <w:i/>
          <w:sz w:val="28"/>
          <w:szCs w:val="28"/>
        </w:rPr>
      </w:pPr>
    </w:p>
    <w:p w:rsidR="00061824" w:rsidRPr="007F573B" w:rsidRDefault="00061824" w:rsidP="00D827DB">
      <w:pPr>
        <w:spacing w:line="360" w:lineRule="auto"/>
        <w:ind w:firstLine="709"/>
        <w:contextualSpacing/>
        <w:rPr>
          <w:rFonts w:ascii="Times New Roman" w:hAnsi="Times New Roman" w:cs="Times New Roman"/>
          <w:b/>
          <w:i/>
          <w:sz w:val="28"/>
          <w:szCs w:val="28"/>
        </w:rPr>
      </w:pPr>
      <w:r w:rsidRPr="007F573B">
        <w:rPr>
          <w:rFonts w:ascii="Times New Roman" w:hAnsi="Times New Roman" w:cs="Times New Roman"/>
          <w:b/>
          <w:i/>
          <w:sz w:val="28"/>
          <w:szCs w:val="28"/>
        </w:rPr>
        <w:t>Данные и ограничения</w:t>
      </w:r>
    </w:p>
    <w:p w:rsidR="002E5555" w:rsidRPr="007F573B" w:rsidRDefault="002E5555" w:rsidP="00D827DB">
      <w:pPr>
        <w:spacing w:line="360" w:lineRule="auto"/>
        <w:ind w:firstLine="709"/>
        <w:contextualSpacing/>
        <w:rPr>
          <w:rFonts w:ascii="Times New Roman" w:hAnsi="Times New Roman" w:cs="Times New Roman"/>
          <w:sz w:val="28"/>
          <w:szCs w:val="28"/>
        </w:rPr>
      </w:pPr>
      <w:r w:rsidRPr="007F573B">
        <w:rPr>
          <w:rFonts w:ascii="Times New Roman" w:hAnsi="Times New Roman" w:cs="Times New Roman"/>
          <w:sz w:val="28"/>
          <w:szCs w:val="28"/>
        </w:rPr>
        <w:t xml:space="preserve">В данной работе мы изучаем </w:t>
      </w:r>
      <w:proofErr w:type="spellStart"/>
      <w:r w:rsidRPr="007F573B">
        <w:rPr>
          <w:rFonts w:ascii="Times New Roman" w:hAnsi="Times New Roman" w:cs="Times New Roman"/>
          <w:sz w:val="28"/>
          <w:szCs w:val="28"/>
        </w:rPr>
        <w:t>внутрирегиональную</w:t>
      </w:r>
      <w:proofErr w:type="spellEnd"/>
      <w:r w:rsidRPr="007F573B">
        <w:rPr>
          <w:rFonts w:ascii="Times New Roman" w:hAnsi="Times New Roman" w:cs="Times New Roman"/>
          <w:sz w:val="28"/>
          <w:szCs w:val="28"/>
        </w:rPr>
        <w:t xml:space="preserve"> миграцию молодежи за последний межпереписной период – по данным Всероссийских переписей населения 2002 и 2010 годов. </w:t>
      </w:r>
      <w:proofErr w:type="gramStart"/>
      <w:r w:rsidRPr="007F573B">
        <w:rPr>
          <w:rFonts w:ascii="Times New Roman" w:hAnsi="Times New Roman" w:cs="Times New Roman"/>
          <w:sz w:val="28"/>
          <w:szCs w:val="28"/>
        </w:rPr>
        <w:t>К этим дан</w:t>
      </w:r>
      <w:bookmarkStart w:id="0" w:name="_GoBack"/>
      <w:bookmarkEnd w:id="0"/>
      <w:r w:rsidRPr="007F573B">
        <w:rPr>
          <w:rFonts w:ascii="Times New Roman" w:hAnsi="Times New Roman" w:cs="Times New Roman"/>
          <w:sz w:val="28"/>
          <w:szCs w:val="28"/>
        </w:rPr>
        <w:t>ным мы обращаемся по двум причинам</w:t>
      </w:r>
      <w:r w:rsidR="00D827DB">
        <w:rPr>
          <w:rFonts w:ascii="Times New Roman" w:hAnsi="Times New Roman" w:cs="Times New Roman"/>
          <w:sz w:val="28"/>
          <w:szCs w:val="28"/>
        </w:rPr>
        <w:t>.</w:t>
      </w:r>
      <w:r w:rsidRPr="007F573B">
        <w:rPr>
          <w:rFonts w:ascii="Times New Roman" w:hAnsi="Times New Roman" w:cs="Times New Roman"/>
          <w:sz w:val="28"/>
          <w:szCs w:val="28"/>
        </w:rPr>
        <w:t xml:space="preserve"> </w:t>
      </w:r>
      <w:r w:rsidR="00D827DB">
        <w:rPr>
          <w:rFonts w:ascii="Times New Roman" w:hAnsi="Times New Roman" w:cs="Times New Roman"/>
          <w:sz w:val="28"/>
          <w:szCs w:val="28"/>
        </w:rPr>
        <w:t>(1) Т</w:t>
      </w:r>
      <w:r w:rsidR="00995B02" w:rsidRPr="007F573B">
        <w:rPr>
          <w:rFonts w:ascii="Times New Roman" w:hAnsi="Times New Roman" w:cs="Times New Roman"/>
          <w:sz w:val="28"/>
          <w:szCs w:val="28"/>
        </w:rPr>
        <w:t>олько переписные данные позволяют нам «заглянуть» внутрь регионов, исследовать миграционные процессы на низовом уровне административно-территориального деления</w:t>
      </w:r>
      <w:r w:rsidR="00D827DB">
        <w:rPr>
          <w:rFonts w:ascii="Times New Roman" w:hAnsi="Times New Roman" w:cs="Times New Roman"/>
          <w:sz w:val="28"/>
          <w:szCs w:val="28"/>
        </w:rPr>
        <w:t>. (2) Т</w:t>
      </w:r>
      <w:r w:rsidR="00995B02" w:rsidRPr="007F573B">
        <w:rPr>
          <w:rFonts w:ascii="Times New Roman" w:hAnsi="Times New Roman" w:cs="Times New Roman"/>
          <w:sz w:val="28"/>
          <w:szCs w:val="28"/>
        </w:rPr>
        <w:t>екущий миграционный учет отличался особенной неточностью при регистрации «студенческой» миграции на протяжении исследуемого периода</w:t>
      </w:r>
      <w:r w:rsidR="000D651D">
        <w:rPr>
          <w:rFonts w:ascii="Times New Roman" w:hAnsi="Times New Roman" w:cs="Times New Roman"/>
          <w:sz w:val="28"/>
          <w:szCs w:val="28"/>
        </w:rPr>
        <w:t xml:space="preserve"> </w:t>
      </w:r>
      <w:r w:rsidR="000D651D">
        <w:rPr>
          <w:rFonts w:ascii="Times New Roman" w:hAnsi="Times New Roman" w:cs="Times New Roman"/>
          <w:sz w:val="28"/>
          <w:szCs w:val="28"/>
        </w:rPr>
        <w:fldChar w:fldCharType="begin"/>
      </w:r>
      <w:r w:rsidR="000D651D">
        <w:rPr>
          <w:rFonts w:ascii="Times New Roman" w:hAnsi="Times New Roman" w:cs="Times New Roman"/>
          <w:sz w:val="28"/>
          <w:szCs w:val="28"/>
        </w:rPr>
        <w:instrText xml:space="preserve"> ADDIN ZOTERO_ITEM CSL_CITATION {"citationID":"2gpoib19nn","properties":{"formattedCitation":"[7]","plainCitation":"[7]"},"citationItems":[{"id":20,"uris":["http://zotero.org/users/1616214/items/9ZB9FWS6"],"uri":["http://zotero.org/users/1616214/items/9ZB9FWS6"],"itemData":{"id":20,"type":"article-journal","title":"О критическом состоянии учета миграции в России","container-title":"Вопросы статистики","page":"27-36","issue":"10","ISSN":"0320-8168","author":[{"family":"Чудиновских","given":"Ольга"}],"issued":{"date-parts":[["2004",10]]}}}],"schema":"https://github.com/citation-style-language/schema/raw/master/csl-citation.json"} </w:instrText>
      </w:r>
      <w:r w:rsidR="000D651D">
        <w:rPr>
          <w:rFonts w:ascii="Times New Roman" w:hAnsi="Times New Roman" w:cs="Times New Roman"/>
          <w:sz w:val="28"/>
          <w:szCs w:val="28"/>
        </w:rPr>
        <w:fldChar w:fldCharType="separate"/>
      </w:r>
      <w:r w:rsidR="000D651D" w:rsidRPr="000D651D">
        <w:rPr>
          <w:rFonts w:ascii="Times New Roman" w:hAnsi="Times New Roman" w:cs="Times New Roman"/>
          <w:sz w:val="28"/>
        </w:rPr>
        <w:t>[7]</w:t>
      </w:r>
      <w:r w:rsidR="000D651D">
        <w:rPr>
          <w:rFonts w:ascii="Times New Roman" w:hAnsi="Times New Roman" w:cs="Times New Roman"/>
          <w:sz w:val="28"/>
          <w:szCs w:val="28"/>
        </w:rPr>
        <w:fldChar w:fldCharType="end"/>
      </w:r>
      <w:r w:rsidR="000D651D">
        <w:rPr>
          <w:rFonts w:ascii="Times New Roman" w:hAnsi="Times New Roman" w:cs="Times New Roman"/>
          <w:sz w:val="28"/>
          <w:szCs w:val="28"/>
        </w:rPr>
        <w:fldChar w:fldCharType="begin"/>
      </w:r>
      <w:r w:rsidR="000D651D">
        <w:rPr>
          <w:rFonts w:ascii="Times New Roman" w:hAnsi="Times New Roman" w:cs="Times New Roman"/>
          <w:sz w:val="28"/>
          <w:szCs w:val="28"/>
        </w:rPr>
        <w:instrText xml:space="preserve"> ADDIN ZOTERO_ITEM CSL_CITATION {"citationID":"1bq2u55g08","properties":{"formattedCitation":"[8]","plainCitation":"[8]"},"citationItems":[{"id":11,"uris":["http://zotero.org/users/1616214/items/JN52ZS4U"],"uri":["http://zotero.org/users/1616214/items/JN52ZS4U"],"itemData":{"id":11,"type":"article-journal","title":"Современное состояние статистики миграции в России: новые возможности и нерешенные проблемы","container-title":"Вопросы статистики","page":"8-16","issue":"6","ISSN":"0320-8168","author":[{"family":"Чудиновских","given":"Ольга"}],"issued":{"date-parts":[["2010",6]]}}}],"schema":"https://github.com/citation-style-language/schema/raw/master/csl-citation.json"} </w:instrText>
      </w:r>
      <w:r w:rsidR="000D651D">
        <w:rPr>
          <w:rFonts w:ascii="Times New Roman" w:hAnsi="Times New Roman" w:cs="Times New Roman"/>
          <w:sz w:val="28"/>
          <w:szCs w:val="28"/>
        </w:rPr>
        <w:fldChar w:fldCharType="separate"/>
      </w:r>
      <w:r w:rsidR="000D651D" w:rsidRPr="000D651D">
        <w:rPr>
          <w:rFonts w:ascii="Times New Roman" w:hAnsi="Times New Roman" w:cs="Times New Roman"/>
          <w:sz w:val="28"/>
        </w:rPr>
        <w:t>[8]</w:t>
      </w:r>
      <w:r w:rsidR="000D651D">
        <w:rPr>
          <w:rFonts w:ascii="Times New Roman" w:hAnsi="Times New Roman" w:cs="Times New Roman"/>
          <w:sz w:val="28"/>
          <w:szCs w:val="28"/>
        </w:rPr>
        <w:fldChar w:fldCharType="end"/>
      </w:r>
      <w:r w:rsidR="00D827DB">
        <w:rPr>
          <w:rFonts w:ascii="Times New Roman" w:hAnsi="Times New Roman" w:cs="Times New Roman"/>
          <w:sz w:val="28"/>
          <w:szCs w:val="28"/>
        </w:rPr>
        <w:t>. Этот недостаток был устранен в 2011 году</w:t>
      </w:r>
      <w:r w:rsidR="00674280">
        <w:rPr>
          <w:rFonts w:ascii="Times New Roman" w:hAnsi="Times New Roman" w:cs="Times New Roman"/>
          <w:sz w:val="28"/>
          <w:szCs w:val="28"/>
        </w:rPr>
        <w:t xml:space="preserve"> (порог учета долговременной миграции был снижен до 9 месяцев)</w:t>
      </w:r>
      <w:r w:rsidR="00D827DB">
        <w:rPr>
          <w:rFonts w:ascii="Times New Roman" w:hAnsi="Times New Roman" w:cs="Times New Roman"/>
          <w:sz w:val="28"/>
          <w:szCs w:val="28"/>
        </w:rPr>
        <w:t>, что не влияет на точность учета</w:t>
      </w:r>
      <w:r w:rsidR="00D74180">
        <w:rPr>
          <w:rFonts w:ascii="Times New Roman" w:hAnsi="Times New Roman" w:cs="Times New Roman"/>
          <w:sz w:val="28"/>
          <w:szCs w:val="28"/>
        </w:rPr>
        <w:t xml:space="preserve"> в</w:t>
      </w:r>
      <w:r w:rsidR="00D827DB">
        <w:rPr>
          <w:rFonts w:ascii="Times New Roman" w:hAnsi="Times New Roman" w:cs="Times New Roman"/>
          <w:sz w:val="28"/>
          <w:szCs w:val="28"/>
        </w:rPr>
        <w:t xml:space="preserve"> интересующий нас период</w:t>
      </w:r>
      <w:r w:rsidRPr="007F573B">
        <w:rPr>
          <w:rFonts w:ascii="Times New Roman" w:hAnsi="Times New Roman" w:cs="Times New Roman"/>
          <w:sz w:val="28"/>
          <w:szCs w:val="28"/>
        </w:rPr>
        <w:t>.</w:t>
      </w:r>
      <w:proofErr w:type="gramEnd"/>
    </w:p>
    <w:p w:rsidR="00D827DB" w:rsidRDefault="00D827DB" w:rsidP="00D827DB">
      <w:pPr>
        <w:spacing w:line="360" w:lineRule="auto"/>
        <w:ind w:firstLine="709"/>
        <w:contextualSpacing/>
        <w:rPr>
          <w:rFonts w:ascii="Times New Roman" w:hAnsi="Times New Roman" w:cs="Times New Roman"/>
          <w:b/>
          <w:i/>
          <w:sz w:val="28"/>
          <w:szCs w:val="28"/>
        </w:rPr>
      </w:pPr>
    </w:p>
    <w:p w:rsidR="00120C53" w:rsidRPr="007F573B" w:rsidRDefault="00120C53" w:rsidP="00D827DB">
      <w:pPr>
        <w:spacing w:line="360" w:lineRule="auto"/>
        <w:ind w:firstLine="709"/>
        <w:contextualSpacing/>
        <w:rPr>
          <w:rFonts w:ascii="Times New Roman" w:hAnsi="Times New Roman" w:cs="Times New Roman"/>
          <w:b/>
          <w:i/>
          <w:sz w:val="28"/>
          <w:szCs w:val="28"/>
        </w:rPr>
      </w:pPr>
      <w:r w:rsidRPr="007F573B">
        <w:rPr>
          <w:rFonts w:ascii="Times New Roman" w:hAnsi="Times New Roman" w:cs="Times New Roman"/>
          <w:b/>
          <w:i/>
          <w:sz w:val="28"/>
          <w:szCs w:val="28"/>
        </w:rPr>
        <w:t>Сравнение источников информации</w:t>
      </w:r>
    </w:p>
    <w:p w:rsidR="005731D1" w:rsidRPr="005A5641" w:rsidRDefault="00D827DB" w:rsidP="00D827D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К</w:t>
      </w:r>
      <w:r w:rsidR="001C7131" w:rsidRPr="007F573B">
        <w:rPr>
          <w:rFonts w:ascii="Times New Roman" w:hAnsi="Times New Roman" w:cs="Times New Roman"/>
          <w:sz w:val="28"/>
          <w:szCs w:val="28"/>
        </w:rPr>
        <w:t>акую долю миграции в студенческих возрастах не «видит» текущий учет</w:t>
      </w:r>
      <w:r>
        <w:rPr>
          <w:rFonts w:ascii="Times New Roman" w:hAnsi="Times New Roman" w:cs="Times New Roman"/>
          <w:sz w:val="28"/>
          <w:szCs w:val="28"/>
        </w:rPr>
        <w:t xml:space="preserve">? </w:t>
      </w:r>
      <w:r w:rsidR="001C7131" w:rsidRPr="007F573B">
        <w:rPr>
          <w:rFonts w:ascii="Times New Roman" w:hAnsi="Times New Roman" w:cs="Times New Roman"/>
          <w:sz w:val="28"/>
          <w:szCs w:val="28"/>
        </w:rPr>
        <w:t xml:space="preserve"> </w:t>
      </w:r>
      <w:r w:rsidR="00C10E76">
        <w:rPr>
          <w:rFonts w:ascii="Times New Roman" w:hAnsi="Times New Roman" w:cs="Times New Roman"/>
          <w:sz w:val="28"/>
          <w:szCs w:val="28"/>
        </w:rPr>
        <w:t>Х</w:t>
      </w:r>
      <w:r w:rsidR="00C10E76" w:rsidRPr="007F573B">
        <w:rPr>
          <w:rFonts w:ascii="Times New Roman" w:hAnsi="Times New Roman" w:cs="Times New Roman"/>
          <w:sz w:val="28"/>
          <w:szCs w:val="28"/>
        </w:rPr>
        <w:t xml:space="preserve">арактерны ли </w:t>
      </w:r>
      <w:r w:rsidR="00C10E76">
        <w:rPr>
          <w:rFonts w:ascii="Times New Roman" w:hAnsi="Times New Roman" w:cs="Times New Roman"/>
          <w:sz w:val="28"/>
          <w:szCs w:val="28"/>
        </w:rPr>
        <w:t xml:space="preserve">эти </w:t>
      </w:r>
      <w:r w:rsidR="00C10E76" w:rsidRPr="007F573B">
        <w:rPr>
          <w:rFonts w:ascii="Times New Roman" w:hAnsi="Times New Roman" w:cs="Times New Roman"/>
          <w:sz w:val="28"/>
          <w:szCs w:val="28"/>
        </w:rPr>
        <w:t xml:space="preserve">ошибки только для студенческих возрастов или они распространяются и на другие возрастные группы? </w:t>
      </w:r>
      <w:r w:rsidR="00C10E76">
        <w:rPr>
          <w:rFonts w:ascii="Times New Roman" w:hAnsi="Times New Roman" w:cs="Times New Roman"/>
          <w:sz w:val="28"/>
          <w:szCs w:val="28"/>
        </w:rPr>
        <w:t>Чтобы ответить на эти вопросы, м</w:t>
      </w:r>
      <w:r w:rsidR="001C7131" w:rsidRPr="007F573B">
        <w:rPr>
          <w:rFonts w:ascii="Times New Roman" w:hAnsi="Times New Roman" w:cs="Times New Roman"/>
          <w:sz w:val="28"/>
          <w:szCs w:val="28"/>
        </w:rPr>
        <w:t>ы сравнили изменение численности некоторых молодежных когорт по данным переписей 2002 и 2010 годов</w:t>
      </w:r>
      <w:r w:rsidR="00324B50" w:rsidRPr="007F573B">
        <w:rPr>
          <w:rFonts w:ascii="Times New Roman" w:hAnsi="Times New Roman" w:cs="Times New Roman"/>
          <w:sz w:val="28"/>
          <w:szCs w:val="28"/>
        </w:rPr>
        <w:t xml:space="preserve"> с изменением их же численности по данным текущего учета</w:t>
      </w:r>
      <w:r w:rsidR="005A5641">
        <w:rPr>
          <w:rFonts w:ascii="Times New Roman" w:hAnsi="Times New Roman" w:cs="Times New Roman"/>
          <w:sz w:val="28"/>
          <w:szCs w:val="28"/>
        </w:rPr>
        <w:t xml:space="preserve"> (Таблица 1)</w:t>
      </w:r>
      <w:r w:rsidR="00324B50" w:rsidRPr="007F573B">
        <w:rPr>
          <w:rFonts w:ascii="Times New Roman" w:hAnsi="Times New Roman" w:cs="Times New Roman"/>
          <w:sz w:val="28"/>
          <w:szCs w:val="28"/>
        </w:rPr>
        <w:t xml:space="preserve">. </w:t>
      </w:r>
      <w:r w:rsidR="00C10E76">
        <w:rPr>
          <w:rFonts w:ascii="Times New Roman" w:hAnsi="Times New Roman" w:cs="Times New Roman"/>
          <w:sz w:val="28"/>
          <w:szCs w:val="28"/>
        </w:rPr>
        <w:t xml:space="preserve">Выбраны две когорты: </w:t>
      </w:r>
      <w:r w:rsidR="00C10E76">
        <w:rPr>
          <w:rFonts w:ascii="Times New Roman" w:hAnsi="Times New Roman" w:cs="Times New Roman"/>
          <w:sz w:val="28"/>
          <w:szCs w:val="28"/>
        </w:rPr>
        <w:t>1988-92 годов рождения</w:t>
      </w:r>
      <w:r w:rsidR="00C10E76">
        <w:rPr>
          <w:rFonts w:ascii="Times New Roman" w:hAnsi="Times New Roman" w:cs="Times New Roman"/>
          <w:sz w:val="28"/>
          <w:szCs w:val="28"/>
        </w:rPr>
        <w:t xml:space="preserve"> </w:t>
      </w:r>
      <w:r w:rsidR="00C10E76">
        <w:rPr>
          <w:rFonts w:ascii="Times New Roman" w:hAnsi="Times New Roman" w:cs="Times New Roman"/>
          <w:sz w:val="28"/>
          <w:szCs w:val="28"/>
        </w:rPr>
        <w:t xml:space="preserve">(возраст 10-14 – 18-22) </w:t>
      </w:r>
      <w:r w:rsidR="00C10E76">
        <w:rPr>
          <w:rFonts w:ascii="Times New Roman" w:hAnsi="Times New Roman" w:cs="Times New Roman"/>
          <w:sz w:val="28"/>
          <w:szCs w:val="28"/>
        </w:rPr>
        <w:t xml:space="preserve">и </w:t>
      </w:r>
      <w:r w:rsidR="00C10E76">
        <w:rPr>
          <w:rFonts w:ascii="Times New Roman" w:hAnsi="Times New Roman" w:cs="Times New Roman"/>
          <w:sz w:val="28"/>
          <w:szCs w:val="28"/>
        </w:rPr>
        <w:t>1980-80</w:t>
      </w:r>
      <w:r w:rsidR="00C10E76" w:rsidRPr="00C10E76">
        <w:rPr>
          <w:rFonts w:ascii="Times New Roman" w:hAnsi="Times New Roman" w:cs="Times New Roman"/>
          <w:sz w:val="28"/>
          <w:szCs w:val="28"/>
        </w:rPr>
        <w:t xml:space="preserve"> </w:t>
      </w:r>
      <w:r w:rsidR="00C10E76">
        <w:rPr>
          <w:rFonts w:ascii="Times New Roman" w:hAnsi="Times New Roman" w:cs="Times New Roman"/>
          <w:sz w:val="28"/>
          <w:szCs w:val="28"/>
        </w:rPr>
        <w:t>годов рождения (возраст 18-22 – 26-30)</w:t>
      </w:r>
      <w:r w:rsidR="00C10E76">
        <w:rPr>
          <w:rFonts w:ascii="Times New Roman" w:hAnsi="Times New Roman" w:cs="Times New Roman"/>
          <w:sz w:val="28"/>
          <w:szCs w:val="28"/>
        </w:rPr>
        <w:t>. Иными словами, это когорты «студенческих» и «</w:t>
      </w:r>
      <w:proofErr w:type="gramStart"/>
      <w:r w:rsidR="00C10E76">
        <w:rPr>
          <w:rFonts w:ascii="Times New Roman" w:hAnsi="Times New Roman" w:cs="Times New Roman"/>
          <w:sz w:val="28"/>
          <w:szCs w:val="28"/>
        </w:rPr>
        <w:t>пост-студенческих</w:t>
      </w:r>
      <w:proofErr w:type="gramEnd"/>
      <w:r w:rsidR="00C10E76">
        <w:rPr>
          <w:rFonts w:ascii="Times New Roman" w:hAnsi="Times New Roman" w:cs="Times New Roman"/>
          <w:sz w:val="28"/>
          <w:szCs w:val="28"/>
        </w:rPr>
        <w:t>» возрастов. П</w:t>
      </w:r>
      <w:r w:rsidR="00324B50" w:rsidRPr="007F573B">
        <w:rPr>
          <w:rFonts w:ascii="Times New Roman" w:hAnsi="Times New Roman" w:cs="Times New Roman"/>
          <w:sz w:val="28"/>
          <w:szCs w:val="28"/>
        </w:rPr>
        <w:t xml:space="preserve">рименен метод дожития или демографической передвижки. Население, которое проживало на территории в 2002 году, могло за межпереписной период либо продолжить жить на этой территории, либо умереть, либо мигрировать. </w:t>
      </w:r>
      <w:r w:rsidR="005A5641">
        <w:rPr>
          <w:rFonts w:ascii="Times New Roman" w:hAnsi="Times New Roman" w:cs="Times New Roman"/>
          <w:sz w:val="28"/>
          <w:szCs w:val="28"/>
        </w:rPr>
        <w:t>В</w:t>
      </w:r>
      <w:r w:rsidR="00324B50" w:rsidRPr="007F573B">
        <w:rPr>
          <w:rFonts w:ascii="Times New Roman" w:hAnsi="Times New Roman" w:cs="Times New Roman"/>
          <w:sz w:val="28"/>
          <w:szCs w:val="28"/>
        </w:rPr>
        <w:t xml:space="preserve">клад смертности ничтожно мал по сравнению с </w:t>
      </w:r>
      <w:r w:rsidR="00C9656D" w:rsidRPr="007F573B">
        <w:rPr>
          <w:rFonts w:ascii="Times New Roman" w:hAnsi="Times New Roman" w:cs="Times New Roman"/>
          <w:sz w:val="28"/>
          <w:szCs w:val="28"/>
        </w:rPr>
        <w:t>влиянием миграции</w:t>
      </w:r>
      <w:r w:rsidR="00324B50" w:rsidRPr="007F573B">
        <w:rPr>
          <w:rFonts w:ascii="Times New Roman" w:hAnsi="Times New Roman" w:cs="Times New Roman"/>
          <w:sz w:val="28"/>
          <w:szCs w:val="28"/>
        </w:rPr>
        <w:t xml:space="preserve">. </w:t>
      </w:r>
      <w:r w:rsidR="005A5641">
        <w:rPr>
          <w:rFonts w:ascii="Times New Roman" w:hAnsi="Times New Roman" w:cs="Times New Roman"/>
          <w:sz w:val="28"/>
          <w:szCs w:val="28"/>
        </w:rPr>
        <w:t>Коэффициент дожития для когорт</w:t>
      </w:r>
      <w:r w:rsidR="00C10E76">
        <w:rPr>
          <w:rFonts w:ascii="Times New Roman" w:hAnsi="Times New Roman" w:cs="Times New Roman"/>
          <w:sz w:val="28"/>
          <w:szCs w:val="28"/>
        </w:rPr>
        <w:t>ы 88-92</w:t>
      </w:r>
      <w:r w:rsidR="005A5641">
        <w:rPr>
          <w:rFonts w:ascii="Times New Roman" w:hAnsi="Times New Roman" w:cs="Times New Roman"/>
          <w:sz w:val="28"/>
          <w:szCs w:val="28"/>
        </w:rPr>
        <w:t xml:space="preserve"> в среднем составил за межпереписной период 0,99, для когорт</w:t>
      </w:r>
      <w:r w:rsidR="00C10E76">
        <w:rPr>
          <w:rFonts w:ascii="Times New Roman" w:hAnsi="Times New Roman" w:cs="Times New Roman"/>
          <w:sz w:val="28"/>
          <w:szCs w:val="28"/>
        </w:rPr>
        <w:t>ы 80-84</w:t>
      </w:r>
      <w:r w:rsidR="005A5641">
        <w:rPr>
          <w:rFonts w:ascii="Times New Roman" w:hAnsi="Times New Roman" w:cs="Times New Roman"/>
          <w:sz w:val="28"/>
          <w:szCs w:val="28"/>
        </w:rPr>
        <w:t xml:space="preserve"> – 0,96. </w:t>
      </w:r>
    </w:p>
    <w:p w:rsidR="00061824" w:rsidRPr="007F573B" w:rsidRDefault="00A43523" w:rsidP="00D827DB">
      <w:pPr>
        <w:spacing w:line="360" w:lineRule="auto"/>
        <w:ind w:firstLine="709"/>
        <w:contextualSpacing/>
        <w:rPr>
          <w:rFonts w:ascii="Times New Roman" w:hAnsi="Times New Roman" w:cs="Times New Roman"/>
          <w:sz w:val="28"/>
          <w:szCs w:val="28"/>
        </w:rPr>
      </w:pPr>
      <w:r w:rsidRPr="007F573B">
        <w:rPr>
          <w:rFonts w:ascii="Times New Roman" w:hAnsi="Times New Roman" w:cs="Times New Roman"/>
          <w:i/>
          <w:sz w:val="28"/>
          <w:szCs w:val="28"/>
        </w:rPr>
        <w:t xml:space="preserve">Таблица </w:t>
      </w:r>
      <w:r w:rsidR="005A5641">
        <w:rPr>
          <w:rFonts w:ascii="Times New Roman" w:hAnsi="Times New Roman" w:cs="Times New Roman"/>
          <w:i/>
          <w:sz w:val="28"/>
          <w:szCs w:val="28"/>
        </w:rPr>
        <w:t>1</w:t>
      </w:r>
      <w:r w:rsidRPr="007F573B">
        <w:rPr>
          <w:rFonts w:ascii="Times New Roman" w:hAnsi="Times New Roman" w:cs="Times New Roman"/>
          <w:i/>
          <w:sz w:val="28"/>
          <w:szCs w:val="28"/>
        </w:rPr>
        <w:t>. Сравнение изменения численности «студенческих» и «</w:t>
      </w:r>
      <w:proofErr w:type="gramStart"/>
      <w:r w:rsidRPr="007F573B">
        <w:rPr>
          <w:rFonts w:ascii="Times New Roman" w:hAnsi="Times New Roman" w:cs="Times New Roman"/>
          <w:i/>
          <w:sz w:val="28"/>
          <w:szCs w:val="28"/>
        </w:rPr>
        <w:t>пост-студенческих</w:t>
      </w:r>
      <w:proofErr w:type="gramEnd"/>
      <w:r w:rsidRPr="007F573B">
        <w:rPr>
          <w:rFonts w:ascii="Times New Roman" w:hAnsi="Times New Roman" w:cs="Times New Roman"/>
          <w:i/>
          <w:sz w:val="28"/>
          <w:szCs w:val="28"/>
        </w:rPr>
        <w:t>» когорт по переписным данным и данным текущего учета</w:t>
      </w:r>
      <w:r w:rsidR="008E0FF8">
        <w:rPr>
          <w:rFonts w:ascii="Times New Roman" w:hAnsi="Times New Roman" w:cs="Times New Roman"/>
          <w:i/>
          <w:sz w:val="28"/>
          <w:szCs w:val="28"/>
        </w:rPr>
        <w:t>, чел., 2002-2010 гг</w:t>
      </w:r>
      <w:r w:rsidRPr="007F573B">
        <w:rPr>
          <w:rFonts w:ascii="Times New Roman" w:hAnsi="Times New Roman" w:cs="Times New Roman"/>
          <w:i/>
          <w:sz w:val="28"/>
          <w:szCs w:val="28"/>
        </w:rPr>
        <w:t>.</w:t>
      </w:r>
    </w:p>
    <w:tbl>
      <w:tblPr>
        <w:tblStyle w:val="a5"/>
        <w:tblW w:w="0" w:type="auto"/>
        <w:tblLayout w:type="fixed"/>
        <w:tblLook w:val="04A0" w:firstRow="1" w:lastRow="0" w:firstColumn="1" w:lastColumn="0" w:noHBand="0" w:noVBand="1"/>
      </w:tblPr>
      <w:tblGrid>
        <w:gridCol w:w="4203"/>
        <w:gridCol w:w="1109"/>
        <w:gridCol w:w="1110"/>
        <w:gridCol w:w="1109"/>
        <w:gridCol w:w="1110"/>
        <w:gridCol w:w="980"/>
        <w:gridCol w:w="982"/>
      </w:tblGrid>
      <w:tr w:rsidR="004D28F9" w:rsidRPr="00FE4439" w:rsidTr="007F573B">
        <w:trPr>
          <w:trHeight w:val="719"/>
        </w:trPr>
        <w:tc>
          <w:tcPr>
            <w:tcW w:w="4203" w:type="dxa"/>
            <w:vMerge w:val="restart"/>
            <w:noWrap/>
            <w:hideMark/>
          </w:tcPr>
          <w:p w:rsidR="004D28F9" w:rsidRPr="00FE4439" w:rsidRDefault="004D28F9" w:rsidP="007F573B">
            <w:pPr>
              <w:spacing w:line="360" w:lineRule="auto"/>
              <w:rPr>
                <w:rFonts w:ascii="Times New Roman" w:hAnsi="Times New Roman" w:cs="Times New Roman"/>
                <w:b/>
                <w:sz w:val="24"/>
                <w:szCs w:val="24"/>
              </w:rPr>
            </w:pPr>
          </w:p>
        </w:tc>
        <w:tc>
          <w:tcPr>
            <w:tcW w:w="1109" w:type="dxa"/>
            <w:vMerge w:val="restart"/>
            <w:noWrap/>
            <w:textDirection w:val="btLr"/>
            <w:vAlign w:val="center"/>
            <w:hideMark/>
          </w:tcPr>
          <w:p w:rsidR="004D28F9" w:rsidRPr="00FE4439" w:rsidRDefault="004D28F9" w:rsidP="007F573B">
            <w:pPr>
              <w:spacing w:line="360" w:lineRule="auto"/>
              <w:ind w:left="113" w:right="113"/>
              <w:rPr>
                <w:rFonts w:ascii="Times New Roman" w:hAnsi="Times New Roman" w:cs="Times New Roman"/>
                <w:b/>
                <w:sz w:val="24"/>
                <w:szCs w:val="24"/>
              </w:rPr>
            </w:pPr>
            <w:r w:rsidRPr="00FE4439">
              <w:rPr>
                <w:rFonts w:ascii="Times New Roman" w:hAnsi="Times New Roman" w:cs="Times New Roman"/>
                <w:b/>
                <w:sz w:val="24"/>
                <w:szCs w:val="24"/>
              </w:rPr>
              <w:t>Изменение по переписям</w:t>
            </w:r>
          </w:p>
        </w:tc>
        <w:tc>
          <w:tcPr>
            <w:tcW w:w="1110" w:type="dxa"/>
            <w:vMerge w:val="restart"/>
            <w:noWrap/>
            <w:textDirection w:val="btLr"/>
            <w:vAlign w:val="center"/>
            <w:hideMark/>
          </w:tcPr>
          <w:p w:rsidR="004D28F9" w:rsidRPr="00FE4439" w:rsidRDefault="004D28F9" w:rsidP="007F573B">
            <w:pPr>
              <w:spacing w:line="360" w:lineRule="auto"/>
              <w:ind w:left="113" w:right="113"/>
              <w:rPr>
                <w:rFonts w:ascii="Times New Roman" w:hAnsi="Times New Roman" w:cs="Times New Roman"/>
                <w:b/>
                <w:sz w:val="24"/>
                <w:szCs w:val="24"/>
              </w:rPr>
            </w:pPr>
            <w:proofErr w:type="spellStart"/>
            <w:r w:rsidRPr="00FE4439">
              <w:rPr>
                <w:rFonts w:ascii="Times New Roman" w:hAnsi="Times New Roman" w:cs="Times New Roman"/>
                <w:b/>
                <w:sz w:val="24"/>
                <w:szCs w:val="24"/>
              </w:rPr>
              <w:t>Междунородная</w:t>
            </w:r>
            <w:proofErr w:type="spellEnd"/>
            <w:r w:rsidRPr="00FE4439">
              <w:rPr>
                <w:rFonts w:ascii="Times New Roman" w:hAnsi="Times New Roman" w:cs="Times New Roman"/>
                <w:b/>
                <w:sz w:val="24"/>
                <w:szCs w:val="24"/>
              </w:rPr>
              <w:t xml:space="preserve"> миграция</w:t>
            </w:r>
          </w:p>
        </w:tc>
        <w:tc>
          <w:tcPr>
            <w:tcW w:w="1109" w:type="dxa"/>
            <w:vMerge w:val="restart"/>
            <w:noWrap/>
            <w:textDirection w:val="btLr"/>
            <w:vAlign w:val="center"/>
            <w:hideMark/>
          </w:tcPr>
          <w:p w:rsidR="004D28F9" w:rsidRPr="00FE4439" w:rsidRDefault="004D28F9" w:rsidP="007F573B">
            <w:pPr>
              <w:spacing w:line="360" w:lineRule="auto"/>
              <w:ind w:left="113" w:right="113"/>
              <w:rPr>
                <w:rFonts w:ascii="Times New Roman" w:hAnsi="Times New Roman" w:cs="Times New Roman"/>
                <w:b/>
                <w:sz w:val="24"/>
                <w:szCs w:val="24"/>
              </w:rPr>
            </w:pPr>
            <w:r w:rsidRPr="00FE4439">
              <w:rPr>
                <w:rFonts w:ascii="Times New Roman" w:hAnsi="Times New Roman" w:cs="Times New Roman"/>
                <w:b/>
                <w:sz w:val="24"/>
                <w:szCs w:val="24"/>
              </w:rPr>
              <w:t>Межрегиональная миграция</w:t>
            </w:r>
          </w:p>
        </w:tc>
        <w:tc>
          <w:tcPr>
            <w:tcW w:w="1110" w:type="dxa"/>
            <w:vMerge w:val="restart"/>
            <w:noWrap/>
            <w:textDirection w:val="btLr"/>
            <w:vAlign w:val="center"/>
            <w:hideMark/>
          </w:tcPr>
          <w:p w:rsidR="004D28F9" w:rsidRPr="00FE4439" w:rsidRDefault="004D28F9" w:rsidP="007F573B">
            <w:pPr>
              <w:spacing w:line="360" w:lineRule="auto"/>
              <w:ind w:left="113" w:right="113"/>
              <w:rPr>
                <w:rFonts w:ascii="Times New Roman" w:hAnsi="Times New Roman" w:cs="Times New Roman"/>
                <w:b/>
                <w:sz w:val="24"/>
                <w:szCs w:val="24"/>
              </w:rPr>
            </w:pPr>
            <w:r w:rsidRPr="00FE4439">
              <w:rPr>
                <w:rFonts w:ascii="Times New Roman" w:hAnsi="Times New Roman" w:cs="Times New Roman"/>
                <w:b/>
                <w:sz w:val="24"/>
                <w:szCs w:val="24"/>
              </w:rPr>
              <w:t>Смертность</w:t>
            </w:r>
          </w:p>
        </w:tc>
        <w:tc>
          <w:tcPr>
            <w:tcW w:w="1962" w:type="dxa"/>
            <w:gridSpan w:val="2"/>
            <w:noWrap/>
            <w:vAlign w:val="center"/>
            <w:hideMark/>
          </w:tcPr>
          <w:p w:rsidR="004D28F9" w:rsidRPr="00FE4439" w:rsidRDefault="004D28F9" w:rsidP="007F573B">
            <w:pPr>
              <w:spacing w:line="360" w:lineRule="auto"/>
              <w:jc w:val="center"/>
              <w:rPr>
                <w:rFonts w:ascii="Times New Roman" w:hAnsi="Times New Roman" w:cs="Times New Roman"/>
                <w:b/>
                <w:sz w:val="24"/>
                <w:szCs w:val="24"/>
              </w:rPr>
            </w:pPr>
            <w:r w:rsidRPr="00FE4439">
              <w:rPr>
                <w:rFonts w:ascii="Times New Roman" w:hAnsi="Times New Roman" w:cs="Times New Roman"/>
                <w:b/>
                <w:sz w:val="24"/>
                <w:szCs w:val="24"/>
              </w:rPr>
              <w:t>Невязка</w:t>
            </w:r>
          </w:p>
        </w:tc>
      </w:tr>
      <w:tr w:rsidR="00650051" w:rsidRPr="007F573B" w:rsidTr="00FE4439">
        <w:trPr>
          <w:trHeight w:val="1577"/>
        </w:trPr>
        <w:tc>
          <w:tcPr>
            <w:tcW w:w="4203" w:type="dxa"/>
            <w:vMerge/>
            <w:tcBorders>
              <w:bottom w:val="single" w:sz="4" w:space="0" w:color="auto"/>
            </w:tcBorders>
            <w:noWrap/>
            <w:hideMark/>
          </w:tcPr>
          <w:p w:rsidR="004D28F9" w:rsidRPr="007F573B" w:rsidRDefault="004D28F9" w:rsidP="007F573B">
            <w:pPr>
              <w:spacing w:line="360" w:lineRule="auto"/>
              <w:rPr>
                <w:rFonts w:ascii="Times New Roman" w:hAnsi="Times New Roman" w:cs="Times New Roman"/>
                <w:sz w:val="24"/>
                <w:szCs w:val="24"/>
              </w:rPr>
            </w:pPr>
          </w:p>
        </w:tc>
        <w:tc>
          <w:tcPr>
            <w:tcW w:w="1109" w:type="dxa"/>
            <w:vMerge/>
            <w:tcBorders>
              <w:bottom w:val="single" w:sz="4" w:space="0" w:color="auto"/>
            </w:tcBorders>
            <w:noWrap/>
            <w:hideMark/>
          </w:tcPr>
          <w:p w:rsidR="004D28F9" w:rsidRPr="007F573B" w:rsidRDefault="004D28F9" w:rsidP="007F573B">
            <w:pPr>
              <w:spacing w:line="360" w:lineRule="auto"/>
              <w:rPr>
                <w:rFonts w:ascii="Times New Roman" w:hAnsi="Times New Roman" w:cs="Times New Roman"/>
                <w:sz w:val="24"/>
                <w:szCs w:val="24"/>
              </w:rPr>
            </w:pPr>
          </w:p>
        </w:tc>
        <w:tc>
          <w:tcPr>
            <w:tcW w:w="1110" w:type="dxa"/>
            <w:vMerge/>
            <w:tcBorders>
              <w:bottom w:val="single" w:sz="4" w:space="0" w:color="auto"/>
            </w:tcBorders>
            <w:noWrap/>
            <w:hideMark/>
          </w:tcPr>
          <w:p w:rsidR="004D28F9" w:rsidRPr="007F573B" w:rsidRDefault="004D28F9" w:rsidP="007F573B">
            <w:pPr>
              <w:spacing w:line="360" w:lineRule="auto"/>
              <w:rPr>
                <w:rFonts w:ascii="Times New Roman" w:hAnsi="Times New Roman" w:cs="Times New Roman"/>
                <w:sz w:val="24"/>
                <w:szCs w:val="24"/>
              </w:rPr>
            </w:pPr>
          </w:p>
        </w:tc>
        <w:tc>
          <w:tcPr>
            <w:tcW w:w="1109" w:type="dxa"/>
            <w:vMerge/>
            <w:tcBorders>
              <w:bottom w:val="single" w:sz="4" w:space="0" w:color="auto"/>
            </w:tcBorders>
            <w:noWrap/>
            <w:hideMark/>
          </w:tcPr>
          <w:p w:rsidR="004D28F9" w:rsidRPr="007F573B" w:rsidRDefault="004D28F9" w:rsidP="007F573B">
            <w:pPr>
              <w:spacing w:line="360" w:lineRule="auto"/>
              <w:rPr>
                <w:rFonts w:ascii="Times New Roman" w:hAnsi="Times New Roman" w:cs="Times New Roman"/>
                <w:sz w:val="24"/>
                <w:szCs w:val="24"/>
              </w:rPr>
            </w:pPr>
          </w:p>
        </w:tc>
        <w:tc>
          <w:tcPr>
            <w:tcW w:w="1110" w:type="dxa"/>
            <w:vMerge/>
            <w:tcBorders>
              <w:bottom w:val="single" w:sz="4" w:space="0" w:color="auto"/>
            </w:tcBorders>
            <w:noWrap/>
            <w:hideMark/>
          </w:tcPr>
          <w:p w:rsidR="004D28F9" w:rsidRPr="007F573B" w:rsidRDefault="004D28F9" w:rsidP="007F573B">
            <w:pPr>
              <w:spacing w:line="360" w:lineRule="auto"/>
              <w:rPr>
                <w:rFonts w:ascii="Times New Roman" w:hAnsi="Times New Roman" w:cs="Times New Roman"/>
                <w:sz w:val="24"/>
                <w:szCs w:val="24"/>
              </w:rPr>
            </w:pPr>
          </w:p>
        </w:tc>
        <w:tc>
          <w:tcPr>
            <w:tcW w:w="980" w:type="dxa"/>
            <w:tcBorders>
              <w:bottom w:val="single" w:sz="4" w:space="0" w:color="auto"/>
            </w:tcBorders>
            <w:noWrap/>
            <w:vAlign w:val="center"/>
            <w:hideMark/>
          </w:tcPr>
          <w:p w:rsidR="004D28F9" w:rsidRPr="00FE4439" w:rsidRDefault="004D28F9" w:rsidP="007F573B">
            <w:pPr>
              <w:spacing w:line="360" w:lineRule="auto"/>
              <w:jc w:val="center"/>
              <w:rPr>
                <w:rFonts w:ascii="Times New Roman" w:hAnsi="Times New Roman" w:cs="Times New Roman"/>
                <w:b/>
                <w:sz w:val="24"/>
                <w:szCs w:val="24"/>
              </w:rPr>
            </w:pPr>
            <w:proofErr w:type="spellStart"/>
            <w:r w:rsidRPr="00FE4439">
              <w:rPr>
                <w:rFonts w:ascii="Times New Roman" w:hAnsi="Times New Roman" w:cs="Times New Roman"/>
                <w:b/>
                <w:sz w:val="24"/>
                <w:szCs w:val="24"/>
              </w:rPr>
              <w:t>абс</w:t>
            </w:r>
            <w:proofErr w:type="spellEnd"/>
            <w:r w:rsidRPr="00FE4439">
              <w:rPr>
                <w:rFonts w:ascii="Times New Roman" w:hAnsi="Times New Roman" w:cs="Times New Roman"/>
                <w:b/>
                <w:sz w:val="24"/>
                <w:szCs w:val="24"/>
              </w:rPr>
              <w:t>.</w:t>
            </w:r>
          </w:p>
        </w:tc>
        <w:tc>
          <w:tcPr>
            <w:tcW w:w="982" w:type="dxa"/>
            <w:tcBorders>
              <w:bottom w:val="single" w:sz="4" w:space="0" w:color="auto"/>
            </w:tcBorders>
            <w:noWrap/>
            <w:vAlign w:val="center"/>
            <w:hideMark/>
          </w:tcPr>
          <w:p w:rsidR="004D28F9" w:rsidRPr="00FE4439" w:rsidRDefault="004D28F9" w:rsidP="007F573B">
            <w:pPr>
              <w:spacing w:line="360" w:lineRule="auto"/>
              <w:jc w:val="center"/>
              <w:rPr>
                <w:rFonts w:ascii="Times New Roman" w:hAnsi="Times New Roman" w:cs="Times New Roman"/>
                <w:b/>
                <w:sz w:val="24"/>
                <w:szCs w:val="24"/>
              </w:rPr>
            </w:pPr>
            <w:r w:rsidRPr="00FE4439">
              <w:rPr>
                <w:rFonts w:ascii="Times New Roman" w:hAnsi="Times New Roman" w:cs="Times New Roman"/>
                <w:b/>
                <w:sz w:val="24"/>
                <w:szCs w:val="24"/>
              </w:rPr>
              <w:t>%</w:t>
            </w:r>
          </w:p>
        </w:tc>
      </w:tr>
      <w:tr w:rsidR="00F2152F" w:rsidRPr="00FE4439" w:rsidTr="001850A1">
        <w:trPr>
          <w:trHeight w:val="309"/>
        </w:trPr>
        <w:tc>
          <w:tcPr>
            <w:tcW w:w="10603" w:type="dxa"/>
            <w:gridSpan w:val="7"/>
            <w:noWrap/>
            <w:vAlign w:val="bottom"/>
          </w:tcPr>
          <w:p w:rsidR="00F2152F" w:rsidRPr="00FE4439" w:rsidRDefault="00F2152F" w:rsidP="001850A1">
            <w:pPr>
              <w:spacing w:line="360" w:lineRule="auto"/>
              <w:rPr>
                <w:rFonts w:ascii="Times New Roman" w:hAnsi="Times New Roman" w:cs="Times New Roman"/>
                <w:b/>
                <w:sz w:val="24"/>
                <w:szCs w:val="24"/>
              </w:rPr>
            </w:pPr>
            <w:r w:rsidRPr="00FE4439">
              <w:rPr>
                <w:rFonts w:ascii="Times New Roman" w:hAnsi="Times New Roman" w:cs="Times New Roman"/>
                <w:b/>
                <w:sz w:val="24"/>
                <w:szCs w:val="24"/>
              </w:rPr>
              <w:t>КУРСКАЯ ОБЛ.</w:t>
            </w:r>
          </w:p>
        </w:tc>
      </w:tr>
      <w:tr w:rsidR="004D28F9" w:rsidRPr="007F573B" w:rsidTr="008E0FF8">
        <w:trPr>
          <w:trHeight w:val="454"/>
        </w:trPr>
        <w:tc>
          <w:tcPr>
            <w:tcW w:w="4203" w:type="dxa"/>
            <w:noWrap/>
            <w:vAlign w:val="center"/>
            <w:hideMark/>
          </w:tcPr>
          <w:p w:rsidR="004D28F9" w:rsidRPr="007F573B" w:rsidRDefault="004D28F9" w:rsidP="008E0FF8">
            <w:pPr>
              <w:spacing w:line="360" w:lineRule="auto"/>
              <w:rPr>
                <w:rFonts w:ascii="Times New Roman" w:hAnsi="Times New Roman" w:cs="Times New Roman"/>
                <w:sz w:val="24"/>
                <w:szCs w:val="24"/>
              </w:rPr>
            </w:pPr>
            <w:r w:rsidRPr="007F573B">
              <w:rPr>
                <w:rFonts w:ascii="Times New Roman" w:hAnsi="Times New Roman" w:cs="Times New Roman"/>
                <w:sz w:val="24"/>
                <w:szCs w:val="24"/>
              </w:rPr>
              <w:t>Когорта 1988-92 годов рождения</w:t>
            </w:r>
          </w:p>
        </w:tc>
        <w:tc>
          <w:tcPr>
            <w:tcW w:w="1109"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-9998</w:t>
            </w:r>
          </w:p>
        </w:tc>
        <w:tc>
          <w:tcPr>
            <w:tcW w:w="111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823</w:t>
            </w:r>
          </w:p>
        </w:tc>
        <w:tc>
          <w:tcPr>
            <w:tcW w:w="1109"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-1406</w:t>
            </w:r>
          </w:p>
        </w:tc>
        <w:tc>
          <w:tcPr>
            <w:tcW w:w="111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587</w:t>
            </w:r>
          </w:p>
        </w:tc>
        <w:tc>
          <w:tcPr>
            <w:tcW w:w="98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-8828</w:t>
            </w:r>
          </w:p>
        </w:tc>
        <w:tc>
          <w:tcPr>
            <w:tcW w:w="982"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88,3</w:t>
            </w:r>
          </w:p>
        </w:tc>
      </w:tr>
      <w:tr w:rsidR="004D28F9" w:rsidRPr="007F573B" w:rsidTr="008E0FF8">
        <w:trPr>
          <w:trHeight w:val="454"/>
        </w:trPr>
        <w:tc>
          <w:tcPr>
            <w:tcW w:w="4203" w:type="dxa"/>
            <w:tcBorders>
              <w:bottom w:val="single" w:sz="4" w:space="0" w:color="auto"/>
            </w:tcBorders>
            <w:noWrap/>
            <w:vAlign w:val="center"/>
            <w:hideMark/>
          </w:tcPr>
          <w:p w:rsidR="004D28F9" w:rsidRPr="007F573B" w:rsidRDefault="004D28F9" w:rsidP="008E0FF8">
            <w:pPr>
              <w:spacing w:line="360" w:lineRule="auto"/>
              <w:rPr>
                <w:rFonts w:ascii="Times New Roman" w:hAnsi="Times New Roman" w:cs="Times New Roman"/>
                <w:sz w:val="24"/>
                <w:szCs w:val="24"/>
              </w:rPr>
            </w:pPr>
            <w:r w:rsidRPr="007F573B">
              <w:rPr>
                <w:rFonts w:ascii="Times New Roman" w:hAnsi="Times New Roman" w:cs="Times New Roman"/>
                <w:sz w:val="24"/>
                <w:szCs w:val="24"/>
              </w:rPr>
              <w:t>Когорта 1980-84 годов рождения</w:t>
            </w:r>
          </w:p>
        </w:tc>
        <w:tc>
          <w:tcPr>
            <w:tcW w:w="1109" w:type="dxa"/>
            <w:tcBorders>
              <w:bottom w:val="single" w:sz="4" w:space="0" w:color="auto"/>
            </w:tcBorders>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-4199</w:t>
            </w:r>
          </w:p>
        </w:tc>
        <w:tc>
          <w:tcPr>
            <w:tcW w:w="1110" w:type="dxa"/>
            <w:tcBorders>
              <w:bottom w:val="single" w:sz="4" w:space="0" w:color="auto"/>
            </w:tcBorders>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1779</w:t>
            </w:r>
          </w:p>
        </w:tc>
        <w:tc>
          <w:tcPr>
            <w:tcW w:w="1109" w:type="dxa"/>
            <w:tcBorders>
              <w:bottom w:val="single" w:sz="4" w:space="0" w:color="auto"/>
            </w:tcBorders>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-4576</w:t>
            </w:r>
          </w:p>
        </w:tc>
        <w:tc>
          <w:tcPr>
            <w:tcW w:w="1110" w:type="dxa"/>
            <w:tcBorders>
              <w:bottom w:val="single" w:sz="4" w:space="0" w:color="auto"/>
            </w:tcBorders>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1663</w:t>
            </w:r>
          </w:p>
        </w:tc>
        <w:tc>
          <w:tcPr>
            <w:tcW w:w="980" w:type="dxa"/>
            <w:tcBorders>
              <w:bottom w:val="single" w:sz="4" w:space="0" w:color="auto"/>
            </w:tcBorders>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261</w:t>
            </w:r>
          </w:p>
        </w:tc>
        <w:tc>
          <w:tcPr>
            <w:tcW w:w="982" w:type="dxa"/>
            <w:tcBorders>
              <w:bottom w:val="single" w:sz="4" w:space="0" w:color="auto"/>
            </w:tcBorders>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6,2</w:t>
            </w:r>
          </w:p>
        </w:tc>
      </w:tr>
      <w:tr w:rsidR="004D28F9" w:rsidRPr="00FE4439" w:rsidTr="001850A1">
        <w:trPr>
          <w:trHeight w:val="454"/>
        </w:trPr>
        <w:tc>
          <w:tcPr>
            <w:tcW w:w="4203" w:type="dxa"/>
            <w:tcBorders>
              <w:right w:val="nil"/>
            </w:tcBorders>
            <w:noWrap/>
            <w:vAlign w:val="bottom"/>
            <w:hideMark/>
          </w:tcPr>
          <w:p w:rsidR="004D28F9" w:rsidRPr="00FE4439" w:rsidRDefault="004D28F9" w:rsidP="001850A1">
            <w:pPr>
              <w:spacing w:line="360" w:lineRule="auto"/>
              <w:rPr>
                <w:rFonts w:ascii="Times New Roman" w:hAnsi="Times New Roman" w:cs="Times New Roman"/>
                <w:b/>
                <w:sz w:val="24"/>
                <w:szCs w:val="24"/>
              </w:rPr>
            </w:pPr>
            <w:r w:rsidRPr="00FE4439">
              <w:rPr>
                <w:rFonts w:ascii="Times New Roman" w:hAnsi="Times New Roman" w:cs="Times New Roman"/>
                <w:b/>
                <w:sz w:val="24"/>
                <w:szCs w:val="24"/>
              </w:rPr>
              <w:t>КОСТРОМСКАЯ ОБЛ.</w:t>
            </w:r>
          </w:p>
        </w:tc>
        <w:tc>
          <w:tcPr>
            <w:tcW w:w="1109" w:type="dxa"/>
            <w:tcBorders>
              <w:left w:val="nil"/>
              <w:right w:val="nil"/>
            </w:tcBorders>
            <w:noWrap/>
            <w:vAlign w:val="bottom"/>
            <w:hideMark/>
          </w:tcPr>
          <w:p w:rsidR="004D28F9" w:rsidRPr="00FE4439" w:rsidRDefault="004D28F9" w:rsidP="001850A1">
            <w:pPr>
              <w:spacing w:line="360" w:lineRule="auto"/>
              <w:rPr>
                <w:rFonts w:ascii="Times New Roman" w:hAnsi="Times New Roman" w:cs="Times New Roman"/>
                <w:b/>
                <w:sz w:val="24"/>
                <w:szCs w:val="24"/>
              </w:rPr>
            </w:pPr>
          </w:p>
        </w:tc>
        <w:tc>
          <w:tcPr>
            <w:tcW w:w="1110" w:type="dxa"/>
            <w:tcBorders>
              <w:left w:val="nil"/>
              <w:right w:val="nil"/>
            </w:tcBorders>
            <w:noWrap/>
            <w:vAlign w:val="bottom"/>
            <w:hideMark/>
          </w:tcPr>
          <w:p w:rsidR="004D28F9" w:rsidRPr="00FE4439" w:rsidRDefault="004D28F9" w:rsidP="001850A1">
            <w:pPr>
              <w:spacing w:line="360" w:lineRule="auto"/>
              <w:rPr>
                <w:rFonts w:ascii="Times New Roman" w:hAnsi="Times New Roman" w:cs="Times New Roman"/>
                <w:b/>
                <w:sz w:val="24"/>
                <w:szCs w:val="24"/>
              </w:rPr>
            </w:pPr>
          </w:p>
        </w:tc>
        <w:tc>
          <w:tcPr>
            <w:tcW w:w="1109" w:type="dxa"/>
            <w:tcBorders>
              <w:left w:val="nil"/>
              <w:right w:val="nil"/>
            </w:tcBorders>
            <w:noWrap/>
            <w:vAlign w:val="bottom"/>
            <w:hideMark/>
          </w:tcPr>
          <w:p w:rsidR="004D28F9" w:rsidRPr="00FE4439" w:rsidRDefault="004D28F9" w:rsidP="001850A1">
            <w:pPr>
              <w:spacing w:line="360" w:lineRule="auto"/>
              <w:rPr>
                <w:rFonts w:ascii="Times New Roman" w:hAnsi="Times New Roman" w:cs="Times New Roman"/>
                <w:b/>
                <w:sz w:val="24"/>
                <w:szCs w:val="24"/>
              </w:rPr>
            </w:pPr>
          </w:p>
        </w:tc>
        <w:tc>
          <w:tcPr>
            <w:tcW w:w="1110" w:type="dxa"/>
            <w:tcBorders>
              <w:left w:val="nil"/>
              <w:right w:val="nil"/>
            </w:tcBorders>
            <w:noWrap/>
            <w:vAlign w:val="bottom"/>
            <w:hideMark/>
          </w:tcPr>
          <w:p w:rsidR="004D28F9" w:rsidRPr="00FE4439" w:rsidRDefault="004D28F9" w:rsidP="001850A1">
            <w:pPr>
              <w:spacing w:line="360" w:lineRule="auto"/>
              <w:rPr>
                <w:rFonts w:ascii="Times New Roman" w:hAnsi="Times New Roman" w:cs="Times New Roman"/>
                <w:b/>
                <w:sz w:val="24"/>
                <w:szCs w:val="24"/>
              </w:rPr>
            </w:pPr>
          </w:p>
        </w:tc>
        <w:tc>
          <w:tcPr>
            <w:tcW w:w="980" w:type="dxa"/>
            <w:tcBorders>
              <w:left w:val="nil"/>
              <w:right w:val="nil"/>
            </w:tcBorders>
            <w:noWrap/>
            <w:vAlign w:val="bottom"/>
            <w:hideMark/>
          </w:tcPr>
          <w:p w:rsidR="004D28F9" w:rsidRPr="00FE4439" w:rsidRDefault="004D28F9" w:rsidP="001850A1">
            <w:pPr>
              <w:spacing w:line="360" w:lineRule="auto"/>
              <w:rPr>
                <w:rFonts w:ascii="Times New Roman" w:hAnsi="Times New Roman" w:cs="Times New Roman"/>
                <w:b/>
                <w:sz w:val="24"/>
                <w:szCs w:val="24"/>
              </w:rPr>
            </w:pPr>
          </w:p>
        </w:tc>
        <w:tc>
          <w:tcPr>
            <w:tcW w:w="982" w:type="dxa"/>
            <w:tcBorders>
              <w:left w:val="nil"/>
            </w:tcBorders>
            <w:noWrap/>
            <w:vAlign w:val="bottom"/>
            <w:hideMark/>
          </w:tcPr>
          <w:p w:rsidR="004D28F9" w:rsidRPr="00FE4439" w:rsidRDefault="004D28F9" w:rsidP="001850A1">
            <w:pPr>
              <w:spacing w:line="360" w:lineRule="auto"/>
              <w:rPr>
                <w:rFonts w:ascii="Times New Roman" w:hAnsi="Times New Roman" w:cs="Times New Roman"/>
                <w:b/>
                <w:sz w:val="24"/>
                <w:szCs w:val="24"/>
              </w:rPr>
            </w:pPr>
          </w:p>
        </w:tc>
      </w:tr>
      <w:tr w:rsidR="004D28F9" w:rsidRPr="007F573B" w:rsidTr="008E0FF8">
        <w:trPr>
          <w:trHeight w:val="454"/>
        </w:trPr>
        <w:tc>
          <w:tcPr>
            <w:tcW w:w="4203" w:type="dxa"/>
            <w:noWrap/>
            <w:vAlign w:val="center"/>
            <w:hideMark/>
          </w:tcPr>
          <w:p w:rsidR="004D28F9" w:rsidRPr="007F573B" w:rsidRDefault="004D28F9" w:rsidP="008E0FF8">
            <w:pPr>
              <w:spacing w:line="360" w:lineRule="auto"/>
              <w:rPr>
                <w:rFonts w:ascii="Times New Roman" w:hAnsi="Times New Roman" w:cs="Times New Roman"/>
                <w:sz w:val="24"/>
                <w:szCs w:val="24"/>
              </w:rPr>
            </w:pPr>
            <w:r w:rsidRPr="007F573B">
              <w:rPr>
                <w:rFonts w:ascii="Times New Roman" w:hAnsi="Times New Roman" w:cs="Times New Roman"/>
                <w:sz w:val="24"/>
                <w:szCs w:val="24"/>
              </w:rPr>
              <w:t>Когорта 1988-92 годов рождения</w:t>
            </w:r>
          </w:p>
        </w:tc>
        <w:tc>
          <w:tcPr>
            <w:tcW w:w="1109"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-6966</w:t>
            </w:r>
          </w:p>
        </w:tc>
        <w:tc>
          <w:tcPr>
            <w:tcW w:w="111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223</w:t>
            </w:r>
          </w:p>
        </w:tc>
        <w:tc>
          <w:tcPr>
            <w:tcW w:w="1109"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-1658</w:t>
            </w:r>
          </w:p>
        </w:tc>
        <w:tc>
          <w:tcPr>
            <w:tcW w:w="111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430</w:t>
            </w:r>
          </w:p>
        </w:tc>
        <w:tc>
          <w:tcPr>
            <w:tcW w:w="98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-5101</w:t>
            </w:r>
          </w:p>
        </w:tc>
        <w:tc>
          <w:tcPr>
            <w:tcW w:w="982"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73,2</w:t>
            </w:r>
          </w:p>
        </w:tc>
      </w:tr>
      <w:tr w:rsidR="004D28F9" w:rsidRPr="007F573B" w:rsidTr="008E0FF8">
        <w:trPr>
          <w:trHeight w:val="454"/>
        </w:trPr>
        <w:tc>
          <w:tcPr>
            <w:tcW w:w="4203" w:type="dxa"/>
            <w:noWrap/>
            <w:vAlign w:val="center"/>
            <w:hideMark/>
          </w:tcPr>
          <w:p w:rsidR="004D28F9" w:rsidRPr="007F573B" w:rsidRDefault="004D28F9" w:rsidP="008E0FF8">
            <w:pPr>
              <w:spacing w:line="360" w:lineRule="auto"/>
              <w:rPr>
                <w:rFonts w:ascii="Times New Roman" w:hAnsi="Times New Roman" w:cs="Times New Roman"/>
                <w:sz w:val="24"/>
                <w:szCs w:val="24"/>
              </w:rPr>
            </w:pPr>
            <w:r w:rsidRPr="007F573B">
              <w:rPr>
                <w:rFonts w:ascii="Times New Roman" w:hAnsi="Times New Roman" w:cs="Times New Roman"/>
                <w:sz w:val="24"/>
                <w:szCs w:val="24"/>
              </w:rPr>
              <w:t>Когорта 1980-84 годов рождения</w:t>
            </w:r>
          </w:p>
        </w:tc>
        <w:tc>
          <w:tcPr>
            <w:tcW w:w="1109"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-2782</w:t>
            </w:r>
          </w:p>
        </w:tc>
        <w:tc>
          <w:tcPr>
            <w:tcW w:w="111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626</w:t>
            </w:r>
          </w:p>
        </w:tc>
        <w:tc>
          <w:tcPr>
            <w:tcW w:w="1109"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-2140</w:t>
            </w:r>
          </w:p>
        </w:tc>
        <w:tc>
          <w:tcPr>
            <w:tcW w:w="111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1285</w:t>
            </w:r>
          </w:p>
        </w:tc>
        <w:tc>
          <w:tcPr>
            <w:tcW w:w="980"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17</w:t>
            </w:r>
          </w:p>
        </w:tc>
        <w:tc>
          <w:tcPr>
            <w:tcW w:w="982" w:type="dxa"/>
            <w:noWrap/>
            <w:vAlign w:val="center"/>
            <w:hideMark/>
          </w:tcPr>
          <w:p w:rsidR="004D28F9" w:rsidRPr="007F573B" w:rsidRDefault="004D28F9" w:rsidP="007F573B">
            <w:pPr>
              <w:spacing w:line="360" w:lineRule="auto"/>
              <w:jc w:val="center"/>
              <w:rPr>
                <w:rFonts w:ascii="Times New Roman" w:hAnsi="Times New Roman" w:cs="Times New Roman"/>
                <w:sz w:val="24"/>
                <w:szCs w:val="24"/>
              </w:rPr>
            </w:pPr>
            <w:r w:rsidRPr="007F573B">
              <w:rPr>
                <w:rFonts w:ascii="Times New Roman" w:hAnsi="Times New Roman" w:cs="Times New Roman"/>
                <w:sz w:val="24"/>
                <w:szCs w:val="24"/>
              </w:rPr>
              <w:t>0,6</w:t>
            </w:r>
          </w:p>
        </w:tc>
      </w:tr>
    </w:tbl>
    <w:p w:rsidR="004D28F9" w:rsidRPr="007F573B" w:rsidRDefault="004D28F9" w:rsidP="007F573B">
      <w:pPr>
        <w:spacing w:line="360" w:lineRule="auto"/>
        <w:rPr>
          <w:rFonts w:ascii="Times New Roman" w:hAnsi="Times New Roman" w:cs="Times New Roman"/>
          <w:sz w:val="28"/>
          <w:szCs w:val="28"/>
        </w:rPr>
      </w:pPr>
    </w:p>
    <w:p w:rsidR="003050F8" w:rsidRPr="007F573B" w:rsidRDefault="00C61CCB" w:rsidP="00D827DB">
      <w:pPr>
        <w:spacing w:line="360" w:lineRule="auto"/>
        <w:ind w:firstLine="709"/>
        <w:contextualSpacing/>
        <w:rPr>
          <w:rFonts w:ascii="Times New Roman" w:hAnsi="Times New Roman" w:cs="Times New Roman"/>
          <w:sz w:val="28"/>
          <w:szCs w:val="28"/>
        </w:rPr>
      </w:pPr>
      <w:r w:rsidRPr="007F573B">
        <w:rPr>
          <w:rFonts w:ascii="Times New Roman" w:hAnsi="Times New Roman" w:cs="Times New Roman"/>
          <w:sz w:val="28"/>
          <w:szCs w:val="28"/>
        </w:rPr>
        <w:lastRenderedPageBreak/>
        <w:t xml:space="preserve">Из приведенных в Таблице </w:t>
      </w:r>
      <w:r w:rsidR="00C10E76">
        <w:rPr>
          <w:rFonts w:ascii="Times New Roman" w:hAnsi="Times New Roman" w:cs="Times New Roman"/>
          <w:sz w:val="28"/>
          <w:szCs w:val="28"/>
        </w:rPr>
        <w:t>1</w:t>
      </w:r>
      <w:r w:rsidRPr="007F573B">
        <w:rPr>
          <w:rFonts w:ascii="Times New Roman" w:hAnsi="Times New Roman" w:cs="Times New Roman"/>
          <w:sz w:val="28"/>
          <w:szCs w:val="28"/>
        </w:rPr>
        <w:t xml:space="preserve"> расчетов видно, что проблема учета «студенческой» миграции была актуальна в период исследования лишь для непосредственно «студенческих» возрастов (когорт). Текущий учет миграции молодого трудоспособного населения (условно, выпускников университетов) не проявляет такого же расхождения с изменением по переписным данным.</w:t>
      </w:r>
    </w:p>
    <w:p w:rsidR="00C10E76" w:rsidRDefault="00C10E76" w:rsidP="00D827DB">
      <w:pPr>
        <w:spacing w:line="360" w:lineRule="auto"/>
        <w:ind w:firstLine="709"/>
        <w:contextualSpacing/>
        <w:rPr>
          <w:rFonts w:ascii="Times New Roman" w:hAnsi="Times New Roman" w:cs="Times New Roman"/>
          <w:b/>
          <w:i/>
          <w:sz w:val="28"/>
          <w:szCs w:val="28"/>
        </w:rPr>
      </w:pPr>
    </w:p>
    <w:p w:rsidR="00061824" w:rsidRPr="007F573B" w:rsidRDefault="00061824" w:rsidP="00D827DB">
      <w:pPr>
        <w:spacing w:line="360" w:lineRule="auto"/>
        <w:ind w:firstLine="709"/>
        <w:contextualSpacing/>
        <w:rPr>
          <w:rFonts w:ascii="Times New Roman" w:hAnsi="Times New Roman" w:cs="Times New Roman"/>
          <w:b/>
          <w:i/>
          <w:sz w:val="28"/>
          <w:szCs w:val="28"/>
        </w:rPr>
      </w:pPr>
      <w:proofErr w:type="spellStart"/>
      <w:r w:rsidRPr="007F573B">
        <w:rPr>
          <w:rFonts w:ascii="Times New Roman" w:hAnsi="Times New Roman" w:cs="Times New Roman"/>
          <w:b/>
          <w:i/>
          <w:sz w:val="28"/>
          <w:szCs w:val="28"/>
        </w:rPr>
        <w:t>Когортное</w:t>
      </w:r>
      <w:proofErr w:type="spellEnd"/>
      <w:r w:rsidRPr="007F573B">
        <w:rPr>
          <w:rFonts w:ascii="Times New Roman" w:hAnsi="Times New Roman" w:cs="Times New Roman"/>
          <w:b/>
          <w:i/>
          <w:sz w:val="28"/>
          <w:szCs w:val="28"/>
        </w:rPr>
        <w:t xml:space="preserve"> исследование</w:t>
      </w:r>
    </w:p>
    <w:p w:rsidR="002E5555" w:rsidRPr="007F573B" w:rsidRDefault="002E5555" w:rsidP="00D827DB">
      <w:pPr>
        <w:spacing w:line="360" w:lineRule="auto"/>
        <w:ind w:firstLine="709"/>
        <w:contextualSpacing/>
        <w:rPr>
          <w:rFonts w:ascii="Times New Roman" w:hAnsi="Times New Roman" w:cs="Times New Roman"/>
          <w:sz w:val="28"/>
          <w:szCs w:val="28"/>
        </w:rPr>
      </w:pPr>
      <w:r w:rsidRPr="007F573B">
        <w:rPr>
          <w:rFonts w:ascii="Times New Roman" w:hAnsi="Times New Roman" w:cs="Times New Roman"/>
          <w:sz w:val="28"/>
          <w:szCs w:val="28"/>
        </w:rPr>
        <w:t xml:space="preserve">Для когортного исследования внутрирегиональной </w:t>
      </w:r>
      <w:proofErr w:type="spellStart"/>
      <w:r w:rsidRPr="007F573B">
        <w:rPr>
          <w:rFonts w:ascii="Times New Roman" w:hAnsi="Times New Roman" w:cs="Times New Roman"/>
          <w:sz w:val="28"/>
          <w:szCs w:val="28"/>
        </w:rPr>
        <w:t>центро</w:t>
      </w:r>
      <w:proofErr w:type="spellEnd"/>
      <w:r w:rsidRPr="007F573B">
        <w:rPr>
          <w:rFonts w:ascii="Times New Roman" w:hAnsi="Times New Roman" w:cs="Times New Roman"/>
          <w:sz w:val="28"/>
          <w:szCs w:val="28"/>
        </w:rPr>
        <w:t xml:space="preserve">-периферийной миграции молодежи были выбраны пять когорт:  1988-1992 годов рождения. На момент переписи 2002 года им было 10-14 лет. К переписи 2010 года, повзрослев на восемь лет, они вступили в «студенческие возраста» - 18-22 года. </w:t>
      </w:r>
    </w:p>
    <w:p w:rsidR="00917A01" w:rsidRDefault="002E5555" w:rsidP="00D827DB">
      <w:pPr>
        <w:spacing w:line="360" w:lineRule="auto"/>
        <w:ind w:firstLine="709"/>
        <w:contextualSpacing/>
        <w:rPr>
          <w:rFonts w:ascii="Times New Roman" w:hAnsi="Times New Roman" w:cs="Times New Roman"/>
          <w:sz w:val="28"/>
          <w:szCs w:val="28"/>
        </w:rPr>
      </w:pPr>
      <w:r w:rsidRPr="007F573B">
        <w:rPr>
          <w:rFonts w:ascii="Times New Roman" w:hAnsi="Times New Roman" w:cs="Times New Roman"/>
          <w:sz w:val="28"/>
          <w:szCs w:val="28"/>
        </w:rPr>
        <w:t>Результаты исследования поражают: наиболее депрессивные районы внутрирегиональной периферии теряют до 70% выпускников школ в результате центростремительной миграции</w:t>
      </w:r>
      <w:r w:rsidR="005916C4">
        <w:rPr>
          <w:rFonts w:ascii="Times New Roman" w:hAnsi="Times New Roman" w:cs="Times New Roman"/>
          <w:sz w:val="28"/>
          <w:szCs w:val="28"/>
        </w:rPr>
        <w:t xml:space="preserve"> (Приложени</w:t>
      </w:r>
      <w:r w:rsidR="00E03CEC">
        <w:rPr>
          <w:rFonts w:ascii="Times New Roman" w:hAnsi="Times New Roman" w:cs="Times New Roman"/>
          <w:sz w:val="28"/>
          <w:szCs w:val="28"/>
        </w:rPr>
        <w:t>е</w:t>
      </w:r>
      <w:r w:rsidR="005916C4">
        <w:rPr>
          <w:rFonts w:ascii="Times New Roman" w:hAnsi="Times New Roman" w:cs="Times New Roman"/>
          <w:sz w:val="28"/>
          <w:szCs w:val="28"/>
        </w:rPr>
        <w:t xml:space="preserve"> </w:t>
      </w:r>
      <w:r w:rsidR="00E03CEC">
        <w:rPr>
          <w:rFonts w:ascii="Times New Roman" w:hAnsi="Times New Roman" w:cs="Times New Roman"/>
          <w:sz w:val="28"/>
          <w:szCs w:val="28"/>
        </w:rPr>
        <w:t>2</w:t>
      </w:r>
      <w:r w:rsidR="005916C4">
        <w:rPr>
          <w:rFonts w:ascii="Times New Roman" w:hAnsi="Times New Roman" w:cs="Times New Roman"/>
          <w:sz w:val="28"/>
          <w:szCs w:val="28"/>
        </w:rPr>
        <w:t>)</w:t>
      </w:r>
      <w:r w:rsidRPr="007F573B">
        <w:rPr>
          <w:rFonts w:ascii="Times New Roman" w:hAnsi="Times New Roman" w:cs="Times New Roman"/>
          <w:sz w:val="28"/>
          <w:szCs w:val="28"/>
        </w:rPr>
        <w:t xml:space="preserve">. </w:t>
      </w:r>
      <w:r w:rsidR="00751345">
        <w:rPr>
          <w:rFonts w:ascii="Times New Roman" w:hAnsi="Times New Roman" w:cs="Times New Roman"/>
          <w:sz w:val="28"/>
          <w:szCs w:val="28"/>
        </w:rPr>
        <w:t>Две трети выпускников школ покидают периферию в поисках лучших возможностей для самореализации!</w:t>
      </w:r>
    </w:p>
    <w:p w:rsidR="00751345" w:rsidRDefault="005916C4" w:rsidP="00D827D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Исследование за предыдущий межпереписной период (1989-2002 годы) показало существенно меньший отток молодежи с периферии – около 40 процентов </w:t>
      </w:r>
      <w:r w:rsidR="00917A01" w:rsidRPr="007F573B">
        <w:rPr>
          <w:rFonts w:ascii="Times New Roman" w:hAnsi="Times New Roman" w:cs="Times New Roman"/>
          <w:sz w:val="28"/>
          <w:szCs w:val="28"/>
        </w:rPr>
        <w:fldChar w:fldCharType="begin"/>
      </w:r>
      <w:r w:rsidR="000D651D">
        <w:rPr>
          <w:rFonts w:ascii="Times New Roman" w:hAnsi="Times New Roman" w:cs="Times New Roman"/>
          <w:sz w:val="28"/>
          <w:szCs w:val="28"/>
        </w:rPr>
        <w:instrText xml:space="preserve"> ADDIN ZOTERO_ITEM CSL_CITATION {"citationID":"7g478i3ua","properties":{"formattedCitation":"[6]","plainCitation":"[6]"},"citationItems":[{"id":54,"uris":["http://zotero.org/users/1616214/items/2A5A88EP"],"uri":["http://zotero.org/users/1616214/items/2A5A88EP"],"itemData":{"id":54,"type":"article-journal","title":"Влияние миграции на возрастной состав населения городов и регионов России: оценка на основе данных переписей населения 1989 и 2002 гг.","container-title":"Региональные исследования","page":"66-76","issue":"2","author":[{"family":"Мкртчян","given":"Никита"}],"issued":{"date-parts":[["2012"]]}}}],"schema":"https://github.com/citation-style-language/schema/raw/master/csl-citation.json"} </w:instrText>
      </w:r>
      <w:r w:rsidR="00917A01" w:rsidRPr="007F573B">
        <w:rPr>
          <w:rFonts w:ascii="Times New Roman" w:hAnsi="Times New Roman" w:cs="Times New Roman"/>
          <w:sz w:val="28"/>
          <w:szCs w:val="28"/>
        </w:rPr>
        <w:fldChar w:fldCharType="separate"/>
      </w:r>
      <w:r w:rsidR="000D651D" w:rsidRPr="000D651D">
        <w:rPr>
          <w:rFonts w:ascii="Times New Roman" w:hAnsi="Times New Roman" w:cs="Times New Roman"/>
          <w:sz w:val="28"/>
        </w:rPr>
        <w:t>[6]</w:t>
      </w:r>
      <w:r w:rsidR="00917A01" w:rsidRPr="007F573B">
        <w:rPr>
          <w:rFonts w:ascii="Times New Roman" w:hAnsi="Times New Roman" w:cs="Times New Roman"/>
          <w:sz w:val="28"/>
          <w:szCs w:val="28"/>
        </w:rPr>
        <w:fldChar w:fldCharType="end"/>
      </w:r>
      <w:r>
        <w:rPr>
          <w:rFonts w:ascii="Times New Roman" w:hAnsi="Times New Roman" w:cs="Times New Roman"/>
          <w:sz w:val="28"/>
          <w:szCs w:val="28"/>
        </w:rPr>
        <w:t xml:space="preserve">. </w:t>
      </w:r>
      <w:r w:rsidR="00751345">
        <w:rPr>
          <w:rFonts w:ascii="Times New Roman" w:hAnsi="Times New Roman" w:cs="Times New Roman"/>
          <w:sz w:val="28"/>
          <w:szCs w:val="28"/>
        </w:rPr>
        <w:t xml:space="preserve">Надо отметить, что Н.В. Мкртчян также применял в своем исследовании методику дожития, что позволяет сравнивать результаты нашего исследования за последний межпереписной период с аналогичными результатами за предыдущий  межпереписной период. </w:t>
      </w:r>
    </w:p>
    <w:p w:rsidR="00917A01" w:rsidRPr="007F573B" w:rsidRDefault="005916C4" w:rsidP="00D827D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Значительный рост миграционной активности в студенческих возрастах в последний межпереписной период – феномен, требующий отдельного изучения и объяснения. В качестве гипотез можно предположить: 1) общий рост значимости высшего образования; 2) большая вовлеченность в высшее образование сравнительно малочисленных когорт начала 1990-х годов </w:t>
      </w:r>
      <w:proofErr w:type="gramStart"/>
      <w:r>
        <w:rPr>
          <w:rFonts w:ascii="Times New Roman" w:hAnsi="Times New Roman" w:cs="Times New Roman"/>
          <w:sz w:val="28"/>
          <w:szCs w:val="28"/>
        </w:rPr>
        <w:t xml:space="preserve">рождения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ADDIN ZOTERO_ITEM CSL_CITATION {"citationID":"q9WVHgxV","properties":{"formattedCitation":"[2]","plainCitation":"[2]"},"citationItems":[{"id":322,"uris":["http://zotero.org/users/1616214/items/QBVVGPRJ"],"uri":["http://zotero.org/users/1616214/items/QBVVGPRJ"],"itemData":{"id":322,"type":"article-journal","title":"Educational attainment and cohort size","container-title":"Journal of labor economics","page":"330-361","volume":"6","issue":"3","source":"NCBI PubMed","abstract":"We argue that the postwar baby boom [in the United States] caused substantial fluctuations in both the economic rewards to education and educational attainment over the last 3 decades. If substitutability between young and old workers diminishes with education, the present value of lifetime earnings for a boom cohort is depressed more for highly educated workers, reducing incentives for educational attainment. The opposite is true for pre- and postboom cohorts. The diminishing substitutability hypothesis explains the declines in both the returns to college and college completion rates in the 1970s and predicts a substantial increase in educational attainment for postboomers.","ISSN":"0734-306X","note":"PMID: 12315415","journalAbbreviation":"J Labor Econ","language":"eng","author":[{"family":"Stapleton","given":"D C"},{"family":"Young","given":"D J"}],"issued":{"date-parts":[["1988",7]]},"PMID":"12315415"}}],"schema":"https://github.com/citation-style-language/schema/raw/master/csl-citation.json"} </w:instrText>
      </w:r>
      <w:r>
        <w:rPr>
          <w:rFonts w:ascii="Times New Roman" w:hAnsi="Times New Roman" w:cs="Times New Roman"/>
          <w:sz w:val="28"/>
          <w:szCs w:val="28"/>
        </w:rPr>
        <w:fldChar w:fldCharType="separate"/>
      </w:r>
      <w:r w:rsidRPr="005916C4">
        <w:rPr>
          <w:rFonts w:ascii="Times New Roman" w:hAnsi="Times New Roman" w:cs="Times New Roman"/>
          <w:sz w:val="28"/>
        </w:rPr>
        <w:t>[2]</w:t>
      </w:r>
      <w:r>
        <w:rPr>
          <w:rFonts w:ascii="Times New Roman" w:hAnsi="Times New Roman" w:cs="Times New Roman"/>
          <w:sz w:val="28"/>
          <w:szCs w:val="28"/>
        </w:rPr>
        <w:fldChar w:fldCharType="end"/>
      </w:r>
      <w:r w:rsidR="0067760F">
        <w:rPr>
          <w:rFonts w:ascii="Times New Roman" w:hAnsi="Times New Roman" w:cs="Times New Roman"/>
          <w:sz w:val="28"/>
          <w:szCs w:val="28"/>
        </w:rPr>
        <w:t>; 3) введение в России единого государственного экзамена (ЕГЭ), который дал молодежи с периферии новые возможности для поступления в высшие учебные заведения</w:t>
      </w:r>
      <w:proofErr w:type="gramEnd"/>
      <w:r w:rsidR="00751345">
        <w:rPr>
          <w:rFonts w:ascii="Times New Roman" w:hAnsi="Times New Roman" w:cs="Times New Roman"/>
          <w:sz w:val="28"/>
          <w:szCs w:val="28"/>
        </w:rPr>
        <w:t xml:space="preserve"> </w:t>
      </w:r>
      <w:r w:rsidR="00751345">
        <w:rPr>
          <w:rFonts w:ascii="Times New Roman" w:hAnsi="Times New Roman" w:cs="Times New Roman"/>
          <w:sz w:val="28"/>
          <w:szCs w:val="28"/>
        </w:rPr>
        <w:fldChar w:fldCharType="begin"/>
      </w:r>
      <w:r w:rsidR="000D651D">
        <w:rPr>
          <w:rFonts w:ascii="Times New Roman" w:hAnsi="Times New Roman" w:cs="Times New Roman"/>
          <w:sz w:val="28"/>
          <w:szCs w:val="28"/>
        </w:rPr>
        <w:instrText xml:space="preserve"> ADDIN ZOTERO_ITEM CSL_CITATION {"citationID":"ecstm70ls","properties":{"formattedCitation":"[4]","plainCitation":"[4]"},"citationItems":[{"id":326,"uris":["http://zotero.org/users/1616214/items/6DW4BJCD"],"uri":["http://zotero.org/users/1616214/items/6DW4BJCD"],"itemData":{"id":326,"type":"article-journal","title":"Введение ЕГЭ, стратегии абитуриентов и доступность высшего образования","container-title":"Вопросы образования","issue":"3","abstract":"Оцениваются изменения стратегий абитуриентов и их семей в выборе вузов и подготовке к поступлению в них после введения отбора на основании результатов Единого государственного экзамена. Анализ данных социологических опросов показывает, что после введения ЕГЭ стало больше абитуриентов, которые выбирают для поступления несколько вузов и предпочитают бюджетные места как первый и второй наилучший вариант. Больше абитуриентов стали заниматься на подготовительных курсах в школах, и меньше — на курсах при вузах, выросла доля школьников, которые считают, что подготовительные курсы выравнивают шансы на поступление в вуз. При этом наибольшие изменения в стратегиях выбора вузов и подготовки к поступлению произошли в семьях с низким уровнем доходов.","URL":"http://publications.hse.ru/articles/68876815","author":[{"family":"Андрущак","given":"Григорий"},{"family":"Натхов","given":"Тимур"}],"issued":{"date-parts":[["2012"]]},"accessed":{"date-parts":[["2014",4,17]]}}}],"schema":"https://github.com/citation-style-language/schema/raw/master/csl-citation.json"} </w:instrText>
      </w:r>
      <w:r w:rsidR="00751345">
        <w:rPr>
          <w:rFonts w:ascii="Times New Roman" w:hAnsi="Times New Roman" w:cs="Times New Roman"/>
          <w:sz w:val="28"/>
          <w:szCs w:val="28"/>
        </w:rPr>
        <w:fldChar w:fldCharType="separate"/>
      </w:r>
      <w:r w:rsidR="000D651D" w:rsidRPr="000D651D">
        <w:rPr>
          <w:rFonts w:ascii="Times New Roman" w:hAnsi="Times New Roman" w:cs="Times New Roman"/>
          <w:sz w:val="28"/>
        </w:rPr>
        <w:t>[4]</w:t>
      </w:r>
      <w:r w:rsidR="00751345">
        <w:rPr>
          <w:rFonts w:ascii="Times New Roman" w:hAnsi="Times New Roman" w:cs="Times New Roman"/>
          <w:sz w:val="28"/>
          <w:szCs w:val="28"/>
        </w:rPr>
        <w:fldChar w:fldCharType="end"/>
      </w:r>
      <w:r w:rsidR="0067760F">
        <w:rPr>
          <w:rFonts w:ascii="Times New Roman" w:hAnsi="Times New Roman" w:cs="Times New Roman"/>
          <w:sz w:val="28"/>
          <w:szCs w:val="28"/>
        </w:rPr>
        <w:t>; 4) значительно сокращения призыва на срочную службу в армию.</w:t>
      </w:r>
    </w:p>
    <w:p w:rsidR="00061824" w:rsidRPr="007F573B" w:rsidRDefault="00061824" w:rsidP="00D827DB">
      <w:pPr>
        <w:spacing w:line="360" w:lineRule="auto"/>
        <w:ind w:firstLine="709"/>
        <w:contextualSpacing/>
        <w:rPr>
          <w:rFonts w:ascii="Times New Roman" w:hAnsi="Times New Roman" w:cs="Times New Roman"/>
          <w:b/>
          <w:i/>
          <w:sz w:val="28"/>
          <w:szCs w:val="28"/>
        </w:rPr>
      </w:pPr>
      <w:r w:rsidRPr="007F573B">
        <w:rPr>
          <w:rFonts w:ascii="Times New Roman" w:hAnsi="Times New Roman" w:cs="Times New Roman"/>
          <w:b/>
          <w:i/>
          <w:sz w:val="28"/>
          <w:szCs w:val="28"/>
        </w:rPr>
        <w:lastRenderedPageBreak/>
        <w:t>Возвращается ли молодежь?</w:t>
      </w:r>
    </w:p>
    <w:p w:rsidR="00C351C9" w:rsidRDefault="00C351C9" w:rsidP="00D827D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После шокирующих данных о степени оттока молодежи из периферии возникает закономерный вопрос. А может быть все не так страшно? Может, они еще вернутся?</w:t>
      </w:r>
    </w:p>
    <w:p w:rsidR="00751345" w:rsidRDefault="00751345" w:rsidP="00D827DB">
      <w:pPr>
        <w:spacing w:line="360" w:lineRule="auto"/>
        <w:ind w:firstLine="709"/>
        <w:contextualSpacing/>
        <w:rPr>
          <w:rFonts w:ascii="Times New Roman" w:hAnsi="Times New Roman" w:cs="Times New Roman"/>
          <w:sz w:val="28"/>
          <w:szCs w:val="28"/>
        </w:rPr>
      </w:pPr>
      <w:r w:rsidRPr="007F573B">
        <w:rPr>
          <w:rFonts w:ascii="Times New Roman" w:hAnsi="Times New Roman" w:cs="Times New Roman"/>
          <w:sz w:val="28"/>
          <w:szCs w:val="28"/>
        </w:rPr>
        <w:t xml:space="preserve">Если предположить, что это только временная миграция, то вроде бы </w:t>
      </w:r>
      <w:r w:rsidR="00C351C9">
        <w:rPr>
          <w:rFonts w:ascii="Times New Roman" w:hAnsi="Times New Roman" w:cs="Times New Roman"/>
          <w:sz w:val="28"/>
          <w:szCs w:val="28"/>
        </w:rPr>
        <w:t>демографическая катастрофа в периферии не намечается</w:t>
      </w:r>
      <w:r w:rsidRPr="007F573B">
        <w:rPr>
          <w:rFonts w:ascii="Times New Roman" w:hAnsi="Times New Roman" w:cs="Times New Roman"/>
          <w:sz w:val="28"/>
          <w:szCs w:val="28"/>
        </w:rPr>
        <w:t xml:space="preserve">. Отучившаяся молодежь вернется, обогатив свой человеческий капитал. Но может ли периферия вернуть свою молодежь? </w:t>
      </w:r>
    </w:p>
    <w:p w:rsidR="00C351C9" w:rsidRDefault="00C351C9" w:rsidP="00D827DB">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К сожалению, </w:t>
      </w:r>
      <w:proofErr w:type="spellStart"/>
      <w:r>
        <w:rPr>
          <w:rFonts w:ascii="Times New Roman" w:hAnsi="Times New Roman" w:cs="Times New Roman"/>
          <w:sz w:val="28"/>
          <w:szCs w:val="28"/>
        </w:rPr>
        <w:t>цензурирование</w:t>
      </w:r>
      <w:proofErr w:type="spellEnd"/>
      <w:r>
        <w:rPr>
          <w:rFonts w:ascii="Times New Roman" w:hAnsi="Times New Roman" w:cs="Times New Roman"/>
          <w:sz w:val="28"/>
          <w:szCs w:val="28"/>
        </w:rPr>
        <w:t xml:space="preserve"> данных</w:t>
      </w:r>
      <w:r w:rsidR="007D6DEC">
        <w:rPr>
          <w:rFonts w:ascii="Times New Roman" w:hAnsi="Times New Roman" w:cs="Times New Roman"/>
          <w:sz w:val="28"/>
          <w:szCs w:val="28"/>
        </w:rPr>
        <w:t xml:space="preserve"> при когортном исследовании не позволяет нам в точности ответить на поставленный вопрос. Выбранные для детального рассмотрения когорты 1988-92 годов рождения будут решать, возвращаться ли им назад, уже после 2010 года. Об их степени возврата мы сможем судить только по результатам следующей переписи. </w:t>
      </w:r>
    </w:p>
    <w:p w:rsidR="00EE1344" w:rsidRDefault="00EE1344" w:rsidP="00D827D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Но, приняв допущение условного поколения </w:t>
      </w:r>
      <w:r w:rsidR="007D507C">
        <w:rPr>
          <w:rFonts w:ascii="Times New Roman" w:hAnsi="Times New Roman" w:cs="Times New Roman"/>
          <w:sz w:val="28"/>
          <w:szCs w:val="28"/>
        </w:rPr>
        <w:t>(</w:t>
      </w:r>
      <w:r>
        <w:rPr>
          <w:rFonts w:ascii="Times New Roman" w:hAnsi="Times New Roman" w:cs="Times New Roman"/>
          <w:sz w:val="28"/>
          <w:szCs w:val="28"/>
        </w:rPr>
        <w:t xml:space="preserve">по сути, отказавшись от чисто когортного </w:t>
      </w:r>
      <w:r w:rsidR="000B5273">
        <w:rPr>
          <w:rFonts w:ascii="Times New Roman" w:hAnsi="Times New Roman" w:cs="Times New Roman"/>
          <w:sz w:val="28"/>
          <w:szCs w:val="28"/>
        </w:rPr>
        <w:t>подхода</w:t>
      </w:r>
      <w:r w:rsidR="007D507C">
        <w:rPr>
          <w:rFonts w:ascii="Times New Roman" w:hAnsi="Times New Roman" w:cs="Times New Roman"/>
          <w:sz w:val="28"/>
          <w:szCs w:val="28"/>
        </w:rPr>
        <w:t>),</w:t>
      </w:r>
      <w:r>
        <w:rPr>
          <w:rFonts w:ascii="Times New Roman" w:hAnsi="Times New Roman" w:cs="Times New Roman"/>
          <w:sz w:val="28"/>
          <w:szCs w:val="28"/>
        </w:rPr>
        <w:t xml:space="preserve"> мы можем спрогнозировать степень возврата в когортах 1988-92 годов рождения. Для этого мы посмотрим на динамику численности когорт 1980-84 годов рождения в последний межпереписной период. В 2002 году они были ровно в тех же возрастах, что и представители 88-92 когорты в 2010 году. Рассчитав коэффициент возврата в когорте 80-84, предположим, что он не изменится и для когорт 88-92 в следующем межпереписном периоде. По сути, мы передвигаем с этим рассчитанным коэффициентом когорту 88-92 в 2018 год. Подобные расчеты мы провели для Курской и Костромской областей и отобразили на картах (Приложение 3). </w:t>
      </w:r>
    </w:p>
    <w:p w:rsidR="007F69A9" w:rsidRDefault="007F69A9" w:rsidP="00D827DB">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Расчеты показывают, что, в целом, компенсаторного возврата молодежи в периферийные районы не наблюдается. Но есть некоторые любопытные нюансы. </w:t>
      </w:r>
    </w:p>
    <w:p w:rsidR="007F69A9" w:rsidRDefault="008040CB" w:rsidP="00D827DB">
      <w:pPr>
        <w:pStyle w:val="a7"/>
        <w:numPr>
          <w:ilvl w:val="0"/>
          <w:numId w:val="2"/>
        </w:numPr>
        <w:spacing w:after="0" w:line="360" w:lineRule="auto"/>
        <w:ind w:left="0" w:firstLine="284"/>
        <w:rPr>
          <w:rFonts w:ascii="Times New Roman" w:hAnsi="Times New Roman" w:cs="Times New Roman"/>
          <w:sz w:val="28"/>
          <w:szCs w:val="28"/>
        </w:rPr>
      </w:pPr>
      <w:r>
        <w:rPr>
          <w:rFonts w:ascii="Times New Roman" w:hAnsi="Times New Roman" w:cs="Times New Roman"/>
          <w:sz w:val="28"/>
          <w:szCs w:val="28"/>
        </w:rPr>
        <w:t>В «</w:t>
      </w:r>
      <w:proofErr w:type="gramStart"/>
      <w:r>
        <w:rPr>
          <w:rFonts w:ascii="Times New Roman" w:hAnsi="Times New Roman" w:cs="Times New Roman"/>
          <w:sz w:val="28"/>
          <w:szCs w:val="28"/>
        </w:rPr>
        <w:t>пост-студенческих</w:t>
      </w:r>
      <w:proofErr w:type="gramEnd"/>
      <w:r>
        <w:rPr>
          <w:rFonts w:ascii="Times New Roman" w:hAnsi="Times New Roman" w:cs="Times New Roman"/>
          <w:sz w:val="28"/>
          <w:szCs w:val="28"/>
        </w:rPr>
        <w:t>» возрастах наблюдается отток молодого трудоспособного населения из региональных центров. Видимо, местные рынки труда не способны предложить работу всем выпускникам высших учебных заведений.</w:t>
      </w:r>
    </w:p>
    <w:p w:rsidR="008040CB" w:rsidRDefault="008040CB" w:rsidP="00D827DB">
      <w:pPr>
        <w:pStyle w:val="a7"/>
        <w:numPr>
          <w:ilvl w:val="0"/>
          <w:numId w:val="2"/>
        </w:numPr>
        <w:spacing w:after="0" w:line="360" w:lineRule="auto"/>
        <w:ind w:left="0" w:firstLine="284"/>
        <w:rPr>
          <w:rFonts w:ascii="Times New Roman" w:hAnsi="Times New Roman" w:cs="Times New Roman"/>
          <w:sz w:val="28"/>
          <w:szCs w:val="28"/>
        </w:rPr>
      </w:pPr>
      <w:r>
        <w:rPr>
          <w:rFonts w:ascii="Times New Roman" w:hAnsi="Times New Roman" w:cs="Times New Roman"/>
          <w:sz w:val="28"/>
          <w:szCs w:val="28"/>
        </w:rPr>
        <w:lastRenderedPageBreak/>
        <w:t xml:space="preserve">Довольно прилично выглядят небольшие города, локальные центры. Им зачастую удается вернуть молодежь. Однако нет никакой уверенности, что это именно возврат местной молодежи, а не дальнейшее истощение окружающей периферии. Например, очень выигрышно выглядит город Шарья Костромской области. </w:t>
      </w:r>
      <w:r w:rsidR="00253969">
        <w:rPr>
          <w:rFonts w:ascii="Times New Roman" w:hAnsi="Times New Roman" w:cs="Times New Roman"/>
          <w:sz w:val="28"/>
          <w:szCs w:val="28"/>
        </w:rPr>
        <w:t>Этот город, единственный на многие километры вокруг, способен предложить молодежи работу.</w:t>
      </w:r>
    </w:p>
    <w:p w:rsidR="00253969" w:rsidRPr="007F69A9" w:rsidRDefault="00253969" w:rsidP="00D827DB">
      <w:pPr>
        <w:pStyle w:val="a7"/>
        <w:numPr>
          <w:ilvl w:val="0"/>
          <w:numId w:val="2"/>
        </w:numPr>
        <w:spacing w:after="0" w:line="360" w:lineRule="auto"/>
        <w:ind w:left="0" w:firstLine="284"/>
        <w:rPr>
          <w:rFonts w:ascii="Times New Roman" w:hAnsi="Times New Roman" w:cs="Times New Roman"/>
          <w:sz w:val="28"/>
          <w:szCs w:val="28"/>
        </w:rPr>
      </w:pPr>
      <w:r>
        <w:rPr>
          <w:rFonts w:ascii="Times New Roman" w:hAnsi="Times New Roman" w:cs="Times New Roman"/>
          <w:sz w:val="28"/>
          <w:szCs w:val="28"/>
        </w:rPr>
        <w:t xml:space="preserve">Отдельные районы показывают удивительную динамику в молодых трудоспособных возрастах. В глаза бросается </w:t>
      </w:r>
      <w:proofErr w:type="spellStart"/>
      <w:r>
        <w:rPr>
          <w:rFonts w:ascii="Times New Roman" w:hAnsi="Times New Roman" w:cs="Times New Roman"/>
          <w:sz w:val="28"/>
          <w:szCs w:val="28"/>
        </w:rPr>
        <w:t>Буйский</w:t>
      </w:r>
      <w:proofErr w:type="spellEnd"/>
      <w:r>
        <w:rPr>
          <w:rFonts w:ascii="Times New Roman" w:hAnsi="Times New Roman" w:cs="Times New Roman"/>
          <w:sz w:val="28"/>
          <w:szCs w:val="28"/>
        </w:rPr>
        <w:t xml:space="preserve"> район Костромской области. Колоссальный приток молодой рабочей силы в этот район связан с возобновлением строительства там Костромской АЭС.</w:t>
      </w:r>
    </w:p>
    <w:p w:rsidR="00061824" w:rsidRPr="007F573B" w:rsidRDefault="00EE1344" w:rsidP="002E5E45">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Разумеется, наше предположение очень грубое и не лишено всех недостатков предположений условного поколения. Можно ожидать, что степень возврата в период 2010-2018 будет отличаться от аналогичного показателя за межпереписной период 2002-2010. Нестабильность данного показателя может оказаться не меньшей, чем интенсивность внутрирегиональной миграции (которая подскочила с 40 до 70 процентов)</w:t>
      </w:r>
      <w:r w:rsidR="007F69A9">
        <w:rPr>
          <w:rFonts w:ascii="Times New Roman" w:hAnsi="Times New Roman" w:cs="Times New Roman"/>
          <w:sz w:val="28"/>
          <w:szCs w:val="28"/>
        </w:rPr>
        <w:t>. Кроме того, логично предположить, что интенсивности отъезда и возврата молодежи взаимосвязаны. Однако наших данных сейчас недостаточно, чтобы проанализировать эту взаимосвязь.</w:t>
      </w:r>
    </w:p>
    <w:p w:rsidR="00BC7396" w:rsidRPr="007F573B" w:rsidRDefault="00BC7396" w:rsidP="00D827DB">
      <w:pPr>
        <w:spacing w:line="360" w:lineRule="auto"/>
        <w:ind w:firstLine="709"/>
        <w:contextualSpacing/>
        <w:rPr>
          <w:rFonts w:ascii="Times New Roman" w:hAnsi="Times New Roman" w:cs="Times New Roman"/>
          <w:sz w:val="28"/>
          <w:szCs w:val="28"/>
        </w:rPr>
      </w:pPr>
    </w:p>
    <w:p w:rsidR="00BC7396" w:rsidRPr="007F573B" w:rsidRDefault="00BC7396" w:rsidP="00D827DB">
      <w:pPr>
        <w:spacing w:line="360" w:lineRule="auto"/>
        <w:ind w:firstLine="709"/>
        <w:contextualSpacing/>
        <w:rPr>
          <w:rFonts w:ascii="Times New Roman" w:hAnsi="Times New Roman" w:cs="Times New Roman"/>
          <w:b/>
          <w:i/>
          <w:sz w:val="28"/>
          <w:szCs w:val="28"/>
        </w:rPr>
      </w:pPr>
      <w:r w:rsidRPr="007F573B">
        <w:rPr>
          <w:rFonts w:ascii="Times New Roman" w:hAnsi="Times New Roman" w:cs="Times New Roman"/>
          <w:b/>
          <w:i/>
          <w:sz w:val="28"/>
          <w:szCs w:val="28"/>
        </w:rPr>
        <w:t>Заключение</w:t>
      </w:r>
    </w:p>
    <w:p w:rsidR="004C31F3" w:rsidRDefault="002E5E45" w:rsidP="002E5E45">
      <w:pPr>
        <w:spacing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(1) </w:t>
      </w:r>
      <w:r w:rsidR="00253969">
        <w:rPr>
          <w:rFonts w:ascii="Times New Roman" w:hAnsi="Times New Roman" w:cs="Times New Roman"/>
          <w:sz w:val="28"/>
          <w:szCs w:val="28"/>
        </w:rPr>
        <w:t xml:space="preserve">Наше исследование показывает, что для исследования характера внутрирегионального перераспределения молодежного населения в России необходимо использовать данные переписей населения. </w:t>
      </w:r>
      <w:r>
        <w:rPr>
          <w:rFonts w:ascii="Times New Roman" w:hAnsi="Times New Roman" w:cs="Times New Roman"/>
          <w:sz w:val="28"/>
          <w:szCs w:val="28"/>
        </w:rPr>
        <w:t xml:space="preserve">(2) </w:t>
      </w:r>
      <w:r w:rsidR="004C31F3">
        <w:rPr>
          <w:rFonts w:ascii="Times New Roman" w:hAnsi="Times New Roman" w:cs="Times New Roman"/>
          <w:sz w:val="28"/>
          <w:szCs w:val="28"/>
        </w:rPr>
        <w:t xml:space="preserve">Миграция оказывает определяющее воздействие на формирование демографической структуры </w:t>
      </w:r>
      <w:proofErr w:type="gramStart"/>
      <w:r w:rsidR="004C31F3">
        <w:rPr>
          <w:rFonts w:ascii="Times New Roman" w:hAnsi="Times New Roman" w:cs="Times New Roman"/>
          <w:sz w:val="28"/>
          <w:szCs w:val="28"/>
        </w:rPr>
        <w:t>населения</w:t>
      </w:r>
      <w:proofErr w:type="gramEnd"/>
      <w:r w:rsidR="004C31F3">
        <w:rPr>
          <w:rFonts w:ascii="Times New Roman" w:hAnsi="Times New Roman" w:cs="Times New Roman"/>
          <w:sz w:val="28"/>
          <w:szCs w:val="28"/>
        </w:rPr>
        <w:t xml:space="preserve"> как периферии, так и регионального центра.</w:t>
      </w:r>
      <w:r>
        <w:rPr>
          <w:rFonts w:ascii="Times New Roman" w:hAnsi="Times New Roman" w:cs="Times New Roman"/>
          <w:sz w:val="28"/>
          <w:szCs w:val="28"/>
        </w:rPr>
        <w:t xml:space="preserve"> (3) </w:t>
      </w:r>
      <w:r w:rsidR="004C31F3">
        <w:rPr>
          <w:rFonts w:ascii="Times New Roman" w:hAnsi="Times New Roman" w:cs="Times New Roman"/>
          <w:sz w:val="28"/>
          <w:szCs w:val="28"/>
        </w:rPr>
        <w:t xml:space="preserve">Наиболее депрессивные районы потеряли за последний межпереписной период до 70 процентов численности студенческих когорт. Отток молодежи значительно увеличился по сравнению с предыдущим </w:t>
      </w:r>
      <w:proofErr w:type="spellStart"/>
      <w:r w:rsidR="004C31F3">
        <w:rPr>
          <w:rFonts w:ascii="Times New Roman" w:hAnsi="Times New Roman" w:cs="Times New Roman"/>
          <w:sz w:val="28"/>
          <w:szCs w:val="28"/>
        </w:rPr>
        <w:t>межпереписным</w:t>
      </w:r>
      <w:proofErr w:type="spellEnd"/>
      <w:r w:rsidR="004C31F3">
        <w:rPr>
          <w:rFonts w:ascii="Times New Roman" w:hAnsi="Times New Roman" w:cs="Times New Roman"/>
          <w:sz w:val="28"/>
          <w:szCs w:val="28"/>
        </w:rPr>
        <w:t xml:space="preserve"> периодом.</w:t>
      </w:r>
      <w:r>
        <w:rPr>
          <w:rFonts w:ascii="Times New Roman" w:hAnsi="Times New Roman" w:cs="Times New Roman"/>
          <w:sz w:val="28"/>
          <w:szCs w:val="28"/>
        </w:rPr>
        <w:t xml:space="preserve"> (4) </w:t>
      </w:r>
      <w:r w:rsidR="004C31F3">
        <w:rPr>
          <w:rFonts w:ascii="Times New Roman" w:hAnsi="Times New Roman" w:cs="Times New Roman"/>
          <w:sz w:val="28"/>
          <w:szCs w:val="28"/>
        </w:rPr>
        <w:t xml:space="preserve">Региональная периферия не способна вернуть свою молодежь, уехавшую ранее </w:t>
      </w:r>
      <w:r w:rsidR="004C31F3">
        <w:rPr>
          <w:rFonts w:ascii="Times New Roman" w:hAnsi="Times New Roman" w:cs="Times New Roman"/>
          <w:sz w:val="28"/>
          <w:szCs w:val="28"/>
        </w:rPr>
        <w:lastRenderedPageBreak/>
        <w:t xml:space="preserve">на учебу. Большинство депрессивных районов даже не </w:t>
      </w:r>
      <w:proofErr w:type="gramStart"/>
      <w:r w:rsidR="004C31F3">
        <w:rPr>
          <w:rFonts w:ascii="Times New Roman" w:hAnsi="Times New Roman" w:cs="Times New Roman"/>
          <w:sz w:val="28"/>
          <w:szCs w:val="28"/>
        </w:rPr>
        <w:t>способны</w:t>
      </w:r>
      <w:proofErr w:type="gramEnd"/>
      <w:r w:rsidR="004C31F3">
        <w:rPr>
          <w:rFonts w:ascii="Times New Roman" w:hAnsi="Times New Roman" w:cs="Times New Roman"/>
          <w:sz w:val="28"/>
          <w:szCs w:val="28"/>
        </w:rPr>
        <w:t xml:space="preserve"> удержать оставшееся население в молодых трудоспособных возрастах. Демографическое</w:t>
      </w:r>
      <w:r w:rsidR="004C31F3" w:rsidRPr="005A5641">
        <w:rPr>
          <w:rFonts w:ascii="Times New Roman" w:hAnsi="Times New Roman" w:cs="Times New Roman"/>
          <w:sz w:val="28"/>
          <w:szCs w:val="28"/>
          <w:lang w:val="en-US"/>
        </w:rPr>
        <w:t xml:space="preserve"> </w:t>
      </w:r>
      <w:r w:rsidR="004C31F3">
        <w:rPr>
          <w:rFonts w:ascii="Times New Roman" w:hAnsi="Times New Roman" w:cs="Times New Roman"/>
          <w:sz w:val="28"/>
          <w:szCs w:val="28"/>
        </w:rPr>
        <w:t>будущее</w:t>
      </w:r>
      <w:r w:rsidR="004C31F3" w:rsidRPr="005A5641">
        <w:rPr>
          <w:rFonts w:ascii="Times New Roman" w:hAnsi="Times New Roman" w:cs="Times New Roman"/>
          <w:sz w:val="28"/>
          <w:szCs w:val="28"/>
          <w:lang w:val="en-US"/>
        </w:rPr>
        <w:t xml:space="preserve"> </w:t>
      </w:r>
      <w:r w:rsidR="004C31F3">
        <w:rPr>
          <w:rFonts w:ascii="Times New Roman" w:hAnsi="Times New Roman" w:cs="Times New Roman"/>
          <w:sz w:val="28"/>
          <w:szCs w:val="28"/>
        </w:rPr>
        <w:t>этих</w:t>
      </w:r>
      <w:r w:rsidR="004C31F3" w:rsidRPr="005A5641">
        <w:rPr>
          <w:rFonts w:ascii="Times New Roman" w:hAnsi="Times New Roman" w:cs="Times New Roman"/>
          <w:sz w:val="28"/>
          <w:szCs w:val="28"/>
          <w:lang w:val="en-US"/>
        </w:rPr>
        <w:t xml:space="preserve"> </w:t>
      </w:r>
      <w:r w:rsidR="004C31F3">
        <w:rPr>
          <w:rFonts w:ascii="Times New Roman" w:hAnsi="Times New Roman" w:cs="Times New Roman"/>
          <w:sz w:val="28"/>
          <w:szCs w:val="28"/>
        </w:rPr>
        <w:t>районов</w:t>
      </w:r>
      <w:r w:rsidR="004C31F3" w:rsidRPr="005A5641">
        <w:rPr>
          <w:rFonts w:ascii="Times New Roman" w:hAnsi="Times New Roman" w:cs="Times New Roman"/>
          <w:sz w:val="28"/>
          <w:szCs w:val="28"/>
          <w:lang w:val="en-US"/>
        </w:rPr>
        <w:t xml:space="preserve"> </w:t>
      </w:r>
      <w:r w:rsidR="004C31F3">
        <w:rPr>
          <w:rFonts w:ascii="Times New Roman" w:hAnsi="Times New Roman" w:cs="Times New Roman"/>
          <w:sz w:val="28"/>
          <w:szCs w:val="28"/>
        </w:rPr>
        <w:t>печально</w:t>
      </w:r>
      <w:r w:rsidR="004C31F3" w:rsidRPr="005A5641">
        <w:rPr>
          <w:rFonts w:ascii="Times New Roman" w:hAnsi="Times New Roman" w:cs="Times New Roman"/>
          <w:sz w:val="28"/>
          <w:szCs w:val="28"/>
          <w:lang w:val="en-US"/>
        </w:rPr>
        <w:t>.</w:t>
      </w:r>
    </w:p>
    <w:p w:rsidR="002E5E45" w:rsidRPr="002E5E45" w:rsidRDefault="002E5E45" w:rsidP="002E5E45">
      <w:pPr>
        <w:spacing w:line="360" w:lineRule="auto"/>
        <w:ind w:firstLine="709"/>
        <w:contextualSpacing/>
        <w:rPr>
          <w:rFonts w:ascii="Times New Roman" w:hAnsi="Times New Roman" w:cs="Times New Roman"/>
          <w:sz w:val="28"/>
          <w:szCs w:val="28"/>
        </w:rPr>
      </w:pPr>
    </w:p>
    <w:p w:rsidR="00EE59AC" w:rsidRPr="005A5641" w:rsidRDefault="00EE59AC" w:rsidP="00D827DB">
      <w:pPr>
        <w:spacing w:line="360" w:lineRule="auto"/>
        <w:ind w:firstLine="709"/>
        <w:contextualSpacing/>
        <w:rPr>
          <w:rFonts w:ascii="Times New Roman" w:hAnsi="Times New Roman" w:cs="Times New Roman"/>
          <w:b/>
          <w:i/>
          <w:sz w:val="28"/>
          <w:szCs w:val="28"/>
          <w:lang w:val="en-US"/>
        </w:rPr>
      </w:pPr>
      <w:r w:rsidRPr="007F573B">
        <w:rPr>
          <w:rFonts w:ascii="Times New Roman" w:hAnsi="Times New Roman" w:cs="Times New Roman"/>
          <w:b/>
          <w:i/>
          <w:sz w:val="28"/>
          <w:szCs w:val="28"/>
        </w:rPr>
        <w:t>Литература</w:t>
      </w:r>
    </w:p>
    <w:p w:rsidR="000D651D" w:rsidRPr="000D651D" w:rsidRDefault="00064C82" w:rsidP="002E5E45">
      <w:pPr>
        <w:pStyle w:val="a3"/>
        <w:spacing w:afterLines="100"/>
        <w:rPr>
          <w:rFonts w:ascii="Times New Roman" w:hAnsi="Times New Roman" w:cs="Times New Roman"/>
          <w:sz w:val="28"/>
          <w:lang w:val="en-US"/>
        </w:rPr>
      </w:pPr>
      <w:r w:rsidRPr="007F573B">
        <w:rPr>
          <w:sz w:val="28"/>
          <w:szCs w:val="28"/>
        </w:rPr>
        <w:fldChar w:fldCharType="begin"/>
      </w:r>
      <w:r w:rsidR="000D651D">
        <w:rPr>
          <w:sz w:val="28"/>
          <w:szCs w:val="28"/>
          <w:lang w:val="en-US"/>
        </w:rPr>
        <w:instrText xml:space="preserve"> ADDIN ZOTERO_BIBL {"custom":[]} CSL_BIBLIOGRAPHY </w:instrText>
      </w:r>
      <w:r w:rsidRPr="007F573B">
        <w:rPr>
          <w:sz w:val="28"/>
          <w:szCs w:val="28"/>
        </w:rPr>
        <w:fldChar w:fldCharType="separate"/>
      </w:r>
      <w:r w:rsidR="000D651D" w:rsidRPr="000D651D">
        <w:rPr>
          <w:rFonts w:ascii="Times New Roman" w:hAnsi="Times New Roman" w:cs="Times New Roman"/>
          <w:sz w:val="28"/>
          <w:lang w:val="en-US"/>
        </w:rPr>
        <w:t xml:space="preserve">1. </w:t>
      </w:r>
      <w:proofErr w:type="spellStart"/>
      <w:r w:rsidR="000D651D" w:rsidRPr="000D651D">
        <w:rPr>
          <w:rFonts w:ascii="Times New Roman" w:hAnsi="Times New Roman" w:cs="Times New Roman"/>
          <w:sz w:val="28"/>
          <w:lang w:val="en-US"/>
        </w:rPr>
        <w:t>Ediev</w:t>
      </w:r>
      <w:proofErr w:type="spellEnd"/>
      <w:r w:rsidR="000D651D" w:rsidRPr="000D651D">
        <w:rPr>
          <w:rFonts w:ascii="Times New Roman" w:hAnsi="Times New Roman" w:cs="Times New Roman"/>
          <w:sz w:val="28"/>
          <w:lang w:val="en-US"/>
        </w:rPr>
        <w:t xml:space="preserve"> D., </w:t>
      </w:r>
      <w:proofErr w:type="spellStart"/>
      <w:r w:rsidR="000D651D" w:rsidRPr="000D651D">
        <w:rPr>
          <w:rFonts w:ascii="Times New Roman" w:hAnsi="Times New Roman" w:cs="Times New Roman"/>
          <w:sz w:val="28"/>
          <w:lang w:val="en-US"/>
        </w:rPr>
        <w:t>Scherbov</w:t>
      </w:r>
      <w:proofErr w:type="spellEnd"/>
      <w:r w:rsidR="000D651D" w:rsidRPr="000D651D">
        <w:rPr>
          <w:rFonts w:ascii="Times New Roman" w:hAnsi="Times New Roman" w:cs="Times New Roman"/>
          <w:sz w:val="28"/>
          <w:lang w:val="en-US"/>
        </w:rPr>
        <w:t xml:space="preserve"> S., Coleman D. New measures of population reproduction for an era of high migration // Population, Space and Place. 2013.</w:t>
      </w:r>
    </w:p>
    <w:p w:rsidR="000D651D" w:rsidRPr="000D651D" w:rsidRDefault="000D651D" w:rsidP="002E5E45">
      <w:pPr>
        <w:pStyle w:val="a3"/>
        <w:spacing w:afterLines="100"/>
        <w:rPr>
          <w:rFonts w:ascii="Times New Roman" w:hAnsi="Times New Roman" w:cs="Times New Roman"/>
          <w:sz w:val="28"/>
          <w:lang w:val="en-US"/>
        </w:rPr>
      </w:pPr>
      <w:r w:rsidRPr="000D651D">
        <w:rPr>
          <w:rFonts w:ascii="Times New Roman" w:hAnsi="Times New Roman" w:cs="Times New Roman"/>
          <w:sz w:val="28"/>
          <w:lang w:val="en-US"/>
        </w:rPr>
        <w:t xml:space="preserve">2. Stapleton D.C., Young D.J. Educational attainment and cohort size // J Labor Econ. 1988. </w:t>
      </w:r>
      <w:r w:rsidRPr="000D651D">
        <w:rPr>
          <w:rFonts w:ascii="Times New Roman" w:hAnsi="Times New Roman" w:cs="Times New Roman"/>
          <w:sz w:val="28"/>
        </w:rPr>
        <w:t>Т</w:t>
      </w:r>
      <w:r w:rsidRPr="000D651D">
        <w:rPr>
          <w:rFonts w:ascii="Times New Roman" w:hAnsi="Times New Roman" w:cs="Times New Roman"/>
          <w:sz w:val="28"/>
          <w:lang w:val="en-US"/>
        </w:rPr>
        <w:t xml:space="preserve">. 6. </w:t>
      </w:r>
      <w:proofErr w:type="gramStart"/>
      <w:r w:rsidRPr="000D651D">
        <w:rPr>
          <w:rFonts w:ascii="Times New Roman" w:hAnsi="Times New Roman" w:cs="Times New Roman"/>
          <w:sz w:val="28"/>
          <w:lang w:val="en-US"/>
        </w:rPr>
        <w:t>№ 3.</w:t>
      </w:r>
      <w:proofErr w:type="gramEnd"/>
      <w:r w:rsidRPr="000D651D">
        <w:rPr>
          <w:rFonts w:ascii="Times New Roman" w:hAnsi="Times New Roman" w:cs="Times New Roman"/>
          <w:sz w:val="28"/>
          <w:lang w:val="en-US"/>
        </w:rPr>
        <w:t xml:space="preserve"> </w:t>
      </w:r>
      <w:r w:rsidRPr="000D651D">
        <w:rPr>
          <w:rFonts w:ascii="Times New Roman" w:hAnsi="Times New Roman" w:cs="Times New Roman"/>
          <w:sz w:val="28"/>
        </w:rPr>
        <w:t>С</w:t>
      </w:r>
      <w:r w:rsidRPr="000D651D">
        <w:rPr>
          <w:rFonts w:ascii="Times New Roman" w:hAnsi="Times New Roman" w:cs="Times New Roman"/>
          <w:sz w:val="28"/>
          <w:lang w:val="en-US"/>
        </w:rPr>
        <w:t>. 330–361.</w:t>
      </w:r>
    </w:p>
    <w:p w:rsidR="000D651D" w:rsidRPr="000D651D" w:rsidRDefault="000D651D" w:rsidP="002E5E45">
      <w:pPr>
        <w:pStyle w:val="a3"/>
        <w:spacing w:afterLines="100"/>
        <w:rPr>
          <w:rFonts w:ascii="Times New Roman" w:hAnsi="Times New Roman" w:cs="Times New Roman"/>
          <w:sz w:val="28"/>
        </w:rPr>
      </w:pPr>
      <w:r w:rsidRPr="000D651D">
        <w:rPr>
          <w:rFonts w:ascii="Times New Roman" w:hAnsi="Times New Roman" w:cs="Times New Roman"/>
          <w:sz w:val="28"/>
          <w:lang w:val="en-US"/>
        </w:rPr>
        <w:t xml:space="preserve">3. Coleman D. Immigration and Ethnic Change in Low-Fertility Countries: A Third Demographic Transition // Population &amp; Development Review. </w:t>
      </w:r>
      <w:r w:rsidRPr="000D651D">
        <w:rPr>
          <w:rFonts w:ascii="Times New Roman" w:hAnsi="Times New Roman" w:cs="Times New Roman"/>
          <w:sz w:val="28"/>
        </w:rPr>
        <w:t>2006. Т. 32. № 3. С. 401–446.</w:t>
      </w:r>
    </w:p>
    <w:p w:rsidR="000D651D" w:rsidRPr="000D651D" w:rsidRDefault="000D651D" w:rsidP="002E5E45">
      <w:pPr>
        <w:pStyle w:val="a3"/>
        <w:spacing w:afterLines="100"/>
        <w:rPr>
          <w:rFonts w:ascii="Times New Roman" w:hAnsi="Times New Roman" w:cs="Times New Roman"/>
          <w:sz w:val="28"/>
        </w:rPr>
      </w:pPr>
      <w:r w:rsidRPr="000D651D">
        <w:rPr>
          <w:rFonts w:ascii="Times New Roman" w:hAnsi="Times New Roman" w:cs="Times New Roman"/>
          <w:sz w:val="28"/>
        </w:rPr>
        <w:t xml:space="preserve">4. </w:t>
      </w:r>
      <w:proofErr w:type="spellStart"/>
      <w:r w:rsidRPr="000D651D">
        <w:rPr>
          <w:rFonts w:ascii="Times New Roman" w:hAnsi="Times New Roman" w:cs="Times New Roman"/>
          <w:sz w:val="28"/>
        </w:rPr>
        <w:t>Андрущак</w:t>
      </w:r>
      <w:proofErr w:type="spellEnd"/>
      <w:r w:rsidRPr="000D651D">
        <w:rPr>
          <w:rFonts w:ascii="Times New Roman" w:hAnsi="Times New Roman" w:cs="Times New Roman"/>
          <w:sz w:val="28"/>
        </w:rPr>
        <w:t xml:space="preserve"> Г., </w:t>
      </w:r>
      <w:proofErr w:type="spellStart"/>
      <w:r w:rsidRPr="000D651D">
        <w:rPr>
          <w:rFonts w:ascii="Times New Roman" w:hAnsi="Times New Roman" w:cs="Times New Roman"/>
          <w:sz w:val="28"/>
        </w:rPr>
        <w:t>Натхов</w:t>
      </w:r>
      <w:proofErr w:type="spellEnd"/>
      <w:r w:rsidRPr="000D651D">
        <w:rPr>
          <w:rFonts w:ascii="Times New Roman" w:hAnsi="Times New Roman" w:cs="Times New Roman"/>
          <w:sz w:val="28"/>
        </w:rPr>
        <w:t xml:space="preserve"> Т. Введение ЕГЭ, стратегии абитуриентов и доступность высшего образования // Вопросы образования. 2012. № 3.</w:t>
      </w:r>
    </w:p>
    <w:p w:rsidR="000D651D" w:rsidRPr="000D651D" w:rsidRDefault="000D651D" w:rsidP="002E5E45">
      <w:pPr>
        <w:pStyle w:val="a3"/>
        <w:spacing w:afterLines="100"/>
        <w:rPr>
          <w:rFonts w:ascii="Times New Roman" w:hAnsi="Times New Roman" w:cs="Times New Roman"/>
          <w:sz w:val="28"/>
        </w:rPr>
      </w:pPr>
      <w:r w:rsidRPr="000D651D">
        <w:rPr>
          <w:rFonts w:ascii="Times New Roman" w:hAnsi="Times New Roman" w:cs="Times New Roman"/>
          <w:sz w:val="28"/>
        </w:rPr>
        <w:t xml:space="preserve">5. Кашницкий </w:t>
      </w:r>
      <w:proofErr w:type="gramStart"/>
      <w:r w:rsidRPr="000D651D">
        <w:rPr>
          <w:rFonts w:ascii="Times New Roman" w:hAnsi="Times New Roman" w:cs="Times New Roman"/>
          <w:sz w:val="28"/>
        </w:rPr>
        <w:t>И.</w:t>
      </w:r>
      <w:proofErr w:type="gramEnd"/>
      <w:r w:rsidRPr="000D651D">
        <w:rPr>
          <w:rFonts w:ascii="Times New Roman" w:hAnsi="Times New Roman" w:cs="Times New Roman"/>
          <w:sz w:val="28"/>
        </w:rPr>
        <w:t xml:space="preserve"> Что в возрасте тебе моем? // </w:t>
      </w:r>
      <w:proofErr w:type="spellStart"/>
      <w:r w:rsidRPr="000D651D">
        <w:rPr>
          <w:rFonts w:ascii="Times New Roman" w:hAnsi="Times New Roman" w:cs="Times New Roman"/>
          <w:sz w:val="28"/>
        </w:rPr>
        <w:t>Демоскоп</w:t>
      </w:r>
      <w:proofErr w:type="spellEnd"/>
      <w:r w:rsidRPr="000D651D">
        <w:rPr>
          <w:rFonts w:ascii="Times New Roman" w:hAnsi="Times New Roman" w:cs="Times New Roman"/>
          <w:sz w:val="28"/>
        </w:rPr>
        <w:t xml:space="preserve"> </w:t>
      </w:r>
      <w:proofErr w:type="spellStart"/>
      <w:r w:rsidRPr="000D651D">
        <w:rPr>
          <w:rFonts w:ascii="Times New Roman" w:hAnsi="Times New Roman" w:cs="Times New Roman"/>
          <w:sz w:val="28"/>
        </w:rPr>
        <w:t>Weekly</w:t>
      </w:r>
      <w:proofErr w:type="spellEnd"/>
      <w:r w:rsidRPr="000D651D">
        <w:rPr>
          <w:rFonts w:ascii="Times New Roman" w:hAnsi="Times New Roman" w:cs="Times New Roman"/>
          <w:sz w:val="28"/>
        </w:rPr>
        <w:t>. 2014. № 581-582.</w:t>
      </w:r>
    </w:p>
    <w:p w:rsidR="000D651D" w:rsidRPr="000D651D" w:rsidRDefault="000D651D" w:rsidP="002E5E45">
      <w:pPr>
        <w:pStyle w:val="a3"/>
        <w:spacing w:afterLines="100"/>
        <w:rPr>
          <w:rFonts w:ascii="Times New Roman" w:hAnsi="Times New Roman" w:cs="Times New Roman"/>
          <w:sz w:val="28"/>
        </w:rPr>
      </w:pPr>
      <w:r w:rsidRPr="000D651D">
        <w:rPr>
          <w:rFonts w:ascii="Times New Roman" w:hAnsi="Times New Roman" w:cs="Times New Roman"/>
          <w:sz w:val="28"/>
        </w:rPr>
        <w:t>6. Мкртчян Н. Влияние миграции на возрастной состав населения городов и регионов России: оценка на основе данных переписей населения 1989 и 2002 гг. // Региональные исследования. 2012. № 2. С. 66–76.</w:t>
      </w:r>
    </w:p>
    <w:p w:rsidR="000D651D" w:rsidRPr="000D651D" w:rsidRDefault="000D651D" w:rsidP="002E5E45">
      <w:pPr>
        <w:pStyle w:val="a3"/>
        <w:spacing w:afterLines="100"/>
        <w:rPr>
          <w:rFonts w:ascii="Times New Roman" w:hAnsi="Times New Roman" w:cs="Times New Roman"/>
          <w:sz w:val="28"/>
        </w:rPr>
      </w:pPr>
      <w:r w:rsidRPr="000D651D">
        <w:rPr>
          <w:rFonts w:ascii="Times New Roman" w:hAnsi="Times New Roman" w:cs="Times New Roman"/>
          <w:sz w:val="28"/>
        </w:rPr>
        <w:t xml:space="preserve">7. </w:t>
      </w:r>
      <w:proofErr w:type="spellStart"/>
      <w:r w:rsidRPr="000D651D">
        <w:rPr>
          <w:rFonts w:ascii="Times New Roman" w:hAnsi="Times New Roman" w:cs="Times New Roman"/>
          <w:sz w:val="28"/>
        </w:rPr>
        <w:t>Чудиновских</w:t>
      </w:r>
      <w:proofErr w:type="spellEnd"/>
      <w:r w:rsidRPr="000D651D">
        <w:rPr>
          <w:rFonts w:ascii="Times New Roman" w:hAnsi="Times New Roman" w:cs="Times New Roman"/>
          <w:sz w:val="28"/>
        </w:rPr>
        <w:t xml:space="preserve"> О. О критическом состоянии учета миграции в России // Вопросы статистики. 2004. № 10. С. 27–36.</w:t>
      </w:r>
    </w:p>
    <w:p w:rsidR="000D651D" w:rsidRPr="000D651D" w:rsidRDefault="000D651D" w:rsidP="002E5E45">
      <w:pPr>
        <w:pStyle w:val="a3"/>
        <w:spacing w:afterLines="100"/>
        <w:rPr>
          <w:rFonts w:ascii="Times New Roman" w:hAnsi="Times New Roman" w:cs="Times New Roman"/>
          <w:sz w:val="28"/>
        </w:rPr>
      </w:pPr>
      <w:r w:rsidRPr="000D651D">
        <w:rPr>
          <w:rFonts w:ascii="Times New Roman" w:hAnsi="Times New Roman" w:cs="Times New Roman"/>
          <w:sz w:val="28"/>
        </w:rPr>
        <w:t xml:space="preserve">8. </w:t>
      </w:r>
      <w:proofErr w:type="spellStart"/>
      <w:r w:rsidRPr="000D651D">
        <w:rPr>
          <w:rFonts w:ascii="Times New Roman" w:hAnsi="Times New Roman" w:cs="Times New Roman"/>
          <w:sz w:val="28"/>
        </w:rPr>
        <w:t>Чудиновских</w:t>
      </w:r>
      <w:proofErr w:type="spellEnd"/>
      <w:r w:rsidRPr="000D651D">
        <w:rPr>
          <w:rFonts w:ascii="Times New Roman" w:hAnsi="Times New Roman" w:cs="Times New Roman"/>
          <w:sz w:val="28"/>
        </w:rPr>
        <w:t xml:space="preserve"> О. Современное состояние статистики миграции в России: новые возможности и нерешенные проблемы // Вопросы статистики. 2010. № 6. С. 8–16.</w:t>
      </w:r>
    </w:p>
    <w:p w:rsidR="001850A1" w:rsidRDefault="00064C82" w:rsidP="002E5E45">
      <w:pPr>
        <w:spacing w:afterLines="100" w:after="240" w:line="360" w:lineRule="auto"/>
        <w:rPr>
          <w:rFonts w:ascii="Times New Roman" w:hAnsi="Times New Roman" w:cs="Times New Roman"/>
          <w:sz w:val="28"/>
          <w:szCs w:val="28"/>
        </w:rPr>
      </w:pPr>
      <w:r w:rsidRPr="007F573B">
        <w:rPr>
          <w:rFonts w:ascii="Times New Roman" w:hAnsi="Times New Roman" w:cs="Times New Roman"/>
          <w:sz w:val="28"/>
          <w:szCs w:val="28"/>
        </w:rPr>
        <w:fldChar w:fldCharType="end"/>
      </w:r>
    </w:p>
    <w:p w:rsidR="001C7131" w:rsidRPr="001850A1" w:rsidRDefault="001C7131" w:rsidP="002E5E45">
      <w:pPr>
        <w:spacing w:after="0" w:line="360" w:lineRule="auto"/>
        <w:contextualSpacing/>
        <w:rPr>
          <w:rFonts w:ascii="Times New Roman" w:hAnsi="Times New Roman" w:cs="Times New Roman"/>
          <w:sz w:val="28"/>
          <w:szCs w:val="28"/>
        </w:rPr>
      </w:pPr>
      <w:r w:rsidRPr="007F573B">
        <w:rPr>
          <w:rFonts w:ascii="Times New Roman" w:hAnsi="Times New Roman" w:cs="Times New Roman"/>
          <w:b/>
          <w:i/>
          <w:sz w:val="28"/>
          <w:szCs w:val="28"/>
        </w:rPr>
        <w:t>Приложение (ссылки на карты)</w:t>
      </w:r>
    </w:p>
    <w:p w:rsidR="001C7131" w:rsidRDefault="00E03CEC" w:rsidP="002E5E45">
      <w:pPr>
        <w:pStyle w:val="a7"/>
        <w:numPr>
          <w:ilvl w:val="0"/>
          <w:numId w:val="1"/>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Карты России по данным переписи 2010:</w:t>
      </w:r>
    </w:p>
    <w:p w:rsidR="002E5E45" w:rsidRPr="002E5E45" w:rsidRDefault="00E03CEC" w:rsidP="002E5E45">
      <w:pPr>
        <w:pStyle w:val="a7"/>
        <w:spacing w:after="0" w:line="360" w:lineRule="auto"/>
        <w:ind w:left="284" w:hanging="284"/>
        <w:rPr>
          <w:rFonts w:ascii="Times New Roman" w:hAnsi="Times New Roman" w:cs="Times New Roman"/>
          <w:sz w:val="24"/>
          <w:szCs w:val="28"/>
        </w:rPr>
      </w:pPr>
      <w:r w:rsidRPr="002E5E45">
        <w:rPr>
          <w:rFonts w:ascii="Times New Roman" w:hAnsi="Times New Roman" w:cs="Times New Roman"/>
          <w:sz w:val="24"/>
          <w:szCs w:val="28"/>
        </w:rPr>
        <w:t>https://drive.google.com/folderview?id=0B1Cid1hm5YLRWFBUNkxuN1dWZVU&amp;usp=sharing</w:t>
      </w:r>
    </w:p>
    <w:p w:rsidR="00E03CEC" w:rsidRDefault="00E03CEC" w:rsidP="002E5E45">
      <w:pPr>
        <w:pStyle w:val="a7"/>
        <w:numPr>
          <w:ilvl w:val="0"/>
          <w:numId w:val="1"/>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Карты избранных регионов:</w:t>
      </w:r>
    </w:p>
    <w:p w:rsidR="00EE1344" w:rsidRPr="002E5E45" w:rsidRDefault="00EE1344" w:rsidP="002E5E45">
      <w:pPr>
        <w:pStyle w:val="a7"/>
        <w:spacing w:after="0" w:line="360" w:lineRule="auto"/>
        <w:ind w:left="284" w:hanging="284"/>
        <w:rPr>
          <w:rFonts w:ascii="Times New Roman" w:hAnsi="Times New Roman" w:cs="Times New Roman"/>
          <w:sz w:val="24"/>
          <w:szCs w:val="28"/>
        </w:rPr>
      </w:pPr>
      <w:r w:rsidRPr="002E5E45">
        <w:rPr>
          <w:rFonts w:ascii="Times New Roman" w:hAnsi="Times New Roman" w:cs="Times New Roman"/>
          <w:sz w:val="24"/>
          <w:szCs w:val="28"/>
        </w:rPr>
        <w:t>https://drive.google.com/folderview?id=0B1Cid1hm5YLRMG9tcEZBek5QWjA&amp;usp=sharing</w:t>
      </w:r>
    </w:p>
    <w:p w:rsidR="00E03CEC" w:rsidRDefault="00EE1344" w:rsidP="002E5E45">
      <w:pPr>
        <w:pStyle w:val="a7"/>
        <w:numPr>
          <w:ilvl w:val="0"/>
          <w:numId w:val="1"/>
        </w:numPr>
        <w:spacing w:after="0" w:line="360" w:lineRule="auto"/>
        <w:ind w:left="284" w:hanging="284"/>
        <w:rPr>
          <w:rFonts w:ascii="Times New Roman" w:hAnsi="Times New Roman" w:cs="Times New Roman"/>
          <w:sz w:val="28"/>
          <w:szCs w:val="28"/>
        </w:rPr>
      </w:pPr>
      <w:r>
        <w:rPr>
          <w:rFonts w:ascii="Times New Roman" w:hAnsi="Times New Roman" w:cs="Times New Roman"/>
          <w:sz w:val="28"/>
          <w:szCs w:val="28"/>
        </w:rPr>
        <w:t>Карты степени возврата молодежи:</w:t>
      </w:r>
    </w:p>
    <w:p w:rsidR="00061824" w:rsidRPr="002E5E45" w:rsidRDefault="00EE1344" w:rsidP="002E5E45">
      <w:pPr>
        <w:pStyle w:val="a7"/>
        <w:spacing w:after="0" w:line="360" w:lineRule="auto"/>
        <w:ind w:left="284" w:hanging="284"/>
        <w:rPr>
          <w:rFonts w:ascii="Times New Roman" w:hAnsi="Times New Roman" w:cs="Times New Roman"/>
          <w:sz w:val="24"/>
          <w:szCs w:val="28"/>
        </w:rPr>
      </w:pPr>
      <w:r w:rsidRPr="002E5E45">
        <w:rPr>
          <w:rFonts w:ascii="Times New Roman" w:hAnsi="Times New Roman" w:cs="Times New Roman"/>
          <w:sz w:val="24"/>
          <w:szCs w:val="28"/>
        </w:rPr>
        <w:t>https://drive.google.com/folderview?id=0B1Cid1hm5YLRYUlrZTFPcmhqaFU&amp;usp=sharing</w:t>
      </w:r>
    </w:p>
    <w:sectPr w:rsidR="00061824" w:rsidRPr="002E5E45" w:rsidSect="008E0FF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27B5"/>
    <w:multiLevelType w:val="hybridMultilevel"/>
    <w:tmpl w:val="8EE69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3A5043"/>
    <w:multiLevelType w:val="hybridMultilevel"/>
    <w:tmpl w:val="CB6ED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20"/>
    <w:rsid w:val="00023C3B"/>
    <w:rsid w:val="00061824"/>
    <w:rsid w:val="00064C82"/>
    <w:rsid w:val="000B5273"/>
    <w:rsid w:val="000C7A0A"/>
    <w:rsid w:val="000D651D"/>
    <w:rsid w:val="000F298A"/>
    <w:rsid w:val="0010577C"/>
    <w:rsid w:val="00116A84"/>
    <w:rsid w:val="00120C53"/>
    <w:rsid w:val="00125B81"/>
    <w:rsid w:val="00171DC4"/>
    <w:rsid w:val="00175069"/>
    <w:rsid w:val="001850A1"/>
    <w:rsid w:val="001C7131"/>
    <w:rsid w:val="00253969"/>
    <w:rsid w:val="00285E0C"/>
    <w:rsid w:val="002B1ECA"/>
    <w:rsid w:val="002E5555"/>
    <w:rsid w:val="002E5E45"/>
    <w:rsid w:val="002F0627"/>
    <w:rsid w:val="003050F8"/>
    <w:rsid w:val="00324B50"/>
    <w:rsid w:val="003A7BFA"/>
    <w:rsid w:val="004179ED"/>
    <w:rsid w:val="00435B87"/>
    <w:rsid w:val="00446870"/>
    <w:rsid w:val="0049717D"/>
    <w:rsid w:val="004C31F3"/>
    <w:rsid w:val="004D28F9"/>
    <w:rsid w:val="004E333E"/>
    <w:rsid w:val="00503C7F"/>
    <w:rsid w:val="005731D1"/>
    <w:rsid w:val="005916C4"/>
    <w:rsid w:val="005A5641"/>
    <w:rsid w:val="00650051"/>
    <w:rsid w:val="00674280"/>
    <w:rsid w:val="0067760F"/>
    <w:rsid w:val="006A24EB"/>
    <w:rsid w:val="006F0188"/>
    <w:rsid w:val="00751345"/>
    <w:rsid w:val="007A4321"/>
    <w:rsid w:val="007D17B0"/>
    <w:rsid w:val="007D507C"/>
    <w:rsid w:val="007D6DEC"/>
    <w:rsid w:val="007F2778"/>
    <w:rsid w:val="007F573B"/>
    <w:rsid w:val="007F69A9"/>
    <w:rsid w:val="008040CB"/>
    <w:rsid w:val="00864CE1"/>
    <w:rsid w:val="00873108"/>
    <w:rsid w:val="008E0FF8"/>
    <w:rsid w:val="009070E9"/>
    <w:rsid w:val="00917A01"/>
    <w:rsid w:val="0092474C"/>
    <w:rsid w:val="00942120"/>
    <w:rsid w:val="00995B02"/>
    <w:rsid w:val="009B79ED"/>
    <w:rsid w:val="009F6C09"/>
    <w:rsid w:val="00A11FEE"/>
    <w:rsid w:val="00A415A8"/>
    <w:rsid w:val="00A43523"/>
    <w:rsid w:val="00A5372C"/>
    <w:rsid w:val="00A538DA"/>
    <w:rsid w:val="00A87A30"/>
    <w:rsid w:val="00AE2617"/>
    <w:rsid w:val="00B065DC"/>
    <w:rsid w:val="00BC7396"/>
    <w:rsid w:val="00C10E76"/>
    <w:rsid w:val="00C351C9"/>
    <w:rsid w:val="00C61CCB"/>
    <w:rsid w:val="00C9656D"/>
    <w:rsid w:val="00CC0D50"/>
    <w:rsid w:val="00CD45F0"/>
    <w:rsid w:val="00D67770"/>
    <w:rsid w:val="00D70B65"/>
    <w:rsid w:val="00D74180"/>
    <w:rsid w:val="00D827DB"/>
    <w:rsid w:val="00DC2DBA"/>
    <w:rsid w:val="00DD4918"/>
    <w:rsid w:val="00E03CEC"/>
    <w:rsid w:val="00E50E56"/>
    <w:rsid w:val="00EA2D4A"/>
    <w:rsid w:val="00EA4EEB"/>
    <w:rsid w:val="00EE1344"/>
    <w:rsid w:val="00EE59AC"/>
    <w:rsid w:val="00F2152F"/>
    <w:rsid w:val="00F4047C"/>
    <w:rsid w:val="00FB7E50"/>
    <w:rsid w:val="00FE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064C82"/>
    <w:pPr>
      <w:spacing w:after="240" w:line="240" w:lineRule="auto"/>
    </w:pPr>
  </w:style>
  <w:style w:type="paragraph" w:styleId="a4">
    <w:name w:val="Normal (Web)"/>
    <w:basedOn w:val="a"/>
    <w:uiPriority w:val="99"/>
    <w:unhideWhenUsed/>
    <w:rsid w:val="00116A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D2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0577C"/>
    <w:rPr>
      <w:color w:val="0000FF" w:themeColor="hyperlink"/>
      <w:u w:val="single"/>
    </w:rPr>
  </w:style>
  <w:style w:type="paragraph" w:styleId="a7">
    <w:name w:val="List Paragraph"/>
    <w:basedOn w:val="a"/>
    <w:uiPriority w:val="34"/>
    <w:qFormat/>
    <w:rsid w:val="00E03C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ibliography"/>
    <w:basedOn w:val="a"/>
    <w:next w:val="a"/>
    <w:uiPriority w:val="37"/>
    <w:unhideWhenUsed/>
    <w:rsid w:val="00064C82"/>
    <w:pPr>
      <w:spacing w:after="240" w:line="240" w:lineRule="auto"/>
    </w:pPr>
  </w:style>
  <w:style w:type="paragraph" w:styleId="a4">
    <w:name w:val="Normal (Web)"/>
    <w:basedOn w:val="a"/>
    <w:uiPriority w:val="99"/>
    <w:unhideWhenUsed/>
    <w:rsid w:val="00116A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D2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10577C"/>
    <w:rPr>
      <w:color w:val="0000FF" w:themeColor="hyperlink"/>
      <w:u w:val="single"/>
    </w:rPr>
  </w:style>
  <w:style w:type="paragraph" w:styleId="a7">
    <w:name w:val="List Paragraph"/>
    <w:basedOn w:val="a"/>
    <w:uiPriority w:val="34"/>
    <w:qFormat/>
    <w:rsid w:val="00E03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725933">
      <w:bodyDiv w:val="1"/>
      <w:marLeft w:val="0"/>
      <w:marRight w:val="0"/>
      <w:marTop w:val="0"/>
      <w:marBottom w:val="0"/>
      <w:divBdr>
        <w:top w:val="none" w:sz="0" w:space="0" w:color="auto"/>
        <w:left w:val="none" w:sz="0" w:space="0" w:color="auto"/>
        <w:bottom w:val="none" w:sz="0" w:space="0" w:color="auto"/>
        <w:right w:val="none" w:sz="0" w:space="0" w:color="auto"/>
      </w:divBdr>
    </w:div>
    <w:div w:id="1189562101">
      <w:bodyDiv w:val="1"/>
      <w:marLeft w:val="0"/>
      <w:marRight w:val="0"/>
      <w:marTop w:val="0"/>
      <w:marBottom w:val="0"/>
      <w:divBdr>
        <w:top w:val="none" w:sz="0" w:space="0" w:color="auto"/>
        <w:left w:val="none" w:sz="0" w:space="0" w:color="auto"/>
        <w:bottom w:val="none" w:sz="0" w:space="0" w:color="auto"/>
        <w:right w:val="none" w:sz="0" w:space="0" w:color="auto"/>
      </w:divBdr>
    </w:div>
    <w:div w:id="122606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lya.kashnitsk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0372B-F098-4BC2-84A5-8CB8C502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8886</Characters>
  <Application>Microsoft Office Word</Application>
  <DocSecurity>0</DocSecurity>
  <Lines>244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Litinho</dc:creator>
  <cp:lastModifiedBy>Litinho</cp:lastModifiedBy>
  <cp:revision>4</cp:revision>
  <dcterms:created xsi:type="dcterms:W3CDTF">2014-04-18T07:27:00Z</dcterms:created>
  <dcterms:modified xsi:type="dcterms:W3CDTF">2014-04-18T07:28:00Z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zotero-version="4.0.19"&gt;&lt;session id="WNRJxXMa"/&gt;&lt;style id="http://www.zotero.org/styles/GOST-R-7.0.5-2008 numeric alphabetic" hasBibliography="1" bibliographyStyleHasBeenSet="1"/&gt;&lt;prefs&gt;&lt;pref name="fieldType" value="Field"/&gt;&lt;pref na</vt:lpwstr>
  </property>
  <property fmtid="{D5CDD505-2E9C-101B-9397-08002B2CF9AE}" pid="3" name="ZOTERO_PREF_2">
    <vt:lpwstr>me="storeReferences" value="true"/&gt;&lt;pref name="automaticJournalAbbreviations" value="false"/&gt;&lt;pref name="noteType" value="0"/&gt;&lt;/prefs&gt;&lt;/data&gt;</vt:lpwstr>
  </property>
</Properties>
</file>