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E1F18" w14:textId="1A8455D5" w:rsidR="004F57E3" w:rsidRPr="004F57E3" w:rsidRDefault="004F57E3" w:rsidP="004F57E3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И.Н. Шафранская</w:t>
      </w:r>
    </w:p>
    <w:p w14:paraId="60A824EB" w14:textId="6B118766" w:rsidR="0010241A" w:rsidRPr="00AD057B" w:rsidRDefault="001662D5" w:rsidP="004F57E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D057B">
        <w:rPr>
          <w:rFonts w:ascii="Times New Roman" w:hAnsi="Times New Roman" w:cs="Times New Roman"/>
          <w:b/>
        </w:rPr>
        <w:t>Конкурентоспособность российских регионов через призму креативности, или еще об одном рейтинге регионов</w:t>
      </w:r>
    </w:p>
    <w:p w14:paraId="2D9D4821" w14:textId="05E4DE07" w:rsidR="0010241A" w:rsidRPr="00AD057B" w:rsidRDefault="0010241A" w:rsidP="0010241A">
      <w:pPr>
        <w:spacing w:line="360" w:lineRule="auto"/>
        <w:rPr>
          <w:rFonts w:ascii="Times New Roman" w:hAnsi="Times New Roman" w:cs="Times New Roman"/>
          <w:b/>
        </w:rPr>
      </w:pPr>
      <w:r w:rsidRPr="00AD057B">
        <w:rPr>
          <w:rFonts w:ascii="Times New Roman" w:hAnsi="Times New Roman" w:cs="Times New Roman"/>
          <w:b/>
        </w:rPr>
        <w:t>Аннотация</w:t>
      </w:r>
    </w:p>
    <w:p w14:paraId="38266352" w14:textId="2666E14F" w:rsidR="0010241A" w:rsidRPr="00AD057B" w:rsidRDefault="0010241A" w:rsidP="00D3469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Современная трактовка категории конкурентоспособности региона является популярной исследовательской тематикой – трансформационный характер экономических процессов сейчас требует определения новых источников региональной конкурентоспособности для выстраивания устойчивых стратегий экономического роста. Одним и</w:t>
      </w:r>
      <w:r w:rsidR="00AD057B" w:rsidRPr="00AD057B">
        <w:rPr>
          <w:rFonts w:ascii="Times New Roman" w:hAnsi="Times New Roman" w:cs="Times New Roman"/>
        </w:rPr>
        <w:t>з</w:t>
      </w:r>
      <w:r w:rsidRPr="00AD057B">
        <w:rPr>
          <w:rFonts w:ascii="Times New Roman" w:hAnsi="Times New Roman" w:cs="Times New Roman"/>
        </w:rPr>
        <w:t xml:space="preserve"> подходов, получивших развитие на западе, является рассмотрение конкурентоспособности территории через призму </w:t>
      </w:r>
      <w:r w:rsidR="00AD057B" w:rsidRPr="00AD057B">
        <w:rPr>
          <w:rFonts w:ascii="Times New Roman" w:hAnsi="Times New Roman" w:cs="Times New Roman"/>
        </w:rPr>
        <w:t>креативности – факторы региональной конкурентоспособности в данном случае находятся в области таланта и толерантности жителей и способности трансформировать данный талант в высокотехнологичные решения, изобретения и патенты. Российскими исследователями оригинальная методика определения индекса креативности адаптирована с учетом особенностей национальной статистической системы и социально-культурных особенностей, что позволяет построить рейтинг российских регионов с позиции их креативности и критически оценить возможности использования данного подхода к оценке региональной конкурентоспособности.</w:t>
      </w:r>
    </w:p>
    <w:p w14:paraId="28FE0B38" w14:textId="53DE6C7D" w:rsidR="00AD057B" w:rsidRPr="00AD057B" w:rsidRDefault="00AD057B" w:rsidP="00D34699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AD057B">
        <w:rPr>
          <w:rFonts w:ascii="Times New Roman" w:hAnsi="Times New Roman" w:cs="Times New Roman"/>
          <w:b/>
        </w:rPr>
        <w:t xml:space="preserve">Ключевые слова: </w:t>
      </w:r>
    </w:p>
    <w:p w14:paraId="3501352B" w14:textId="3B30D10A" w:rsidR="00AD057B" w:rsidRPr="00AD057B" w:rsidRDefault="00AD057B" w:rsidP="0010241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Конкурентоспособности региона, индекс креативности, рейтинг регионов, маркетинг территорий</w:t>
      </w:r>
    </w:p>
    <w:p w14:paraId="1929BE89" w14:textId="77777777" w:rsidR="00EC0041" w:rsidRPr="00AD057B" w:rsidRDefault="00EC0041" w:rsidP="0010241A">
      <w:pPr>
        <w:spacing w:line="360" w:lineRule="auto"/>
        <w:rPr>
          <w:rFonts w:ascii="Times New Roman" w:hAnsi="Times New Roman" w:cs="Times New Roman"/>
        </w:rPr>
      </w:pPr>
    </w:p>
    <w:p w14:paraId="0F879CBB" w14:textId="7ACB7E8A" w:rsidR="004D717C" w:rsidRPr="00AD057B" w:rsidRDefault="004D717C" w:rsidP="004D71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Тема конкурентоспособности региона является одной из широко обсуждаемых тем: анализ количества публикаций на данную тему, проведенный по российскому индексу научного цитирования (по запросу «конкурентоспособность регионов»), показывает значительное количество статей (например, за период с 2009 по 2012 год – 965). Однако работы российских исследователей скорее дополняют друг друга, поскольку количество</w:t>
      </w:r>
      <w:r w:rsidR="00CE0AB1" w:rsidRPr="00AD057B">
        <w:rPr>
          <w:rFonts w:ascii="Times New Roman" w:hAnsi="Times New Roman" w:cs="Times New Roman"/>
        </w:rPr>
        <w:t xml:space="preserve"> взаимных цитирований в данных работах</w:t>
      </w:r>
      <w:r w:rsidRPr="00AD057B">
        <w:rPr>
          <w:rFonts w:ascii="Times New Roman" w:hAnsi="Times New Roman" w:cs="Times New Roman"/>
        </w:rPr>
        <w:t xml:space="preserve"> довольно </w:t>
      </w:r>
      <w:r w:rsidR="00CE0AB1" w:rsidRPr="00AD057B">
        <w:rPr>
          <w:rFonts w:ascii="Times New Roman" w:hAnsi="Times New Roman" w:cs="Times New Roman"/>
        </w:rPr>
        <w:t>небольшое</w:t>
      </w:r>
      <w:r w:rsidRPr="00AD057B">
        <w:rPr>
          <w:rFonts w:ascii="Times New Roman" w:hAnsi="Times New Roman" w:cs="Times New Roman"/>
        </w:rPr>
        <w:t xml:space="preserve">. </w:t>
      </w:r>
      <w:r w:rsidR="00CE0AB1" w:rsidRPr="00AD057B">
        <w:rPr>
          <w:rFonts w:ascii="Times New Roman" w:hAnsi="Times New Roman" w:cs="Times New Roman"/>
        </w:rPr>
        <w:t>Это в некоторой степени</w:t>
      </w:r>
      <w:r w:rsidRPr="00AD057B">
        <w:rPr>
          <w:rFonts w:ascii="Times New Roman" w:hAnsi="Times New Roman" w:cs="Times New Roman"/>
        </w:rPr>
        <w:t xml:space="preserve"> свидетельствует об отсутствии исслед</w:t>
      </w:r>
      <w:r w:rsidR="00CE0AB1" w:rsidRPr="00AD057B">
        <w:rPr>
          <w:rFonts w:ascii="Times New Roman" w:hAnsi="Times New Roman" w:cs="Times New Roman"/>
        </w:rPr>
        <w:t>овательской полемики вокруг тематики региональной конкурентоспособности</w:t>
      </w:r>
      <w:r w:rsidRPr="00AD057B">
        <w:rPr>
          <w:rFonts w:ascii="Times New Roman" w:hAnsi="Times New Roman" w:cs="Times New Roman"/>
        </w:rPr>
        <w:t>. Тем не менее, вопрос оценки конкурентоспособности являются на сегодня дискуссионным, о чем свидетельствует хотя бы множество разнообразный рейтингов, сопоставляющих российские регионы в системе тех или иных координат конкурентоспособности</w:t>
      </w:r>
      <w:r w:rsidR="00CE0AB1" w:rsidRPr="00AD057B">
        <w:rPr>
          <w:rFonts w:ascii="Times New Roman" w:hAnsi="Times New Roman" w:cs="Times New Roman"/>
        </w:rPr>
        <w:t xml:space="preserve"> – даже несмотря не то, что данные рейтинги взаимно дополняют друг друга, и их использование позволяет получить некоторую комплексную оценку, очевидна полемика по поводу первичности показателей </w:t>
      </w:r>
      <w:r w:rsidR="00CE0AB1" w:rsidRPr="00AD057B">
        <w:rPr>
          <w:rFonts w:ascii="Times New Roman" w:hAnsi="Times New Roman" w:cs="Times New Roman"/>
        </w:rPr>
        <w:lastRenderedPageBreak/>
        <w:t>оценки</w:t>
      </w:r>
      <w:r w:rsidRPr="00AD057B">
        <w:rPr>
          <w:rFonts w:ascii="Times New Roman" w:hAnsi="Times New Roman" w:cs="Times New Roman"/>
        </w:rPr>
        <w:t xml:space="preserve">. Поддержанию актуальности </w:t>
      </w:r>
      <w:r w:rsidR="00CE0AB1" w:rsidRPr="00AD057B">
        <w:rPr>
          <w:rFonts w:ascii="Times New Roman" w:hAnsi="Times New Roman" w:cs="Times New Roman"/>
        </w:rPr>
        <w:t xml:space="preserve">данной темы также </w:t>
      </w:r>
      <w:r w:rsidRPr="00AD057B">
        <w:rPr>
          <w:rFonts w:ascii="Times New Roman" w:hAnsi="Times New Roman" w:cs="Times New Roman"/>
        </w:rPr>
        <w:t>способствуют трансформационные процессы в экономике – в условиях перехода от индустриальной к постиндустриальной экономике важно понять, сочетание каких факторов может обеспечить стабильное социально-экономическое развитие территорий.</w:t>
      </w:r>
      <w:r w:rsidR="00CE0AB1" w:rsidRPr="00AD057B">
        <w:rPr>
          <w:rFonts w:ascii="Times New Roman" w:hAnsi="Times New Roman" w:cs="Times New Roman"/>
        </w:rPr>
        <w:t xml:space="preserve"> С этой точки зрения, рейтинговые оценки не способствуют определению конкурентных преимуществ территорий, поскольку в большинстве случаев, дают интегральную оценку конкурентоспособности.</w:t>
      </w:r>
    </w:p>
    <w:p w14:paraId="151846A9" w14:textId="0DC2601A" w:rsidR="004D717C" w:rsidRPr="00AD057B" w:rsidRDefault="004D717C" w:rsidP="004D71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В самом общем виде, конкурентоспособность региона определяется комбинацией разного уровня выраженности экономических, организационных, социальных и других факторов. При этом обобщающий измеритель конкурентоспособности, отражающий ее уровень и позволяющий сравнивать различные регионы, пока не определен, что вызвано в большей степени отсутствием единой методологии оценки конкурентоспособности (</w:t>
      </w:r>
      <w:r w:rsidRPr="005A542A">
        <w:rPr>
          <w:rFonts w:ascii="Times New Roman" w:hAnsi="Times New Roman" w:cs="Times New Roman"/>
        </w:rPr>
        <w:t>Васильева</w:t>
      </w:r>
      <w:r w:rsidR="005A542A">
        <w:rPr>
          <w:rFonts w:ascii="Times New Roman" w:hAnsi="Times New Roman" w:cs="Times New Roman"/>
        </w:rPr>
        <w:t>, 2006</w:t>
      </w:r>
      <w:r w:rsidRPr="00AD057B">
        <w:rPr>
          <w:rFonts w:ascii="Times New Roman" w:hAnsi="Times New Roman" w:cs="Times New Roman"/>
        </w:rPr>
        <w:t>). Рассматривая конкурентоспособность как интегральную категорию, принято выделать 4 группы показателей, по которым можно вести оценку региональной конкурентоспособности:</w:t>
      </w:r>
    </w:p>
    <w:p w14:paraId="15840703" w14:textId="77777777" w:rsidR="004D717C" w:rsidRPr="00AD057B" w:rsidRDefault="004D717C" w:rsidP="004D71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Показатели наличия и эффективности использования ресурсов региона (экономические показатели);</w:t>
      </w:r>
    </w:p>
    <w:p w14:paraId="7FB30C0C" w14:textId="77777777" w:rsidR="004D717C" w:rsidRPr="00AD057B" w:rsidRDefault="004D717C" w:rsidP="004D71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 xml:space="preserve">Показатели жизненного уровня населения региона; </w:t>
      </w:r>
    </w:p>
    <w:p w14:paraId="23C3DA5F" w14:textId="434A8452" w:rsidR="004D717C" w:rsidRPr="00AD057B" w:rsidRDefault="004D717C" w:rsidP="004D71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Показатели инвестиционной привлекательности и активности региона;</w:t>
      </w:r>
    </w:p>
    <w:p w14:paraId="3053EE79" w14:textId="588941C5" w:rsidR="004D717C" w:rsidRPr="00AD057B" w:rsidRDefault="004D717C" w:rsidP="004D71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Показатели инновационной привлекательности региона (</w:t>
      </w:r>
      <w:r w:rsidR="005A542A">
        <w:rPr>
          <w:rFonts w:ascii="Times New Roman" w:hAnsi="Times New Roman" w:cs="Times New Roman"/>
        </w:rPr>
        <w:t>Чернова, 2009</w:t>
      </w:r>
      <w:r w:rsidRPr="00AD057B">
        <w:rPr>
          <w:rFonts w:ascii="Times New Roman" w:hAnsi="Times New Roman" w:cs="Times New Roman"/>
        </w:rPr>
        <w:t>).</w:t>
      </w:r>
    </w:p>
    <w:p w14:paraId="74A037A9" w14:textId="66F94A6B" w:rsidR="00A22D79" w:rsidRPr="00AD057B" w:rsidRDefault="004D717C" w:rsidP="00A22D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 xml:space="preserve">Показатели первой и второй группы в наибольшей степени   отражают классический подход к оценке конкурентоспособности, предложенный М. Портером, согласно которому «конкурентоспособность региона — продуктивность использования региональных ресурсов, и, в первую очередь, рабочей силы и капитала, по сравнению с другими регионами, которая </w:t>
      </w:r>
      <w:proofErr w:type="spellStart"/>
      <w:r w:rsidRPr="00AD057B">
        <w:rPr>
          <w:rFonts w:ascii="Times New Roman" w:hAnsi="Times New Roman" w:cs="Times New Roman"/>
        </w:rPr>
        <w:t>результируется</w:t>
      </w:r>
      <w:proofErr w:type="spellEnd"/>
      <w:r w:rsidRPr="00AD057B">
        <w:rPr>
          <w:rFonts w:ascii="Times New Roman" w:hAnsi="Times New Roman" w:cs="Times New Roman"/>
        </w:rPr>
        <w:t xml:space="preserve"> в величине валового регионального продукта (ВРП) на душу населения, а также в его динамике» (</w:t>
      </w:r>
      <w:r w:rsidR="005A542A">
        <w:rPr>
          <w:rFonts w:ascii="Times New Roman" w:hAnsi="Times New Roman" w:cs="Times New Roman"/>
        </w:rPr>
        <w:t>цит. по: Васильева, 2006</w:t>
      </w:r>
      <w:r w:rsidRPr="00AD057B">
        <w:rPr>
          <w:rFonts w:ascii="Times New Roman" w:hAnsi="Times New Roman" w:cs="Times New Roman"/>
        </w:rPr>
        <w:t xml:space="preserve">). Между тем, З.А. Васильева говорит о том, что методологические подходы, базирующиеся на производительности региональных ресурсов, позволяют только зафиксировать </w:t>
      </w:r>
      <w:r w:rsidR="00A22D79" w:rsidRPr="00AD057B">
        <w:rPr>
          <w:rFonts w:ascii="Times New Roman" w:hAnsi="Times New Roman" w:cs="Times New Roman"/>
        </w:rPr>
        <w:t>уровень использования региональных ресурсов на данный момент времени, что является свидетельством их способности</w:t>
      </w:r>
      <w:r w:rsidRPr="00AD057B">
        <w:rPr>
          <w:rFonts w:ascii="Times New Roman" w:hAnsi="Times New Roman" w:cs="Times New Roman"/>
        </w:rPr>
        <w:t xml:space="preserve"> обеспечивать динамику ВРП</w:t>
      </w:r>
      <w:r w:rsidR="00A22D79" w:rsidRPr="00AD057B">
        <w:rPr>
          <w:rFonts w:ascii="Times New Roman" w:hAnsi="Times New Roman" w:cs="Times New Roman"/>
        </w:rPr>
        <w:t>, основанным в большей степени на ретроспективных данных (</w:t>
      </w:r>
      <w:r w:rsidR="00A22D79" w:rsidRPr="005A542A">
        <w:rPr>
          <w:rFonts w:ascii="Times New Roman" w:hAnsi="Times New Roman" w:cs="Times New Roman"/>
        </w:rPr>
        <w:t>Васильева</w:t>
      </w:r>
      <w:r w:rsidR="005A542A">
        <w:rPr>
          <w:rFonts w:ascii="Times New Roman" w:hAnsi="Times New Roman" w:cs="Times New Roman"/>
        </w:rPr>
        <w:t>, 2006</w:t>
      </w:r>
      <w:r w:rsidR="00A22D79" w:rsidRPr="00AD057B">
        <w:rPr>
          <w:rFonts w:ascii="Times New Roman" w:hAnsi="Times New Roman" w:cs="Times New Roman"/>
        </w:rPr>
        <w:t>)</w:t>
      </w:r>
      <w:r w:rsidRPr="00AD057B">
        <w:rPr>
          <w:rFonts w:ascii="Times New Roman" w:hAnsi="Times New Roman" w:cs="Times New Roman"/>
        </w:rPr>
        <w:t xml:space="preserve">. </w:t>
      </w:r>
      <w:r w:rsidR="00A22D79" w:rsidRPr="00AD057B">
        <w:rPr>
          <w:rFonts w:ascii="Times New Roman" w:hAnsi="Times New Roman" w:cs="Times New Roman"/>
        </w:rPr>
        <w:t>Следовательно, оценка конкурентоспособности через показатели уровня жизни и экономической эффективности использования ресурсов позволяет определить текущее место регионов в конкуренции через призму эффективности в решении тактических задач, но не позволяет судить о конкурентоспособности любого конкретного региона с позиции его стратегического развития.</w:t>
      </w:r>
    </w:p>
    <w:p w14:paraId="4C56863B" w14:textId="5E57D4B2" w:rsidR="00A22D79" w:rsidRPr="00AD057B" w:rsidRDefault="00A22D79" w:rsidP="00A22D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 xml:space="preserve">Авторы </w:t>
      </w:r>
      <w:proofErr w:type="spellStart"/>
      <w:r w:rsidRPr="00AD057B">
        <w:rPr>
          <w:rFonts w:ascii="Times New Roman" w:hAnsi="Times New Roman" w:cs="Times New Roman"/>
        </w:rPr>
        <w:t>Самаруха</w:t>
      </w:r>
      <w:proofErr w:type="spellEnd"/>
      <w:r w:rsidRPr="00AD057B">
        <w:rPr>
          <w:rFonts w:ascii="Times New Roman" w:hAnsi="Times New Roman" w:cs="Times New Roman"/>
        </w:rPr>
        <w:t xml:space="preserve"> А.В. и Краснов Г.И. в своей работе отмечают ограничения применения классического подхода </w:t>
      </w:r>
      <w:proofErr w:type="spellStart"/>
      <w:r w:rsidRPr="00AD057B">
        <w:rPr>
          <w:rFonts w:ascii="Times New Roman" w:hAnsi="Times New Roman" w:cs="Times New Roman"/>
        </w:rPr>
        <w:t>М.Портера</w:t>
      </w:r>
      <w:proofErr w:type="spellEnd"/>
      <w:r w:rsidRPr="00AD057B">
        <w:rPr>
          <w:rFonts w:ascii="Times New Roman" w:hAnsi="Times New Roman" w:cs="Times New Roman"/>
        </w:rPr>
        <w:t>, предлагая концентрировать внимание на инвестиционном и, в дальнейшем на инновационном потенциале, который они тесно связывают со способностью региона генерировать и воспроизводить знания: «В создании конкурентного преимущества региона немаловажное значение имеют научные знания, образование — и как факторы развития производства, и как факторы формирования инновационного потенциала региона» (</w:t>
      </w:r>
      <w:proofErr w:type="spellStart"/>
      <w:r w:rsidRPr="005A542A">
        <w:rPr>
          <w:rFonts w:ascii="Times New Roman" w:hAnsi="Times New Roman" w:cs="Times New Roman"/>
        </w:rPr>
        <w:t>Самаруха</w:t>
      </w:r>
      <w:proofErr w:type="spellEnd"/>
      <w:r w:rsidRPr="005A542A">
        <w:rPr>
          <w:rFonts w:ascii="Times New Roman" w:hAnsi="Times New Roman" w:cs="Times New Roman"/>
        </w:rPr>
        <w:t>, Краснов</w:t>
      </w:r>
      <w:r w:rsidR="005A542A">
        <w:rPr>
          <w:rFonts w:ascii="Times New Roman" w:hAnsi="Times New Roman" w:cs="Times New Roman"/>
        </w:rPr>
        <w:t>, 2010</w:t>
      </w:r>
      <w:r w:rsidRPr="005A542A">
        <w:rPr>
          <w:rFonts w:ascii="Times New Roman" w:hAnsi="Times New Roman" w:cs="Times New Roman"/>
        </w:rPr>
        <w:t>).</w:t>
      </w:r>
      <w:r w:rsidRPr="00AD057B">
        <w:rPr>
          <w:rFonts w:ascii="Times New Roman" w:hAnsi="Times New Roman" w:cs="Times New Roman"/>
        </w:rPr>
        <w:t xml:space="preserve"> </w:t>
      </w:r>
      <w:r w:rsidR="003415A6" w:rsidRPr="00AD057B">
        <w:rPr>
          <w:rFonts w:ascii="Times New Roman" w:hAnsi="Times New Roman" w:cs="Times New Roman"/>
        </w:rPr>
        <w:t>В продолжение данной полемики, д</w:t>
      </w:r>
      <w:r w:rsidRPr="00AD057B">
        <w:rPr>
          <w:rFonts w:ascii="Times New Roman" w:hAnsi="Times New Roman" w:cs="Times New Roman"/>
        </w:rPr>
        <w:t>ругие исследователи отдельно выделяют категорию инновационной конкурентоспособности</w:t>
      </w:r>
      <w:r w:rsidR="003415A6" w:rsidRPr="00AD057B">
        <w:rPr>
          <w:rFonts w:ascii="Times New Roman" w:hAnsi="Times New Roman" w:cs="Times New Roman"/>
        </w:rPr>
        <w:t xml:space="preserve"> как наиболее актуальную в современных условиях</w:t>
      </w:r>
      <w:r w:rsidRPr="00AD057B">
        <w:rPr>
          <w:rFonts w:ascii="Times New Roman" w:hAnsi="Times New Roman" w:cs="Times New Roman"/>
        </w:rPr>
        <w:t xml:space="preserve">, анализируя факторы, способствующие ее повышению. Так, А.Ю. </w:t>
      </w:r>
      <w:proofErr w:type="spellStart"/>
      <w:r w:rsidRPr="00AD057B">
        <w:rPr>
          <w:rFonts w:ascii="Times New Roman" w:hAnsi="Times New Roman" w:cs="Times New Roman"/>
        </w:rPr>
        <w:t>Даванков</w:t>
      </w:r>
      <w:proofErr w:type="spellEnd"/>
      <w:r w:rsidRPr="00AD057B">
        <w:rPr>
          <w:rFonts w:ascii="Times New Roman" w:hAnsi="Times New Roman" w:cs="Times New Roman"/>
        </w:rPr>
        <w:t xml:space="preserve"> и М.В. </w:t>
      </w:r>
      <w:proofErr w:type="spellStart"/>
      <w:r w:rsidRPr="00AD057B">
        <w:rPr>
          <w:rFonts w:ascii="Times New Roman" w:hAnsi="Times New Roman" w:cs="Times New Roman"/>
        </w:rPr>
        <w:t>Усынин</w:t>
      </w:r>
      <w:proofErr w:type="spellEnd"/>
      <w:r w:rsidRPr="00AD057B">
        <w:rPr>
          <w:rFonts w:ascii="Times New Roman" w:hAnsi="Times New Roman" w:cs="Times New Roman"/>
        </w:rPr>
        <w:t xml:space="preserve"> оперируют следующим определением: «</w:t>
      </w:r>
      <w:r w:rsidRPr="00AD057B">
        <w:rPr>
          <w:rFonts w:ascii="Times New Roman" w:hAnsi="Times New Roman" w:cs="Times New Roman"/>
          <w:bCs/>
        </w:rPr>
        <w:t xml:space="preserve">Инновационная конкурентоспособность региона </w:t>
      </w:r>
      <w:r w:rsidRPr="00AD057B">
        <w:rPr>
          <w:rFonts w:ascii="Times New Roman" w:hAnsi="Times New Roman" w:cs="Times New Roman"/>
        </w:rPr>
        <w:t>— это положение региона на конкурентных рынках, определяемое способностью эффективно использовать результаты инновационной деятельности для повышения уровня и качества жизни населения»</w:t>
      </w:r>
      <w:r w:rsidR="00672776" w:rsidRPr="00AD057B">
        <w:rPr>
          <w:rFonts w:ascii="Times New Roman" w:hAnsi="Times New Roman" w:cs="Times New Roman"/>
        </w:rPr>
        <w:t xml:space="preserve"> (</w:t>
      </w:r>
      <w:proofErr w:type="spellStart"/>
      <w:r w:rsidR="00672776" w:rsidRPr="005A542A">
        <w:rPr>
          <w:rFonts w:ascii="Times New Roman" w:hAnsi="Times New Roman" w:cs="Times New Roman"/>
        </w:rPr>
        <w:t>Даванков</w:t>
      </w:r>
      <w:proofErr w:type="spellEnd"/>
      <w:r w:rsidR="00672776" w:rsidRPr="005A542A">
        <w:rPr>
          <w:rFonts w:ascii="Times New Roman" w:hAnsi="Times New Roman" w:cs="Times New Roman"/>
        </w:rPr>
        <w:t xml:space="preserve">, </w:t>
      </w:r>
      <w:proofErr w:type="spellStart"/>
      <w:r w:rsidR="00672776" w:rsidRPr="005A542A">
        <w:rPr>
          <w:rFonts w:ascii="Times New Roman" w:hAnsi="Times New Roman" w:cs="Times New Roman"/>
        </w:rPr>
        <w:t>Усынин</w:t>
      </w:r>
      <w:proofErr w:type="spellEnd"/>
      <w:r w:rsidR="005A542A">
        <w:rPr>
          <w:rFonts w:ascii="Times New Roman" w:hAnsi="Times New Roman" w:cs="Times New Roman"/>
        </w:rPr>
        <w:t>, 2010</w:t>
      </w:r>
      <w:r w:rsidR="00672776" w:rsidRPr="00AD057B">
        <w:rPr>
          <w:rFonts w:ascii="Times New Roman" w:hAnsi="Times New Roman" w:cs="Times New Roman"/>
        </w:rPr>
        <w:t>)</w:t>
      </w:r>
      <w:r w:rsidRPr="00AD057B">
        <w:rPr>
          <w:rFonts w:ascii="Times New Roman" w:hAnsi="Times New Roman" w:cs="Times New Roman"/>
        </w:rPr>
        <w:t>. Однако предложенная ими система факторов является довольно сложной для применения – выделяя факторы, для которых возможна количественная оценка, авторы также включают и факторы, для которых такая оценка не может быть применена. Это затрудняет применение предлагаемой авторами системы, поскольку эмпирическая апробация предложенной модели кажется затруднительной.</w:t>
      </w:r>
    </w:p>
    <w:p w14:paraId="6B6B2F23" w14:textId="6E26B988" w:rsidR="00131B46" w:rsidRPr="00AD057B" w:rsidRDefault="003415A6" w:rsidP="00131B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 xml:space="preserve">Отталкиваясь от показателей инновационной привлекательности  региона как наиболее актуального подхода к оценке региональной конкурентоспособности и рассматривая системы показателей, предлагаемые различными авторами, мы можем выделить один общий тренд: все чаще теоретические подходы к проблеме оценки региональной конкурентоспособности концентрируют свое внимание на новом типе территориальных ресурсов – преимущественно нематериальных активах, генерирующих рост стоимости регионального продукта а непромышленных сферах, а также обеспечивающих приток капитала на территорию из вне. </w:t>
      </w:r>
      <w:r w:rsidR="00131B46" w:rsidRPr="00AD057B">
        <w:rPr>
          <w:rFonts w:ascii="Times New Roman" w:hAnsi="Times New Roman" w:cs="Times New Roman"/>
        </w:rPr>
        <w:t xml:space="preserve">Основу такого подхода к трактовке источников конкурентных преимуществ территории формирует, с одной стороны, теория человеческого капитала Р. Лукаса и Э. </w:t>
      </w:r>
      <w:proofErr w:type="spellStart"/>
      <w:r w:rsidR="00131B46" w:rsidRPr="00AD057B">
        <w:rPr>
          <w:rFonts w:ascii="Times New Roman" w:hAnsi="Times New Roman" w:cs="Times New Roman"/>
        </w:rPr>
        <w:t>Глэзера</w:t>
      </w:r>
      <w:proofErr w:type="spellEnd"/>
      <w:r w:rsidR="00131B46" w:rsidRPr="00AD057B">
        <w:rPr>
          <w:rFonts w:ascii="Times New Roman" w:hAnsi="Times New Roman" w:cs="Times New Roman"/>
        </w:rPr>
        <w:t>, которая говорит о том, что экономическое развитие региона есть следствие концентрации образованного населения (</w:t>
      </w:r>
      <w:proofErr w:type="spellStart"/>
      <w:r w:rsidR="00131B46" w:rsidRPr="005A542A">
        <w:rPr>
          <w:rFonts w:ascii="Times New Roman" w:hAnsi="Times New Roman" w:cs="Times New Roman"/>
        </w:rPr>
        <w:t>Радаев</w:t>
      </w:r>
      <w:proofErr w:type="spellEnd"/>
      <w:r w:rsidR="005A542A">
        <w:rPr>
          <w:rFonts w:ascii="Times New Roman" w:hAnsi="Times New Roman" w:cs="Times New Roman"/>
        </w:rPr>
        <w:t>, 2002</w:t>
      </w:r>
      <w:r w:rsidR="00131B46" w:rsidRPr="00AD057B">
        <w:rPr>
          <w:rFonts w:ascii="Times New Roman" w:hAnsi="Times New Roman" w:cs="Times New Roman"/>
        </w:rPr>
        <w:t>). С другой стороны, попыткой оценить региональную конкурентоспособность с позиции нематериальных активов территории является взгляд на данную проблему через призмы креативности, предложенный Р. Флоридой (</w:t>
      </w:r>
      <w:r w:rsidR="00131B46" w:rsidRPr="005A542A">
        <w:rPr>
          <w:rFonts w:ascii="Times New Roman" w:hAnsi="Times New Roman" w:cs="Times New Roman"/>
        </w:rPr>
        <w:t>Флорида</w:t>
      </w:r>
      <w:r w:rsidR="005A542A">
        <w:rPr>
          <w:rFonts w:ascii="Times New Roman" w:hAnsi="Times New Roman" w:cs="Times New Roman"/>
        </w:rPr>
        <w:t>, 2007</w:t>
      </w:r>
      <w:r w:rsidR="00131B46" w:rsidRPr="00AD057B">
        <w:rPr>
          <w:rFonts w:ascii="Times New Roman" w:hAnsi="Times New Roman" w:cs="Times New Roman"/>
        </w:rPr>
        <w:t>).</w:t>
      </w:r>
    </w:p>
    <w:p w14:paraId="4A9F9F0E" w14:textId="77777777" w:rsidR="002D36E2" w:rsidRPr="00AD057B" w:rsidRDefault="00131B46" w:rsidP="002D36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 xml:space="preserve">Цель данной статьи заключается в том, чтобы осуществить попытку оценить конкурентоспособность российских регионов через призму их креативности на основе подхода Р. Флориды, чтобы определить границы применения данного подхода и критически переосмыслить полученные результаты. </w:t>
      </w:r>
    </w:p>
    <w:p w14:paraId="54F75A9B" w14:textId="01EF0FB8" w:rsidR="002D36E2" w:rsidRPr="00AD057B" w:rsidRDefault="002D36E2" w:rsidP="002D36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Для начала кратко остановимся на основных положениях подхода Р. Флориды, согласно которому наиболее успешными с точки зрения региональной конкуренции являются те регионы, в которых наблюдается высокая доля так называемого креативного класса в структуре населения и рабочей силы.  Креативный класс, как определяет его Р. Флорида, в сегодняшних реалиях – это ключевая движущая сила экономического развития постиндустриальных городов и регионов. Ядро креативного класса составляют люди, занятые в научной и технической сфере, архитектуре, дизайне, образовании, искусстве, музыке и индустрии развлечений, чья функция заключается в создании новых идей, новых технологий и нового креативного содержания. Помимо ядра креативный класс включает также обширную группу креативных специалистов, работающих в сфере бизнеса и финансов, права, здравоохранения и в смежных областях деятельности. Эти люди занимаются решением сложных задач, для чего требуется значительная независимость мышления и высокий уровень образования и человеческого капитала (</w:t>
      </w:r>
      <w:r w:rsidR="005A542A">
        <w:rPr>
          <w:rFonts w:ascii="Times New Roman" w:hAnsi="Times New Roman" w:cs="Times New Roman"/>
        </w:rPr>
        <w:t>Мельниченко, 2012</w:t>
      </w:r>
      <w:r w:rsidRPr="00AD057B">
        <w:rPr>
          <w:rFonts w:ascii="Times New Roman" w:hAnsi="Times New Roman" w:cs="Times New Roman"/>
        </w:rPr>
        <w:t xml:space="preserve">). Следовательно, экономический рост региона может быть обеспечен путем реализации творческого потенциала представителей креативного класса, что, в свою очередь, требует от территории особых условий по привлечению и удержанию данной группы жителей через создание условий развития и капитализации собственных способностей. </w:t>
      </w:r>
    </w:p>
    <w:p w14:paraId="04BAFE2D" w14:textId="77777777" w:rsidR="005A542A" w:rsidRDefault="002D36E2" w:rsidP="005A54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Подтвердив свои выводы</w:t>
      </w:r>
      <w:r w:rsidR="00202E79" w:rsidRPr="00AD057B">
        <w:rPr>
          <w:rFonts w:ascii="Times New Roman" w:hAnsi="Times New Roman" w:cs="Times New Roman"/>
        </w:rPr>
        <w:t xml:space="preserve"> сравнительным анализом социально-экономической статистики регионов Европы и США, а также дополнительными социологическими исследованиями, Р. Флорида предложил новый взгляд на источники конкурентоспособности региона, которая из области обеспеченности ресурсами перемещается в область способностей территории привлекать и удерживать креативный класс. Оценка конкурентоспособности таким образом, ведется через призму креативности, которая объединяет в себе три </w:t>
      </w:r>
      <w:proofErr w:type="spellStart"/>
      <w:r w:rsidR="00202E79" w:rsidRPr="00AD057B">
        <w:rPr>
          <w:rFonts w:ascii="Times New Roman" w:hAnsi="Times New Roman" w:cs="Times New Roman"/>
        </w:rPr>
        <w:t>равнозначимых</w:t>
      </w:r>
      <w:proofErr w:type="spellEnd"/>
      <w:r w:rsidR="00202E79" w:rsidRPr="00AD057B">
        <w:rPr>
          <w:rFonts w:ascii="Times New Roman" w:hAnsi="Times New Roman" w:cs="Times New Roman"/>
        </w:rPr>
        <w:t xml:space="preserve"> фактора: фактора технологий, таланта и толерантности. </w:t>
      </w:r>
    </w:p>
    <w:p w14:paraId="61C5D3E6" w14:textId="186B8192" w:rsidR="0071239B" w:rsidRPr="00AD057B" w:rsidRDefault="00202E79" w:rsidP="005A54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Для определения количественной оценки используется система соответствующих индексов</w:t>
      </w:r>
      <w:r w:rsidRPr="00AD057B">
        <w:rPr>
          <w:rStyle w:val="FootnoteReference"/>
          <w:rFonts w:ascii="Times New Roman" w:hAnsi="Times New Roman" w:cs="Times New Roman"/>
        </w:rPr>
        <w:footnoteReference w:id="1"/>
      </w:r>
      <w:r w:rsidR="0071239B" w:rsidRPr="00AD057B">
        <w:rPr>
          <w:rFonts w:ascii="Times New Roman" w:hAnsi="Times New Roman" w:cs="Times New Roman"/>
        </w:rPr>
        <w:t xml:space="preserve">, суммарно формирующих индекс креативности регионов, что в дальнейшем дает базу для проведения сравнительного анализа и построения рейтингов. Данный подход к оценке региональной конкурентоспособности был апробирован исследовательской компанией Р. Флориды для регионов Европы и США. </w:t>
      </w:r>
    </w:p>
    <w:p w14:paraId="2160ECD1" w14:textId="6F568358" w:rsidR="0088681A" w:rsidRPr="00AD057B" w:rsidRDefault="00131B46" w:rsidP="007123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 xml:space="preserve">Теоретические предпосылки применения и адаптация данного подхода описаны в работе А.Н. </w:t>
      </w:r>
      <w:proofErr w:type="spellStart"/>
      <w:r w:rsidRPr="00AD057B">
        <w:rPr>
          <w:rFonts w:ascii="Times New Roman" w:hAnsi="Times New Roman" w:cs="Times New Roman"/>
        </w:rPr>
        <w:t>Пилясова</w:t>
      </w:r>
      <w:proofErr w:type="spellEnd"/>
      <w:r w:rsidRPr="00AD057B">
        <w:rPr>
          <w:rFonts w:ascii="Times New Roman" w:hAnsi="Times New Roman" w:cs="Times New Roman"/>
        </w:rPr>
        <w:t xml:space="preserve"> и О.В. Колесниковой, которые обосновывают фундаментальную базу данного подхода и проводят первичный замер уровня конкурентоспособности российских регионов через призму их креативности</w:t>
      </w:r>
      <w:r w:rsidR="002D36E2" w:rsidRPr="00AD057B">
        <w:rPr>
          <w:rFonts w:ascii="Times New Roman" w:hAnsi="Times New Roman" w:cs="Times New Roman"/>
        </w:rPr>
        <w:t xml:space="preserve"> на основе доступных статистических данных</w:t>
      </w:r>
      <w:r w:rsidR="00672776" w:rsidRPr="00AD057B">
        <w:rPr>
          <w:rFonts w:ascii="Times New Roman" w:hAnsi="Times New Roman" w:cs="Times New Roman"/>
        </w:rPr>
        <w:t xml:space="preserve"> (</w:t>
      </w:r>
      <w:proofErr w:type="spellStart"/>
      <w:r w:rsidR="00672776" w:rsidRPr="005A542A">
        <w:rPr>
          <w:rFonts w:ascii="Times New Roman" w:hAnsi="Times New Roman" w:cs="Times New Roman"/>
        </w:rPr>
        <w:t>Пилясов</w:t>
      </w:r>
      <w:proofErr w:type="spellEnd"/>
      <w:r w:rsidR="00672776" w:rsidRPr="005A542A">
        <w:rPr>
          <w:rFonts w:ascii="Times New Roman" w:hAnsi="Times New Roman" w:cs="Times New Roman"/>
        </w:rPr>
        <w:t>, Колесникова</w:t>
      </w:r>
      <w:r w:rsidR="005A542A">
        <w:rPr>
          <w:rFonts w:ascii="Times New Roman" w:hAnsi="Times New Roman" w:cs="Times New Roman"/>
        </w:rPr>
        <w:t>, 2008</w:t>
      </w:r>
      <w:r w:rsidR="00672776" w:rsidRPr="00AD057B">
        <w:rPr>
          <w:rFonts w:ascii="Times New Roman" w:hAnsi="Times New Roman" w:cs="Times New Roman"/>
        </w:rPr>
        <w:t>)</w:t>
      </w:r>
      <w:r w:rsidRPr="00AD057B">
        <w:rPr>
          <w:rFonts w:ascii="Times New Roman" w:hAnsi="Times New Roman" w:cs="Times New Roman"/>
        </w:rPr>
        <w:t>.  В результате автор</w:t>
      </w:r>
      <w:r w:rsidR="002D36E2" w:rsidRPr="00AD057B">
        <w:rPr>
          <w:rFonts w:ascii="Times New Roman" w:hAnsi="Times New Roman" w:cs="Times New Roman"/>
        </w:rPr>
        <w:t>ы выделяю</w:t>
      </w:r>
      <w:r w:rsidRPr="00AD057B">
        <w:rPr>
          <w:rFonts w:ascii="Times New Roman" w:hAnsi="Times New Roman" w:cs="Times New Roman"/>
        </w:rPr>
        <w:t xml:space="preserve">т российские регионы высокого творческого потенциала и регионы – скрытые резервы национального роста по своему накопленному творческому потенциалу. В этой </w:t>
      </w:r>
      <w:r w:rsidR="00672776" w:rsidRPr="00AD057B">
        <w:rPr>
          <w:rFonts w:ascii="Times New Roman" w:hAnsi="Times New Roman" w:cs="Times New Roman"/>
        </w:rPr>
        <w:t>статье выше</w:t>
      </w:r>
      <w:r w:rsidR="0088681A" w:rsidRPr="00AD057B">
        <w:rPr>
          <w:rFonts w:ascii="Times New Roman" w:hAnsi="Times New Roman" w:cs="Times New Roman"/>
        </w:rPr>
        <w:t xml:space="preserve"> </w:t>
      </w:r>
      <w:r w:rsidR="00672776" w:rsidRPr="00AD057B">
        <w:rPr>
          <w:rFonts w:ascii="Times New Roman" w:hAnsi="Times New Roman" w:cs="Times New Roman"/>
        </w:rPr>
        <w:t>обозначенных авторов</w:t>
      </w:r>
      <w:r w:rsidRPr="00AD057B">
        <w:rPr>
          <w:rFonts w:ascii="Times New Roman" w:hAnsi="Times New Roman" w:cs="Times New Roman"/>
        </w:rPr>
        <w:t xml:space="preserve">, которая на настоящий момент является наиболее цитируемой по данному вопросу, предложен подход к </w:t>
      </w:r>
      <w:r w:rsidR="002D36E2" w:rsidRPr="00AD057B">
        <w:rPr>
          <w:rFonts w:ascii="Times New Roman" w:hAnsi="Times New Roman" w:cs="Times New Roman"/>
        </w:rPr>
        <w:t>построению индекса креативности</w:t>
      </w:r>
      <w:r w:rsidRPr="00AD057B">
        <w:rPr>
          <w:rFonts w:ascii="Times New Roman" w:hAnsi="Times New Roman" w:cs="Times New Roman"/>
        </w:rPr>
        <w:t>, с помощью которого и производится оценка региональной конкурентоспособности и выстраивание рейтинга.</w:t>
      </w:r>
    </w:p>
    <w:p w14:paraId="61DD96EE" w14:textId="272B76C7" w:rsidR="004F57E3" w:rsidRDefault="0088681A" w:rsidP="00D346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Для достижения цели, поставленной нами в рамках данной статьи, мы возьмем за основу подход к определению индекса креативности, предложенный российскими авторами, изменив его</w:t>
      </w:r>
      <w:r w:rsidR="005A5857" w:rsidRPr="00AD057B">
        <w:rPr>
          <w:rFonts w:ascii="Times New Roman" w:hAnsi="Times New Roman" w:cs="Times New Roman"/>
        </w:rPr>
        <w:t xml:space="preserve"> некоторые компоненты. Общая архитектура индекса представлена в таблице ниже,</w:t>
      </w:r>
      <w:r w:rsidRPr="00AD057B">
        <w:rPr>
          <w:rFonts w:ascii="Times New Roman" w:hAnsi="Times New Roman" w:cs="Times New Roman"/>
        </w:rPr>
        <w:t xml:space="preserve">  </w:t>
      </w:r>
      <w:r w:rsidR="00131B46" w:rsidRPr="00AD057B">
        <w:rPr>
          <w:rFonts w:ascii="Times New Roman" w:hAnsi="Times New Roman" w:cs="Times New Roman"/>
        </w:rPr>
        <w:t xml:space="preserve"> </w:t>
      </w:r>
      <w:r w:rsidR="005A5857" w:rsidRPr="00AD057B">
        <w:rPr>
          <w:rFonts w:ascii="Times New Roman" w:hAnsi="Times New Roman" w:cs="Times New Roman"/>
        </w:rPr>
        <w:t xml:space="preserve">содержательные пояснения будут представлены в разделе статьи, посвященном непосредственно определению данного индекса для российских регионов. </w:t>
      </w:r>
    </w:p>
    <w:p w14:paraId="43AC4AFF" w14:textId="43C5E464" w:rsidR="00C64D2E" w:rsidRPr="00AD057B" w:rsidRDefault="00C64D2E" w:rsidP="00C64D2E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ТАБЛИЦА 1</w:t>
      </w:r>
    </w:p>
    <w:p w14:paraId="19D79C4F" w14:textId="14C423C4" w:rsidR="00C64D2E" w:rsidRPr="00AD057B" w:rsidRDefault="00C64D2E" w:rsidP="00C64D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AD057B">
        <w:rPr>
          <w:rFonts w:ascii="Times New Roman" w:hAnsi="Times New Roman" w:cs="Times New Roman"/>
          <w:b/>
        </w:rPr>
        <w:t>Архитектура индексов, используемых для определения итогового индекса креативности регионов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918"/>
        <w:gridCol w:w="2719"/>
        <w:gridCol w:w="4252"/>
      </w:tblGrid>
      <w:tr w:rsidR="005055DC" w:rsidRPr="00AD057B" w14:paraId="2AABF719" w14:textId="77777777" w:rsidTr="005055DC">
        <w:tc>
          <w:tcPr>
            <w:tcW w:w="2918" w:type="dxa"/>
            <w:vAlign w:val="center"/>
          </w:tcPr>
          <w:p w14:paraId="3A916E28" w14:textId="75F4BF58" w:rsidR="005055DC" w:rsidRPr="00AD057B" w:rsidRDefault="005055DC" w:rsidP="005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057B">
              <w:rPr>
                <w:rFonts w:ascii="Times New Roman" w:hAnsi="Times New Roman" w:cs="Times New Roman"/>
                <w:b/>
              </w:rPr>
              <w:t>Компонента индекса</w:t>
            </w:r>
          </w:p>
        </w:tc>
        <w:tc>
          <w:tcPr>
            <w:tcW w:w="2719" w:type="dxa"/>
            <w:vAlign w:val="center"/>
          </w:tcPr>
          <w:p w14:paraId="783BD3FD" w14:textId="7E3EBAFB" w:rsidR="005055DC" w:rsidRPr="00AD057B" w:rsidRDefault="005055DC" w:rsidP="005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057B">
              <w:rPr>
                <w:rFonts w:ascii="Times New Roman" w:hAnsi="Times New Roman" w:cs="Times New Roman"/>
                <w:b/>
              </w:rPr>
              <w:t>Формула расчета</w:t>
            </w:r>
          </w:p>
        </w:tc>
        <w:tc>
          <w:tcPr>
            <w:tcW w:w="4252" w:type="dxa"/>
            <w:vAlign w:val="center"/>
          </w:tcPr>
          <w:p w14:paraId="2A40917D" w14:textId="479835AE" w:rsidR="005055DC" w:rsidRPr="00AD057B" w:rsidRDefault="005055DC" w:rsidP="005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057B">
              <w:rPr>
                <w:rFonts w:ascii="Times New Roman" w:hAnsi="Times New Roman" w:cs="Times New Roman"/>
                <w:b/>
              </w:rPr>
              <w:t>Условные обозначения</w:t>
            </w:r>
          </w:p>
        </w:tc>
      </w:tr>
      <w:tr w:rsidR="005055DC" w:rsidRPr="00AD057B" w14:paraId="68D26866" w14:textId="77777777" w:rsidTr="005055DC">
        <w:tc>
          <w:tcPr>
            <w:tcW w:w="2918" w:type="dxa"/>
            <w:vAlign w:val="center"/>
          </w:tcPr>
          <w:p w14:paraId="22334A2F" w14:textId="455EE240" w:rsidR="005055DC" w:rsidRPr="00AD057B" w:rsidRDefault="005055DC" w:rsidP="00505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предпринимательства,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ent</w:t>
            </w:r>
            <w:proofErr w:type="spellEnd"/>
          </w:p>
        </w:tc>
        <w:tc>
          <w:tcPr>
            <w:tcW w:w="2719" w:type="dxa"/>
            <w:vAlign w:val="center"/>
          </w:tcPr>
          <w:p w14:paraId="24B1A738" w14:textId="14EBF772" w:rsidR="005055DC" w:rsidRPr="00AD057B" w:rsidRDefault="00E13B8C" w:rsidP="00C15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ent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vertAlign w:val="subscript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Ent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Ent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Ent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Ent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252" w:type="dxa"/>
            <w:vAlign w:val="center"/>
          </w:tcPr>
          <w:p w14:paraId="08C3F487" w14:textId="77777777" w:rsidR="005B084B" w:rsidRPr="00AD057B" w:rsidRDefault="005055DC" w:rsidP="00C15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Ent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доля занятых в предпринимательстве без образования ю/л в структуре занятых в экономике региона; </w:t>
            </w:r>
          </w:p>
          <w:p w14:paraId="4E68E762" w14:textId="6088A519" w:rsidR="005055DC" w:rsidRPr="00AD057B" w:rsidRDefault="005055DC" w:rsidP="00C15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Ent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Ent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AD057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минимальное и максимальное значение по выборке регионов.</w:t>
            </w:r>
          </w:p>
        </w:tc>
      </w:tr>
      <w:tr w:rsidR="005055DC" w:rsidRPr="00AD057B" w14:paraId="2BCF0300" w14:textId="77777777" w:rsidTr="005055DC">
        <w:tc>
          <w:tcPr>
            <w:tcW w:w="2918" w:type="dxa"/>
            <w:vAlign w:val="center"/>
          </w:tcPr>
          <w:p w14:paraId="6AFBFCA6" w14:textId="1A51C179" w:rsidR="005055DC" w:rsidRPr="00AD057B" w:rsidRDefault="005055DC" w:rsidP="005A5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Индекс качества рабочей силы,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lab</w:t>
            </w:r>
            <w:proofErr w:type="spellEnd"/>
          </w:p>
        </w:tc>
        <w:tc>
          <w:tcPr>
            <w:tcW w:w="2719" w:type="dxa"/>
            <w:vAlign w:val="center"/>
          </w:tcPr>
          <w:p w14:paraId="60186636" w14:textId="5E2561BF" w:rsidR="005055DC" w:rsidRPr="00AD057B" w:rsidRDefault="00E13B8C" w:rsidP="00C15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lab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vertAlign w:val="subscript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Lab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Lab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Lab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ab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252" w:type="dxa"/>
            <w:vAlign w:val="center"/>
          </w:tcPr>
          <w:p w14:paraId="7532A9EA" w14:textId="77777777" w:rsidR="005B084B" w:rsidRPr="00AD057B" w:rsidRDefault="005055DC" w:rsidP="00C15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Lab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доля работников с высшим образованием в структуре занятых в экономике региона; </w:t>
            </w:r>
          </w:p>
          <w:p w14:paraId="231613D7" w14:textId="33AD5D2F" w:rsidR="005055DC" w:rsidRPr="00AD057B" w:rsidRDefault="005055DC" w:rsidP="00C15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Lab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Lab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AD057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минимальное и максимальное значение по выборке регионов.</w:t>
            </w:r>
          </w:p>
        </w:tc>
      </w:tr>
      <w:tr w:rsidR="005055DC" w:rsidRPr="00AD057B" w14:paraId="3CBAF817" w14:textId="77777777" w:rsidTr="005055DC">
        <w:tc>
          <w:tcPr>
            <w:tcW w:w="2918" w:type="dxa"/>
            <w:vAlign w:val="center"/>
          </w:tcPr>
          <w:p w14:paraId="3FB2D80A" w14:textId="04019E5B" w:rsidR="005055DC" w:rsidRPr="00AD057B" w:rsidRDefault="005055DC" w:rsidP="00505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Индекс человеческого капитала,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edu</w:t>
            </w:r>
            <w:proofErr w:type="spellEnd"/>
          </w:p>
        </w:tc>
        <w:tc>
          <w:tcPr>
            <w:tcW w:w="2719" w:type="dxa"/>
            <w:vAlign w:val="center"/>
          </w:tcPr>
          <w:p w14:paraId="4B16C495" w14:textId="070BF904" w:rsidR="005055DC" w:rsidRPr="00AD057B" w:rsidRDefault="00E13B8C" w:rsidP="005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edu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vertAlign w:val="subscript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Edu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Edu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Edu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Edu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252" w:type="dxa"/>
            <w:vAlign w:val="center"/>
          </w:tcPr>
          <w:p w14:paraId="5C54DB96" w14:textId="77777777" w:rsidR="005B084B" w:rsidRPr="00AD057B" w:rsidRDefault="005055DC" w:rsidP="005B0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Edu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>доля работников с высшим образованием в структуре занятых в экономике региона;</w:t>
            </w:r>
          </w:p>
          <w:p w14:paraId="438076DF" w14:textId="724945AD" w:rsidR="005055DC" w:rsidRPr="00AD057B" w:rsidRDefault="005055DC" w:rsidP="005B0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</w:rPr>
              <w:t>Edu</w:t>
            </w:r>
            <w:proofErr w:type="spellEnd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B084B"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Edu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AD057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минимальное и максимальное значение по выборке регионов.</w:t>
            </w:r>
          </w:p>
        </w:tc>
      </w:tr>
      <w:tr w:rsidR="005055DC" w:rsidRPr="00AD057B" w14:paraId="60560813" w14:textId="77777777" w:rsidTr="005055DC">
        <w:tc>
          <w:tcPr>
            <w:tcW w:w="2918" w:type="dxa"/>
            <w:vAlign w:val="center"/>
          </w:tcPr>
          <w:p w14:paraId="6BCC4E03" w14:textId="625EF5FE" w:rsidR="005055DC" w:rsidRPr="00AD057B" w:rsidRDefault="005055DC" w:rsidP="00505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>Индекс таланта</w:t>
            </w:r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tal</w:t>
            </w:r>
            <w:proofErr w:type="spellEnd"/>
          </w:p>
        </w:tc>
        <w:tc>
          <w:tcPr>
            <w:tcW w:w="2719" w:type="dxa"/>
            <w:vAlign w:val="center"/>
          </w:tcPr>
          <w:p w14:paraId="17D9CA1F" w14:textId="346753AE" w:rsidR="005055DC" w:rsidRPr="00AD057B" w:rsidRDefault="00E13B8C" w:rsidP="00505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tal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ent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lab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edu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192BB2A6" w14:textId="7B0212C6" w:rsidR="005055DC" w:rsidRPr="00AD057B" w:rsidRDefault="005055DC" w:rsidP="005B0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>Определяется как среднее арифметическое значение индексов предпринимательства, качества рабочей силы и человеческого капитала</w:t>
            </w:r>
          </w:p>
        </w:tc>
      </w:tr>
      <w:tr w:rsidR="005B084B" w:rsidRPr="00AD057B" w14:paraId="6209DE36" w14:textId="77777777" w:rsidTr="005B084B">
        <w:tc>
          <w:tcPr>
            <w:tcW w:w="2918" w:type="dxa"/>
            <w:vAlign w:val="center"/>
          </w:tcPr>
          <w:p w14:paraId="5F80B364" w14:textId="0F58E155" w:rsidR="005B084B" w:rsidRPr="00AD057B" w:rsidRDefault="005B084B" w:rsidP="005B0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Индекс НИОКР,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sci</w:t>
            </w:r>
            <w:proofErr w:type="spellEnd"/>
          </w:p>
        </w:tc>
        <w:tc>
          <w:tcPr>
            <w:tcW w:w="2719" w:type="dxa"/>
            <w:vAlign w:val="center"/>
          </w:tcPr>
          <w:p w14:paraId="676EF225" w14:textId="1AAACE8D" w:rsidR="005B084B" w:rsidRPr="00AD057B" w:rsidRDefault="00E13B8C" w:rsidP="005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sci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vertAlign w:val="subscript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Sci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Sci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Sci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Sci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252" w:type="dxa"/>
            <w:vAlign w:val="center"/>
          </w:tcPr>
          <w:p w14:paraId="1CDCB290" w14:textId="6AB4DDBD" w:rsidR="005B084B" w:rsidRPr="00AD057B" w:rsidRDefault="005B084B" w:rsidP="005B0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доля НИОКР в ВРП; </w:t>
            </w:r>
          </w:p>
          <w:p w14:paraId="264C6815" w14:textId="0FB83B4D" w:rsidR="005B084B" w:rsidRPr="00AD057B" w:rsidRDefault="005B084B" w:rsidP="005B0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AD057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минимальное и максимальное значение по выборке регионов.</w:t>
            </w:r>
          </w:p>
        </w:tc>
      </w:tr>
      <w:tr w:rsidR="005B084B" w:rsidRPr="00AD057B" w14:paraId="43F15BBB" w14:textId="77777777" w:rsidTr="005B084B">
        <w:tc>
          <w:tcPr>
            <w:tcW w:w="2918" w:type="dxa"/>
            <w:vAlign w:val="center"/>
          </w:tcPr>
          <w:p w14:paraId="2F9EBB20" w14:textId="19BC4341" w:rsidR="005B084B" w:rsidRPr="00AD057B" w:rsidRDefault="005B084B" w:rsidP="005B0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Индекс фундаментальной науки,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fsci</w:t>
            </w:r>
            <w:proofErr w:type="spellEnd"/>
          </w:p>
        </w:tc>
        <w:tc>
          <w:tcPr>
            <w:tcW w:w="2719" w:type="dxa"/>
            <w:vAlign w:val="center"/>
          </w:tcPr>
          <w:p w14:paraId="777D779D" w14:textId="249700D2" w:rsidR="005B084B" w:rsidRPr="00AD057B" w:rsidRDefault="00E13B8C" w:rsidP="005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fsci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vertAlign w:val="subscript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Fsci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Fsci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Fsci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Fsci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252" w:type="dxa"/>
            <w:vAlign w:val="center"/>
          </w:tcPr>
          <w:p w14:paraId="040DD141" w14:textId="2BE8AF6F" w:rsidR="005B084B" w:rsidRPr="00AD057B" w:rsidRDefault="005B084B" w:rsidP="005B0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Fsci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доля фундаментальных исследований в НИКОР; </w:t>
            </w:r>
          </w:p>
          <w:p w14:paraId="2362BCB2" w14:textId="1782957F" w:rsidR="005B084B" w:rsidRPr="00AD057B" w:rsidRDefault="005B084B" w:rsidP="005B0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Fsci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Fsci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AD057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минимальное и максимальное значение по выборке регионов.</w:t>
            </w:r>
          </w:p>
        </w:tc>
      </w:tr>
      <w:tr w:rsidR="005B084B" w:rsidRPr="00AD057B" w14:paraId="670A9320" w14:textId="77777777" w:rsidTr="005B084B">
        <w:tc>
          <w:tcPr>
            <w:tcW w:w="2918" w:type="dxa"/>
            <w:vAlign w:val="center"/>
          </w:tcPr>
          <w:p w14:paraId="1D58E9AE" w14:textId="3F96AA5A" w:rsidR="005B084B" w:rsidRPr="00AD057B" w:rsidRDefault="005B084B" w:rsidP="009E2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r w:rsidR="009E24F0" w:rsidRPr="00AD057B">
              <w:rPr>
                <w:rFonts w:ascii="Times New Roman" w:hAnsi="Times New Roman" w:cs="Times New Roman"/>
                <w:sz w:val="20"/>
                <w:szCs w:val="20"/>
              </w:rPr>
              <w:t>изобретений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9E24F0"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inv</w:t>
            </w:r>
            <w:proofErr w:type="spellEnd"/>
          </w:p>
        </w:tc>
        <w:tc>
          <w:tcPr>
            <w:tcW w:w="2719" w:type="dxa"/>
            <w:vAlign w:val="center"/>
          </w:tcPr>
          <w:p w14:paraId="77097C65" w14:textId="4FA68A88" w:rsidR="005B084B" w:rsidRPr="00AD057B" w:rsidRDefault="00E13B8C" w:rsidP="005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inv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vertAlign w:val="subscript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Inv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Inv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Inv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Inv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252" w:type="dxa"/>
            <w:vAlign w:val="center"/>
          </w:tcPr>
          <w:p w14:paraId="35A11499" w14:textId="1792D69B" w:rsidR="005B084B" w:rsidRPr="00AD057B" w:rsidRDefault="005B084B" w:rsidP="005B0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E24F0"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Inv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9E24F0" w:rsidRPr="00AD057B">
              <w:rPr>
                <w:rFonts w:ascii="Times New Roman" w:hAnsi="Times New Roman" w:cs="Times New Roman"/>
                <w:sz w:val="20"/>
                <w:szCs w:val="20"/>
              </w:rPr>
              <w:t>число заявок на изобретения на 1000 жителей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F613C5" w14:textId="366AE1E6" w:rsidR="005B084B" w:rsidRPr="00AD057B" w:rsidRDefault="009E24F0" w:rsidP="009E2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</w:rPr>
              <w:t>Inv</w:t>
            </w:r>
            <w:proofErr w:type="spellEnd"/>
            <w:r w:rsidR="005B084B"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Inv</w:t>
            </w:r>
            <w:r w:rsidR="005B084B"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="005B084B" w:rsidRPr="00AD057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5B084B"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84B"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5B084B"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минимальное и максимальное значение по выборке регионов.</w:t>
            </w:r>
          </w:p>
        </w:tc>
      </w:tr>
      <w:tr w:rsidR="005B084B" w:rsidRPr="00AD057B" w14:paraId="3207CB0E" w14:textId="77777777" w:rsidTr="005B084B">
        <w:tc>
          <w:tcPr>
            <w:tcW w:w="2918" w:type="dxa"/>
            <w:vAlign w:val="center"/>
          </w:tcPr>
          <w:p w14:paraId="1BBB0E91" w14:textId="587F0888" w:rsidR="005B084B" w:rsidRPr="00AD057B" w:rsidRDefault="009E24F0" w:rsidP="009E2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>Индекс результативности изобретений</w:t>
            </w:r>
            <w:r w:rsidR="005B084B"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B084B"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pat</w:t>
            </w:r>
            <w:proofErr w:type="spellEnd"/>
          </w:p>
        </w:tc>
        <w:tc>
          <w:tcPr>
            <w:tcW w:w="2719" w:type="dxa"/>
            <w:vAlign w:val="center"/>
          </w:tcPr>
          <w:p w14:paraId="722A7F47" w14:textId="42CBD6DC" w:rsidR="005B084B" w:rsidRPr="00AD057B" w:rsidRDefault="00E13B8C" w:rsidP="005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pat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vertAlign w:val="subscript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Pat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Pat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Pat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Pat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252" w:type="dxa"/>
            <w:vAlign w:val="center"/>
          </w:tcPr>
          <w:p w14:paraId="28CB6A9B" w14:textId="6479A3FA" w:rsidR="005B084B" w:rsidRPr="00AD057B" w:rsidRDefault="009E24F0" w:rsidP="005B0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</w:rPr>
              <w:t>Pat</w:t>
            </w:r>
            <w:r w:rsidR="005B084B"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5B084B"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>число выданных патентов на 1000 жителей</w:t>
            </w:r>
            <w:r w:rsidR="005B084B" w:rsidRPr="00AD05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61C63F" w14:textId="7970D314" w:rsidR="005B084B" w:rsidRPr="00AD057B" w:rsidRDefault="009E24F0" w:rsidP="009E2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Pat</w:t>
            </w:r>
            <w:r w:rsidR="005B084B"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Pat</w:t>
            </w:r>
            <w:r w:rsidR="005B084B"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="005B084B" w:rsidRPr="00AD057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5B084B"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84B"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5B084B"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минимальное и максимальное значение по выборке регионов.</w:t>
            </w:r>
          </w:p>
        </w:tc>
      </w:tr>
      <w:tr w:rsidR="009E24F0" w:rsidRPr="00AD057B" w14:paraId="6CE30407" w14:textId="77777777" w:rsidTr="009E24F0">
        <w:trPr>
          <w:trHeight w:val="489"/>
        </w:trPr>
        <w:tc>
          <w:tcPr>
            <w:tcW w:w="2918" w:type="dxa"/>
            <w:vAlign w:val="center"/>
          </w:tcPr>
          <w:p w14:paraId="70059E71" w14:textId="71CD78EE" w:rsidR="009E24F0" w:rsidRPr="00AD057B" w:rsidRDefault="009E24F0" w:rsidP="005A5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>Индекс технологий</w:t>
            </w:r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tech</w:t>
            </w:r>
            <w:proofErr w:type="spellEnd"/>
          </w:p>
        </w:tc>
        <w:tc>
          <w:tcPr>
            <w:tcW w:w="2719" w:type="dxa"/>
            <w:vAlign w:val="center"/>
          </w:tcPr>
          <w:p w14:paraId="229C4465" w14:textId="60BDFAF9" w:rsidR="009E24F0" w:rsidRPr="00AD057B" w:rsidRDefault="00E13B8C" w:rsidP="009E2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tech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sci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fsci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inv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pat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5FF8AD88" w14:textId="6183E84F" w:rsidR="009E24F0" w:rsidRPr="00AD057B" w:rsidRDefault="009E24F0" w:rsidP="0063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>Определяется как среднее арифметическое значение индексов НИОКР,</w:t>
            </w:r>
            <w:r w:rsidR="006330E8"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фундаментальной науки, изобретений и результативности изобретений</w:t>
            </w:r>
          </w:p>
        </w:tc>
      </w:tr>
      <w:tr w:rsidR="006330E8" w:rsidRPr="00AD057B" w14:paraId="3DAA685F" w14:textId="77777777" w:rsidTr="006330E8">
        <w:trPr>
          <w:trHeight w:val="489"/>
        </w:trPr>
        <w:tc>
          <w:tcPr>
            <w:tcW w:w="2918" w:type="dxa"/>
            <w:vAlign w:val="center"/>
          </w:tcPr>
          <w:p w14:paraId="0283C303" w14:textId="2EBC519D" w:rsidR="006330E8" w:rsidRPr="00AD057B" w:rsidRDefault="006330E8" w:rsidP="0063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Индекс миграции,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mig</w:t>
            </w:r>
            <w:proofErr w:type="spellEnd"/>
          </w:p>
        </w:tc>
        <w:tc>
          <w:tcPr>
            <w:tcW w:w="2719" w:type="dxa"/>
            <w:vAlign w:val="center"/>
          </w:tcPr>
          <w:p w14:paraId="13DCE9F0" w14:textId="63545EDB" w:rsidR="006330E8" w:rsidRPr="00AD057B" w:rsidRDefault="00E13B8C" w:rsidP="0063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mig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vertAlign w:val="subscript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252" w:type="dxa"/>
            <w:vAlign w:val="center"/>
          </w:tcPr>
          <w:p w14:paraId="17641CAB" w14:textId="36E0D980" w:rsidR="006330E8" w:rsidRPr="00AD057B" w:rsidRDefault="006330E8" w:rsidP="0063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Mig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мигрантов на 1000 жителей; </w:t>
            </w:r>
          </w:p>
          <w:p w14:paraId="1D07573C" w14:textId="07D7725E" w:rsidR="006330E8" w:rsidRPr="00AD057B" w:rsidRDefault="006330E8" w:rsidP="005A5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Mig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Mig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AD057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минимальное и максимальное значение по выборке регионов.</w:t>
            </w:r>
          </w:p>
        </w:tc>
      </w:tr>
      <w:tr w:rsidR="006330E8" w:rsidRPr="00AD057B" w14:paraId="436B372F" w14:textId="77777777" w:rsidTr="006330E8">
        <w:trPr>
          <w:trHeight w:val="489"/>
        </w:trPr>
        <w:tc>
          <w:tcPr>
            <w:tcW w:w="2918" w:type="dxa"/>
            <w:vAlign w:val="center"/>
          </w:tcPr>
          <w:p w14:paraId="6E683938" w14:textId="322ABEA2" w:rsidR="006330E8" w:rsidRPr="00AD057B" w:rsidRDefault="006330E8" w:rsidP="0063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Индекс качества миграции,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dmig</w:t>
            </w:r>
            <w:proofErr w:type="spellEnd"/>
          </w:p>
        </w:tc>
        <w:tc>
          <w:tcPr>
            <w:tcW w:w="2719" w:type="dxa"/>
            <w:vAlign w:val="center"/>
          </w:tcPr>
          <w:p w14:paraId="2F67FBBA" w14:textId="0CA3E0D6" w:rsidR="006330E8" w:rsidRPr="00AD057B" w:rsidRDefault="00E13B8C" w:rsidP="0063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dmig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vertAlign w:val="subscript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Dmig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Dmig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Dmig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Dmig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252" w:type="dxa"/>
            <w:vAlign w:val="center"/>
          </w:tcPr>
          <w:p w14:paraId="50A2794B" w14:textId="45A1494F" w:rsidR="006330E8" w:rsidRPr="00AD057B" w:rsidRDefault="006330E8" w:rsidP="0063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Dmig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64D2E"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C64D2E" w:rsidRPr="00AD057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приезжих – мигрантов из стран с в</w:t>
            </w:r>
            <w:r w:rsidR="00C64D2E" w:rsidRPr="00AD057B">
              <w:rPr>
                <w:rFonts w:ascii="Times New Roman" w:hAnsi="Times New Roman" w:cs="Times New Roman"/>
                <w:sz w:val="20"/>
                <w:szCs w:val="20"/>
              </w:rPr>
              <w:t>ысоким уровнем качества жизни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330D514" w14:textId="3BF159FD" w:rsidR="006330E8" w:rsidRPr="00AD057B" w:rsidRDefault="00C64D2E" w:rsidP="00C6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Dmig</w:t>
            </w:r>
            <w:r w:rsidR="006330E8"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Dmig</w:t>
            </w:r>
            <w:r w:rsidR="006330E8"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="006330E8" w:rsidRPr="00AD057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6330E8"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E8"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6330E8"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минимальное и максимальное значение по выборке регионов.</w:t>
            </w:r>
          </w:p>
        </w:tc>
      </w:tr>
      <w:tr w:rsidR="006330E8" w:rsidRPr="00AD057B" w14:paraId="259EE35A" w14:textId="77777777" w:rsidTr="006330E8">
        <w:trPr>
          <w:trHeight w:val="489"/>
        </w:trPr>
        <w:tc>
          <w:tcPr>
            <w:tcW w:w="2918" w:type="dxa"/>
            <w:vAlign w:val="center"/>
          </w:tcPr>
          <w:p w14:paraId="0330D487" w14:textId="163E8C09" w:rsidR="006330E8" w:rsidRPr="00AD057B" w:rsidRDefault="00C64D2E" w:rsidP="00C6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>Индекс этнического разнообразия</w:t>
            </w:r>
            <w:r w:rsidR="006330E8"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330E8"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ehhi</w:t>
            </w:r>
            <w:proofErr w:type="spellEnd"/>
          </w:p>
        </w:tc>
        <w:tc>
          <w:tcPr>
            <w:tcW w:w="2719" w:type="dxa"/>
            <w:vAlign w:val="center"/>
          </w:tcPr>
          <w:p w14:paraId="0355F957" w14:textId="10D4F23B" w:rsidR="006330E8" w:rsidRPr="00AD057B" w:rsidRDefault="00E13B8C" w:rsidP="00C6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ehhi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vertAlign w:val="subscript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Ehhi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Ehhi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Ehhi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Ehhi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bscript"/>
                            <w:lang w:val="en-US"/>
                          </w:rPr>
                          <m:t>min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252" w:type="dxa"/>
            <w:vAlign w:val="center"/>
          </w:tcPr>
          <w:p w14:paraId="234270F4" w14:textId="50EFAA7C" w:rsidR="006330E8" w:rsidRPr="00AD057B" w:rsidRDefault="006330E8" w:rsidP="0063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64D2E"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Ehhi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64D2E"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C64D2E" w:rsidRPr="00AD057B">
              <w:rPr>
                <w:rFonts w:ascii="Times New Roman" w:hAnsi="Times New Roman" w:cs="Times New Roman"/>
                <w:sz w:val="20"/>
                <w:szCs w:val="20"/>
              </w:rPr>
              <w:t>величина, обратная показателю, рассчитанному как сумма квадратов долей трех доминирующих национальностей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44B3E3A" w14:textId="26E35D3E" w:rsidR="006330E8" w:rsidRPr="00AD057B" w:rsidRDefault="006330E8" w:rsidP="00C6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="00C64D2E" w:rsidRPr="00AD057B">
              <w:rPr>
                <w:rFonts w:ascii="Times New Roman" w:hAnsi="Times New Roman" w:cs="Times New Roman"/>
                <w:i/>
                <w:sz w:val="20"/>
                <w:szCs w:val="20"/>
              </w:rPr>
              <w:t>hhi</w:t>
            </w:r>
            <w:proofErr w:type="spellEnd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C64D2E"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hhi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AD057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минимальное и максимальное значение по выборке регионов.</w:t>
            </w:r>
          </w:p>
        </w:tc>
      </w:tr>
      <w:tr w:rsidR="006330E8" w:rsidRPr="00AD057B" w14:paraId="1F6086E6" w14:textId="77777777" w:rsidTr="006330E8">
        <w:trPr>
          <w:trHeight w:val="489"/>
        </w:trPr>
        <w:tc>
          <w:tcPr>
            <w:tcW w:w="2918" w:type="dxa"/>
            <w:vAlign w:val="center"/>
          </w:tcPr>
          <w:p w14:paraId="1ED878A7" w14:textId="177D7989" w:rsidR="006330E8" w:rsidRPr="00AD057B" w:rsidRDefault="006330E8" w:rsidP="00C6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r w:rsidR="00C64D2E" w:rsidRPr="00AD057B">
              <w:rPr>
                <w:rFonts w:ascii="Times New Roman" w:hAnsi="Times New Roman" w:cs="Times New Roman"/>
                <w:sz w:val="20"/>
                <w:szCs w:val="20"/>
              </w:rPr>
              <w:t>«плавильного котла»</w:t>
            </w:r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="00C64D2E"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o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l</w:t>
            </w:r>
            <w:proofErr w:type="spellEnd"/>
          </w:p>
        </w:tc>
        <w:tc>
          <w:tcPr>
            <w:tcW w:w="2719" w:type="dxa"/>
            <w:vAlign w:val="center"/>
          </w:tcPr>
          <w:p w14:paraId="719966D2" w14:textId="01860F23" w:rsidR="006330E8" w:rsidRPr="00AD057B" w:rsidRDefault="00E13B8C" w:rsidP="005A5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tal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mig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dmig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ehhi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250A836C" w14:textId="6D246AAA" w:rsidR="006330E8" w:rsidRPr="00AD057B" w:rsidRDefault="006330E8" w:rsidP="00C6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как среднее арифметическое значение индексов </w:t>
            </w:r>
            <w:r w:rsidR="00C64D2E" w:rsidRPr="00AD057B">
              <w:rPr>
                <w:rFonts w:ascii="Times New Roman" w:hAnsi="Times New Roman" w:cs="Times New Roman"/>
                <w:sz w:val="20"/>
                <w:szCs w:val="20"/>
              </w:rPr>
              <w:t>миграции, качества миграции и этнического разнообразия</w:t>
            </w:r>
          </w:p>
        </w:tc>
      </w:tr>
      <w:tr w:rsidR="00C64D2E" w:rsidRPr="00AD057B" w14:paraId="3F63F73A" w14:textId="77777777" w:rsidTr="00641D6C">
        <w:trPr>
          <w:trHeight w:val="489"/>
        </w:trPr>
        <w:tc>
          <w:tcPr>
            <w:tcW w:w="2918" w:type="dxa"/>
            <w:vAlign w:val="center"/>
          </w:tcPr>
          <w:p w14:paraId="5523F607" w14:textId="185DEAE3" w:rsidR="00C64D2E" w:rsidRPr="00AD057B" w:rsidRDefault="00C64D2E" w:rsidP="00C6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>Итоговый индекс креативности региона</w:t>
            </w:r>
            <w:r w:rsidRPr="00AD0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AD05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cr</w:t>
            </w:r>
            <w:proofErr w:type="spellEnd"/>
          </w:p>
        </w:tc>
        <w:tc>
          <w:tcPr>
            <w:tcW w:w="2719" w:type="dxa"/>
            <w:vAlign w:val="center"/>
          </w:tcPr>
          <w:p w14:paraId="5FA24787" w14:textId="3CAB1237" w:rsidR="00C64D2E" w:rsidRPr="00AD057B" w:rsidRDefault="00E13B8C" w:rsidP="005A5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tal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tech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tol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4252" w:type="dxa"/>
          </w:tcPr>
          <w:p w14:paraId="6F9EEFD7" w14:textId="48821DDB" w:rsidR="00C64D2E" w:rsidRPr="00AD057B" w:rsidRDefault="00C64D2E" w:rsidP="00C6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B">
              <w:rPr>
                <w:rFonts w:ascii="Times New Roman" w:hAnsi="Times New Roman" w:cs="Times New Roman"/>
                <w:sz w:val="20"/>
                <w:szCs w:val="20"/>
              </w:rPr>
              <w:t>Определяется как среднее арифметическое значение индексов таланта, технологий и «плавильного котла»</w:t>
            </w:r>
          </w:p>
        </w:tc>
      </w:tr>
    </w:tbl>
    <w:p w14:paraId="2A99C205" w14:textId="59392EF0" w:rsidR="00E13B8C" w:rsidRPr="00E13B8C" w:rsidRDefault="00E13B8C" w:rsidP="00E1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Источник: с</w:t>
      </w:r>
      <w:r w:rsidRPr="00E13B8C">
        <w:rPr>
          <w:rFonts w:ascii="Times New Roman" w:hAnsi="Times New Roman" w:cs="Times New Roman"/>
          <w:sz w:val="22"/>
        </w:rPr>
        <w:t xml:space="preserve">оставлено автором на основе подхода А.Н. </w:t>
      </w:r>
      <w:proofErr w:type="spellStart"/>
      <w:r w:rsidRPr="00E13B8C">
        <w:rPr>
          <w:rFonts w:ascii="Times New Roman" w:hAnsi="Times New Roman" w:cs="Times New Roman"/>
          <w:sz w:val="22"/>
        </w:rPr>
        <w:t>Пилясова</w:t>
      </w:r>
      <w:proofErr w:type="spellEnd"/>
      <w:r w:rsidRPr="00E13B8C">
        <w:rPr>
          <w:rFonts w:ascii="Times New Roman" w:hAnsi="Times New Roman" w:cs="Times New Roman"/>
          <w:sz w:val="22"/>
        </w:rPr>
        <w:t>, О.В. Колесниковой</w:t>
      </w:r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Пилясов</w:t>
      </w:r>
      <w:proofErr w:type="spellEnd"/>
      <w:r>
        <w:rPr>
          <w:rFonts w:ascii="Times New Roman" w:hAnsi="Times New Roman" w:cs="Times New Roman"/>
          <w:sz w:val="22"/>
        </w:rPr>
        <w:t>, Колесникова, 2008)</w:t>
      </w:r>
    </w:p>
    <w:p w14:paraId="4D308001" w14:textId="77777777" w:rsidR="00E13B8C" w:rsidRDefault="00E13B8C" w:rsidP="001C0A4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CD9CC90" w14:textId="5D4F2FB2" w:rsidR="00672776" w:rsidRPr="00AD057B" w:rsidRDefault="00641D6C" w:rsidP="001C0A4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Следует дать некотор</w:t>
      </w:r>
      <w:r w:rsidR="005E03E9" w:rsidRPr="00AD057B">
        <w:rPr>
          <w:rFonts w:ascii="Times New Roman" w:hAnsi="Times New Roman" w:cs="Times New Roman"/>
        </w:rPr>
        <w:t>ые пояснения, которые необходимы</w:t>
      </w:r>
      <w:r w:rsidRPr="00AD057B">
        <w:rPr>
          <w:rFonts w:ascii="Times New Roman" w:hAnsi="Times New Roman" w:cs="Times New Roman"/>
        </w:rPr>
        <w:t xml:space="preserve">  при расчете и интерпретации данных индексов. </w:t>
      </w:r>
      <w:r w:rsidR="001C0A47" w:rsidRPr="00AD057B">
        <w:rPr>
          <w:rFonts w:ascii="Times New Roman" w:hAnsi="Times New Roman" w:cs="Times New Roman"/>
        </w:rPr>
        <w:t>Ц</w:t>
      </w:r>
      <w:r w:rsidRPr="00AD057B">
        <w:rPr>
          <w:rFonts w:ascii="Times New Roman" w:hAnsi="Times New Roman" w:cs="Times New Roman"/>
        </w:rPr>
        <w:t xml:space="preserve">еликом воспроизвести систему индексов «3Т» предложенную Р. Флоридой невозможно – при ее прямом переносе мы сталкиваемся с большим количеством </w:t>
      </w:r>
      <w:r w:rsidR="00E3321A" w:rsidRPr="00AD057B">
        <w:rPr>
          <w:rFonts w:ascii="Times New Roman" w:hAnsi="Times New Roman" w:cs="Times New Roman"/>
        </w:rPr>
        <w:t xml:space="preserve">сложностей, связанных как с отсутствием данных статистики, так и с культурными противоречиями.  Наибольшее затруднение вызывает определение индекса толерантности, который в нашем случае заменен индексом «плавильного котла» - мы полагаем, что такая замена возможна, ее обоснование приведено в работе А.Н. </w:t>
      </w:r>
      <w:proofErr w:type="spellStart"/>
      <w:r w:rsidR="00E3321A" w:rsidRPr="00AD057B">
        <w:rPr>
          <w:rFonts w:ascii="Times New Roman" w:hAnsi="Times New Roman" w:cs="Times New Roman"/>
        </w:rPr>
        <w:t>Пилясова</w:t>
      </w:r>
      <w:proofErr w:type="spellEnd"/>
      <w:r w:rsidR="00E3321A" w:rsidRPr="00AD057B">
        <w:rPr>
          <w:rFonts w:ascii="Times New Roman" w:hAnsi="Times New Roman" w:cs="Times New Roman"/>
        </w:rPr>
        <w:t xml:space="preserve"> и О.В. Колесниковой, чью методологию расчета индексов мы заимствовали практически целиком, проведя изменения лишь в части недоступных для расчета показателей.</w:t>
      </w:r>
    </w:p>
    <w:p w14:paraId="41E59981" w14:textId="499B5149" w:rsidR="001C0A47" w:rsidRPr="00AD057B" w:rsidRDefault="00850EDB" w:rsidP="00BD39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Для определения индекса креативности и составления рейтинга российских регионов нами были отобраны регионы, центрами которых являются го</w:t>
      </w:r>
      <w:r w:rsidR="00BD3986" w:rsidRPr="00AD057B">
        <w:rPr>
          <w:rFonts w:ascii="Times New Roman" w:hAnsi="Times New Roman" w:cs="Times New Roman"/>
        </w:rPr>
        <w:t>рода с населением более 1 млн. ч</w:t>
      </w:r>
      <w:r w:rsidRPr="00AD057B">
        <w:rPr>
          <w:rFonts w:ascii="Times New Roman" w:hAnsi="Times New Roman" w:cs="Times New Roman"/>
        </w:rPr>
        <w:t>еловек, из списка были исключены регионы, центрами которых являются столичные города – Москва и Санкт-Петербург – поскольку данные</w:t>
      </w:r>
      <w:r w:rsidR="0023002E" w:rsidRPr="00AD057B">
        <w:rPr>
          <w:rFonts w:ascii="Times New Roman" w:hAnsi="Times New Roman" w:cs="Times New Roman"/>
        </w:rPr>
        <w:t xml:space="preserve"> территории обладают дополнительными преимуществами, связанными с особым режимом функционирования столичных городов, исторически сложившимся особенностями размещения ведущих научных центров в столичных городах и иные факторы, которые в данном рейтинге обеспечивают данным городам лидирующие позиции. В ракурсе нашего анализа – регионы России, которые конкурируют между собой и, в первую очередь, со столичными городами.</w:t>
      </w:r>
      <w:r w:rsidR="00BD3986" w:rsidRPr="00AD057B">
        <w:rPr>
          <w:rFonts w:ascii="Times New Roman" w:hAnsi="Times New Roman" w:cs="Times New Roman"/>
        </w:rPr>
        <w:t xml:space="preserve"> Источник данных для проведения расчетов – информация федеральной службы государственной статистики РФ, расположенная на официальном сайте и регулярно обновляемая (</w:t>
      </w:r>
      <w:r w:rsidR="005A542A">
        <w:rPr>
          <w:rFonts w:ascii="Times New Roman" w:hAnsi="Times New Roman" w:cs="Times New Roman"/>
        </w:rPr>
        <w:t>12</w:t>
      </w:r>
      <w:r w:rsidR="00BD3986" w:rsidRPr="00AD057B">
        <w:rPr>
          <w:rFonts w:ascii="Times New Roman" w:hAnsi="Times New Roman" w:cs="Times New Roman"/>
        </w:rPr>
        <w:t>), а также информация о региональном развитии, которая регулярно публикуется органами статистики в сборнике «Регионы России» (</w:t>
      </w:r>
      <w:r w:rsidR="005A542A">
        <w:rPr>
          <w:rFonts w:ascii="Times New Roman" w:hAnsi="Times New Roman" w:cs="Times New Roman"/>
          <w:lang w:val="en-US"/>
        </w:rPr>
        <w:t>12</w:t>
      </w:r>
      <w:r w:rsidR="00BD3986" w:rsidRPr="00AD057B">
        <w:rPr>
          <w:rFonts w:ascii="Times New Roman" w:hAnsi="Times New Roman" w:cs="Times New Roman"/>
        </w:rPr>
        <w:t xml:space="preserve">). Для определения рейтинга конкурентоспособности через призму креативности регионов были выбраны статистические данные за 2009 - 2010 год – данный период наиболее полно обеспечен необходимой статистической информацией. </w:t>
      </w:r>
      <w:r w:rsidR="001C0A47" w:rsidRPr="00AD057B">
        <w:rPr>
          <w:rFonts w:ascii="Times New Roman" w:hAnsi="Times New Roman" w:cs="Times New Roman"/>
        </w:rPr>
        <w:t>Проведя расчеты, мы получили следующие результаты:</w:t>
      </w:r>
    </w:p>
    <w:p w14:paraId="0E68633B" w14:textId="55B38E46" w:rsidR="001C0A47" w:rsidRPr="00AD057B" w:rsidRDefault="001C0A47" w:rsidP="001C0A4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ТАБЛИЦА 2</w:t>
      </w:r>
    </w:p>
    <w:p w14:paraId="6465E3FA" w14:textId="6D5B30D4" w:rsidR="001C0A47" w:rsidRPr="00AD057B" w:rsidRDefault="001C0A47" w:rsidP="008230E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AD057B">
        <w:rPr>
          <w:rFonts w:ascii="Times New Roman" w:hAnsi="Times New Roman" w:cs="Times New Roman"/>
          <w:b/>
        </w:rPr>
        <w:t>Индексы, формирующие сводный индекс креативности регионов России по данным статистики за 2010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560"/>
      </w:tblGrid>
      <w:tr w:rsidR="001C0A47" w:rsidRPr="00AD057B" w14:paraId="58DB6518" w14:textId="77777777" w:rsidTr="00850EDB">
        <w:trPr>
          <w:trHeight w:val="84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863F7D2" w14:textId="77777777" w:rsidR="001C0A47" w:rsidRPr="00AD057B" w:rsidRDefault="001C0A47" w:rsidP="00230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Регионы России</w:t>
            </w:r>
          </w:p>
        </w:tc>
        <w:tc>
          <w:tcPr>
            <w:tcW w:w="1559" w:type="dxa"/>
            <w:vAlign w:val="center"/>
          </w:tcPr>
          <w:p w14:paraId="5EF800AC" w14:textId="43DBFD1C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Индекс таланта </w:t>
            </w:r>
          </w:p>
        </w:tc>
        <w:tc>
          <w:tcPr>
            <w:tcW w:w="1559" w:type="dxa"/>
            <w:vAlign w:val="center"/>
          </w:tcPr>
          <w:p w14:paraId="2D6916BB" w14:textId="387D6C03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Индекс технологий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A4C66E0" w14:textId="3183EEB3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Индекс плавильного котла </w:t>
            </w:r>
          </w:p>
        </w:tc>
      </w:tr>
      <w:tr w:rsidR="001C0A47" w:rsidRPr="00AD057B" w14:paraId="2D93942D" w14:textId="77777777" w:rsidTr="00850EDB">
        <w:trPr>
          <w:trHeight w:val="28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73C24160" w14:textId="77777777" w:rsidR="001C0A47" w:rsidRPr="00AD057B" w:rsidRDefault="001C0A47" w:rsidP="001C0A4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Волгоградская область</w:t>
            </w:r>
          </w:p>
        </w:tc>
        <w:tc>
          <w:tcPr>
            <w:tcW w:w="1559" w:type="dxa"/>
            <w:vAlign w:val="bottom"/>
          </w:tcPr>
          <w:p w14:paraId="5C1247E7" w14:textId="698A0079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0,53   </w:t>
            </w:r>
          </w:p>
        </w:tc>
        <w:tc>
          <w:tcPr>
            <w:tcW w:w="1559" w:type="dxa"/>
            <w:vAlign w:val="bottom"/>
          </w:tcPr>
          <w:p w14:paraId="2D31D0E4" w14:textId="3EA5893B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0,05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1ACABA2" w14:textId="3399C546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0,25   </w:t>
            </w:r>
          </w:p>
        </w:tc>
      </w:tr>
      <w:tr w:rsidR="001C0A47" w:rsidRPr="00AD057B" w14:paraId="3D384A5F" w14:textId="77777777" w:rsidTr="00850EDB">
        <w:trPr>
          <w:trHeight w:val="28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11A8530C" w14:textId="77777777" w:rsidR="001C0A47" w:rsidRPr="00AD057B" w:rsidRDefault="001C0A47" w:rsidP="001C0A4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Красноярская область</w:t>
            </w:r>
          </w:p>
        </w:tc>
        <w:tc>
          <w:tcPr>
            <w:tcW w:w="1559" w:type="dxa"/>
            <w:vAlign w:val="bottom"/>
          </w:tcPr>
          <w:p w14:paraId="49105B90" w14:textId="6E4111F9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0,29   </w:t>
            </w:r>
          </w:p>
        </w:tc>
        <w:tc>
          <w:tcPr>
            <w:tcW w:w="1559" w:type="dxa"/>
            <w:vAlign w:val="bottom"/>
          </w:tcPr>
          <w:p w14:paraId="6928CE29" w14:textId="6F8E639D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0,11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55E7E7" w14:textId="6B279916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0,37   </w:t>
            </w:r>
          </w:p>
        </w:tc>
      </w:tr>
      <w:tr w:rsidR="001C0A47" w:rsidRPr="00AD057B" w14:paraId="6401EFEF" w14:textId="77777777" w:rsidTr="00850EDB">
        <w:trPr>
          <w:trHeight w:val="28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389E70B" w14:textId="77777777" w:rsidR="001C0A47" w:rsidRPr="00AD057B" w:rsidRDefault="001C0A47" w:rsidP="001C0A4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Нижегородская область</w:t>
            </w:r>
          </w:p>
        </w:tc>
        <w:tc>
          <w:tcPr>
            <w:tcW w:w="1559" w:type="dxa"/>
            <w:vAlign w:val="bottom"/>
          </w:tcPr>
          <w:p w14:paraId="68035D71" w14:textId="515B6C80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0,44   </w:t>
            </w:r>
          </w:p>
        </w:tc>
        <w:tc>
          <w:tcPr>
            <w:tcW w:w="1559" w:type="dxa"/>
            <w:vAlign w:val="bottom"/>
          </w:tcPr>
          <w:p w14:paraId="29A316C7" w14:textId="44906D4E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0,30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1F70CC" w14:textId="5D79EDC2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0,15   </w:t>
            </w:r>
          </w:p>
        </w:tc>
      </w:tr>
      <w:tr w:rsidR="001C0A47" w:rsidRPr="00AD057B" w14:paraId="61FD66AC" w14:textId="77777777" w:rsidTr="00850EDB">
        <w:trPr>
          <w:trHeight w:val="28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95E98F0" w14:textId="77777777" w:rsidR="001C0A47" w:rsidRPr="00AD057B" w:rsidRDefault="001C0A47" w:rsidP="001C0A4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Новосибирская область</w:t>
            </w:r>
          </w:p>
        </w:tc>
        <w:tc>
          <w:tcPr>
            <w:tcW w:w="1559" w:type="dxa"/>
            <w:vAlign w:val="bottom"/>
          </w:tcPr>
          <w:p w14:paraId="6E9274BC" w14:textId="3B5E4BD5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0,65   </w:t>
            </w:r>
          </w:p>
        </w:tc>
        <w:tc>
          <w:tcPr>
            <w:tcW w:w="1559" w:type="dxa"/>
            <w:vAlign w:val="bottom"/>
          </w:tcPr>
          <w:p w14:paraId="4C45E6FF" w14:textId="73BE1922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0,57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3C0498E" w14:textId="70AD87F6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0,41   </w:t>
            </w:r>
          </w:p>
        </w:tc>
      </w:tr>
      <w:tr w:rsidR="001C0A47" w:rsidRPr="00AD057B" w14:paraId="37CC4C23" w14:textId="77777777" w:rsidTr="00850EDB">
        <w:trPr>
          <w:trHeight w:val="28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5158AF39" w14:textId="77777777" w:rsidR="001C0A47" w:rsidRPr="00AD057B" w:rsidRDefault="001C0A47" w:rsidP="001C0A4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Омская область</w:t>
            </w:r>
          </w:p>
        </w:tc>
        <w:tc>
          <w:tcPr>
            <w:tcW w:w="1559" w:type="dxa"/>
            <w:vAlign w:val="bottom"/>
          </w:tcPr>
          <w:p w14:paraId="0D6A07DC" w14:textId="2B900259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0,35   </w:t>
            </w:r>
          </w:p>
        </w:tc>
        <w:tc>
          <w:tcPr>
            <w:tcW w:w="1559" w:type="dxa"/>
            <w:vAlign w:val="bottom"/>
          </w:tcPr>
          <w:p w14:paraId="2899018C" w14:textId="5ED71859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0,12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AD52208" w14:textId="30BB9D94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0,64   </w:t>
            </w:r>
          </w:p>
        </w:tc>
      </w:tr>
      <w:tr w:rsidR="001C0A47" w:rsidRPr="00AD057B" w14:paraId="2A75C4CA" w14:textId="77777777" w:rsidTr="00850EDB">
        <w:trPr>
          <w:trHeight w:val="28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391B501" w14:textId="77777777" w:rsidR="001C0A47" w:rsidRPr="00AD057B" w:rsidRDefault="001C0A47" w:rsidP="001C0A4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Пермский край</w:t>
            </w:r>
          </w:p>
        </w:tc>
        <w:tc>
          <w:tcPr>
            <w:tcW w:w="1559" w:type="dxa"/>
            <w:vAlign w:val="bottom"/>
          </w:tcPr>
          <w:p w14:paraId="4C9380CD" w14:textId="4EB6CD40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0,09   </w:t>
            </w:r>
          </w:p>
        </w:tc>
        <w:tc>
          <w:tcPr>
            <w:tcW w:w="1559" w:type="dxa"/>
            <w:vAlign w:val="bottom"/>
          </w:tcPr>
          <w:p w14:paraId="0CA0E18E" w14:textId="7CCDF6DB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0,23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20A1B5" w14:textId="10DD15FA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0,20   </w:t>
            </w:r>
          </w:p>
        </w:tc>
      </w:tr>
      <w:tr w:rsidR="001C0A47" w:rsidRPr="00AD057B" w14:paraId="48261439" w14:textId="77777777" w:rsidTr="00850EDB">
        <w:trPr>
          <w:trHeight w:val="28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30B3FAB" w14:textId="77777777" w:rsidR="001C0A47" w:rsidRPr="00AD057B" w:rsidRDefault="001C0A47" w:rsidP="001C0A4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Республика Башкортостан</w:t>
            </w:r>
          </w:p>
        </w:tc>
        <w:tc>
          <w:tcPr>
            <w:tcW w:w="1559" w:type="dxa"/>
            <w:vAlign w:val="bottom"/>
          </w:tcPr>
          <w:p w14:paraId="7791F11A" w14:textId="55ECDD93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0,20   </w:t>
            </w:r>
          </w:p>
        </w:tc>
        <w:tc>
          <w:tcPr>
            <w:tcW w:w="1559" w:type="dxa"/>
            <w:vAlign w:val="bottom"/>
          </w:tcPr>
          <w:p w14:paraId="0F902113" w14:textId="04841850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0,15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CE7042A" w14:textId="12F9ADE0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0,52   </w:t>
            </w:r>
          </w:p>
        </w:tc>
      </w:tr>
      <w:tr w:rsidR="001C0A47" w:rsidRPr="00AD057B" w14:paraId="0C5430BD" w14:textId="77777777" w:rsidTr="00850EDB">
        <w:trPr>
          <w:trHeight w:val="28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77E2A2A0" w14:textId="77777777" w:rsidR="001C0A47" w:rsidRPr="00AD057B" w:rsidRDefault="001C0A47" w:rsidP="001C0A4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Республика Татарстан</w:t>
            </w:r>
          </w:p>
        </w:tc>
        <w:tc>
          <w:tcPr>
            <w:tcW w:w="1559" w:type="dxa"/>
            <w:vAlign w:val="bottom"/>
          </w:tcPr>
          <w:p w14:paraId="5FC79320" w14:textId="7AFD3B9F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0,45   </w:t>
            </w:r>
          </w:p>
        </w:tc>
        <w:tc>
          <w:tcPr>
            <w:tcW w:w="1559" w:type="dxa"/>
            <w:vAlign w:val="bottom"/>
          </w:tcPr>
          <w:p w14:paraId="017FB857" w14:textId="5AA56624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0,24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F39182" w14:textId="2751A04F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0,50   </w:t>
            </w:r>
          </w:p>
        </w:tc>
      </w:tr>
      <w:tr w:rsidR="001C0A47" w:rsidRPr="00AD057B" w14:paraId="591D5479" w14:textId="77777777" w:rsidTr="00850EDB">
        <w:trPr>
          <w:trHeight w:val="28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14DE7936" w14:textId="77777777" w:rsidR="001C0A47" w:rsidRPr="00AD057B" w:rsidRDefault="001C0A47" w:rsidP="001C0A4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Ростовская область</w:t>
            </w:r>
          </w:p>
        </w:tc>
        <w:tc>
          <w:tcPr>
            <w:tcW w:w="1559" w:type="dxa"/>
            <w:vAlign w:val="bottom"/>
          </w:tcPr>
          <w:p w14:paraId="487E148C" w14:textId="5FE54031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0,74   </w:t>
            </w:r>
          </w:p>
        </w:tc>
        <w:tc>
          <w:tcPr>
            <w:tcW w:w="1559" w:type="dxa"/>
            <w:vAlign w:val="bottom"/>
          </w:tcPr>
          <w:p w14:paraId="0643908C" w14:textId="164C4BF2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0,12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21B1ADE" w14:textId="1BCF9994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0,22   </w:t>
            </w:r>
          </w:p>
        </w:tc>
      </w:tr>
      <w:tr w:rsidR="001C0A47" w:rsidRPr="00AD057B" w14:paraId="743DCE3C" w14:textId="77777777" w:rsidTr="00850EDB">
        <w:trPr>
          <w:trHeight w:val="28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553E9E71" w14:textId="77777777" w:rsidR="001C0A47" w:rsidRPr="00AD057B" w:rsidRDefault="001C0A47" w:rsidP="001C0A4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Самарская область</w:t>
            </w:r>
          </w:p>
        </w:tc>
        <w:tc>
          <w:tcPr>
            <w:tcW w:w="1559" w:type="dxa"/>
            <w:vAlign w:val="bottom"/>
          </w:tcPr>
          <w:p w14:paraId="680A386E" w14:textId="78DC7456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0,65   </w:t>
            </w:r>
          </w:p>
        </w:tc>
        <w:tc>
          <w:tcPr>
            <w:tcW w:w="1559" w:type="dxa"/>
            <w:vAlign w:val="bottom"/>
          </w:tcPr>
          <w:p w14:paraId="319E9553" w14:textId="080A46BA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0,25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BF3AD53" w14:textId="690CF84D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0,40   </w:t>
            </w:r>
          </w:p>
        </w:tc>
      </w:tr>
      <w:tr w:rsidR="001C0A47" w:rsidRPr="00AD057B" w14:paraId="4C376C81" w14:textId="77777777" w:rsidTr="00850EDB">
        <w:trPr>
          <w:trHeight w:val="28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21DD98C" w14:textId="77777777" w:rsidR="001C0A47" w:rsidRPr="00AD057B" w:rsidRDefault="001C0A47" w:rsidP="001C0A4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Свердловская область</w:t>
            </w:r>
          </w:p>
        </w:tc>
        <w:tc>
          <w:tcPr>
            <w:tcW w:w="1559" w:type="dxa"/>
            <w:vAlign w:val="bottom"/>
          </w:tcPr>
          <w:p w14:paraId="555BE5C9" w14:textId="3C67ED98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0,20   </w:t>
            </w:r>
          </w:p>
        </w:tc>
        <w:tc>
          <w:tcPr>
            <w:tcW w:w="1559" w:type="dxa"/>
            <w:vAlign w:val="bottom"/>
          </w:tcPr>
          <w:p w14:paraId="6982BB05" w14:textId="0D480FCF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0,19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1217CA9" w14:textId="2BD3702A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0,25   </w:t>
            </w:r>
          </w:p>
        </w:tc>
      </w:tr>
      <w:tr w:rsidR="001C0A47" w:rsidRPr="00AD057B" w14:paraId="18574913" w14:textId="77777777" w:rsidTr="00850EDB">
        <w:trPr>
          <w:trHeight w:val="28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54A63E3" w14:textId="77777777" w:rsidR="001C0A47" w:rsidRPr="00AD057B" w:rsidRDefault="001C0A47" w:rsidP="001C0A4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Томская область</w:t>
            </w:r>
          </w:p>
        </w:tc>
        <w:tc>
          <w:tcPr>
            <w:tcW w:w="1559" w:type="dxa"/>
            <w:vAlign w:val="bottom"/>
          </w:tcPr>
          <w:p w14:paraId="164CC681" w14:textId="7A12BEDA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0,82   </w:t>
            </w:r>
          </w:p>
        </w:tc>
        <w:tc>
          <w:tcPr>
            <w:tcW w:w="1559" w:type="dxa"/>
            <w:vAlign w:val="bottom"/>
          </w:tcPr>
          <w:p w14:paraId="57D0608D" w14:textId="2093418E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0,76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4D9426" w14:textId="574D9EC2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0,44   </w:t>
            </w:r>
          </w:p>
        </w:tc>
      </w:tr>
      <w:tr w:rsidR="001C0A47" w:rsidRPr="00AD057B" w14:paraId="64699F4D" w14:textId="77777777" w:rsidTr="00850EDB">
        <w:trPr>
          <w:trHeight w:val="28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79B2528" w14:textId="77777777" w:rsidR="001C0A47" w:rsidRPr="00AD057B" w:rsidRDefault="001C0A47" w:rsidP="001C0A4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Челябинская область</w:t>
            </w:r>
          </w:p>
        </w:tc>
        <w:tc>
          <w:tcPr>
            <w:tcW w:w="1559" w:type="dxa"/>
            <w:vAlign w:val="bottom"/>
          </w:tcPr>
          <w:p w14:paraId="25560BC2" w14:textId="3C309AD8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0,34   </w:t>
            </w:r>
          </w:p>
        </w:tc>
        <w:tc>
          <w:tcPr>
            <w:tcW w:w="1559" w:type="dxa"/>
            <w:vAlign w:val="bottom"/>
          </w:tcPr>
          <w:p w14:paraId="6CDC92B2" w14:textId="4C46B7C2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0,13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66022B" w14:textId="7014E686" w:rsidR="001C0A47" w:rsidRPr="00AD057B" w:rsidRDefault="001C0A47" w:rsidP="001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05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0,37   </w:t>
            </w:r>
          </w:p>
        </w:tc>
      </w:tr>
    </w:tbl>
    <w:p w14:paraId="58AB9255" w14:textId="7CC61962" w:rsidR="00E13B8C" w:rsidRPr="00E13B8C" w:rsidRDefault="00E13B8C" w:rsidP="00E13B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Источник: с</w:t>
      </w:r>
      <w:r w:rsidRPr="00E13B8C">
        <w:rPr>
          <w:rFonts w:ascii="Times New Roman" w:hAnsi="Times New Roman" w:cs="Times New Roman"/>
          <w:sz w:val="22"/>
        </w:rPr>
        <w:t>оставлено автором на основе проведенных расчетов. Источник данных – ФСГС РФ.</w:t>
      </w:r>
    </w:p>
    <w:p w14:paraId="10E9031F" w14:textId="7F745B39" w:rsidR="001C0A47" w:rsidRDefault="0023002E" w:rsidP="007123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В данной</w:t>
      </w:r>
      <w:r w:rsidR="001C0A47" w:rsidRPr="00AD057B">
        <w:rPr>
          <w:rFonts w:ascii="Times New Roman" w:hAnsi="Times New Roman" w:cs="Times New Roman"/>
        </w:rPr>
        <w:t xml:space="preserve"> таблице приведены данные по регионам, центрами которых являются города с населением более 1 млн. </w:t>
      </w:r>
      <w:r w:rsidRPr="00AD057B">
        <w:rPr>
          <w:rFonts w:ascii="Times New Roman" w:hAnsi="Times New Roman" w:cs="Times New Roman"/>
        </w:rPr>
        <w:t>Ч</w:t>
      </w:r>
      <w:r w:rsidR="001C0A47" w:rsidRPr="00AD057B">
        <w:rPr>
          <w:rFonts w:ascii="Times New Roman" w:hAnsi="Times New Roman" w:cs="Times New Roman"/>
        </w:rPr>
        <w:t>еловек</w:t>
      </w:r>
      <w:r w:rsidRPr="00AD057B">
        <w:rPr>
          <w:rFonts w:ascii="Times New Roman" w:hAnsi="Times New Roman" w:cs="Times New Roman"/>
        </w:rPr>
        <w:t>, регионы упорядочены в алфавитном порядке</w:t>
      </w:r>
      <w:r w:rsidR="001C0A47" w:rsidRPr="00AD057B">
        <w:rPr>
          <w:rFonts w:ascii="Times New Roman" w:hAnsi="Times New Roman" w:cs="Times New Roman"/>
        </w:rPr>
        <w:t>. Исключение составляет Томская область, которая включена в перечень намерено, как регион, известный своим творческим и научным потенциалом. Мы видим, что каждый регион в системе индексов имеет свои преимущества и слабые стороны – более наглядно, региональная конкурентоспособность с позиции креативности представлена на рисунке 1.</w:t>
      </w:r>
    </w:p>
    <w:p w14:paraId="7C712C52" w14:textId="77777777" w:rsidR="005A542A" w:rsidRPr="00AD057B" w:rsidRDefault="005A542A" w:rsidP="005A54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 xml:space="preserve">Мы видим, что наибольший потенциал конкурентоспособности демонстрирует такой регион как Томская область,  отдельные направления развиты в Новосибирской области, Ростовской и Омской областях. </w:t>
      </w:r>
    </w:p>
    <w:p w14:paraId="57A1FCEE" w14:textId="77777777" w:rsidR="005A542A" w:rsidRPr="00AD057B" w:rsidRDefault="005A542A" w:rsidP="007123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E50D43F" w14:textId="6B84E799" w:rsidR="00E13B8C" w:rsidRPr="00E13B8C" w:rsidRDefault="001C0A47" w:rsidP="00E13B8C">
      <w:pPr>
        <w:widowControl w:val="0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sz w:val="22"/>
        </w:rPr>
      </w:pPr>
      <w:r w:rsidRPr="00AD057B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12A6975A" wp14:editId="4D44B013">
            <wp:extent cx="5923915" cy="4801235"/>
            <wp:effectExtent l="0" t="0" r="19685" b="247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13B8C" w:rsidRPr="00E13B8C">
        <w:rPr>
          <w:rFonts w:ascii="Times New Roman" w:hAnsi="Times New Roman" w:cs="Times New Roman"/>
          <w:sz w:val="22"/>
        </w:rPr>
        <w:t>Источник: составлено авторов на основе данных Таблицы 2.</w:t>
      </w:r>
    </w:p>
    <w:p w14:paraId="2050BADF" w14:textId="7C799148" w:rsidR="00E3321A" w:rsidRPr="00AD057B" w:rsidRDefault="008230EB" w:rsidP="008230E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Рис. 1. Радар конкурентоспособности российских регионов через призму креативности</w:t>
      </w:r>
    </w:p>
    <w:p w14:paraId="1BAA2609" w14:textId="02FFFA3B" w:rsidR="008230EB" w:rsidRDefault="008230EB" w:rsidP="00A22D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Рассмотрим подробнее региональную конкурентоспособность с точки зрения элементов индекса креативности.  Упорядочив регионы по индексу таланта, мы можем увидеть регионы с высоким качество человеческого капитала. Притом, что высшее образование на сегодняшний день широко распространено в России, тем не менее мы видим некоторую региональную дифференциацию.</w:t>
      </w:r>
      <w:r w:rsidR="00BD3986" w:rsidRPr="00AD057B">
        <w:rPr>
          <w:rFonts w:ascii="Times New Roman" w:hAnsi="Times New Roman" w:cs="Times New Roman"/>
        </w:rPr>
        <w:t xml:space="preserve"> Индекс таланта определяется не только уровнем образования жителей, занятых в экономике региона, но и степенью развития малого предпринимательства, которое определяется через долю занятых в экономике предпринимателей без образования юридического лица. На рис. 2 приведен рейтинг российских регионов по индексу таланта.</w:t>
      </w:r>
    </w:p>
    <w:p w14:paraId="7612E0F0" w14:textId="5470C967" w:rsidR="005A542A" w:rsidRPr="00AD057B" w:rsidRDefault="005A542A" w:rsidP="005A54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 xml:space="preserve">Лидирующее положение Томской области довольно легко объясняется высокой долей специалистов с высшим образованием, занятых в экономике, в то время как в Пермском крае данная величина составляет всего 21,9%. Ростовскую область на верхнюю позицию в данном рейтинге «выводит» наибольшая доля предпринимателей в структуре занятого населения. Таким образом, с точки зрения концентрации «таланта», лидирующие позиции занимают как регионы с исторически сформировавшейся значительной академической базой, так и регионы с развитой системой малого предпринимательства. </w:t>
      </w:r>
    </w:p>
    <w:p w14:paraId="5263E072" w14:textId="77777777" w:rsidR="00E13B8C" w:rsidRDefault="0072381E" w:rsidP="00E13B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AD057B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39C21F07" wp14:editId="5F23A9AC">
            <wp:extent cx="6054725" cy="2743200"/>
            <wp:effectExtent l="0" t="0" r="15875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13B8C" w:rsidRPr="00E13B8C">
        <w:rPr>
          <w:rFonts w:ascii="Times New Roman" w:hAnsi="Times New Roman" w:cs="Times New Roman"/>
          <w:sz w:val="22"/>
        </w:rPr>
        <w:t>Источник: составлено автором на основе данных Таблицы 2.</w:t>
      </w:r>
    </w:p>
    <w:p w14:paraId="74623408" w14:textId="5CA65133" w:rsidR="008230EB" w:rsidRPr="00E13B8C" w:rsidRDefault="0072381E" w:rsidP="00E13B8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AD057B">
        <w:rPr>
          <w:rFonts w:ascii="Times New Roman" w:hAnsi="Times New Roman" w:cs="Times New Roman"/>
        </w:rPr>
        <w:t>Рис. 2. Индекс таланта российских регионов</w:t>
      </w:r>
    </w:p>
    <w:p w14:paraId="7385FEEB" w14:textId="77777777" w:rsidR="00E13B8C" w:rsidRDefault="00E13B8C" w:rsidP="007238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2FE29AB" w14:textId="25A05207" w:rsidR="00850EDB" w:rsidRPr="00AD057B" w:rsidRDefault="00850EDB" w:rsidP="007238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Индекс технологий</w:t>
      </w:r>
      <w:r w:rsidR="00BD3986" w:rsidRPr="00AD057B">
        <w:rPr>
          <w:rFonts w:ascii="Times New Roman" w:hAnsi="Times New Roman" w:cs="Times New Roman"/>
        </w:rPr>
        <w:t xml:space="preserve">, структуру которого формируют расходы на НИОКР, фундаментальные исследования, а также показатели, связанные с изобретательской деятельностью и ее патентованием, во многом коррелирует с индексом таланта для российских регионов. </w:t>
      </w:r>
    </w:p>
    <w:p w14:paraId="13388EF9" w14:textId="1087BB72" w:rsidR="00850EDB" w:rsidRPr="00AD057B" w:rsidRDefault="00850EDB" w:rsidP="00E1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422EB664" wp14:editId="763108B1">
            <wp:extent cx="6061075" cy="2743200"/>
            <wp:effectExtent l="0" t="0" r="34925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2D10B9" w14:textId="64403284" w:rsidR="00E13B8C" w:rsidRPr="00E13B8C" w:rsidRDefault="00E13B8C" w:rsidP="00E1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E13B8C">
        <w:rPr>
          <w:rFonts w:ascii="Times New Roman" w:hAnsi="Times New Roman" w:cs="Times New Roman"/>
          <w:sz w:val="22"/>
        </w:rPr>
        <w:t>Источник: составлено автором на основе данных Таблицы 2.</w:t>
      </w:r>
    </w:p>
    <w:p w14:paraId="67D372A6" w14:textId="226AA741" w:rsidR="00850EDB" w:rsidRPr="00AD057B" w:rsidRDefault="00BD3986" w:rsidP="00E13B8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Рис. 3. Индекс технологий российских регионов</w:t>
      </w:r>
    </w:p>
    <w:p w14:paraId="3A001C9B" w14:textId="77777777" w:rsidR="00E13B8C" w:rsidRDefault="00E13B8C" w:rsidP="00BD39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DA92D9A" w14:textId="7FE7BCD7" w:rsidR="00BD3986" w:rsidRPr="00AD057B" w:rsidRDefault="00A634EE" w:rsidP="00BD39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Лидирующие позиции в рейтинге технологий занимают</w:t>
      </w:r>
      <w:r w:rsidR="008F73B0" w:rsidRPr="00AD057B">
        <w:rPr>
          <w:rFonts w:ascii="Times New Roman" w:hAnsi="Times New Roman" w:cs="Times New Roman"/>
        </w:rPr>
        <w:t xml:space="preserve"> Томская и Новосибирская области</w:t>
      </w:r>
      <w:r w:rsidRPr="00AD057B">
        <w:rPr>
          <w:rFonts w:ascii="Times New Roman" w:hAnsi="Times New Roman" w:cs="Times New Roman"/>
        </w:rPr>
        <w:t xml:space="preserve"> – исторически</w:t>
      </w:r>
      <w:r w:rsidR="008F73B0" w:rsidRPr="00AD057B">
        <w:rPr>
          <w:rFonts w:ascii="Times New Roman" w:hAnsi="Times New Roman" w:cs="Times New Roman"/>
        </w:rPr>
        <w:t xml:space="preserve"> это</w:t>
      </w:r>
      <w:r w:rsidRPr="00AD057B">
        <w:rPr>
          <w:rFonts w:ascii="Times New Roman" w:hAnsi="Times New Roman" w:cs="Times New Roman"/>
        </w:rPr>
        <w:t xml:space="preserve"> регионы – представительства центров фундаментальной науки РАН. Таким образом,</w:t>
      </w:r>
      <w:r w:rsidR="008F73B0" w:rsidRPr="00AD057B">
        <w:rPr>
          <w:rFonts w:ascii="Times New Roman" w:hAnsi="Times New Roman" w:cs="Times New Roman"/>
        </w:rPr>
        <w:t xml:space="preserve"> конкурентные преимущества в области технологий сформировались в регионах в ходе решения задачи пространственного распространения научно-исследовательских центров по территории России еще в советский период. </w:t>
      </w:r>
    </w:p>
    <w:p w14:paraId="78448414" w14:textId="7E425690" w:rsidR="008F73B0" w:rsidRPr="00AD057B" w:rsidRDefault="008F73B0" w:rsidP="00BD39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>Третьим индексом, формирующим итоговый индекс креативности, у Р. Флориды является</w:t>
      </w:r>
      <w:r w:rsidR="00803307" w:rsidRPr="00AD057B">
        <w:rPr>
          <w:rFonts w:ascii="Times New Roman" w:hAnsi="Times New Roman" w:cs="Times New Roman"/>
        </w:rPr>
        <w:t xml:space="preserve"> индекс толерантности, отражающи</w:t>
      </w:r>
      <w:r w:rsidRPr="00AD057B">
        <w:rPr>
          <w:rFonts w:ascii="Times New Roman" w:hAnsi="Times New Roman" w:cs="Times New Roman"/>
        </w:rPr>
        <w:t>й не то</w:t>
      </w:r>
      <w:r w:rsidR="00803307" w:rsidRPr="00AD057B">
        <w:rPr>
          <w:rFonts w:ascii="Times New Roman" w:hAnsi="Times New Roman" w:cs="Times New Roman"/>
        </w:rPr>
        <w:t xml:space="preserve">лько этническое </w:t>
      </w:r>
      <w:r w:rsidRPr="00AD057B">
        <w:rPr>
          <w:rFonts w:ascii="Times New Roman" w:hAnsi="Times New Roman" w:cs="Times New Roman"/>
        </w:rPr>
        <w:t xml:space="preserve">разнообразие в регионе, но и </w:t>
      </w:r>
      <w:r w:rsidR="0010241A" w:rsidRPr="00AD057B">
        <w:rPr>
          <w:rFonts w:ascii="Times New Roman" w:hAnsi="Times New Roman" w:cs="Times New Roman"/>
        </w:rPr>
        <w:t>долю меньшинств, - предполагается, что высокая степень толерантности способствует принятию ценностей других национальностей и культур, что повышает уровень креативности жителей.</w:t>
      </w:r>
    </w:p>
    <w:p w14:paraId="34DC61A7" w14:textId="4DEE47D6" w:rsidR="008F73B0" w:rsidRPr="00AD057B" w:rsidRDefault="008F73B0" w:rsidP="00E1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4946C797" wp14:editId="52276D01">
            <wp:extent cx="5946775" cy="2743200"/>
            <wp:effectExtent l="0" t="0" r="22225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918510" w14:textId="7AF6E94D" w:rsidR="00E13B8C" w:rsidRPr="00E13B8C" w:rsidRDefault="00E13B8C" w:rsidP="00E1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E13B8C">
        <w:rPr>
          <w:rFonts w:ascii="Times New Roman" w:hAnsi="Times New Roman" w:cs="Times New Roman"/>
          <w:sz w:val="22"/>
        </w:rPr>
        <w:t>Источник: составлено автором на основе данных Таблицы 2.</w:t>
      </w:r>
    </w:p>
    <w:p w14:paraId="54FBE51E" w14:textId="33E06E7E" w:rsidR="0072381E" w:rsidRPr="00AD057B" w:rsidRDefault="008F73B0" w:rsidP="008F73B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 xml:space="preserve">Рис. 4. Индекс </w:t>
      </w:r>
      <w:r w:rsidR="0010241A" w:rsidRPr="00AD057B">
        <w:rPr>
          <w:rFonts w:ascii="Times New Roman" w:hAnsi="Times New Roman" w:cs="Times New Roman"/>
        </w:rPr>
        <w:t>«</w:t>
      </w:r>
      <w:r w:rsidRPr="00AD057B">
        <w:rPr>
          <w:rFonts w:ascii="Times New Roman" w:hAnsi="Times New Roman" w:cs="Times New Roman"/>
        </w:rPr>
        <w:t>плавильного котла</w:t>
      </w:r>
      <w:r w:rsidR="0010241A" w:rsidRPr="00AD057B">
        <w:rPr>
          <w:rFonts w:ascii="Times New Roman" w:hAnsi="Times New Roman" w:cs="Times New Roman"/>
        </w:rPr>
        <w:t>»</w:t>
      </w:r>
    </w:p>
    <w:p w14:paraId="79143420" w14:textId="77777777" w:rsidR="00E13B8C" w:rsidRDefault="00E13B8C" w:rsidP="00BA5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9207BDC" w14:textId="2AD3AA76" w:rsidR="00BA5977" w:rsidRDefault="0010241A" w:rsidP="00BA5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 xml:space="preserve">Для российских регионов определить данный индекс не представляется возможным, вместо него, А.Н. </w:t>
      </w:r>
      <w:proofErr w:type="spellStart"/>
      <w:r w:rsidRPr="00AD057B">
        <w:rPr>
          <w:rFonts w:ascii="Times New Roman" w:hAnsi="Times New Roman" w:cs="Times New Roman"/>
        </w:rPr>
        <w:t>Пилясов</w:t>
      </w:r>
      <w:proofErr w:type="spellEnd"/>
      <w:r w:rsidRPr="00AD057B">
        <w:rPr>
          <w:rFonts w:ascii="Times New Roman" w:hAnsi="Times New Roman" w:cs="Times New Roman"/>
        </w:rPr>
        <w:t xml:space="preserve"> и О.В. Колесникова предлагают использовать индекс «плавильного котла», отражающий национальное разнообразие региона</w:t>
      </w:r>
      <w:r w:rsidR="00AD057B">
        <w:rPr>
          <w:rFonts w:ascii="Times New Roman" w:hAnsi="Times New Roman" w:cs="Times New Roman"/>
        </w:rPr>
        <w:t xml:space="preserve"> – данный индекс учитывает как долю мигрантов, так и концентрацию национальностей в структуре населения. Мы также включили</w:t>
      </w:r>
      <w:r w:rsidR="00BA5977">
        <w:rPr>
          <w:rFonts w:ascii="Times New Roman" w:hAnsi="Times New Roman" w:cs="Times New Roman"/>
        </w:rPr>
        <w:t xml:space="preserve">  в данный индекс отдельной компонентой долю мигрантов, приехавших в регион из Германии, Израиля и США в 2009 году. Таким образом, индекс миграции (источником которой как правило являются страны бывшего СССР) уравновешивается индексом качества миграции.  Итоговый рейтинг выглядит довольно необычно, поскольку первое место в нем занимает Омская область – анализ структуры данного индекса показал, что за данный период у региона самый высокий индекс качества миграции. В целом же рейтинг довольно предсказуем – наиболее высокие позиции в нем занимают регионы, являющиеся бывшим республиками СССР и входящие в состав РФ.  </w:t>
      </w:r>
    </w:p>
    <w:p w14:paraId="10855FAA" w14:textId="58997148" w:rsidR="005A542A" w:rsidRDefault="004F57E3" w:rsidP="00E13B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креативности российских регионов, составленный на основе расчета индекса креативности, представлен в Таблице 3. </w:t>
      </w:r>
    </w:p>
    <w:p w14:paraId="54A72443" w14:textId="45B5AF3C" w:rsidR="004F57E3" w:rsidRDefault="004F57E3" w:rsidP="004F57E3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14:paraId="66105CD9" w14:textId="38E826E1" w:rsidR="004F57E3" w:rsidRPr="004F57E3" w:rsidRDefault="004F57E3" w:rsidP="004F57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4F57E3">
        <w:rPr>
          <w:rFonts w:ascii="Times New Roman" w:hAnsi="Times New Roman" w:cs="Times New Roman"/>
          <w:b/>
        </w:rPr>
        <w:t>Рейтинг креативности российских регионов</w:t>
      </w:r>
    </w:p>
    <w:tbl>
      <w:tblPr>
        <w:tblW w:w="79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67"/>
      </w:tblGrid>
      <w:tr w:rsidR="004F57E3" w:rsidRPr="004F57E3" w14:paraId="68C7276C" w14:textId="77777777" w:rsidTr="004F57E3">
        <w:trPr>
          <w:trHeight w:val="280"/>
          <w:jc w:val="center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E689535" w14:textId="77777777" w:rsidR="004F57E3" w:rsidRPr="004F57E3" w:rsidRDefault="004F57E3" w:rsidP="003C54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Регион</w:t>
            </w:r>
          </w:p>
        </w:tc>
        <w:tc>
          <w:tcPr>
            <w:tcW w:w="2667" w:type="dxa"/>
            <w:shd w:val="clear" w:color="auto" w:fill="auto"/>
            <w:noWrap/>
            <w:vAlign w:val="bottom"/>
            <w:hideMark/>
          </w:tcPr>
          <w:p w14:paraId="4D30EB7E" w14:textId="77777777" w:rsidR="004F57E3" w:rsidRPr="004F57E3" w:rsidRDefault="004F57E3" w:rsidP="004F57E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 Индекс креативности </w:t>
            </w:r>
          </w:p>
        </w:tc>
      </w:tr>
      <w:tr w:rsidR="004F57E3" w:rsidRPr="004F57E3" w14:paraId="6E3BFB56" w14:textId="77777777" w:rsidTr="004F57E3">
        <w:trPr>
          <w:trHeight w:val="280"/>
          <w:jc w:val="center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B405498" w14:textId="77777777" w:rsidR="004F57E3" w:rsidRPr="004F57E3" w:rsidRDefault="004F57E3" w:rsidP="004F57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Томская область</w:t>
            </w:r>
          </w:p>
        </w:tc>
        <w:tc>
          <w:tcPr>
            <w:tcW w:w="2667" w:type="dxa"/>
            <w:shd w:val="clear" w:color="auto" w:fill="auto"/>
            <w:noWrap/>
            <w:vAlign w:val="bottom"/>
            <w:hideMark/>
          </w:tcPr>
          <w:p w14:paraId="2DFA1673" w14:textId="7B50B75C" w:rsidR="004F57E3" w:rsidRPr="004F57E3" w:rsidRDefault="004F57E3" w:rsidP="004F57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0,67</w:t>
            </w:r>
          </w:p>
        </w:tc>
      </w:tr>
      <w:tr w:rsidR="004F57E3" w:rsidRPr="004F57E3" w14:paraId="53574BBB" w14:textId="77777777" w:rsidTr="004F57E3">
        <w:trPr>
          <w:trHeight w:val="280"/>
          <w:jc w:val="center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E260FFA" w14:textId="77777777" w:rsidR="004F57E3" w:rsidRPr="004F57E3" w:rsidRDefault="004F57E3" w:rsidP="004F57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Новосибирская область</w:t>
            </w:r>
          </w:p>
        </w:tc>
        <w:tc>
          <w:tcPr>
            <w:tcW w:w="2667" w:type="dxa"/>
            <w:shd w:val="clear" w:color="auto" w:fill="auto"/>
            <w:noWrap/>
            <w:vAlign w:val="bottom"/>
            <w:hideMark/>
          </w:tcPr>
          <w:p w14:paraId="653F9580" w14:textId="5E33B6D6" w:rsidR="004F57E3" w:rsidRPr="004F57E3" w:rsidRDefault="004F57E3" w:rsidP="004F57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0,54</w:t>
            </w:r>
          </w:p>
        </w:tc>
      </w:tr>
      <w:tr w:rsidR="004F57E3" w:rsidRPr="004F57E3" w14:paraId="1FB5CF5F" w14:textId="77777777" w:rsidTr="004F57E3">
        <w:trPr>
          <w:trHeight w:val="280"/>
          <w:jc w:val="center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70124EA" w14:textId="77777777" w:rsidR="004F57E3" w:rsidRPr="004F57E3" w:rsidRDefault="004F57E3" w:rsidP="004F57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Самарская область</w:t>
            </w:r>
          </w:p>
        </w:tc>
        <w:tc>
          <w:tcPr>
            <w:tcW w:w="2667" w:type="dxa"/>
            <w:shd w:val="clear" w:color="auto" w:fill="auto"/>
            <w:noWrap/>
            <w:vAlign w:val="bottom"/>
            <w:hideMark/>
          </w:tcPr>
          <w:p w14:paraId="61F218FF" w14:textId="1567F29F" w:rsidR="004F57E3" w:rsidRPr="004F57E3" w:rsidRDefault="004F57E3" w:rsidP="004F57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0,43</w:t>
            </w:r>
          </w:p>
        </w:tc>
      </w:tr>
      <w:tr w:rsidR="004F57E3" w:rsidRPr="004F57E3" w14:paraId="1D5448A4" w14:textId="77777777" w:rsidTr="004F57E3">
        <w:trPr>
          <w:trHeight w:val="280"/>
          <w:jc w:val="center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CE13619" w14:textId="77777777" w:rsidR="004F57E3" w:rsidRPr="004F57E3" w:rsidRDefault="004F57E3" w:rsidP="004F57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Республика Татарстан</w:t>
            </w:r>
          </w:p>
        </w:tc>
        <w:tc>
          <w:tcPr>
            <w:tcW w:w="2667" w:type="dxa"/>
            <w:shd w:val="clear" w:color="auto" w:fill="auto"/>
            <w:noWrap/>
            <w:vAlign w:val="bottom"/>
            <w:hideMark/>
          </w:tcPr>
          <w:p w14:paraId="06E5149C" w14:textId="7D1974ED" w:rsidR="004F57E3" w:rsidRPr="004F57E3" w:rsidRDefault="004F57E3" w:rsidP="004F57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4F57E3" w:rsidRPr="004F57E3" w14:paraId="124DCA5F" w14:textId="77777777" w:rsidTr="004F57E3">
        <w:trPr>
          <w:trHeight w:val="280"/>
          <w:jc w:val="center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573763F" w14:textId="77777777" w:rsidR="004F57E3" w:rsidRPr="004F57E3" w:rsidRDefault="004F57E3" w:rsidP="004F57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Омская область</w:t>
            </w:r>
          </w:p>
        </w:tc>
        <w:tc>
          <w:tcPr>
            <w:tcW w:w="2667" w:type="dxa"/>
            <w:shd w:val="clear" w:color="auto" w:fill="auto"/>
            <w:noWrap/>
            <w:vAlign w:val="bottom"/>
            <w:hideMark/>
          </w:tcPr>
          <w:p w14:paraId="798C3157" w14:textId="3E130DC1" w:rsidR="004F57E3" w:rsidRPr="004F57E3" w:rsidRDefault="004F57E3" w:rsidP="004F57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0,37</w:t>
            </w:r>
          </w:p>
        </w:tc>
      </w:tr>
      <w:tr w:rsidR="004F57E3" w:rsidRPr="004F57E3" w14:paraId="0CEB8DE1" w14:textId="77777777" w:rsidTr="004F57E3">
        <w:trPr>
          <w:trHeight w:val="280"/>
          <w:jc w:val="center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D596A6A" w14:textId="77777777" w:rsidR="004F57E3" w:rsidRPr="004F57E3" w:rsidRDefault="004F57E3" w:rsidP="004F57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Ростовская область</w:t>
            </w:r>
          </w:p>
        </w:tc>
        <w:tc>
          <w:tcPr>
            <w:tcW w:w="2667" w:type="dxa"/>
            <w:shd w:val="clear" w:color="auto" w:fill="auto"/>
            <w:noWrap/>
            <w:vAlign w:val="bottom"/>
            <w:hideMark/>
          </w:tcPr>
          <w:p w14:paraId="7A543E6B" w14:textId="2AFF6146" w:rsidR="004F57E3" w:rsidRPr="004F57E3" w:rsidRDefault="004F57E3" w:rsidP="004F57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0,36</w:t>
            </w:r>
          </w:p>
        </w:tc>
      </w:tr>
      <w:tr w:rsidR="004F57E3" w:rsidRPr="004F57E3" w14:paraId="28B8459F" w14:textId="77777777" w:rsidTr="004F57E3">
        <w:trPr>
          <w:trHeight w:val="280"/>
          <w:jc w:val="center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3AE9FB8" w14:textId="77777777" w:rsidR="004F57E3" w:rsidRPr="004F57E3" w:rsidRDefault="004F57E3" w:rsidP="004F57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Нижегородская область</w:t>
            </w:r>
          </w:p>
        </w:tc>
        <w:tc>
          <w:tcPr>
            <w:tcW w:w="2667" w:type="dxa"/>
            <w:shd w:val="clear" w:color="auto" w:fill="auto"/>
            <w:noWrap/>
            <w:vAlign w:val="bottom"/>
            <w:hideMark/>
          </w:tcPr>
          <w:p w14:paraId="1D322B6A" w14:textId="1403BF1B" w:rsidR="004F57E3" w:rsidRPr="004F57E3" w:rsidRDefault="004F57E3" w:rsidP="004F57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0,30</w:t>
            </w:r>
          </w:p>
        </w:tc>
      </w:tr>
      <w:tr w:rsidR="004F57E3" w:rsidRPr="004F57E3" w14:paraId="630CB189" w14:textId="77777777" w:rsidTr="004F57E3">
        <w:trPr>
          <w:trHeight w:val="280"/>
          <w:jc w:val="center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0539C82" w14:textId="77777777" w:rsidR="004F57E3" w:rsidRPr="004F57E3" w:rsidRDefault="004F57E3" w:rsidP="004F57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Республика Башкортостан</w:t>
            </w:r>
          </w:p>
        </w:tc>
        <w:tc>
          <w:tcPr>
            <w:tcW w:w="2667" w:type="dxa"/>
            <w:shd w:val="clear" w:color="auto" w:fill="auto"/>
            <w:noWrap/>
            <w:vAlign w:val="bottom"/>
            <w:hideMark/>
          </w:tcPr>
          <w:p w14:paraId="62A80675" w14:textId="69DF8C27" w:rsidR="004F57E3" w:rsidRPr="004F57E3" w:rsidRDefault="004F57E3" w:rsidP="004F57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0,29</w:t>
            </w:r>
          </w:p>
        </w:tc>
      </w:tr>
      <w:tr w:rsidR="004F57E3" w:rsidRPr="004F57E3" w14:paraId="63C79724" w14:textId="77777777" w:rsidTr="004F57E3">
        <w:trPr>
          <w:trHeight w:val="280"/>
          <w:jc w:val="center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903B859" w14:textId="77777777" w:rsidR="004F57E3" w:rsidRPr="004F57E3" w:rsidRDefault="004F57E3" w:rsidP="004F57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Челябинская область</w:t>
            </w:r>
          </w:p>
        </w:tc>
        <w:tc>
          <w:tcPr>
            <w:tcW w:w="2667" w:type="dxa"/>
            <w:shd w:val="clear" w:color="auto" w:fill="auto"/>
            <w:noWrap/>
            <w:vAlign w:val="bottom"/>
            <w:hideMark/>
          </w:tcPr>
          <w:p w14:paraId="1EC41789" w14:textId="5A0187E9" w:rsidR="004F57E3" w:rsidRPr="004F57E3" w:rsidRDefault="004F57E3" w:rsidP="004F57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0,28</w:t>
            </w:r>
          </w:p>
        </w:tc>
      </w:tr>
      <w:tr w:rsidR="004F57E3" w:rsidRPr="004F57E3" w14:paraId="27F52557" w14:textId="77777777" w:rsidTr="004F57E3">
        <w:trPr>
          <w:trHeight w:val="280"/>
          <w:jc w:val="center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AFE3F01" w14:textId="77777777" w:rsidR="004F57E3" w:rsidRPr="004F57E3" w:rsidRDefault="004F57E3" w:rsidP="004F57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Волгоградская область</w:t>
            </w:r>
          </w:p>
        </w:tc>
        <w:tc>
          <w:tcPr>
            <w:tcW w:w="2667" w:type="dxa"/>
            <w:shd w:val="clear" w:color="auto" w:fill="auto"/>
            <w:noWrap/>
            <w:vAlign w:val="bottom"/>
            <w:hideMark/>
          </w:tcPr>
          <w:p w14:paraId="06C3FE08" w14:textId="17A35765" w:rsidR="004F57E3" w:rsidRPr="004F57E3" w:rsidRDefault="004F57E3" w:rsidP="004F57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0,28</w:t>
            </w:r>
          </w:p>
        </w:tc>
      </w:tr>
      <w:tr w:rsidR="004F57E3" w:rsidRPr="004F57E3" w14:paraId="1F643675" w14:textId="77777777" w:rsidTr="004F57E3">
        <w:trPr>
          <w:trHeight w:val="280"/>
          <w:jc w:val="center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2A6496F" w14:textId="77777777" w:rsidR="004F57E3" w:rsidRPr="004F57E3" w:rsidRDefault="004F57E3" w:rsidP="004F57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Красноярская область</w:t>
            </w:r>
          </w:p>
        </w:tc>
        <w:tc>
          <w:tcPr>
            <w:tcW w:w="2667" w:type="dxa"/>
            <w:shd w:val="clear" w:color="auto" w:fill="auto"/>
            <w:noWrap/>
            <w:vAlign w:val="bottom"/>
            <w:hideMark/>
          </w:tcPr>
          <w:p w14:paraId="405BDE19" w14:textId="25BECCAC" w:rsidR="004F57E3" w:rsidRPr="004F57E3" w:rsidRDefault="004F57E3" w:rsidP="004F57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0,26</w:t>
            </w:r>
          </w:p>
        </w:tc>
      </w:tr>
      <w:tr w:rsidR="004F57E3" w:rsidRPr="004F57E3" w14:paraId="7A906BBA" w14:textId="77777777" w:rsidTr="004F57E3">
        <w:trPr>
          <w:trHeight w:val="280"/>
          <w:jc w:val="center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289FB05" w14:textId="77777777" w:rsidR="004F57E3" w:rsidRPr="004F57E3" w:rsidRDefault="004F57E3" w:rsidP="004F57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Свердловская область</w:t>
            </w:r>
          </w:p>
        </w:tc>
        <w:tc>
          <w:tcPr>
            <w:tcW w:w="2667" w:type="dxa"/>
            <w:shd w:val="clear" w:color="auto" w:fill="auto"/>
            <w:noWrap/>
            <w:vAlign w:val="bottom"/>
            <w:hideMark/>
          </w:tcPr>
          <w:p w14:paraId="626FEAD2" w14:textId="67348EDB" w:rsidR="004F57E3" w:rsidRPr="004F57E3" w:rsidRDefault="004F57E3" w:rsidP="004F57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0,22</w:t>
            </w:r>
          </w:p>
        </w:tc>
      </w:tr>
      <w:tr w:rsidR="004F57E3" w:rsidRPr="004F57E3" w14:paraId="6ED537FC" w14:textId="77777777" w:rsidTr="004F57E3">
        <w:trPr>
          <w:trHeight w:val="280"/>
          <w:jc w:val="center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181BEED" w14:textId="77777777" w:rsidR="004F57E3" w:rsidRPr="004F57E3" w:rsidRDefault="004F57E3" w:rsidP="004F57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Пермский край</w:t>
            </w:r>
          </w:p>
        </w:tc>
        <w:tc>
          <w:tcPr>
            <w:tcW w:w="2667" w:type="dxa"/>
            <w:shd w:val="clear" w:color="auto" w:fill="auto"/>
            <w:noWrap/>
            <w:vAlign w:val="bottom"/>
            <w:hideMark/>
          </w:tcPr>
          <w:p w14:paraId="3986436B" w14:textId="0E0E3F9A" w:rsidR="004F57E3" w:rsidRPr="004F57E3" w:rsidRDefault="004F57E3" w:rsidP="004F57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57E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0,17</w:t>
            </w:r>
          </w:p>
        </w:tc>
      </w:tr>
    </w:tbl>
    <w:p w14:paraId="6942648B" w14:textId="77777777" w:rsidR="00E13B8C" w:rsidRPr="00E13B8C" w:rsidRDefault="00E13B8C" w:rsidP="00E13B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Источник: с</w:t>
      </w:r>
      <w:r w:rsidRPr="00E13B8C">
        <w:rPr>
          <w:rFonts w:ascii="Times New Roman" w:hAnsi="Times New Roman" w:cs="Times New Roman"/>
          <w:sz w:val="22"/>
        </w:rPr>
        <w:t>оставлено автором на основе проведенных расчетов. Источник данных – ФСГС РФ.</w:t>
      </w:r>
    </w:p>
    <w:p w14:paraId="1D8B90AE" w14:textId="77777777" w:rsidR="00E13B8C" w:rsidRDefault="004F57E3" w:rsidP="003D3E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44ABFA8" w14:textId="0E3A2FA4" w:rsidR="00716AD0" w:rsidRDefault="004F57E3" w:rsidP="00E13B8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Наиболее высокие позиции в данном рейтинге занимают регионы, лидирующие в рейтингах таланта и технологий</w:t>
      </w:r>
      <w:r w:rsidR="003C54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– источники</w:t>
      </w:r>
      <w:r w:rsidR="003C5465">
        <w:rPr>
          <w:rFonts w:ascii="Times New Roman" w:hAnsi="Times New Roman" w:cs="Times New Roman"/>
        </w:rPr>
        <w:t xml:space="preserve"> конкурентоспособности регионов, таким образом, находятся в научно-технической сфере регионального развития и формируются за счет присутствия в территориях исследовательских центров, университетов и иных академических институтов.  Вторую группу в рейтинге формируют регионы с индексом креативности в диапазоне от 0,30 до 0,43 – это регионы, в которых факторы конкурентоспособности – это и в достаточной степени развитая образовательная среда, и </w:t>
      </w:r>
      <w:r w:rsidR="003D3E65">
        <w:rPr>
          <w:rFonts w:ascii="Times New Roman" w:hAnsi="Times New Roman" w:cs="Times New Roman"/>
        </w:rPr>
        <w:t xml:space="preserve">достаточный уровень развития технологий и НИОКР, и некоторая степень этнического разнообразия. В нижней части рейтинга расположены регионы с развитой промышленной сферой – в данном случае, стоит задуматься о том, какие стратегии следует использовать данным регионам при переходе в условия «новой экономики». </w:t>
      </w:r>
    </w:p>
    <w:p w14:paraId="653B4DA1" w14:textId="0CBED5A8" w:rsidR="00DB2DC0" w:rsidRDefault="00DB2DC0" w:rsidP="00DB2DC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Анализируя полученные результаты, мы можем увидеть, что региональная конкурентоспособность, рассматриваемая через призму креативности, во многом определяется образовательным и научным потенциалом региона, промышленный потенциал, традиционно формирующий набольшую долю в ВРП в данном случае не оказывает положительного влияния на региональную конкурентосп</w:t>
      </w:r>
      <w:r w:rsidR="00D34699">
        <w:rPr>
          <w:rFonts w:ascii="Times New Roman" w:hAnsi="Times New Roman" w:cs="Times New Roman"/>
        </w:rPr>
        <w:t>особность. Таким образом, данные</w:t>
      </w:r>
      <w:r>
        <w:rPr>
          <w:rFonts w:ascii="Times New Roman" w:hAnsi="Times New Roman" w:cs="Times New Roman"/>
        </w:rPr>
        <w:t xml:space="preserve"> регионы не являются привлека</w:t>
      </w:r>
      <w:r w:rsidR="00D34699">
        <w:rPr>
          <w:rFonts w:ascii="Times New Roman" w:hAnsi="Times New Roman" w:cs="Times New Roman"/>
        </w:rPr>
        <w:t xml:space="preserve">тельными для креативного класса, и с позиции маркетинга регионов, в скором времени данные регионы будут проигрывать в конкуренции за таланты, поскольку условиях в данных регионах не способствуют ни привлечению, ни удержанию креативного класса. </w:t>
      </w:r>
    </w:p>
    <w:p w14:paraId="603E1B31" w14:textId="08AF50DE" w:rsidR="001766AE" w:rsidRDefault="001766AE" w:rsidP="00DB2DC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Рассматривая региональную конкуренцию с позиции маркетинга регионов, мы видим, что ряд регионов, центр которых формируют города – «</w:t>
      </w:r>
      <w:proofErr w:type="spellStart"/>
      <w:r>
        <w:rPr>
          <w:rFonts w:ascii="Times New Roman" w:hAnsi="Times New Roman" w:cs="Times New Roman"/>
        </w:rPr>
        <w:t>миллионники</w:t>
      </w:r>
      <w:proofErr w:type="spellEnd"/>
      <w:r>
        <w:rPr>
          <w:rFonts w:ascii="Times New Roman" w:hAnsi="Times New Roman" w:cs="Times New Roman"/>
        </w:rPr>
        <w:t xml:space="preserve">», не являются привлекательными для креативного класса. Однако есть другая, не менее важная для регионального развития категория потребителей территории – инвесторы. Сопоставив ранг инвестиционного потенциала региона за 2009 – </w:t>
      </w:r>
      <w:r w:rsidR="005A542A">
        <w:rPr>
          <w:rFonts w:ascii="Times New Roman" w:hAnsi="Times New Roman" w:cs="Times New Roman"/>
        </w:rPr>
        <w:t>2010 год (11</w:t>
      </w:r>
      <w:r>
        <w:rPr>
          <w:rFonts w:ascii="Times New Roman" w:hAnsi="Times New Roman" w:cs="Times New Roman"/>
        </w:rPr>
        <w:t>) и индекс креативности мы можем увидеть, каков потенциал российских регионов в конкуренции за таланты. Для этого мы перевели ранговые показатели рейтинга инвестиционной привлекательности в индексы, упорядочив их от 0 (низкий рейтинг) до 1 (максимальный рейтинг)</w:t>
      </w:r>
      <w:r w:rsidR="003E1430">
        <w:rPr>
          <w:rFonts w:ascii="Times New Roman" w:hAnsi="Times New Roman" w:cs="Times New Roman"/>
        </w:rPr>
        <w:t xml:space="preserve"> и расставили все регионы в системе координат «привлекательность для креативного класса» - «привлекательность для инвесторов». В результате регионы распределились по трем из четырех квадрантов системы координат (рис. 5).</w:t>
      </w:r>
    </w:p>
    <w:p w14:paraId="269A8B17" w14:textId="39AEEB55" w:rsidR="003E1430" w:rsidRDefault="00B8303F" w:rsidP="00DB2DC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686ECA8" wp14:editId="7A87DDBD">
                <wp:simplePos x="0" y="0"/>
                <wp:positionH relativeFrom="column">
                  <wp:posOffset>-228600</wp:posOffset>
                </wp:positionH>
                <wp:positionV relativeFrom="paragraph">
                  <wp:posOffset>102870</wp:posOffset>
                </wp:positionV>
                <wp:extent cx="6400800" cy="4457700"/>
                <wp:effectExtent l="0" t="25400" r="76200" b="114300"/>
                <wp:wrapThrough wrapText="bothSides">
                  <wp:wrapPolygon edited="0">
                    <wp:start x="8314" y="-123"/>
                    <wp:lineTo x="0" y="0"/>
                    <wp:lineTo x="0" y="2092"/>
                    <wp:lineTo x="7886" y="3938"/>
                    <wp:lineTo x="943" y="3938"/>
                    <wp:lineTo x="943" y="10831"/>
                    <wp:lineTo x="7800" y="11815"/>
                    <wp:lineTo x="7714" y="13169"/>
                    <wp:lineTo x="10971" y="13785"/>
                    <wp:lineTo x="10971" y="15754"/>
                    <wp:lineTo x="8314" y="15754"/>
                    <wp:lineTo x="8314" y="22031"/>
                    <wp:lineTo x="14057" y="22031"/>
                    <wp:lineTo x="14143" y="19692"/>
                    <wp:lineTo x="17229" y="19692"/>
                    <wp:lineTo x="21600" y="18585"/>
                    <wp:lineTo x="21771" y="15754"/>
                    <wp:lineTo x="21771" y="12062"/>
                    <wp:lineTo x="21514" y="11815"/>
                    <wp:lineTo x="21000" y="11815"/>
                    <wp:lineTo x="21000" y="10338"/>
                    <wp:lineTo x="20057" y="9846"/>
                    <wp:lineTo x="21086" y="8000"/>
                    <wp:lineTo x="21257" y="7508"/>
                    <wp:lineTo x="20400" y="7015"/>
                    <wp:lineTo x="17657" y="5908"/>
                    <wp:lineTo x="17657" y="1846"/>
                    <wp:lineTo x="14057" y="-123"/>
                    <wp:lineTo x="8314" y="-123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457700"/>
                          <a:chOff x="0" y="0"/>
                          <a:chExt cx="6400800" cy="445770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6400800" cy="4457700"/>
                            <a:chOff x="0" y="0"/>
                            <a:chExt cx="6400800" cy="4457700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6400800" cy="4457700"/>
                              <a:chOff x="0" y="0"/>
                              <a:chExt cx="6400800" cy="4457700"/>
                            </a:xfrm>
                          </wpg:grpSpPr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6400800" cy="4457700"/>
                                <a:chOff x="0" y="0"/>
                                <a:chExt cx="6400800" cy="4457700"/>
                              </a:xfrm>
                            </wpg:grpSpPr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0" y="0"/>
                                  <a:ext cx="6400800" cy="4457700"/>
                                  <a:chOff x="0" y="0"/>
                                  <a:chExt cx="6400800" cy="4457700"/>
                                </a:xfrm>
                              </wpg:grpSpPr>
                              <wpg:grpSp>
                                <wpg:cNvPr id="22" name="Group 22"/>
                                <wpg:cNvGrpSpPr/>
                                <wpg:grpSpPr>
                                  <a:xfrm>
                                    <a:off x="0" y="0"/>
                                    <a:ext cx="6400800" cy="4457700"/>
                                    <a:chOff x="0" y="0"/>
                                    <a:chExt cx="6400800" cy="4457700"/>
                                  </a:xfrm>
                                </wpg:grpSpPr>
                                <wpg:grpSp>
                                  <wpg:cNvPr id="19" name="Group 19"/>
                                  <wpg:cNvGrpSpPr/>
                                  <wpg:grpSpPr>
                                    <a:xfrm>
                                      <a:off x="0" y="0"/>
                                      <a:ext cx="6400800" cy="4457700"/>
                                      <a:chOff x="0" y="0"/>
                                      <a:chExt cx="6400800" cy="4457700"/>
                                    </a:xfrm>
                                  </wpg:grpSpPr>
                                  <wpg:grpSp>
                                    <wpg:cNvPr id="17" name="Group 17"/>
                                    <wpg:cNvGrpSpPr/>
                                    <wpg:grpSpPr>
                                      <a:xfrm>
                                        <a:off x="0" y="0"/>
                                        <a:ext cx="6400800" cy="4457700"/>
                                        <a:chOff x="0" y="0"/>
                                        <a:chExt cx="6400800" cy="4457700"/>
                                      </a:xfrm>
                                    </wpg:grpSpPr>
                                    <wpg:grpSp>
                                      <wpg:cNvPr id="12" name="Group 12"/>
                                      <wpg:cNvGrpSpPr/>
                                      <wpg:grpSpPr>
                                        <a:xfrm>
                                          <a:off x="342900" y="0"/>
                                          <a:ext cx="6057900" cy="4457700"/>
                                          <a:chOff x="0" y="0"/>
                                          <a:chExt cx="6057900" cy="4457700"/>
                                        </a:xfrm>
                                      </wpg:grpSpPr>
                                      <wps:wsp>
                                        <wps:cNvPr id="5" name="Straight Arrow Connector 5"/>
                                        <wps:cNvCnPr/>
                                        <wps:spPr>
                                          <a:xfrm flipV="1">
                                            <a:off x="2971800" y="800100"/>
                                            <a:ext cx="0" cy="25146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" name="Rectangle 6"/>
                                        <wps:cNvSpPr/>
                                        <wps:spPr>
                                          <a:xfrm>
                                            <a:off x="2171700" y="3657600"/>
                                            <a:ext cx="1600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3">
                                            <a:schemeClr val="accent1"/>
                                          </a:fillRef>
                                          <a:effectRef idx="2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CB1D8E3" w14:textId="055B76F2" w:rsidR="007834C4" w:rsidRPr="003E1430" w:rsidRDefault="007834C4" w:rsidP="003E1430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</w:rPr>
                                              </w:pPr>
                                              <w:r w:rsidRPr="003E1430"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</w:rPr>
                                                <w:t>Низкая привлекательность для креативного класса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8" name="Rectangle 8"/>
                                        <wps:cNvSpPr/>
                                        <wps:spPr>
                                          <a:xfrm>
                                            <a:off x="2171700" y="0"/>
                                            <a:ext cx="1600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3">
                                            <a:schemeClr val="accent1"/>
                                          </a:fillRef>
                                          <a:effectRef idx="2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7BEC364" w14:textId="43949932" w:rsidR="007834C4" w:rsidRPr="003E1430" w:rsidRDefault="007834C4" w:rsidP="003E1430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</w:rPr>
                                                <w:t xml:space="preserve">Высокая </w:t>
                                              </w:r>
                                              <w:r w:rsidRPr="003E1430"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</w:rPr>
                                                <w:t>привлекательность для креативного класса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9" name="Straight Arrow Connector 9"/>
                                        <wps:cNvCnPr/>
                                        <wps:spPr>
                                          <a:xfrm>
                                            <a:off x="0" y="2171700"/>
                                            <a:ext cx="587946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0" name="Rectangle 10"/>
                                        <wps:cNvSpPr/>
                                        <wps:spPr>
                                          <a:xfrm>
                                            <a:off x="0" y="1143000"/>
                                            <a:ext cx="1600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3">
                                            <a:schemeClr val="accent1"/>
                                          </a:fillRef>
                                          <a:effectRef idx="2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1401EBCF" w14:textId="7600BB2B" w:rsidR="007834C4" w:rsidRPr="003E1430" w:rsidRDefault="007834C4" w:rsidP="003E1430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</w:rPr>
                                                <w:t xml:space="preserve">Низкая  </w:t>
                                              </w:r>
                                              <w:r w:rsidRPr="003E1430"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</w:rPr>
                                                <w:t xml:space="preserve">привлекательность для 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</w:rPr>
                                                <w:t>инвесторов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1" name="Rectangle 11"/>
                                        <wps:cNvSpPr/>
                                        <wps:spPr>
                                          <a:xfrm>
                                            <a:off x="4457700" y="2466975"/>
                                            <a:ext cx="1600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3">
                                            <a:schemeClr val="accent1"/>
                                          </a:fillRef>
                                          <a:effectRef idx="2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EEB0FFE" w14:textId="14867153" w:rsidR="007834C4" w:rsidRPr="003E1430" w:rsidRDefault="007834C4" w:rsidP="003E1430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</w:rPr>
                                                <w:t xml:space="preserve">Высокая </w:t>
                                              </w:r>
                                              <w:r w:rsidRPr="003E1430"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</w:rPr>
                                                <w:t xml:space="preserve">привлекательность для 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</w:rPr>
                                                <w:t>инвесторов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3" name="Rectangle 13"/>
                                      <wps:cNvSpPr/>
                                      <wps:spPr>
                                        <a:xfrm>
                                          <a:off x="0" y="114300"/>
                                          <a:ext cx="18288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2D0CD569" w14:textId="0A169228" w:rsidR="007834C4" w:rsidRPr="003E1430" w:rsidRDefault="007834C4" w:rsidP="003E1430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  <w:t>Томская область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" name="Rectangle 14"/>
                                      <wps:cNvSpPr/>
                                      <wps:spPr>
                                        <a:xfrm>
                                          <a:off x="4000500" y="342900"/>
                                          <a:ext cx="12573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365272AA" w14:textId="0F3BDCF2" w:rsidR="007834C4" w:rsidRPr="003E1430" w:rsidRDefault="007834C4" w:rsidP="00A2387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  <w:t>Новосибирская область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5" name="Rectangle 15"/>
                                      <wps:cNvSpPr/>
                                      <wps:spPr>
                                        <a:xfrm>
                                          <a:off x="3429000" y="1143000"/>
                                          <a:ext cx="18288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4A8B98B2" w14:textId="0A89CD9E" w:rsidR="007834C4" w:rsidRPr="003E1430" w:rsidRDefault="007834C4" w:rsidP="00A2387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  <w:t>Самарская область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" name="Rectangle 16"/>
                                      <wps:cNvSpPr/>
                                      <wps:spPr>
                                        <a:xfrm>
                                          <a:off x="4457700" y="1485900"/>
                                          <a:ext cx="18288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633DB4C9" w14:textId="207F04D9" w:rsidR="007834C4" w:rsidRPr="003E1430" w:rsidRDefault="007834C4" w:rsidP="00A2387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  <w:t>Республика Татарстан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8" name="Rectangle 18"/>
                                    <wps:cNvSpPr/>
                                    <wps:spPr>
                                      <a:xfrm>
                                        <a:off x="3543300" y="1714500"/>
                                        <a:ext cx="18288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597B813" w14:textId="4B23872A" w:rsidR="007834C4" w:rsidRPr="003E1430" w:rsidRDefault="007834C4" w:rsidP="00A23872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</w:rPr>
                                            <w:t>Ростовская область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0" name="Rectangle 20"/>
                                  <wps:cNvSpPr/>
                                  <wps:spPr>
                                    <a:xfrm>
                                      <a:off x="1600200" y="1714500"/>
                                      <a:ext cx="18288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849176D" w14:textId="68A12AB6" w:rsidR="007834C4" w:rsidRPr="003E1430" w:rsidRDefault="007834C4" w:rsidP="00A2387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Омская область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2286000" y="2400300"/>
                                    <a:ext cx="18288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E9351B0" w14:textId="6BEBF797" w:rsidR="007834C4" w:rsidRPr="003E1430" w:rsidRDefault="007834C4" w:rsidP="00A2387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>Волгоградская область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2857500" y="2171700"/>
                                  <a:ext cx="18288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C5A880A" w14:textId="77777777" w:rsidR="007834C4" w:rsidRDefault="007834C4" w:rsidP="00A238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  <w:t xml:space="preserve">Челябинская </w:t>
                                    </w:r>
                                  </w:p>
                                  <w:p w14:paraId="75D90CB9" w14:textId="7821B841" w:rsidR="007834C4" w:rsidRPr="003E1430" w:rsidRDefault="007834C4" w:rsidP="00A238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  <w:t>область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" name="Rectangle 29"/>
                            <wps:cNvSpPr/>
                            <wps:spPr>
                              <a:xfrm>
                                <a:off x="4114800" y="1828800"/>
                                <a:ext cx="1828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D3BCC5" w14:textId="5139C704" w:rsidR="007834C4" w:rsidRPr="003E1430" w:rsidRDefault="007834C4" w:rsidP="00A238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Нижегородская область Башкортостан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Rectangle 31"/>
                          <wps:cNvSpPr/>
                          <wps:spPr>
                            <a:xfrm>
                              <a:off x="4572000" y="3086100"/>
                              <a:ext cx="18288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2084F1" w14:textId="2CAC0F4D" w:rsidR="007834C4" w:rsidRDefault="007834C4" w:rsidP="00B8303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Красноярский край</w:t>
                                </w:r>
                              </w:p>
                              <w:p w14:paraId="2ACA4454" w14:textId="5FD3CD12" w:rsidR="007834C4" w:rsidRPr="003E1430" w:rsidRDefault="007834C4" w:rsidP="00B8303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Свердловская область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3771900" y="3657600"/>
                            <a:ext cx="1828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3E695A" w14:textId="105296DF" w:rsidR="007834C4" w:rsidRPr="003E1430" w:rsidRDefault="007834C4" w:rsidP="00B8303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Пермский край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left:0;text-align:left;margin-left:-17.95pt;margin-top:8.1pt;width:7in;height:351pt;z-index:251691008" coordsize="6400800,4457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">
                <v:group id="Group 32" o:spid="_x0000_s1027" style="position:absolute;width:6400800;height:4457700" coordsize="6400800,445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group id="Group 30" o:spid="_x0000_s1028" style="position:absolute;width:6400800;height:4457700" coordsize="6400800,445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<v:group id="Group 28" o:spid="_x0000_s1029" style="position:absolute;width:6400800;height:4457700" coordsize="6400800,445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    <v:group id="Group 26" o:spid="_x0000_s1030" style="position:absolute;width:6400800;height:4457700" coordsize="6400800,445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    <v:group id="Group 22" o:spid="_x0000_s1031" style="position:absolute;width:6400800;height:4457700" coordsize="6400800,445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      <v:group id="Group 19" o:spid="_x0000_s1032" style="position:absolute;width:6400800;height:4457700" coordsize="6400800,445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          <v:group id="Group 17" o:spid="_x0000_s1033" style="position:absolute;width:6400800;height:4457700" coordsize="6400800,445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          <v:group id="Group 12" o:spid="_x0000_s1034" style="position:absolute;left:342900;width:6057900;height:4457700" coordsize="6057900,445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            <v:shapetype id="_x0000_t32" coordsize="21600,21600" o:spt="32" o:oned="t" path="m0,0l21600,21600e" filled="f">
                                  <v:path arrowok="t" fillok="f" o:connecttype="none"/>
                                  <o:lock v:ext="edit" shapetype="t"/>
                                </v:shapetype>
                                <v:shape id="Straight Arrow Connector 5" o:spid="_x0000_s1035" type="#_x0000_t32" style="position:absolute;left:2971800;top:800100;width:0;height:25146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u0jMQAAADaAAAADwAAAGRycy9kb3ducmV2LnhtbESPzWrCQBSF90LfYbiF7nTSgqVEJ0Es&#10;gtJu1C50d8lck2jmTpyZxujTO0Khy8P5+TjTvDeN6Mj52rKC11ECgriwuuZSwc92MfwA4QOyxsYy&#10;KbiShzx7Gkwx1fbCa+o2oRRxhH2KCqoQ2lRKX1Rk0I9sSxy9g3UGQ5SulNrhJY6bRr4lybs0WHMk&#10;VNjSvKLitPk1EbI8bL+v2H3dzrfd6vPoenPcr5V6ee5nExCB+vAf/msvtYIxPK7EGyC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C7SMxAAAANoAAAAPAAAAAAAAAAAA&#10;AAAAAKECAABkcnMvZG93bnJldi54bWxQSwUGAAAAAAQABAD5AAAAkgMAAAAA&#10;" strokecolor="black [3213]" strokeweight="2pt">
                                  <v:stroke endarrow="open"/>
                                  <v:shadow on="t" opacity="24903f" mv:blur="40000f" origin=",.5" offset="0,20000emu"/>
                                </v:shape>
                                <v:rect id="Rectangle 6" o:spid="_x0000_s1036" style="position:absolute;left:2171700;top:3657600;width:16002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oV1wgAA&#10;ANoAAAAPAAAAZHJzL2Rvd25yZXYueG1sRI/BasMwEETvhf6D2EJvtRxDQ3GjhFBo4ksOSdv71tpI&#10;xtbKWLLj/H0UKPQ4zMwbZrWZXScmGkLjWcEiy0EQ1143bBR8f32+vIEIEVlj55kUXCnAZv34sMJS&#10;+wsfaTpFIxKEQ4kKbIx9KWWoLTkMme+Jk3f2g8OY5GCkHvCS4K6TRZ4vpcOG04LFnj4s1e1pdAr2&#10;oS3y6lD9Np0Zdz+LY/HaWqfU89O8fQcRaY7/4b92pRUs4X4l3QC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g6hXXCAAAA2gAAAA8AAAAAAAAAAAAAAAAAlwIAAGRycy9kb3du&#10;cmV2LnhtbFBLBQYAAAAABAAEAPUAAACGAwAAAAA=&#10;" filled="f" strokecolor="black [3213]">
                                  <v:shadow on="t" opacity="22937f" mv:blur="40000f" origin=",.5" offset="0,23000emu"/>
                                  <v:textbox>
                                    <w:txbxContent>
                                      <w:p w14:paraId="2CB1D8E3" w14:textId="055B76F2" w:rsidR="007834C4" w:rsidRPr="003E1430" w:rsidRDefault="007834C4" w:rsidP="003E143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  <w:r w:rsidRPr="003E1430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Низкая привлекательность для креативного класса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8" o:spid="_x0000_s1037" style="position:absolute;left:2171700;width:16002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6bScvgAA&#10;ANoAAAAPAAAAZHJzL2Rvd25yZXYueG1sRE9Ni8IwEL0L/ocwgjdNLbgs1bSIoPayB93d+9iMTWkz&#10;KU3U+u/NYWGPj/e9LUbbiQcNvnGsYLVMQBBXTjdcK/j5Piw+QfiArLFzTApe5KHIp5MtZto9+UyP&#10;S6hFDGGfoQITQp9J6StDFv3S9cSRu7nBYohwqKUe8BnDbSfTJPmQFhuODQZ72huq2svdKjj5Nk3K&#10;r/LadPX9+Ls6p+vWWKXms3G3ARFoDP/iP3epFcSt8Uq8ATJ/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um0nL4AAADaAAAADwAAAAAAAAAAAAAAAACXAgAAZHJzL2Rvd25yZXYu&#10;eG1sUEsFBgAAAAAEAAQA9QAAAIIDAAAAAA==&#10;" filled="f" strokecolor="black [3213]">
                                  <v:shadow on="t" opacity="22937f" mv:blur="40000f" origin=",.5" offset="0,23000emu"/>
                                  <v:textbox>
                                    <w:txbxContent>
                                      <w:p w14:paraId="27BEC364" w14:textId="43949932" w:rsidR="007834C4" w:rsidRPr="003E1430" w:rsidRDefault="007834C4" w:rsidP="003E143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 xml:space="preserve">Высокая </w:t>
                                        </w:r>
                                        <w:r w:rsidRPr="003E1430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привлекательность для креативного класса</w:t>
                                        </w:r>
                                      </w:p>
                                    </w:txbxContent>
                                  </v:textbox>
                                </v:rect>
                                <v:shape id="Straight Arrow Connector 9" o:spid="_x0000_s1038" type="#_x0000_t32" style="position:absolute;top:2171700;width:587946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321cAAAADaAAAADwAAAGRycy9kb3ducmV2LnhtbESPT4vCMBTE78J+h/AWvNl0PYjWRtld&#10;VLwI/sPzo3k21ealNFHrtzfCwh6HmfkNk887W4s7tb5yrOArSUEQF05XXCo4HpaDMQgfkDXWjknB&#10;kzzMZx+9HDPtHryj+z6UIkLYZ6jAhNBkUvrCkEWfuIY4emfXWgxRtqXULT4i3NZymKYjabHiuGCw&#10;oV9DxXV/swrcor6YzQ9fDjd0lhq5MsvtSan+Z/c9BRGoC//hv/ZaK5jA+0q8AXL2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CN9tXAAAAA2gAAAA8AAAAAAAAAAAAAAAAA&#10;oQIAAGRycy9kb3ducmV2LnhtbFBLBQYAAAAABAAEAPkAAACOAwAAAAA=&#10;" strokecolor="black [3213]" strokeweight="2pt">
                                  <v:stroke endarrow="open"/>
                                  <v:shadow on="t" opacity="24903f" mv:blur="40000f" origin=",.5" offset="0,20000emu"/>
                                </v:shape>
                                <v:rect id="Rectangle 10" o:spid="_x0000_s1039" style="position:absolute;top:1143000;width:16002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+bxwwAA&#10;ANsAAAAPAAAAZHJzL2Rvd25yZXYueG1sRI9Bb8IwDIXvk/gPkZG4jZRKTFMhIITE1ssOsO1uGtNU&#10;bZyqCVD+PT5M2s3We37v83o7+k7daIhNYAOLeQaKuAq24drAz/fh9R1UTMgWu8Bk4EERtpvJyxoL&#10;G+58pNsp1UpCOBZowKXUF1rHypHHOA89sWiXMHhMsg61tgPeJdx3Os+yN+2xYWlw2NPeUdWert7A&#10;Z2zzrPwqz01XXz9+F8d82TpvzGw67lagEo3p3/x3XVrBF3r5RQbQm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k+bxwwAAANsAAAAPAAAAAAAAAAAAAAAAAJcCAABkcnMvZG93&#10;bnJldi54bWxQSwUGAAAAAAQABAD1AAAAhwMAAAAA&#10;" filled="f" strokecolor="black [3213]">
                                  <v:shadow on="t" opacity="22937f" mv:blur="40000f" origin=",.5" offset="0,23000emu"/>
                                  <v:textbox>
                                    <w:txbxContent>
                                      <w:p w14:paraId="1401EBCF" w14:textId="7600BB2B" w:rsidR="007834C4" w:rsidRPr="003E1430" w:rsidRDefault="007834C4" w:rsidP="003E143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 xml:space="preserve">Низкая  </w:t>
                                        </w:r>
                                        <w:r w:rsidRPr="003E1430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 xml:space="preserve">привлекательность для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инвесторов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11" o:spid="_x0000_s1040" style="position:absolute;left:4457700;top:2466975;width:16002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30NqvwAA&#10;ANsAAAAPAAAAZHJzL2Rvd25yZXYueG1sRE9Li8IwEL4L+x/CLHjTtAVFukYRYddePPjY+2wz25Q2&#10;k9JErf/eCIK3+fies1wPthVX6n3tWEE6TUAQl07XXCk4n74nCxA+IGtsHZOCO3lYrz5GS8y1u/GB&#10;rsdQiRjCPkcFJoQul9KXhiz6qeuII/fveoshwr6SusdbDLetzJJkLi3WHBsMdrQ1VDbHi1Ww802W&#10;FPvir26ry89veshmjbFKjT+HzReIQEN4i1/uQsf5KTx/iQfI1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zfQ2q/AAAA2wAAAA8AAAAAAAAAAAAAAAAAlwIAAGRycy9kb3ducmV2&#10;LnhtbFBLBQYAAAAABAAEAPUAAACDAwAAAAA=&#10;" filled="f" strokecolor="black [3213]">
                                  <v:shadow on="t" opacity="22937f" mv:blur="40000f" origin=",.5" offset="0,23000emu"/>
                                  <v:textbox>
                                    <w:txbxContent>
                                      <w:p w14:paraId="6EEB0FFE" w14:textId="14867153" w:rsidR="007834C4" w:rsidRPr="003E1430" w:rsidRDefault="007834C4" w:rsidP="003E143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 xml:space="preserve">Высокая </w:t>
                                        </w:r>
                                        <w:r w:rsidRPr="003E1430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 xml:space="preserve">привлекательность для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инвесторов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rect id="Rectangle 13" o:spid="_x0000_s1041" style="position:absolute;top:114300;width:18288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9lVwgAA&#10;ANsAAAAPAAAAZHJzL2Rvd25yZXYueG1sRE9NawIxEL0L/Q9hCt40awWR1ShFEFRKUbeHHsdk3F27&#10;mWyTVNd/3wiF3ubxPme+7GwjruRD7VjBaJiBINbO1Fwq+CjWgymIEJENNo5JwZ0CLBdPvTnmxt34&#10;QNdjLEUK4ZCjgirGNpcy6IoshqFriRN3dt5iTNCX0ni8pXDbyJcsm0iLNaeGCltaVaS/jj9WQbEv&#10;dtk3vt+1/mwmvL2cpvs3r1T/uXudgYjUxX/xn3tj0vwxPH5JB8jF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Kn2VXCAAAA2wAAAA8AAAAAAAAAAAAAAAAAlwIAAGRycy9kb3du&#10;cmV2LnhtbFBLBQYAAAAABAAEAPUAAACGAwAAAAA=&#10;" filled="f" stroked="f">
                                <v:shadow on="t" opacity="22937f" mv:blur="40000f" origin=",.5" offset="0,23000emu"/>
                                <v:textbox>
                                  <w:txbxContent>
                                    <w:p w14:paraId="2D0CD569" w14:textId="0A169228" w:rsidR="007834C4" w:rsidRPr="003E1430" w:rsidRDefault="007834C4" w:rsidP="003E1430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>Томская область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4" o:spid="_x0000_s1042" style="position:absolute;left:4000500;top:342900;width:12573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TkEhwgAA&#10;ANsAAAAPAAAAZHJzL2Rvd25yZXYueG1sRE9NawIxEL0L/Q9hCt40axGR1ShFEFRKUbeHHsdk3F27&#10;mWyTVNd/3wiF3ubxPme+7GwjruRD7VjBaJiBINbO1Fwq+CjWgymIEJENNo5JwZ0CLBdPvTnmxt34&#10;QNdjLEUK4ZCjgirGNpcy6IoshqFriRN3dt5iTNCX0ni8pXDbyJcsm0iLNaeGCltaVaS/jj9WQbEv&#10;dtk3vt+1/mwmvL2cpvs3r1T/uXudgYjUxX/xn3tj0vwxPH5JB8jF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1OQSHCAAAA2wAAAA8AAAAAAAAAAAAAAAAAlwIAAGRycy9kb3du&#10;cmV2LnhtbFBLBQYAAAAABAAEAPUAAACGAwAAAAA=&#10;" filled="f" stroked="f">
                                <v:shadow on="t" opacity="22937f" mv:blur="40000f" origin=",.5" offset="0,23000emu"/>
                                <v:textbox>
                                  <w:txbxContent>
                                    <w:p w14:paraId="365272AA" w14:textId="0F3BDCF2" w:rsidR="007834C4" w:rsidRPr="003E1430" w:rsidRDefault="007834C4" w:rsidP="00A2387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>Новосибирская область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5" o:spid="_x0000_s1043" style="position:absolute;left:3429000;top:1143000;width:18288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uS6wgAA&#10;ANsAAAAPAAAAZHJzL2Rvd25yZXYueG1sRE9NawIxEL0L/Q9hCt40a0GR1ShFEFRKUbeHHsdk3F27&#10;mWyTVNd/3wiF3ubxPme+7GwjruRD7VjBaJiBINbO1Fwq+CjWgymIEJENNo5JwZ0CLBdPvTnmxt34&#10;QNdjLEUK4ZCjgirGNpcy6IoshqFriRN3dt5iTNCX0ni8pXDbyJcsm0iLNaeGCltaVaS/jj9WQbEv&#10;dtk3vt+1/mwmvL2cpvs3r1T/uXudgYjUxX/xn3tj0vwxPH5JB8jF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IC5LrCAAAA2wAAAA8AAAAAAAAAAAAAAAAAlwIAAGRycy9kb3du&#10;cmV2LnhtbFBLBQYAAAAABAAEAPUAAACGAwAAAAA=&#10;" filled="f" stroked="f">
                                <v:shadow on="t" opacity="22937f" mv:blur="40000f" origin=",.5" offset="0,23000emu"/>
                                <v:textbox>
                                  <w:txbxContent>
                                    <w:p w14:paraId="4A8B98B2" w14:textId="0A89CD9E" w:rsidR="007834C4" w:rsidRPr="003E1430" w:rsidRDefault="007834C4" w:rsidP="00A2387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>Самарская область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6" o:spid="_x0000_s1044" style="position:absolute;left:4457700;top:1485900;width:18288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0HrNwgAA&#10;ANsAAAAPAAAAZHJzL2Rvd25yZXYueG1sRE9NawIxEL0X/A9hhN5q1h4WWY0igmBLKdb14HFMxt3V&#10;zWSbpLr++6ZQ8DaP9zmzRW9bcSUfGscKxqMMBLF2puFKwb5cv0xAhIhssHVMCu4UYDEfPM2wMO7G&#10;X3TdxUqkEA4FKqhj7Aopg67JYhi5jjhxJ+ctxgR9JY3HWwq3rXzNslxabDg11NjRqiZ92f1YBeW2&#10;fM++8fOu9aHN+e18nGw/vFLPw345BRGpjw/xv3tj0vwc/n5JB8j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Qes3CAAAA2wAAAA8AAAAAAAAAAAAAAAAAlwIAAGRycy9kb3du&#10;cmV2LnhtbFBLBQYAAAAABAAEAPUAAACGAwAAAAA=&#10;" filled="f" stroked="f">
                                <v:shadow on="t" opacity="22937f" mv:blur="40000f" origin=",.5" offset="0,23000emu"/>
                                <v:textbox>
                                  <w:txbxContent>
                                    <w:p w14:paraId="633DB4C9" w14:textId="207F04D9" w:rsidR="007834C4" w:rsidRPr="003E1430" w:rsidRDefault="007834C4" w:rsidP="00A2387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>Республика Татарстан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Rectangle 18" o:spid="_x0000_s1045" style="position:absolute;left:3543300;top:1714500;width:18288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0skxQAA&#10;ANsAAAAPAAAAZHJzL2Rvd25yZXYueG1sRI9BawIxEIXvBf9DGKG3mrUHka1RpFCwRYp1e+hxmoy7&#10;q5vJNom6/vvOodDbDO/Ne98sVoPv1IViagMbmE4KUMQ2uJZrA5/Vy8McVMrIDrvAZOBGCVbL0d0C&#10;Sxeu/EGXfa6VhHAq0UCTc19qnWxDHtMk9MSiHUL0mGWNtXYRrxLuO/1YFDPtsWVpaLCn54bsaX/2&#10;Bqpd9Vb84PvN2q9uxq/H7/luG425Hw/rJ1CZhvxv/rveOMEXWPlFBt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DSyTFAAAA2wAAAA8AAAAAAAAAAAAAAAAAlwIAAGRycy9k&#10;b3ducmV2LnhtbFBLBQYAAAAABAAEAPUAAACJAwAAAAA=&#10;" filled="f" stroked="f">
                              <v:shadow on="t" opacity="22937f" mv:blur="40000f" origin=",.5" offset="0,23000emu"/>
                              <v:textbox>
                                <w:txbxContent>
                                  <w:p w14:paraId="7597B813" w14:textId="4B23872A" w:rsidR="007834C4" w:rsidRPr="003E1430" w:rsidRDefault="007834C4" w:rsidP="00A238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  <w:t>Ростовская область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Rectangle 20" o:spid="_x0000_s1046" style="position:absolute;left:1600200;top:1714500;width:18288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Y2fwQAA&#10;ANsAAAAPAAAAZHJzL2Rvd25yZXYueG1sRE/Pa8IwFL4L+x/CG3jTVA8itVGGIKgMcdaDx7fkre1s&#10;XmqSaf3vl8Ngx4/vd7HqbSvu5EPjWMFknIEg1s40XCk4l5vRHESIyAZbx6TgSQFWy5dBgblxD/6g&#10;+ylWIoVwyFFBHWOXSxl0TRbD2HXEifty3mJM0FfSeHykcNvKaZbNpMWGU0ONHa1r0tfTj1VQHst9&#10;dsPDU+tLO+Pd9+f8+O6VGr72bwsQkfr4L/5zb42CaVqfvqQfIJ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BmNn8EAAADbAAAADwAAAAAAAAAAAAAAAACXAgAAZHJzL2Rvd25y&#10;ZXYueG1sUEsFBgAAAAAEAAQA9QAAAIUDAAAAAA==&#10;" filled="f" stroked="f">
                            <v:shadow on="t" opacity="22937f" mv:blur="40000f" origin=",.5" offset="0,23000emu"/>
                            <v:textbox>
                              <w:txbxContent>
                                <w:p w14:paraId="6849176D" w14:textId="68A12AB6" w:rsidR="007834C4" w:rsidRPr="003E1430" w:rsidRDefault="007834C4" w:rsidP="00A238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Омская область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23" o:spid="_x0000_s1047" style="position:absolute;left:2286000;top:2400300;width:18288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xPoxAAA&#10;ANsAAAAPAAAAZHJzL2Rvd25yZXYueG1sRI9BawIxFITvhf6H8Aq91WwtiKxGEaFQRcS6PXh8Js/d&#10;1c3LNom6/ntTEHocZuYbZjztbCMu5EPtWMF7LwNBrJ2puVTwU3y+DUGEiGywcUwKbhRgOnl+GmNu&#10;3JW/6bKNpUgQDjkqqGJscymDrshi6LmWOHkH5y3GJH0pjcdrgttG9rNsIC3WnBYqbGlekT5tz1ZB&#10;sSmW2S+ub1rvmgEvjvvhZuWVen3pZiMQkbr4H360v4yC/gf8fUk/QE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MsT6MQAAADbAAAADwAAAAAAAAAAAAAAAACXAgAAZHJzL2Rv&#10;d25yZXYueG1sUEsFBgAAAAAEAAQA9QAAAIgDAAAAAA==&#10;" filled="f" stroked="f">
                          <v:shadow on="t" opacity="22937f" mv:blur="40000f" origin=",.5" offset="0,23000emu"/>
                          <v:textbox>
                            <w:txbxContent>
                              <w:p w14:paraId="2E9351B0" w14:textId="6BEBF797" w:rsidR="007834C4" w:rsidRPr="003E1430" w:rsidRDefault="007834C4" w:rsidP="00A2387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Волгоградская область</w:t>
                                </w:r>
                              </w:p>
                            </w:txbxContent>
                          </v:textbox>
                        </v:rect>
                      </v:group>
                      <v:rect id="Rectangle 27" o:spid="_x0000_s1048" style="position:absolute;left:2857500;top:2171700;width:18288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8BXrxAAA&#10;ANsAAAAPAAAAZHJzL2Rvd25yZXYueG1sRI9BawIxFITvhf6H8Aq91Ww9WFmNIkKhSinqevD4TJ67&#10;q5uXbZLq+u8bQfA4zMw3zHja2UacyYfasYL3XgaCWDtTc6lgW3y+DUGEiGywcUwKrhRgOnl+GmNu&#10;3IXXdN7EUiQIhxwVVDG2uZRBV2Qx9FxLnLyD8xZjkr6UxuMlwW0j+1k2kBZrTgsVtjSvSJ82f1ZB&#10;sSqW2S/+XLXeNQNeHPfD1bdX6vWlm41AROriI3xvfxkF/Q+4fUk/QE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AV68QAAADbAAAADwAAAAAAAAAAAAAAAACXAgAAZHJzL2Rv&#10;d25yZXYueG1sUEsFBgAAAAAEAAQA9QAAAIgDAAAAAA==&#10;" filled="f" stroked="f">
                        <v:shadow on="t" opacity="22937f" mv:blur="40000f" origin=",.5" offset="0,23000emu"/>
                        <v:textbox>
                          <w:txbxContent>
                            <w:p w14:paraId="3C5A880A" w14:textId="77777777" w:rsidR="007834C4" w:rsidRDefault="007834C4" w:rsidP="00A238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Челябинская </w:t>
                              </w:r>
                            </w:p>
                            <w:p w14:paraId="75D90CB9" w14:textId="7821B841" w:rsidR="007834C4" w:rsidRPr="003E1430" w:rsidRDefault="007834C4" w:rsidP="00A238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область</w:t>
                              </w:r>
                            </w:p>
                          </w:txbxContent>
                        </v:textbox>
                      </v:rect>
                    </v:group>
                    <v:rect id="Rectangle 29" o:spid="_x0000_s1049" style="position:absolute;left:4114800;top:1828800;width:1828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IyQCxAAA&#10;ANsAAAAPAAAAZHJzL2Rvd25yZXYueG1sRI9BawIxFITvhf6H8Aq91Ww9iK5GEaFQRUTdHjw+k+fu&#10;6uZlm6S6/vumIPQ4zMw3zGTW2UZcyYfasYL3XgaCWDtTc6ngq/h4G4IIEdlg45gU3CnAbPr8NMHc&#10;uBvv6LqPpUgQDjkqqGJscymDrshi6LmWOHkn5y3GJH0pjcdbgttG9rNsIC3WnBYqbGlRkb7sf6yC&#10;Ylussm/c3LU+NANeno/D7dor9frSzccgInXxP/xofxoF/RH8fUk/QE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SMkAsQAAADbAAAADwAAAAAAAAAAAAAAAACXAgAAZHJzL2Rv&#10;d25yZXYueG1sUEsFBgAAAAAEAAQA9QAAAIgDAAAAAA==&#10;" filled="f" stroked="f">
                      <v:shadow on="t" opacity="22937f" mv:blur="40000f" origin=",.5" offset="0,23000emu"/>
                      <v:textbox>
                        <w:txbxContent>
                          <w:p w14:paraId="4AD3BCC5" w14:textId="5139C704" w:rsidR="007834C4" w:rsidRPr="003E1430" w:rsidRDefault="007834C4" w:rsidP="00A23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Нижегородская область Башкортостан </w:t>
                            </w:r>
                          </w:p>
                        </w:txbxContent>
                      </v:textbox>
                    </v:rect>
                  </v:group>
                  <v:rect id="Rectangle 31" o:spid="_x0000_s1050" style="position:absolute;left:4572000;top:3086100;width:18288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jL7ZxAAA&#10;ANsAAAAPAAAAZHJzL2Rvd25yZXYueG1sRI9BawIxFITvhf6H8Aq91awWRFajSKFQRYp1PXh8Js/d&#10;tZuXNYm6/vumIHgcZuYbZjLrbCMu5EPtWEG/l4Eg1s7UXCrYFp9vIxAhIhtsHJOCGwWYTZ+fJpgb&#10;d+UfumxiKRKEQ44KqhjbXMqgK7IYeq4lTt7BeYsxSV9K4/Ga4LaRgywbSos1p4UKW/qoSP9uzlZB&#10;sS6W2Qm/b1rvmiEvjvvReuWVen3p5mMQkbr4CN/bX0bBex/+v6QfIK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oy+2cQAAADbAAAADwAAAAAAAAAAAAAAAACXAgAAZHJzL2Rv&#10;d25yZXYueG1sUEsFBgAAAAAEAAQA9QAAAIgDAAAAAA==&#10;" filled="f" stroked="f">
                    <v:shadow on="t" opacity="22937f" mv:blur="40000f" origin=",.5" offset="0,23000emu"/>
                    <v:textbox>
                      <w:txbxContent>
                        <w:p w14:paraId="0E2084F1" w14:textId="2CAC0F4D" w:rsidR="007834C4" w:rsidRDefault="007834C4" w:rsidP="00B8303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Красноярский край</w:t>
                          </w:r>
                        </w:p>
                        <w:p w14:paraId="2ACA4454" w14:textId="5FD3CD12" w:rsidR="007834C4" w:rsidRPr="003E1430" w:rsidRDefault="007834C4" w:rsidP="00B8303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Свердловская область</w:t>
                          </w:r>
                        </w:p>
                      </w:txbxContent>
                    </v:textbox>
                  </v:rect>
                </v:group>
                <v:rect id="Rectangle 33" o:spid="_x0000_s1051" style="position:absolute;left:3771900;top:3657600;width:18288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oU1xAAA&#10;ANsAAAAPAAAAZHJzL2Rvd25yZXYueG1sRI9BawIxFITvBf9DeIXearYVRFajiCDUUop1PXh8Js/d&#10;1c3LmqS6/vumIHgcZuYbZjLrbCMu5EPtWMFbPwNBrJ2puVSwLZavIxAhIhtsHJOCGwWYTXtPE8yN&#10;u/IPXTaxFAnCIUcFVYxtLmXQFVkMfdcSJ+/gvMWYpC+l8XhNcNvI9ywbSos1p4UKW1pUpE+bX6ug&#10;WBef2Rm/b1rvmiGvjvvR+ssr9fLczccgInXxEb63P4yCwQD+v6QfIK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KFNcQAAADbAAAADwAAAAAAAAAAAAAAAACXAgAAZHJzL2Rv&#10;d25yZXYueG1sUEsFBgAAAAAEAAQA9QAAAIgDAAAAAA==&#10;" filled="f" stroked="f">
                  <v:shadow on="t" opacity="22937f" mv:blur="40000f" origin=",.5" offset="0,23000emu"/>
                  <v:textbox>
                    <w:txbxContent>
                      <w:p w14:paraId="003E695A" w14:textId="105296DF" w:rsidR="007834C4" w:rsidRPr="003E1430" w:rsidRDefault="007834C4" w:rsidP="00B8303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Пермский край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14:paraId="325F29C2" w14:textId="60F549AD" w:rsidR="003D3E65" w:rsidRDefault="003D3E65" w:rsidP="003D3E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7513AD7" w14:textId="0F48541D" w:rsidR="003D3E65" w:rsidRDefault="003D3E65" w:rsidP="003D3E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3F3115" w14:textId="7041A6F9" w:rsidR="00716AD0" w:rsidRPr="00AD057B" w:rsidRDefault="00716AD0" w:rsidP="00BA5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AF153EF" w14:textId="0F1310FB" w:rsidR="00DD7196" w:rsidRPr="00AD057B" w:rsidRDefault="00DD7196" w:rsidP="00EC0041">
      <w:pPr>
        <w:jc w:val="both"/>
        <w:rPr>
          <w:rFonts w:ascii="Times New Roman" w:hAnsi="Times New Roman" w:cs="Times New Roman"/>
        </w:rPr>
      </w:pPr>
    </w:p>
    <w:p w14:paraId="37E3B891" w14:textId="3E491BC4" w:rsidR="0010241A" w:rsidRPr="00AD057B" w:rsidRDefault="0010241A" w:rsidP="00EC0041">
      <w:pPr>
        <w:jc w:val="both"/>
        <w:rPr>
          <w:rFonts w:ascii="Times New Roman" w:hAnsi="Times New Roman" w:cs="Times New Roman"/>
        </w:rPr>
      </w:pPr>
    </w:p>
    <w:p w14:paraId="362C6D6A" w14:textId="134E607F" w:rsidR="0010241A" w:rsidRPr="00AD057B" w:rsidRDefault="0010241A" w:rsidP="00EC0041">
      <w:pPr>
        <w:jc w:val="both"/>
        <w:rPr>
          <w:rFonts w:ascii="Times New Roman" w:hAnsi="Times New Roman" w:cs="Times New Roman"/>
        </w:rPr>
      </w:pPr>
    </w:p>
    <w:p w14:paraId="616E5412" w14:textId="770B01C6" w:rsidR="0010241A" w:rsidRPr="00AD057B" w:rsidRDefault="0010241A" w:rsidP="00EC0041">
      <w:pPr>
        <w:jc w:val="both"/>
        <w:rPr>
          <w:rFonts w:ascii="Times New Roman" w:hAnsi="Times New Roman" w:cs="Times New Roman"/>
        </w:rPr>
      </w:pPr>
    </w:p>
    <w:p w14:paraId="609C2B33" w14:textId="34CA7E98" w:rsidR="0010241A" w:rsidRPr="00AD057B" w:rsidRDefault="0010241A" w:rsidP="00EC0041">
      <w:pPr>
        <w:jc w:val="both"/>
        <w:rPr>
          <w:rFonts w:ascii="Times New Roman" w:hAnsi="Times New Roman" w:cs="Times New Roman"/>
        </w:rPr>
      </w:pPr>
    </w:p>
    <w:p w14:paraId="62323C9C" w14:textId="4AB04C35" w:rsidR="0010241A" w:rsidRPr="00AD057B" w:rsidRDefault="0010241A" w:rsidP="00EC0041">
      <w:pPr>
        <w:jc w:val="both"/>
        <w:rPr>
          <w:rFonts w:ascii="Times New Roman" w:hAnsi="Times New Roman" w:cs="Times New Roman"/>
        </w:rPr>
      </w:pPr>
    </w:p>
    <w:p w14:paraId="3C4C1AE4" w14:textId="47E9C07D" w:rsidR="0010241A" w:rsidRPr="00AD057B" w:rsidRDefault="0010241A" w:rsidP="00EC0041">
      <w:pPr>
        <w:jc w:val="both"/>
        <w:rPr>
          <w:rFonts w:ascii="Times New Roman" w:hAnsi="Times New Roman" w:cs="Times New Roman"/>
        </w:rPr>
      </w:pPr>
    </w:p>
    <w:p w14:paraId="4EB07E16" w14:textId="21D5B97F" w:rsidR="0010241A" w:rsidRPr="00AD057B" w:rsidRDefault="0010241A" w:rsidP="00EC0041">
      <w:pPr>
        <w:jc w:val="both"/>
        <w:rPr>
          <w:rFonts w:ascii="Times New Roman" w:hAnsi="Times New Roman" w:cs="Times New Roman"/>
        </w:rPr>
      </w:pPr>
    </w:p>
    <w:p w14:paraId="63E1E2FD" w14:textId="751B1F20" w:rsidR="0010241A" w:rsidRPr="00AD057B" w:rsidRDefault="0010241A" w:rsidP="00EC0041">
      <w:pPr>
        <w:jc w:val="both"/>
        <w:rPr>
          <w:rFonts w:ascii="Times New Roman" w:hAnsi="Times New Roman" w:cs="Times New Roman"/>
        </w:rPr>
      </w:pPr>
    </w:p>
    <w:p w14:paraId="0DDB32D4" w14:textId="0A00B585" w:rsidR="003E1430" w:rsidRDefault="003E1430" w:rsidP="003E1430">
      <w:pPr>
        <w:jc w:val="both"/>
        <w:rPr>
          <w:rFonts w:ascii="Times New Roman" w:hAnsi="Times New Roman" w:cs="Times New Roman"/>
        </w:rPr>
      </w:pPr>
    </w:p>
    <w:p w14:paraId="0CFE1ED1" w14:textId="77777777" w:rsidR="003E1430" w:rsidRDefault="003E1430" w:rsidP="003E1430">
      <w:pPr>
        <w:jc w:val="both"/>
        <w:rPr>
          <w:rFonts w:ascii="Times New Roman" w:hAnsi="Times New Roman" w:cs="Times New Roman"/>
        </w:rPr>
      </w:pPr>
    </w:p>
    <w:p w14:paraId="0BF102C9" w14:textId="630F2468" w:rsidR="003E1430" w:rsidRDefault="003E1430" w:rsidP="003E1430">
      <w:pPr>
        <w:jc w:val="both"/>
        <w:rPr>
          <w:rFonts w:ascii="Times New Roman" w:hAnsi="Times New Roman" w:cs="Times New Roman"/>
        </w:rPr>
      </w:pPr>
    </w:p>
    <w:p w14:paraId="38048EBC" w14:textId="1528A3E3" w:rsidR="003E1430" w:rsidRDefault="003E1430" w:rsidP="003E1430">
      <w:pPr>
        <w:jc w:val="both"/>
        <w:rPr>
          <w:rFonts w:ascii="Times New Roman" w:hAnsi="Times New Roman" w:cs="Times New Roman"/>
        </w:rPr>
      </w:pPr>
    </w:p>
    <w:p w14:paraId="21E495F2" w14:textId="7C0C9052" w:rsidR="003E1430" w:rsidRDefault="003E1430" w:rsidP="003E1430">
      <w:pPr>
        <w:jc w:val="both"/>
        <w:rPr>
          <w:rFonts w:ascii="Times New Roman" w:hAnsi="Times New Roman" w:cs="Times New Roman"/>
        </w:rPr>
      </w:pPr>
    </w:p>
    <w:p w14:paraId="6CCB2D9B" w14:textId="77777777" w:rsidR="003E1430" w:rsidRPr="00B8303F" w:rsidRDefault="003E1430" w:rsidP="00B8303F">
      <w:pPr>
        <w:jc w:val="both"/>
        <w:rPr>
          <w:rFonts w:ascii="Times New Roman" w:hAnsi="Times New Roman" w:cs="Times New Roman"/>
        </w:rPr>
      </w:pPr>
    </w:p>
    <w:p w14:paraId="33180AA7" w14:textId="55BAE19E" w:rsidR="00E13B8C" w:rsidRPr="00E13B8C" w:rsidRDefault="00E13B8C" w:rsidP="00E1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Источник: с</w:t>
      </w:r>
      <w:r w:rsidRPr="00E13B8C">
        <w:rPr>
          <w:rFonts w:ascii="Times New Roman" w:hAnsi="Times New Roman" w:cs="Times New Roman"/>
          <w:sz w:val="22"/>
        </w:rPr>
        <w:t>оставлено автором на основе проведенных расчетов. Источник</w:t>
      </w:r>
      <w:r>
        <w:rPr>
          <w:rFonts w:ascii="Times New Roman" w:hAnsi="Times New Roman" w:cs="Times New Roman"/>
          <w:sz w:val="22"/>
        </w:rPr>
        <w:t>и</w:t>
      </w:r>
      <w:r w:rsidRPr="00E13B8C">
        <w:rPr>
          <w:rFonts w:ascii="Times New Roman" w:hAnsi="Times New Roman" w:cs="Times New Roman"/>
          <w:sz w:val="22"/>
        </w:rPr>
        <w:t xml:space="preserve"> данных –</w:t>
      </w:r>
      <w:r>
        <w:rPr>
          <w:rFonts w:ascii="Times New Roman" w:hAnsi="Times New Roman" w:cs="Times New Roman"/>
          <w:sz w:val="22"/>
        </w:rPr>
        <w:t xml:space="preserve"> ФС ГС Р</w:t>
      </w:r>
      <w:r w:rsidRPr="00E13B8C">
        <w:rPr>
          <w:rFonts w:ascii="Times New Roman" w:hAnsi="Times New Roman" w:cs="Times New Roman"/>
          <w:sz w:val="22"/>
        </w:rPr>
        <w:t>Ф</w:t>
      </w:r>
      <w:r>
        <w:rPr>
          <w:rFonts w:ascii="Times New Roman" w:hAnsi="Times New Roman" w:cs="Times New Roman"/>
          <w:sz w:val="22"/>
        </w:rPr>
        <w:t xml:space="preserve"> (11) и рейтинг инвестиционной привлекательности регионов РА «Эксперт» 2009 – 2010 (12)</w:t>
      </w:r>
      <w:r w:rsidRPr="00E13B8C">
        <w:rPr>
          <w:rFonts w:ascii="Times New Roman" w:hAnsi="Times New Roman" w:cs="Times New Roman"/>
          <w:sz w:val="22"/>
        </w:rPr>
        <w:t>.</w:t>
      </w:r>
      <w:bookmarkStart w:id="0" w:name="_GoBack"/>
      <w:bookmarkEnd w:id="0"/>
    </w:p>
    <w:p w14:paraId="49A181FA" w14:textId="3DA22884" w:rsidR="003E1430" w:rsidRDefault="00B8303F" w:rsidP="00B8303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5.  Привлекательность российских регионов</w:t>
      </w:r>
    </w:p>
    <w:p w14:paraId="10F931F6" w14:textId="6E3EF76B" w:rsidR="00B8303F" w:rsidRDefault="00B8303F" w:rsidP="00B8303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Приведенная на рисунке система координат упорядочиваем регионы с точки зрения их привлекательности для талантов и инвесторов: в результате сформировалось три стратегические группы регионов, которые могут рассматривать как наиболее близкие друг другу конкуренты. </w:t>
      </w:r>
    </w:p>
    <w:p w14:paraId="00A6BE29" w14:textId="07C2D9E6" w:rsidR="00B8303F" w:rsidRDefault="00B8303F" w:rsidP="00B8303F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группа – левый верхний квадрант – «регионы для талантов» - не имея развитой промышленной базы, они не привлекательны для инвесторов, следовательно, направлением их развития может стать целенаправленная работа по привлечению и удержанию креативного класса через развитие отраслей «новой экономики». Наиболее благоприятное расположение в данном случае имеет Томская область, которая имеет максимальный индекс креативности и самый низкий из выборки регионов рейтинг инвестиционного потенциала.</w:t>
      </w:r>
    </w:p>
    <w:p w14:paraId="592DF949" w14:textId="2AAD9BFB" w:rsidR="00B8303F" w:rsidRDefault="00B8303F" w:rsidP="00B8303F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Вторая группа – правый верхний квадрант – регионы, одинаково привлекательные и для инвесторов, и для </w:t>
      </w:r>
      <w:r w:rsidR="00C15C60">
        <w:rPr>
          <w:rFonts w:ascii="Times New Roman" w:hAnsi="Times New Roman" w:cs="Times New Roman"/>
        </w:rPr>
        <w:t>талантов – это регионы – лидеры в региональной конкуренции, успешность экономического развития которых во многом зависит  от активного и правильного продвижения. Обладая широким спектром источников для формирования конкурентных преимуществ, с позиции маркетинга территорий задача каждого региона – обозначить свое уникальное позиционирование в системе региональной конкуренции.</w:t>
      </w:r>
    </w:p>
    <w:p w14:paraId="1BC333F9" w14:textId="5DC527AB" w:rsidR="00C15C60" w:rsidRDefault="00C15C60" w:rsidP="00B8303F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Третья группа – регионы, привлекательные для инвесторов, но не привлекающие таланты. Таким регионам важно понимать, что развитие через эксплуатацию промышленного потенциала в условиях «новой экономики» будет довольно сложной стратегий, не обеспечивающей устойчивого развития в долгосрочной перспективе. Возможно данным регионам следует пересмотреть стратегию своего развития и попытаться определить или создать новые источники конкурентных преимуществ, отличные от традиционных индустриальных территориальных активов. </w:t>
      </w:r>
    </w:p>
    <w:p w14:paraId="6F8FAF99" w14:textId="5776E4F3" w:rsidR="00C15C60" w:rsidRDefault="00C15C60" w:rsidP="00B8303F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Проведенный нами анализ показывает, что в современных социально-экономических условиях региональная конкуренция приобретает новые черты: помимо традиционных источников преимуществ все большее значение придается источникам экономического роста, характер которых нематериален. По мнению американского социолога Р. Флориды, эти источники заложены в таланте, толерантности и технологиях, «укорененных» в регионе и характеризующих ее креативность как меру оценки привлекательности территории для так называемого креативного класса, вклад которых в экономику значителен. Попытка оценить креативность российских регионов предпринималась российскими авторами в </w:t>
      </w:r>
      <w:proofErr w:type="spellStart"/>
      <w:r>
        <w:rPr>
          <w:rFonts w:ascii="Times New Roman" w:hAnsi="Times New Roman" w:cs="Times New Roman"/>
        </w:rPr>
        <w:t>докризиный</w:t>
      </w:r>
      <w:proofErr w:type="spellEnd"/>
      <w:r>
        <w:rPr>
          <w:rFonts w:ascii="Times New Roman" w:hAnsi="Times New Roman" w:cs="Times New Roman"/>
        </w:rPr>
        <w:t xml:space="preserve"> период, в 2008 году, соответственно </w:t>
      </w:r>
      <w:r w:rsidR="00BC58D0">
        <w:rPr>
          <w:rFonts w:ascii="Times New Roman" w:hAnsi="Times New Roman" w:cs="Times New Roman"/>
        </w:rPr>
        <w:t>оценка региональной конкурентоспособности через призму креативности в пост-кризисных условиях вполне актуальна.  С позиции маркетинга территорий нами была проанализирована привлекательность регионов как для креативного класса, так и для инвесторов: сопоставление двух рейтингов позволило выделить три стратегические группы регионов – конкурентов и определить основные направления разработки маркетинговых стратегий данных территорий. Важно отметить, что применение только индекса креативности, либо только рейтинга инвестиционной привлекательности для разработки стратегии развития региона ограничивает возможные выводы. В то же время, разработка комплексных методик, интегрирующих целый спектр показателей, позволяет получить лишь обобщенную оценку, которая нередко усредняет важные для анализа источников экономического развития территории факторы. В данном случае, предлагаемый нами подход к анализу, позволяющий в двумерной системе координат оценивать региональную конкурентоспособность, имеет ряд преимуществ - он отражает специфику регионов, позволяет увидеть ближайших конкурентов и определить направления разработки маркетинговой стратегии региона.</w:t>
      </w:r>
    </w:p>
    <w:p w14:paraId="6C696B9D" w14:textId="77777777" w:rsidR="00AD3F64" w:rsidRDefault="00AD3F64" w:rsidP="00AD3F64">
      <w:pPr>
        <w:spacing w:line="360" w:lineRule="auto"/>
        <w:jc w:val="both"/>
        <w:rPr>
          <w:rFonts w:ascii="Times New Roman" w:hAnsi="Times New Roman" w:cs="Times New Roman"/>
        </w:rPr>
      </w:pPr>
    </w:p>
    <w:p w14:paraId="2DBEE582" w14:textId="38916A94" w:rsidR="003E1430" w:rsidRPr="001D03AD" w:rsidRDefault="00AD3F64" w:rsidP="001D03A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D3F64">
        <w:rPr>
          <w:rFonts w:ascii="Times New Roman" w:hAnsi="Times New Roman" w:cs="Times New Roman"/>
          <w:b/>
        </w:rPr>
        <w:t>Список литературы:</w:t>
      </w:r>
    </w:p>
    <w:p w14:paraId="53C27096" w14:textId="77777777" w:rsidR="00560FAF" w:rsidRPr="001D03AD" w:rsidRDefault="00560FAF" w:rsidP="007834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D03AD">
        <w:rPr>
          <w:rFonts w:ascii="Times New Roman" w:hAnsi="Times New Roman" w:cs="Times New Roman"/>
        </w:rPr>
        <w:t>Васильева З.А. Иерархия понятий конкурентоспособности субъектов рынка // Маркетинг в России  и за рубежом, №2, 2006.</w:t>
      </w:r>
    </w:p>
    <w:p w14:paraId="65661197" w14:textId="77777777" w:rsidR="007E4E05" w:rsidRPr="001D03AD" w:rsidRDefault="007E4E05" w:rsidP="007834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D03AD">
        <w:rPr>
          <w:rFonts w:ascii="Times New Roman" w:hAnsi="Times New Roman" w:cs="Times New Roman"/>
        </w:rPr>
        <w:t>Даванков</w:t>
      </w:r>
      <w:proofErr w:type="spellEnd"/>
      <w:r w:rsidRPr="001D03AD">
        <w:rPr>
          <w:rFonts w:ascii="Times New Roman" w:hAnsi="Times New Roman" w:cs="Times New Roman"/>
        </w:rPr>
        <w:t xml:space="preserve"> А.Ю., </w:t>
      </w:r>
      <w:proofErr w:type="spellStart"/>
      <w:r w:rsidRPr="001D03AD">
        <w:rPr>
          <w:rFonts w:ascii="Times New Roman" w:hAnsi="Times New Roman" w:cs="Times New Roman"/>
        </w:rPr>
        <w:t>Усынин</w:t>
      </w:r>
      <w:proofErr w:type="spellEnd"/>
      <w:r w:rsidRPr="001D03AD">
        <w:rPr>
          <w:rFonts w:ascii="Times New Roman" w:hAnsi="Times New Roman" w:cs="Times New Roman"/>
        </w:rPr>
        <w:t xml:space="preserve"> М.В. Факторы инновационной конкурентоспособности региона // Вестник Челябинского Государственного </w:t>
      </w:r>
      <w:proofErr w:type="spellStart"/>
      <w:r w:rsidRPr="001D03AD">
        <w:rPr>
          <w:rFonts w:ascii="Times New Roman" w:hAnsi="Times New Roman" w:cs="Times New Roman"/>
        </w:rPr>
        <w:t>Унивеситета</w:t>
      </w:r>
      <w:proofErr w:type="spellEnd"/>
      <w:r w:rsidRPr="001D03AD">
        <w:rPr>
          <w:rFonts w:ascii="Times New Roman" w:hAnsi="Times New Roman" w:cs="Times New Roman"/>
        </w:rPr>
        <w:t>, №26, 2010. С. 105 – 109.</w:t>
      </w:r>
    </w:p>
    <w:p w14:paraId="7CC98327" w14:textId="2B8CF474" w:rsidR="007834C4" w:rsidRPr="001D03AD" w:rsidRDefault="007834C4" w:rsidP="007834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D03AD">
        <w:rPr>
          <w:rFonts w:ascii="Times New Roman" w:hAnsi="Times New Roman" w:cs="Times New Roman"/>
        </w:rPr>
        <w:t>Мельниченко В.С.  креативный класс: история концепта и его роль в анализе развития регионов // Арктика и Север, №6, 2012. С. 1 – 10.</w:t>
      </w:r>
    </w:p>
    <w:p w14:paraId="598ACA66" w14:textId="4C507824" w:rsidR="007834C4" w:rsidRPr="001D03AD" w:rsidRDefault="007834C4" w:rsidP="007834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D03AD">
        <w:rPr>
          <w:rFonts w:ascii="Times New Roman" w:hAnsi="Times New Roman" w:cs="Times New Roman"/>
        </w:rPr>
        <w:t>Лапаев</w:t>
      </w:r>
      <w:proofErr w:type="spellEnd"/>
      <w:r w:rsidRPr="001D03AD">
        <w:rPr>
          <w:rFonts w:ascii="Times New Roman" w:hAnsi="Times New Roman" w:cs="Times New Roman"/>
        </w:rPr>
        <w:t xml:space="preserve"> С.П. Оценка уровня инновационного развития регионов на основе креативности // Вестник ОГУ, №8 (127), 2011. С. 52 – 56. </w:t>
      </w:r>
    </w:p>
    <w:p w14:paraId="6784945C" w14:textId="2031DF3D" w:rsidR="004D717C" w:rsidRPr="001D03AD" w:rsidRDefault="001662D5" w:rsidP="007834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D03AD">
        <w:rPr>
          <w:rFonts w:ascii="Times New Roman" w:hAnsi="Times New Roman" w:cs="Times New Roman"/>
          <w:color w:val="000000"/>
        </w:rPr>
        <w:t>Пилясов</w:t>
      </w:r>
      <w:proofErr w:type="spellEnd"/>
      <w:r w:rsidRPr="001D03AD">
        <w:rPr>
          <w:rFonts w:ascii="Times New Roman" w:hAnsi="Times New Roman" w:cs="Times New Roman"/>
          <w:color w:val="000000"/>
        </w:rPr>
        <w:t xml:space="preserve"> А.Н., Колесникова О.В. Оценка творческого потенциала российских </w:t>
      </w:r>
      <w:r w:rsidR="001D03AD" w:rsidRPr="001D03AD">
        <w:rPr>
          <w:rFonts w:ascii="Times New Roman" w:hAnsi="Times New Roman" w:cs="Times New Roman"/>
          <w:color w:val="000000"/>
        </w:rPr>
        <w:t>региональных</w:t>
      </w:r>
      <w:r w:rsidRPr="001D03AD">
        <w:rPr>
          <w:rFonts w:ascii="Times New Roman" w:hAnsi="Times New Roman" w:cs="Times New Roman"/>
          <w:color w:val="000000"/>
        </w:rPr>
        <w:t xml:space="preserve"> сообществ // Вопросы экономики, №9, 2008. С. 50 – 69.</w:t>
      </w:r>
      <w:r w:rsidR="004D717C" w:rsidRPr="001D03AD">
        <w:rPr>
          <w:rFonts w:ascii="Times New Roman" w:hAnsi="Times New Roman" w:cs="Times New Roman"/>
        </w:rPr>
        <w:t xml:space="preserve"> </w:t>
      </w:r>
    </w:p>
    <w:p w14:paraId="17BDCBAA" w14:textId="5BC8E25A" w:rsidR="001662D5" w:rsidRPr="001D03AD" w:rsidRDefault="004D717C" w:rsidP="007834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D03AD">
        <w:rPr>
          <w:rFonts w:ascii="Times New Roman" w:hAnsi="Times New Roman" w:cs="Times New Roman"/>
        </w:rPr>
        <w:t>Радаев</w:t>
      </w:r>
      <w:proofErr w:type="spellEnd"/>
      <w:r w:rsidRPr="001D03AD">
        <w:rPr>
          <w:rFonts w:ascii="Times New Roman" w:hAnsi="Times New Roman" w:cs="Times New Roman"/>
        </w:rPr>
        <w:t xml:space="preserve"> В.В. Понятие капитала, формы капиталов и их конвертация // Экономическая социология, Т. 3, №4, 2002. С. 20 – 32.</w:t>
      </w:r>
    </w:p>
    <w:p w14:paraId="673AEB42" w14:textId="23B9E467" w:rsidR="001662D5" w:rsidRPr="001D03AD" w:rsidRDefault="00560FAF" w:rsidP="007834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D03A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7DAF" w:rsidRPr="001D03AD">
        <w:rPr>
          <w:rFonts w:ascii="Times New Roman" w:hAnsi="Times New Roman" w:cs="Times New Roman"/>
          <w:color w:val="000000"/>
        </w:rPr>
        <w:t>Самаруха</w:t>
      </w:r>
      <w:proofErr w:type="spellEnd"/>
      <w:r w:rsidR="001D7DAF" w:rsidRPr="001D03AD">
        <w:rPr>
          <w:rFonts w:ascii="Times New Roman" w:hAnsi="Times New Roman" w:cs="Times New Roman"/>
          <w:color w:val="000000"/>
        </w:rPr>
        <w:t xml:space="preserve"> А.В., Краснов Г.И. Факторы обеспечения конкурентоспособности </w:t>
      </w:r>
      <w:proofErr w:type="spellStart"/>
      <w:r w:rsidR="001D7DAF" w:rsidRPr="001D03AD">
        <w:rPr>
          <w:rFonts w:ascii="Times New Roman" w:hAnsi="Times New Roman" w:cs="Times New Roman"/>
          <w:color w:val="000000"/>
        </w:rPr>
        <w:t>ергиона</w:t>
      </w:r>
      <w:proofErr w:type="spellEnd"/>
      <w:r w:rsidR="001D7DAF" w:rsidRPr="001D03AD">
        <w:rPr>
          <w:rFonts w:ascii="Times New Roman" w:hAnsi="Times New Roman" w:cs="Times New Roman"/>
          <w:color w:val="000000"/>
        </w:rPr>
        <w:t xml:space="preserve"> // Известия Иркутской Государственной Экономической Академии, №6, 2010. с. 20 – 27</w:t>
      </w:r>
      <w:r w:rsidR="00131B46" w:rsidRPr="001D03AD">
        <w:rPr>
          <w:rFonts w:ascii="Times New Roman" w:hAnsi="Times New Roman" w:cs="Times New Roman"/>
          <w:color w:val="000000"/>
        </w:rPr>
        <w:t>.</w:t>
      </w:r>
    </w:p>
    <w:p w14:paraId="408404D3" w14:textId="582C470D" w:rsidR="00131B46" w:rsidRPr="001D03AD" w:rsidRDefault="00131B46" w:rsidP="007834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D03AD">
        <w:rPr>
          <w:rFonts w:ascii="Times New Roman" w:hAnsi="Times New Roman" w:cs="Times New Roman"/>
          <w:color w:val="000000"/>
        </w:rPr>
        <w:t>Флорида</w:t>
      </w:r>
      <w:r w:rsidR="001D03AD" w:rsidRPr="001D03AD">
        <w:rPr>
          <w:rFonts w:ascii="Times New Roman" w:hAnsi="Times New Roman" w:cs="Times New Roman"/>
          <w:color w:val="000000"/>
        </w:rPr>
        <w:t xml:space="preserve"> Р. Креативный класс: люди, которые меняют </w:t>
      </w:r>
      <w:r w:rsidR="001D03AD">
        <w:rPr>
          <w:rFonts w:ascii="Times New Roman" w:hAnsi="Times New Roman" w:cs="Times New Roman"/>
          <w:color w:val="000000"/>
        </w:rPr>
        <w:t xml:space="preserve">будущее. М.: Классика </w:t>
      </w:r>
      <w:r w:rsidR="001D03AD">
        <w:rPr>
          <w:rFonts w:ascii="Times New Roman" w:hAnsi="Times New Roman" w:cs="Times New Roman"/>
          <w:color w:val="000000"/>
          <w:lang w:val="en-US"/>
        </w:rPr>
        <w:t>XXI, 2007.</w:t>
      </w:r>
    </w:p>
    <w:p w14:paraId="5A602D26" w14:textId="2B10369C" w:rsidR="00892F22" w:rsidRPr="001D03AD" w:rsidRDefault="009F4279" w:rsidP="009F42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Чернова, Т.В. </w:t>
      </w:r>
      <w:r w:rsidR="00892F22" w:rsidRPr="001D03AD">
        <w:rPr>
          <w:rFonts w:ascii="Times New Roman" w:hAnsi="Times New Roman" w:cs="Times New Roman"/>
        </w:rPr>
        <w:t>Оценка к</w:t>
      </w:r>
      <w:r>
        <w:rPr>
          <w:rFonts w:ascii="Times New Roman" w:hAnsi="Times New Roman" w:cs="Times New Roman"/>
        </w:rPr>
        <w:t>онкурентоспособности регионов // Управление экономическими системами: электронный научный журнал.</w:t>
      </w:r>
      <w:r w:rsidR="00892F22" w:rsidRPr="001D03AD">
        <w:rPr>
          <w:rFonts w:ascii="Times New Roman" w:hAnsi="Times New Roman" w:cs="Times New Roman"/>
        </w:rPr>
        <w:t xml:space="preserve"> Режим доступа: </w:t>
      </w:r>
      <w:hyperlink r:id="rId12" w:history="1">
        <w:r w:rsidR="001D03AD" w:rsidRPr="00FB2A3B">
          <w:rPr>
            <w:rStyle w:val="Hyperlink"/>
            <w:rFonts w:ascii="Times New Roman" w:hAnsi="Times New Roman" w:cs="Times New Roman"/>
          </w:rPr>
          <w:t>http://uecs.mcnip.ru/modules.php?name=News&amp;file=article&amp;sid=72</w:t>
        </w:r>
      </w:hyperlink>
      <w:r>
        <w:rPr>
          <w:rFonts w:ascii="Times New Roman" w:hAnsi="Times New Roman" w:cs="Times New Roman"/>
          <w:color w:val="002250"/>
        </w:rPr>
        <w:t xml:space="preserve"> (дата обращения 28.05.2012)</w:t>
      </w:r>
    </w:p>
    <w:p w14:paraId="35AEA559" w14:textId="5E5C1533" w:rsidR="001D03AD" w:rsidRPr="001D03AD" w:rsidRDefault="001D03AD" w:rsidP="009F42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2250"/>
        </w:rPr>
        <w:t>Шкаратан</w:t>
      </w:r>
      <w:proofErr w:type="spellEnd"/>
      <w:r>
        <w:rPr>
          <w:rFonts w:ascii="Times New Roman" w:hAnsi="Times New Roman" w:cs="Times New Roman"/>
          <w:color w:val="002250"/>
        </w:rPr>
        <w:t xml:space="preserve"> О.И., </w:t>
      </w:r>
      <w:proofErr w:type="spellStart"/>
      <w:r>
        <w:rPr>
          <w:rFonts w:ascii="Times New Roman" w:hAnsi="Times New Roman" w:cs="Times New Roman"/>
          <w:color w:val="002250"/>
        </w:rPr>
        <w:t>Исяневский</w:t>
      </w:r>
      <w:proofErr w:type="spellEnd"/>
      <w:r>
        <w:rPr>
          <w:rFonts w:ascii="Times New Roman" w:hAnsi="Times New Roman" w:cs="Times New Roman"/>
          <w:color w:val="002250"/>
        </w:rPr>
        <w:t xml:space="preserve"> С.А. Любимова Т.С. Новый средний класс и информациональные работники на российском рынке труда // Общественные науки и современность, №1, 2008. С. 5 – 28.</w:t>
      </w:r>
    </w:p>
    <w:p w14:paraId="36B0F368" w14:textId="364D64D5" w:rsidR="001D7DAF" w:rsidRDefault="001D03AD" w:rsidP="007834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Статистический сборник «Регионы России». Сайт федеральной службы государственной статистики РФ  </w:t>
      </w:r>
      <w:hyperlink r:id="rId13" w:history="1">
        <w:r w:rsidRPr="00FB2A3B">
          <w:rPr>
            <w:rStyle w:val="Hyperlink"/>
            <w:rFonts w:ascii="Times New Roman" w:hAnsi="Times New Roman" w:cs="Times New Roman"/>
          </w:rPr>
          <w:t>http://gks.ru/wps/wcm/connect/rosstat/rosstatsite/main/publishing/catalog/statisticCollections/doc_1138623506156</w:t>
        </w:r>
      </w:hyperlink>
      <w:r>
        <w:rPr>
          <w:rFonts w:ascii="Times New Roman" w:hAnsi="Times New Roman" w:cs="Times New Roman"/>
        </w:rPr>
        <w:t xml:space="preserve"> (дата обращения 28.05.2012).</w:t>
      </w:r>
    </w:p>
    <w:p w14:paraId="522210AD" w14:textId="3951D5B2" w:rsidR="001D03AD" w:rsidRDefault="001D03AD" w:rsidP="007834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инвестиционной привлекательности российских регионов РА «Эксперт» </w:t>
      </w:r>
      <w:hyperlink r:id="rId14" w:history="1">
        <w:r w:rsidRPr="00FB2A3B">
          <w:rPr>
            <w:rStyle w:val="Hyperlink"/>
            <w:rFonts w:ascii="Times New Roman" w:hAnsi="Times New Roman" w:cs="Times New Roman"/>
          </w:rPr>
          <w:t>http://raexpert.ru/rankingtable/?table_folder=/region_climat/2010/tab2</w:t>
        </w:r>
      </w:hyperlink>
      <w:r>
        <w:rPr>
          <w:rFonts w:ascii="Times New Roman" w:hAnsi="Times New Roman" w:cs="Times New Roman"/>
        </w:rPr>
        <w:t xml:space="preserve"> (дата обращения 08.09.2012).</w:t>
      </w:r>
    </w:p>
    <w:p w14:paraId="7D04A57B" w14:textId="77777777" w:rsidR="001D03AD" w:rsidRPr="001D03AD" w:rsidRDefault="001D03AD" w:rsidP="001D03AD">
      <w:pPr>
        <w:pStyle w:val="ListParagraph"/>
        <w:spacing w:line="360" w:lineRule="auto"/>
        <w:ind w:left="760"/>
        <w:jc w:val="both"/>
        <w:rPr>
          <w:rFonts w:ascii="Times New Roman" w:hAnsi="Times New Roman" w:cs="Times New Roman"/>
        </w:rPr>
      </w:pPr>
    </w:p>
    <w:p w14:paraId="3D76A623" w14:textId="77777777" w:rsidR="00EC0041" w:rsidRPr="00AD057B" w:rsidRDefault="00EC0041" w:rsidP="00EC0041">
      <w:pPr>
        <w:jc w:val="both"/>
        <w:rPr>
          <w:rFonts w:ascii="Times New Roman" w:hAnsi="Times New Roman" w:cs="Times New Roman"/>
        </w:rPr>
      </w:pPr>
      <w:r w:rsidRPr="00AD057B">
        <w:rPr>
          <w:rFonts w:ascii="Times New Roman" w:hAnsi="Times New Roman" w:cs="Times New Roman"/>
        </w:rPr>
        <w:t xml:space="preserve"> </w:t>
      </w:r>
    </w:p>
    <w:sectPr w:rsidR="00EC0041" w:rsidRPr="00AD057B" w:rsidSect="005A542A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2555A" w14:textId="77777777" w:rsidR="007834C4" w:rsidRDefault="007834C4" w:rsidP="004D717C">
      <w:r>
        <w:separator/>
      </w:r>
    </w:p>
  </w:endnote>
  <w:endnote w:type="continuationSeparator" w:id="0">
    <w:p w14:paraId="70891A0C" w14:textId="77777777" w:rsidR="007834C4" w:rsidRDefault="007834C4" w:rsidP="004D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56660" w14:textId="77777777" w:rsidR="007834C4" w:rsidRDefault="007834C4" w:rsidP="004D7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50CB5" w14:textId="77777777" w:rsidR="007834C4" w:rsidRDefault="007834C4" w:rsidP="004D71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AA0E0" w14:textId="77777777" w:rsidR="007834C4" w:rsidRDefault="007834C4" w:rsidP="004D71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85327" w14:textId="77777777" w:rsidR="007834C4" w:rsidRDefault="007834C4" w:rsidP="004D717C">
      <w:r>
        <w:separator/>
      </w:r>
    </w:p>
  </w:footnote>
  <w:footnote w:type="continuationSeparator" w:id="0">
    <w:p w14:paraId="2AA02DD7" w14:textId="77777777" w:rsidR="007834C4" w:rsidRDefault="007834C4" w:rsidP="004D717C">
      <w:r>
        <w:continuationSeparator/>
      </w:r>
    </w:p>
  </w:footnote>
  <w:footnote w:id="1">
    <w:p w14:paraId="6B0582B4" w14:textId="71262AB7" w:rsidR="007834C4" w:rsidRPr="00AD057B" w:rsidRDefault="007834C4" w:rsidP="0071239B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71239B">
        <w:rPr>
          <w:rStyle w:val="FootnoteReference"/>
          <w:rFonts w:ascii="Arial" w:hAnsi="Arial" w:cs="Arial"/>
        </w:rPr>
        <w:footnoteRef/>
      </w:r>
      <w:r w:rsidRPr="0071239B">
        <w:rPr>
          <w:rFonts w:ascii="Arial" w:hAnsi="Arial" w:cs="Arial"/>
        </w:rPr>
        <w:t xml:space="preserve"> </w:t>
      </w:r>
      <w:r w:rsidRPr="00AD057B">
        <w:rPr>
          <w:rFonts w:ascii="Times New Roman" w:hAnsi="Times New Roman" w:cs="Times New Roman"/>
          <w:sz w:val="20"/>
          <w:szCs w:val="20"/>
        </w:rPr>
        <w:t>Р. Флорида предлагает концепцию 3Т – технологии, таланта и толерантности – как характеристик среды – необходимых для привлечения креативного класса. Совокупный индекс креативности является как среднее значение индексов таланта, толерантности и технологий.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0F3D" w14:textId="77777777" w:rsidR="007834C4" w:rsidRDefault="007834C4" w:rsidP="001024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F8F37" w14:textId="77777777" w:rsidR="007834C4" w:rsidRDefault="007834C4" w:rsidP="0010241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FDAB" w14:textId="77777777" w:rsidR="007834C4" w:rsidRDefault="007834C4" w:rsidP="001024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B8C">
      <w:rPr>
        <w:rStyle w:val="PageNumber"/>
        <w:noProof/>
      </w:rPr>
      <w:t>15</w:t>
    </w:r>
    <w:r>
      <w:rPr>
        <w:rStyle w:val="PageNumber"/>
      </w:rPr>
      <w:fldChar w:fldCharType="end"/>
    </w:r>
  </w:p>
  <w:p w14:paraId="09F87D4F" w14:textId="77777777" w:rsidR="007834C4" w:rsidRDefault="007834C4" w:rsidP="0010241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8A041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9534E7"/>
    <w:multiLevelType w:val="hybridMultilevel"/>
    <w:tmpl w:val="36E0A8A8"/>
    <w:lvl w:ilvl="0" w:tplc="28E64C5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332F0"/>
    <w:multiLevelType w:val="hybridMultilevel"/>
    <w:tmpl w:val="A456F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1"/>
    <w:rsid w:val="00034DF6"/>
    <w:rsid w:val="000543C8"/>
    <w:rsid w:val="0010241A"/>
    <w:rsid w:val="00131B46"/>
    <w:rsid w:val="001662D5"/>
    <w:rsid w:val="001766AE"/>
    <w:rsid w:val="001C0A47"/>
    <w:rsid w:val="001D03AD"/>
    <w:rsid w:val="001D7DAF"/>
    <w:rsid w:val="00202E79"/>
    <w:rsid w:val="0023002E"/>
    <w:rsid w:val="002D36E2"/>
    <w:rsid w:val="003274C7"/>
    <w:rsid w:val="003415A6"/>
    <w:rsid w:val="00341736"/>
    <w:rsid w:val="003C5465"/>
    <w:rsid w:val="003D3E65"/>
    <w:rsid w:val="003E1430"/>
    <w:rsid w:val="004D717C"/>
    <w:rsid w:val="004F57E3"/>
    <w:rsid w:val="004F6845"/>
    <w:rsid w:val="005055DC"/>
    <w:rsid w:val="00560FAF"/>
    <w:rsid w:val="0059644B"/>
    <w:rsid w:val="005A542A"/>
    <w:rsid w:val="005A5857"/>
    <w:rsid w:val="005B084B"/>
    <w:rsid w:val="005E03E9"/>
    <w:rsid w:val="005F6E13"/>
    <w:rsid w:val="00620394"/>
    <w:rsid w:val="006330E8"/>
    <w:rsid w:val="00640B75"/>
    <w:rsid w:val="00641D6C"/>
    <w:rsid w:val="00672776"/>
    <w:rsid w:val="0071239B"/>
    <w:rsid w:val="00716AD0"/>
    <w:rsid w:val="0072381E"/>
    <w:rsid w:val="007834C4"/>
    <w:rsid w:val="007A4EF4"/>
    <w:rsid w:val="007E4E05"/>
    <w:rsid w:val="00803307"/>
    <w:rsid w:val="008230EB"/>
    <w:rsid w:val="00850EDB"/>
    <w:rsid w:val="00874C3C"/>
    <w:rsid w:val="0088681A"/>
    <w:rsid w:val="00892F22"/>
    <w:rsid w:val="008F73B0"/>
    <w:rsid w:val="009E24F0"/>
    <w:rsid w:val="009F4279"/>
    <w:rsid w:val="00A22D79"/>
    <w:rsid w:val="00A23872"/>
    <w:rsid w:val="00A634EE"/>
    <w:rsid w:val="00AD057B"/>
    <w:rsid w:val="00AD3F64"/>
    <w:rsid w:val="00B2257A"/>
    <w:rsid w:val="00B8303F"/>
    <w:rsid w:val="00BA5977"/>
    <w:rsid w:val="00BC58D0"/>
    <w:rsid w:val="00BD3986"/>
    <w:rsid w:val="00C1536F"/>
    <w:rsid w:val="00C15C60"/>
    <w:rsid w:val="00C6226F"/>
    <w:rsid w:val="00C64D2E"/>
    <w:rsid w:val="00C6670C"/>
    <w:rsid w:val="00C8497B"/>
    <w:rsid w:val="00CE0AB1"/>
    <w:rsid w:val="00D34699"/>
    <w:rsid w:val="00D6060F"/>
    <w:rsid w:val="00DA74AD"/>
    <w:rsid w:val="00DB2DC0"/>
    <w:rsid w:val="00DD7196"/>
    <w:rsid w:val="00E11342"/>
    <w:rsid w:val="00E13B8C"/>
    <w:rsid w:val="00E3321A"/>
    <w:rsid w:val="00EC0041"/>
    <w:rsid w:val="00EC7F12"/>
    <w:rsid w:val="00F5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E04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DA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AF"/>
    <w:rPr>
      <w:rFonts w:ascii="Lucida Grande CY" w:hAnsi="Lucida Grande CY" w:cs="Lucida Grande CY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71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17C"/>
  </w:style>
  <w:style w:type="character" w:styleId="PageNumber">
    <w:name w:val="page number"/>
    <w:basedOn w:val="DefaultParagraphFont"/>
    <w:uiPriority w:val="99"/>
    <w:semiHidden/>
    <w:unhideWhenUsed/>
    <w:rsid w:val="004D717C"/>
  </w:style>
  <w:style w:type="character" w:styleId="CommentReference">
    <w:name w:val="annotation reference"/>
    <w:basedOn w:val="DefaultParagraphFont"/>
    <w:uiPriority w:val="99"/>
    <w:semiHidden/>
    <w:unhideWhenUsed/>
    <w:rsid w:val="00202E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E7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02E79"/>
  </w:style>
  <w:style w:type="character" w:customStyle="1" w:styleId="FootnoteTextChar">
    <w:name w:val="Footnote Text Char"/>
    <w:basedOn w:val="DefaultParagraphFont"/>
    <w:link w:val="FootnoteText"/>
    <w:uiPriority w:val="99"/>
    <w:rsid w:val="00202E79"/>
  </w:style>
  <w:style w:type="character" w:styleId="FootnoteReference">
    <w:name w:val="footnote reference"/>
    <w:basedOn w:val="DefaultParagraphFont"/>
    <w:uiPriority w:val="99"/>
    <w:unhideWhenUsed/>
    <w:rsid w:val="00202E79"/>
    <w:rPr>
      <w:vertAlign w:val="superscript"/>
    </w:rPr>
  </w:style>
  <w:style w:type="table" w:styleId="TableGrid">
    <w:name w:val="Table Grid"/>
    <w:basedOn w:val="TableNormal"/>
    <w:uiPriority w:val="59"/>
    <w:rsid w:val="005A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58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24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1A"/>
  </w:style>
  <w:style w:type="character" w:styleId="Hyperlink">
    <w:name w:val="Hyperlink"/>
    <w:basedOn w:val="DefaultParagraphFont"/>
    <w:uiPriority w:val="99"/>
    <w:unhideWhenUsed/>
    <w:rsid w:val="001D03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2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DA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AF"/>
    <w:rPr>
      <w:rFonts w:ascii="Lucida Grande CY" w:hAnsi="Lucida Grande CY" w:cs="Lucida Grande CY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71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17C"/>
  </w:style>
  <w:style w:type="character" w:styleId="PageNumber">
    <w:name w:val="page number"/>
    <w:basedOn w:val="DefaultParagraphFont"/>
    <w:uiPriority w:val="99"/>
    <w:semiHidden/>
    <w:unhideWhenUsed/>
    <w:rsid w:val="004D717C"/>
  </w:style>
  <w:style w:type="character" w:styleId="CommentReference">
    <w:name w:val="annotation reference"/>
    <w:basedOn w:val="DefaultParagraphFont"/>
    <w:uiPriority w:val="99"/>
    <w:semiHidden/>
    <w:unhideWhenUsed/>
    <w:rsid w:val="00202E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E7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02E79"/>
  </w:style>
  <w:style w:type="character" w:customStyle="1" w:styleId="FootnoteTextChar">
    <w:name w:val="Footnote Text Char"/>
    <w:basedOn w:val="DefaultParagraphFont"/>
    <w:link w:val="FootnoteText"/>
    <w:uiPriority w:val="99"/>
    <w:rsid w:val="00202E79"/>
  </w:style>
  <w:style w:type="character" w:styleId="FootnoteReference">
    <w:name w:val="footnote reference"/>
    <w:basedOn w:val="DefaultParagraphFont"/>
    <w:uiPriority w:val="99"/>
    <w:unhideWhenUsed/>
    <w:rsid w:val="00202E79"/>
    <w:rPr>
      <w:vertAlign w:val="superscript"/>
    </w:rPr>
  </w:style>
  <w:style w:type="table" w:styleId="TableGrid">
    <w:name w:val="Table Grid"/>
    <w:basedOn w:val="TableNormal"/>
    <w:uiPriority w:val="59"/>
    <w:rsid w:val="005A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58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24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1A"/>
  </w:style>
  <w:style w:type="character" w:styleId="Hyperlink">
    <w:name w:val="Hyperlink"/>
    <w:basedOn w:val="DefaultParagraphFont"/>
    <w:uiPriority w:val="99"/>
    <w:unhideWhenUsed/>
    <w:rsid w:val="001D03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20" Type="http://schemas.openxmlformats.org/officeDocument/2006/relationships/theme" Target="theme/theme1.xml"/><Relationship Id="rId10" Type="http://schemas.openxmlformats.org/officeDocument/2006/relationships/chart" Target="charts/chart3.xml"/><Relationship Id="rId11" Type="http://schemas.openxmlformats.org/officeDocument/2006/relationships/chart" Target="charts/chart4.xml"/><Relationship Id="rId12" Type="http://schemas.openxmlformats.org/officeDocument/2006/relationships/hyperlink" Target="http://uecs.mcnip.ru/modules.php?name=News&amp;file=article&amp;sid=72" TargetMode="External"/><Relationship Id="rId13" Type="http://schemas.openxmlformats.org/officeDocument/2006/relationships/hyperlink" Target="http://gks.ru/wps/wcm/connect/rosstat/rosstatsite/main/publishing/catalog/statisticCollections/doc_1138623506156" TargetMode="External"/><Relationship Id="rId14" Type="http://schemas.openxmlformats.org/officeDocument/2006/relationships/hyperlink" Target="http://raexpert.ru/rankingtable/?table_folder=/region_climat/2010/tab2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inashafranskaya:Documents:Documents:&#1050;&#1072;&#1092;&#1077;&#1076;&#1088;&#1072;%20&#1052;&#1043;:&#1055;&#1088;&#1086;&#1077;&#1082;&#1090;&#1099;:&#1052;&#1053;&#1057;:&#1050;&#1088;&#1077;&#1072;&#1090;&#1080;&#1074;&#1085;&#1086;&#1089;&#1090;&#1100;%20&#1088;&#1077;&#1075;&#1080;&#1086;&#1085;&#1086;&#107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inashafranskaya:Documents:Documents:&#1050;&#1072;&#1092;&#1077;&#1076;&#1088;&#1072;%20&#1052;&#1043;:&#1055;&#1088;&#1086;&#1077;&#1082;&#1090;&#1099;:&#1052;&#1053;&#1057;:&#1050;&#1088;&#1077;&#1072;&#1090;&#1080;&#1074;&#1085;&#1086;&#1089;&#1090;&#1100;%20&#1088;&#1077;&#1075;&#1080;&#1086;&#1085;&#1086;&#1074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inashafranskaya:Documents:Documents:&#1050;&#1072;&#1092;&#1077;&#1076;&#1088;&#1072;%20&#1052;&#1043;:&#1055;&#1088;&#1086;&#1077;&#1082;&#1090;&#1099;:&#1052;&#1053;&#1057;:&#1050;&#1088;&#1077;&#1072;&#1090;&#1080;&#1074;&#1085;&#1086;&#1089;&#1090;&#1100;%20&#1088;&#1077;&#1075;&#1080;&#1086;&#1085;&#1086;&#1074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inashafranskaya:Documents:Documents:&#1050;&#1072;&#1092;&#1077;&#1076;&#1088;&#1072;%20&#1052;&#1043;:&#1055;&#1088;&#1086;&#1077;&#1082;&#1090;&#1099;:&#1052;&#1053;&#1057;:&#1050;&#1088;&#1077;&#1072;&#1090;&#1080;&#1074;&#1085;&#1086;&#1089;&#1090;&#1100;%20&#1088;&#1077;&#1075;&#1080;&#1086;&#1085;&#1086;&#107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317220764071"/>
          <c:y val="0.0564133730218924"/>
          <c:w val="0.505323891805191"/>
          <c:h val="0.579092390158761"/>
        </c:manualLayout>
      </c:layout>
      <c:radarChart>
        <c:radarStyle val="marker"/>
        <c:varyColors val="0"/>
        <c:ser>
          <c:idx val="0"/>
          <c:order val="0"/>
          <c:tx>
            <c:strRef>
              <c:f>Выводы!$A$2</c:f>
              <c:strCache>
                <c:ptCount val="1"/>
                <c:pt idx="0">
                  <c:v>Волгоградская область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Выводы!$B$1:$D$1</c:f>
              <c:strCache>
                <c:ptCount val="3"/>
                <c:pt idx="0">
                  <c:v> Индекс технологий </c:v>
                </c:pt>
                <c:pt idx="1">
                  <c:v> Индекс плавильного котла </c:v>
                </c:pt>
                <c:pt idx="2">
                  <c:v>Индекс таланта</c:v>
                </c:pt>
              </c:strCache>
            </c:strRef>
          </c:cat>
          <c:val>
            <c:numRef>
              <c:f>Выводы!$B$2:$D$2</c:f>
              <c:numCache>
                <c:formatCode>_-* #\ ##0.00_р_._-;\-* #\ ##0.00_р_._-;_-* "-"??_р_._-;_-@_-</c:formatCode>
                <c:ptCount val="3"/>
                <c:pt idx="0">
                  <c:v>0.0520264698635653</c:v>
                </c:pt>
                <c:pt idx="1">
                  <c:v>0.2531848464229</c:v>
                </c:pt>
                <c:pt idx="2">
                  <c:v>0.532954328135051</c:v>
                </c:pt>
              </c:numCache>
            </c:numRef>
          </c:val>
        </c:ser>
        <c:ser>
          <c:idx val="1"/>
          <c:order val="1"/>
          <c:tx>
            <c:strRef>
              <c:f>Выводы!$A$3</c:f>
              <c:strCache>
                <c:ptCount val="1"/>
                <c:pt idx="0">
                  <c:v>Красноярская область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Выводы!$B$1:$D$1</c:f>
              <c:strCache>
                <c:ptCount val="3"/>
                <c:pt idx="0">
                  <c:v> Индекс технологий </c:v>
                </c:pt>
                <c:pt idx="1">
                  <c:v> Индекс плавильного котла </c:v>
                </c:pt>
                <c:pt idx="2">
                  <c:v>Индекс таланта</c:v>
                </c:pt>
              </c:strCache>
            </c:strRef>
          </c:cat>
          <c:val>
            <c:numRef>
              <c:f>Выводы!$B$3:$D$3</c:f>
              <c:numCache>
                <c:formatCode>_-* #\ ##0.00_р_._-;\-* #\ ##0.00_р_._-;_-* "-"??_р_._-;_-@_-</c:formatCode>
                <c:ptCount val="3"/>
                <c:pt idx="0">
                  <c:v>0.11420954230577</c:v>
                </c:pt>
                <c:pt idx="1">
                  <c:v>0.374411741977135</c:v>
                </c:pt>
                <c:pt idx="2">
                  <c:v>0.28648237081972</c:v>
                </c:pt>
              </c:numCache>
            </c:numRef>
          </c:val>
        </c:ser>
        <c:ser>
          <c:idx val="2"/>
          <c:order val="2"/>
          <c:tx>
            <c:strRef>
              <c:f>Выводы!$A$4</c:f>
              <c:strCache>
                <c:ptCount val="1"/>
                <c:pt idx="0">
                  <c:v>Нижегородская область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Выводы!$B$1:$D$1</c:f>
              <c:strCache>
                <c:ptCount val="3"/>
                <c:pt idx="0">
                  <c:v> Индекс технологий </c:v>
                </c:pt>
                <c:pt idx="1">
                  <c:v> Индекс плавильного котла </c:v>
                </c:pt>
                <c:pt idx="2">
                  <c:v>Индекс таланта</c:v>
                </c:pt>
              </c:strCache>
            </c:strRef>
          </c:cat>
          <c:val>
            <c:numRef>
              <c:f>Выводы!$B$4:$D$4</c:f>
              <c:numCache>
                <c:formatCode>_-* #\ ##0.00_р_._-;\-* #\ ##0.00_р_._-;_-* "-"??_р_._-;_-@_-</c:formatCode>
                <c:ptCount val="3"/>
                <c:pt idx="0">
                  <c:v>0.303179698942634</c:v>
                </c:pt>
                <c:pt idx="1">
                  <c:v>0.154834416730762</c:v>
                </c:pt>
                <c:pt idx="2">
                  <c:v>0.441614164505731</c:v>
                </c:pt>
              </c:numCache>
            </c:numRef>
          </c:val>
        </c:ser>
        <c:ser>
          <c:idx val="3"/>
          <c:order val="3"/>
          <c:tx>
            <c:strRef>
              <c:f>Выводы!$A$5</c:f>
              <c:strCache>
                <c:ptCount val="1"/>
                <c:pt idx="0">
                  <c:v>Новосибирская область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Выводы!$B$1:$D$1</c:f>
              <c:strCache>
                <c:ptCount val="3"/>
                <c:pt idx="0">
                  <c:v> Индекс технологий </c:v>
                </c:pt>
                <c:pt idx="1">
                  <c:v> Индекс плавильного котла </c:v>
                </c:pt>
                <c:pt idx="2">
                  <c:v>Индекс таланта</c:v>
                </c:pt>
              </c:strCache>
            </c:strRef>
          </c:cat>
          <c:val>
            <c:numRef>
              <c:f>Выводы!$B$5:$D$5</c:f>
              <c:numCache>
                <c:formatCode>_-* #\ ##0.00_р_._-;\-* #\ ##0.00_р_._-;_-* "-"??_р_._-;_-@_-</c:formatCode>
                <c:ptCount val="3"/>
                <c:pt idx="0">
                  <c:v>0.56703284796252</c:v>
                </c:pt>
                <c:pt idx="1">
                  <c:v>0.411068471271228</c:v>
                </c:pt>
                <c:pt idx="2">
                  <c:v>0.646940966218075</c:v>
                </c:pt>
              </c:numCache>
            </c:numRef>
          </c:val>
        </c:ser>
        <c:ser>
          <c:idx val="4"/>
          <c:order val="4"/>
          <c:tx>
            <c:strRef>
              <c:f>Выводы!$A$6</c:f>
              <c:strCache>
                <c:ptCount val="1"/>
                <c:pt idx="0">
                  <c:v>Омская область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Выводы!$B$1:$D$1</c:f>
              <c:strCache>
                <c:ptCount val="3"/>
                <c:pt idx="0">
                  <c:v> Индекс технологий </c:v>
                </c:pt>
                <c:pt idx="1">
                  <c:v> Индекс плавильного котла </c:v>
                </c:pt>
                <c:pt idx="2">
                  <c:v>Индекс таланта</c:v>
                </c:pt>
              </c:strCache>
            </c:strRef>
          </c:cat>
          <c:val>
            <c:numRef>
              <c:f>Выводы!$B$6:$D$6</c:f>
              <c:numCache>
                <c:formatCode>_-* #\ ##0.00_р_._-;\-* #\ ##0.00_р_._-;_-* "-"??_р_._-;_-@_-</c:formatCode>
                <c:ptCount val="3"/>
                <c:pt idx="0">
                  <c:v>0.119238152424635</c:v>
                </c:pt>
                <c:pt idx="1">
                  <c:v>0.641277147503193</c:v>
                </c:pt>
                <c:pt idx="2">
                  <c:v>0.354007705814935</c:v>
                </c:pt>
              </c:numCache>
            </c:numRef>
          </c:val>
        </c:ser>
        <c:ser>
          <c:idx val="5"/>
          <c:order val="5"/>
          <c:tx>
            <c:strRef>
              <c:f>Выводы!$A$7</c:f>
              <c:strCache>
                <c:ptCount val="1"/>
                <c:pt idx="0">
                  <c:v>Пермский край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Выводы!$B$1:$D$1</c:f>
              <c:strCache>
                <c:ptCount val="3"/>
                <c:pt idx="0">
                  <c:v> Индекс технологий </c:v>
                </c:pt>
                <c:pt idx="1">
                  <c:v> Индекс плавильного котла </c:v>
                </c:pt>
                <c:pt idx="2">
                  <c:v>Индекс таланта</c:v>
                </c:pt>
              </c:strCache>
            </c:strRef>
          </c:cat>
          <c:val>
            <c:numRef>
              <c:f>Выводы!$B$7:$D$7</c:f>
              <c:numCache>
                <c:formatCode>_-* #\ ##0.00_р_._-;\-* #\ ##0.00_р_._-;_-* "-"??_р_._-;_-@_-</c:formatCode>
                <c:ptCount val="3"/>
                <c:pt idx="0">
                  <c:v>0.2304151148776</c:v>
                </c:pt>
                <c:pt idx="1">
                  <c:v>0.196705394003069</c:v>
                </c:pt>
                <c:pt idx="2">
                  <c:v>0.0883534136546185</c:v>
                </c:pt>
              </c:numCache>
            </c:numRef>
          </c:val>
        </c:ser>
        <c:ser>
          <c:idx val="6"/>
          <c:order val="6"/>
          <c:tx>
            <c:strRef>
              <c:f>Выводы!$A$8</c:f>
              <c:strCache>
                <c:ptCount val="1"/>
                <c:pt idx="0">
                  <c:v>Республика Башкортостан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Выводы!$B$1:$D$1</c:f>
              <c:strCache>
                <c:ptCount val="3"/>
                <c:pt idx="0">
                  <c:v> Индекс технологий </c:v>
                </c:pt>
                <c:pt idx="1">
                  <c:v> Индекс плавильного котла </c:v>
                </c:pt>
                <c:pt idx="2">
                  <c:v>Индекс таланта</c:v>
                </c:pt>
              </c:strCache>
            </c:strRef>
          </c:cat>
          <c:val>
            <c:numRef>
              <c:f>Выводы!$B$8:$D$8</c:f>
              <c:numCache>
                <c:formatCode>_-* #\ ##0.00_р_._-;\-* #\ ##0.00_р_._-;_-* "-"??_р_._-;_-@_-</c:formatCode>
                <c:ptCount val="3"/>
                <c:pt idx="0">
                  <c:v>0.14749344553298</c:v>
                </c:pt>
                <c:pt idx="1">
                  <c:v>0.519228363731529</c:v>
                </c:pt>
                <c:pt idx="2">
                  <c:v>0.200437670317188</c:v>
                </c:pt>
              </c:numCache>
            </c:numRef>
          </c:val>
        </c:ser>
        <c:ser>
          <c:idx val="7"/>
          <c:order val="7"/>
          <c:tx>
            <c:strRef>
              <c:f>Выводы!$A$9</c:f>
              <c:strCache>
                <c:ptCount val="1"/>
                <c:pt idx="0">
                  <c:v>Республика Татарстан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Выводы!$B$1:$D$1</c:f>
              <c:strCache>
                <c:ptCount val="3"/>
                <c:pt idx="0">
                  <c:v> Индекс технологий </c:v>
                </c:pt>
                <c:pt idx="1">
                  <c:v> Индекс плавильного котла </c:v>
                </c:pt>
                <c:pt idx="2">
                  <c:v>Индекс таланта</c:v>
                </c:pt>
              </c:strCache>
            </c:strRef>
          </c:cat>
          <c:val>
            <c:numRef>
              <c:f>Выводы!$B$9:$D$9</c:f>
              <c:numCache>
                <c:formatCode>_-* #\ ##0.00_р_._-;\-* #\ ##0.00_р_._-;_-* "-"??_р_._-;_-@_-</c:formatCode>
                <c:ptCount val="3"/>
                <c:pt idx="0">
                  <c:v>0.240073907507322</c:v>
                </c:pt>
                <c:pt idx="1">
                  <c:v>0.50364910631446</c:v>
                </c:pt>
                <c:pt idx="2">
                  <c:v>0.445343010403251</c:v>
                </c:pt>
              </c:numCache>
            </c:numRef>
          </c:val>
        </c:ser>
        <c:ser>
          <c:idx val="8"/>
          <c:order val="8"/>
          <c:tx>
            <c:strRef>
              <c:f>Выводы!$A$10</c:f>
              <c:strCache>
                <c:ptCount val="1"/>
                <c:pt idx="0">
                  <c:v>Ростовская область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Выводы!$B$1:$D$1</c:f>
              <c:strCache>
                <c:ptCount val="3"/>
                <c:pt idx="0">
                  <c:v> Индекс технологий </c:v>
                </c:pt>
                <c:pt idx="1">
                  <c:v> Индекс плавильного котла </c:v>
                </c:pt>
                <c:pt idx="2">
                  <c:v>Индекс таланта</c:v>
                </c:pt>
              </c:strCache>
            </c:strRef>
          </c:cat>
          <c:val>
            <c:numRef>
              <c:f>Выводы!$B$10:$D$10</c:f>
              <c:numCache>
                <c:formatCode>_-* #\ ##0.00_р_._-;\-* #\ ##0.00_р_._-;_-* "-"??_р_._-;_-@_-</c:formatCode>
                <c:ptCount val="3"/>
                <c:pt idx="0">
                  <c:v>0.124710393435958</c:v>
                </c:pt>
                <c:pt idx="1">
                  <c:v>0.220421446938144</c:v>
                </c:pt>
                <c:pt idx="2">
                  <c:v>0.740666740666741</c:v>
                </c:pt>
              </c:numCache>
            </c:numRef>
          </c:val>
        </c:ser>
        <c:ser>
          <c:idx val="9"/>
          <c:order val="9"/>
          <c:tx>
            <c:strRef>
              <c:f>Выводы!$A$11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Выводы!$B$1:$D$1</c:f>
              <c:strCache>
                <c:ptCount val="3"/>
                <c:pt idx="0">
                  <c:v> Индекс технологий </c:v>
                </c:pt>
                <c:pt idx="1">
                  <c:v> Индекс плавильного котла </c:v>
                </c:pt>
                <c:pt idx="2">
                  <c:v>Индекс таланта</c:v>
                </c:pt>
              </c:strCache>
            </c:strRef>
          </c:cat>
          <c:val>
            <c:numRef>
              <c:f>Выводы!$B$11:$D$11</c:f>
              <c:numCache>
                <c:formatCode>_-* #\ ##0.00_р_._-;\-* #\ ##0.00_р_._-;_-* "-"??_р_._-;_-@_-</c:formatCode>
                <c:ptCount val="3"/>
                <c:pt idx="0">
                  <c:v>0.248284695234848</c:v>
                </c:pt>
                <c:pt idx="1">
                  <c:v>0.39592601520366</c:v>
                </c:pt>
                <c:pt idx="2">
                  <c:v>0.645021645021645</c:v>
                </c:pt>
              </c:numCache>
            </c:numRef>
          </c:val>
        </c:ser>
        <c:ser>
          <c:idx val="10"/>
          <c:order val="10"/>
          <c:tx>
            <c:strRef>
              <c:f>Выводы!$A$12</c:f>
              <c:strCache>
                <c:ptCount val="1"/>
                <c:pt idx="0">
                  <c:v>Свердловская область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Выводы!$B$1:$D$1</c:f>
              <c:strCache>
                <c:ptCount val="3"/>
                <c:pt idx="0">
                  <c:v> Индекс технологий </c:v>
                </c:pt>
                <c:pt idx="1">
                  <c:v> Индекс плавильного котла </c:v>
                </c:pt>
                <c:pt idx="2">
                  <c:v>Индекс таланта</c:v>
                </c:pt>
              </c:strCache>
            </c:strRef>
          </c:cat>
          <c:val>
            <c:numRef>
              <c:f>Выводы!$B$12:$D$12</c:f>
              <c:numCache>
                <c:formatCode>_-* #\ ##0.00_р_._-;\-* #\ ##0.00_р_._-;_-* "-"??_р_._-;_-@_-</c:formatCode>
                <c:ptCount val="3"/>
                <c:pt idx="0">
                  <c:v>0.192892974858232</c:v>
                </c:pt>
                <c:pt idx="1">
                  <c:v>0.254747221364471</c:v>
                </c:pt>
                <c:pt idx="2">
                  <c:v>0.198194710242903</c:v>
                </c:pt>
              </c:numCache>
            </c:numRef>
          </c:val>
        </c:ser>
        <c:ser>
          <c:idx val="11"/>
          <c:order val="11"/>
          <c:tx>
            <c:strRef>
              <c:f>Выводы!$A$13</c:f>
              <c:strCache>
                <c:ptCount val="1"/>
                <c:pt idx="0">
                  <c:v>Томская область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Выводы!$B$1:$D$1</c:f>
              <c:strCache>
                <c:ptCount val="3"/>
                <c:pt idx="0">
                  <c:v> Индекс технологий </c:v>
                </c:pt>
                <c:pt idx="1">
                  <c:v> Индекс плавильного котла </c:v>
                </c:pt>
                <c:pt idx="2">
                  <c:v>Индекс таланта</c:v>
                </c:pt>
              </c:strCache>
            </c:strRef>
          </c:cat>
          <c:val>
            <c:numRef>
              <c:f>Выводы!$B$13:$D$13</c:f>
              <c:numCache>
                <c:formatCode>_-* #\ ##0.00_р_._-;\-* #\ ##0.00_р_._-;_-* "-"??_р_._-;_-@_-</c:formatCode>
                <c:ptCount val="3"/>
                <c:pt idx="0">
                  <c:v>0.762138618089661</c:v>
                </c:pt>
                <c:pt idx="1">
                  <c:v>0.44402160689679</c:v>
                </c:pt>
                <c:pt idx="2">
                  <c:v>0.815569972196478</c:v>
                </c:pt>
              </c:numCache>
            </c:numRef>
          </c:val>
        </c:ser>
        <c:ser>
          <c:idx val="12"/>
          <c:order val="12"/>
          <c:tx>
            <c:strRef>
              <c:f>Выводы!$A$14</c:f>
              <c:strCache>
                <c:ptCount val="1"/>
                <c:pt idx="0">
                  <c:v>Челябинская область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Выводы!$B$1:$D$1</c:f>
              <c:strCache>
                <c:ptCount val="3"/>
                <c:pt idx="0">
                  <c:v> Индекс технологий </c:v>
                </c:pt>
                <c:pt idx="1">
                  <c:v> Индекс плавильного котла </c:v>
                </c:pt>
                <c:pt idx="2">
                  <c:v>Индекс таланта</c:v>
                </c:pt>
              </c:strCache>
            </c:strRef>
          </c:cat>
          <c:val>
            <c:numRef>
              <c:f>Выводы!$B$14:$D$14</c:f>
              <c:numCache>
                <c:formatCode>_-* #\ ##0.00_р_._-;\-* #\ ##0.00_р_._-;_-* "-"??_р_._-;_-@_-</c:formatCode>
                <c:ptCount val="3"/>
                <c:pt idx="0">
                  <c:v>0.13418619587357</c:v>
                </c:pt>
                <c:pt idx="1">
                  <c:v>0.369721061895697</c:v>
                </c:pt>
                <c:pt idx="2">
                  <c:v>0.341760426097776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2095325944"/>
        <c:axId val="-2145726520"/>
      </c:radarChart>
      <c:catAx>
        <c:axId val="20953259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-2145726520"/>
        <c:crosses val="autoZero"/>
        <c:auto val="0"/>
        <c:lblAlgn val="ctr"/>
        <c:lblOffset val="100"/>
        <c:noMultiLvlLbl val="0"/>
      </c:catAx>
      <c:valAx>
        <c:axId val="-2145726520"/>
        <c:scaling>
          <c:orientation val="minMax"/>
        </c:scaling>
        <c:delete val="1"/>
        <c:axPos val="l"/>
        <c:majorGridlines/>
        <c:minorGridlines/>
        <c:numFmt formatCode="_-* #\ ##0.00_р_._-;\-* #\ ##0.00_р_._-;_-* &quot;-&quot;??_р_._-;_-@_-" sourceLinked="1"/>
        <c:majorTickMark val="none"/>
        <c:minorTickMark val="none"/>
        <c:tickLblPos val="nextTo"/>
        <c:crossAx val="20953259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391868985126859"/>
          <c:y val="0.651305605188143"/>
          <c:w val="0.939211315489841"/>
          <c:h val="0.31617000151688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Sheet2!$B$16</c:f>
              <c:strCache>
                <c:ptCount val="1"/>
                <c:pt idx="0">
                  <c:v>Индекс таланта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Sheet2!$A$17:$A$29</c:f>
              <c:strCache>
                <c:ptCount val="13"/>
                <c:pt idx="0">
                  <c:v>Пермский край</c:v>
                </c:pt>
                <c:pt idx="1">
                  <c:v>Свердловская область</c:v>
                </c:pt>
                <c:pt idx="2">
                  <c:v>Республика Башкортостан</c:v>
                </c:pt>
                <c:pt idx="3">
                  <c:v>Красноярская область</c:v>
                </c:pt>
                <c:pt idx="4">
                  <c:v>Челябинская область</c:v>
                </c:pt>
                <c:pt idx="5">
                  <c:v>Омская область</c:v>
                </c:pt>
                <c:pt idx="6">
                  <c:v>Нижегородская область</c:v>
                </c:pt>
                <c:pt idx="7">
                  <c:v>Республика Татарстан</c:v>
                </c:pt>
                <c:pt idx="8">
                  <c:v>Волгоградская область</c:v>
                </c:pt>
                <c:pt idx="9">
                  <c:v>Самарская область</c:v>
                </c:pt>
                <c:pt idx="10">
                  <c:v>Новосибирская область</c:v>
                </c:pt>
                <c:pt idx="11">
                  <c:v>Ростовская область</c:v>
                </c:pt>
                <c:pt idx="12">
                  <c:v>Томская область</c:v>
                </c:pt>
              </c:strCache>
            </c:strRef>
          </c:cat>
          <c:val>
            <c:numRef>
              <c:f>Sheet2!$B$17:$B$29</c:f>
              <c:numCache>
                <c:formatCode>_-* #\ ##0.00_р_._-;\-* #\ ##0.00_р_._-;_-* "-"??_р_._-;_-@_-</c:formatCode>
                <c:ptCount val="13"/>
                <c:pt idx="0">
                  <c:v>0.0883534136546185</c:v>
                </c:pt>
                <c:pt idx="1">
                  <c:v>0.198194710242903</c:v>
                </c:pt>
                <c:pt idx="2">
                  <c:v>0.200437670317188</c:v>
                </c:pt>
                <c:pt idx="3">
                  <c:v>0.28648237081972</c:v>
                </c:pt>
                <c:pt idx="4">
                  <c:v>0.341760426097776</c:v>
                </c:pt>
                <c:pt idx="5">
                  <c:v>0.354007705814935</c:v>
                </c:pt>
                <c:pt idx="6">
                  <c:v>0.441614164505731</c:v>
                </c:pt>
                <c:pt idx="7">
                  <c:v>0.445343010403251</c:v>
                </c:pt>
                <c:pt idx="8">
                  <c:v>0.532954328135051</c:v>
                </c:pt>
                <c:pt idx="9">
                  <c:v>0.645021645021645</c:v>
                </c:pt>
                <c:pt idx="10">
                  <c:v>0.646940966218075</c:v>
                </c:pt>
                <c:pt idx="11">
                  <c:v>0.740666740666741</c:v>
                </c:pt>
                <c:pt idx="12">
                  <c:v>0.815569972196478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1700168"/>
        <c:axId val="-2107911016"/>
      </c:barChart>
      <c:catAx>
        <c:axId val="-2111700168"/>
        <c:scaling>
          <c:orientation val="minMax"/>
        </c:scaling>
        <c:delete val="0"/>
        <c:axPos val="l"/>
        <c:majorTickMark val="out"/>
        <c:minorTickMark val="none"/>
        <c:tickLblPos val="nextTo"/>
        <c:crossAx val="-2107911016"/>
        <c:crosses val="autoZero"/>
        <c:auto val="1"/>
        <c:lblAlgn val="ctr"/>
        <c:lblOffset val="100"/>
        <c:noMultiLvlLbl val="0"/>
      </c:catAx>
      <c:valAx>
        <c:axId val="-2107911016"/>
        <c:scaling>
          <c:orientation val="minMax"/>
        </c:scaling>
        <c:delete val="0"/>
        <c:axPos val="b"/>
        <c:numFmt formatCode="_-* #\ ##0.00_р_._-;\-* #\ ##0.00_р_._-;_-* &quot;-&quot;??_р_._-;_-@_-" sourceLinked="1"/>
        <c:majorTickMark val="out"/>
        <c:minorTickMark val="none"/>
        <c:tickLblPos val="nextTo"/>
        <c:crossAx val="-21117001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Индекс технологий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Sheet2!$A$2:$A$14</c:f>
              <c:strCache>
                <c:ptCount val="13"/>
                <c:pt idx="0">
                  <c:v>Волгоградская область</c:v>
                </c:pt>
                <c:pt idx="1">
                  <c:v>Красноярская область</c:v>
                </c:pt>
                <c:pt idx="2">
                  <c:v>Омская область</c:v>
                </c:pt>
                <c:pt idx="3">
                  <c:v>Ростовская область</c:v>
                </c:pt>
                <c:pt idx="4">
                  <c:v>Челябинская область</c:v>
                </c:pt>
                <c:pt idx="5">
                  <c:v>Республика Башкортостан</c:v>
                </c:pt>
                <c:pt idx="6">
                  <c:v>Свердловская область</c:v>
                </c:pt>
                <c:pt idx="7">
                  <c:v>Пермский край</c:v>
                </c:pt>
                <c:pt idx="8">
                  <c:v>Республика Татарстан</c:v>
                </c:pt>
                <c:pt idx="9">
                  <c:v>Самарская область</c:v>
                </c:pt>
                <c:pt idx="10">
                  <c:v>Нижегородская область</c:v>
                </c:pt>
                <c:pt idx="11">
                  <c:v>Новосибирская область</c:v>
                </c:pt>
                <c:pt idx="12">
                  <c:v>Томская область</c:v>
                </c:pt>
              </c:strCache>
            </c:strRef>
          </c:cat>
          <c:val>
            <c:numRef>
              <c:f>Sheet2!$B$2:$B$14</c:f>
              <c:numCache>
                <c:formatCode>_-* #\ ##0.00_р_._-;\-* #\ ##0.00_р_._-;_-* "-"??_р_._-;_-@_-</c:formatCode>
                <c:ptCount val="13"/>
                <c:pt idx="0">
                  <c:v>0.0520264698635653</c:v>
                </c:pt>
                <c:pt idx="1">
                  <c:v>0.11420954230577</c:v>
                </c:pt>
                <c:pt idx="2">
                  <c:v>0.119238152424635</c:v>
                </c:pt>
                <c:pt idx="3">
                  <c:v>0.124710393435958</c:v>
                </c:pt>
                <c:pt idx="4">
                  <c:v>0.13418619587357</c:v>
                </c:pt>
                <c:pt idx="5">
                  <c:v>0.14749344553298</c:v>
                </c:pt>
                <c:pt idx="6">
                  <c:v>0.192892974858232</c:v>
                </c:pt>
                <c:pt idx="7">
                  <c:v>0.2304151148776</c:v>
                </c:pt>
                <c:pt idx="8">
                  <c:v>0.240073907507322</c:v>
                </c:pt>
                <c:pt idx="9">
                  <c:v>0.248284695234848</c:v>
                </c:pt>
                <c:pt idx="10">
                  <c:v>0.303179698942634</c:v>
                </c:pt>
                <c:pt idx="11">
                  <c:v>0.56703284796252</c:v>
                </c:pt>
                <c:pt idx="12">
                  <c:v>0.762138618089661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5837992"/>
        <c:axId val="2081938456"/>
      </c:barChart>
      <c:catAx>
        <c:axId val="-2145837992"/>
        <c:scaling>
          <c:orientation val="minMax"/>
        </c:scaling>
        <c:delete val="0"/>
        <c:axPos val="l"/>
        <c:majorTickMark val="out"/>
        <c:minorTickMark val="none"/>
        <c:tickLblPos val="nextTo"/>
        <c:crossAx val="2081938456"/>
        <c:crosses val="autoZero"/>
        <c:auto val="1"/>
        <c:lblAlgn val="ctr"/>
        <c:lblOffset val="100"/>
        <c:noMultiLvlLbl val="0"/>
      </c:catAx>
      <c:valAx>
        <c:axId val="2081938456"/>
        <c:scaling>
          <c:orientation val="minMax"/>
        </c:scaling>
        <c:delete val="0"/>
        <c:axPos val="b"/>
        <c:numFmt formatCode="_-* #\ ##0.00_р_._-;\-* #\ ##0.00_р_._-;_-* &quot;-&quot;??_р_._-;_-@_-" sourceLinked="1"/>
        <c:majorTickMark val="out"/>
        <c:minorTickMark val="none"/>
        <c:tickLblPos val="nextTo"/>
        <c:crossAx val="-21458379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Sheet2!$B$32</c:f>
              <c:strCache>
                <c:ptCount val="1"/>
                <c:pt idx="0">
                  <c:v>Индекс плавильного котла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Sheet2!$A$33:$A$45</c:f>
              <c:strCache>
                <c:ptCount val="13"/>
                <c:pt idx="0">
                  <c:v>Нижегородская область</c:v>
                </c:pt>
                <c:pt idx="1">
                  <c:v>Пермский край</c:v>
                </c:pt>
                <c:pt idx="2">
                  <c:v>Ростовская область</c:v>
                </c:pt>
                <c:pt idx="3">
                  <c:v>Волгоградская область</c:v>
                </c:pt>
                <c:pt idx="4">
                  <c:v>Свердловская область</c:v>
                </c:pt>
                <c:pt idx="5">
                  <c:v>Челябинская область</c:v>
                </c:pt>
                <c:pt idx="6">
                  <c:v>Красноярская область</c:v>
                </c:pt>
                <c:pt idx="7">
                  <c:v>Самарская область</c:v>
                </c:pt>
                <c:pt idx="8">
                  <c:v>Новосибирская область</c:v>
                </c:pt>
                <c:pt idx="9">
                  <c:v>Томская область</c:v>
                </c:pt>
                <c:pt idx="10">
                  <c:v>Республика Татарстан</c:v>
                </c:pt>
                <c:pt idx="11">
                  <c:v>Республика Башкортостан</c:v>
                </c:pt>
                <c:pt idx="12">
                  <c:v>Омская область</c:v>
                </c:pt>
              </c:strCache>
            </c:strRef>
          </c:cat>
          <c:val>
            <c:numRef>
              <c:f>Sheet2!$B$33:$B$45</c:f>
              <c:numCache>
                <c:formatCode>_-* #\ ##0.00_р_._-;\-* #\ ##0.00_р_._-;_-* "-"??_р_._-;_-@_-</c:formatCode>
                <c:ptCount val="13"/>
                <c:pt idx="0">
                  <c:v>0.154834416730762</c:v>
                </c:pt>
                <c:pt idx="1">
                  <c:v>0.196705394003069</c:v>
                </c:pt>
                <c:pt idx="2">
                  <c:v>0.220421446938144</c:v>
                </c:pt>
                <c:pt idx="3">
                  <c:v>0.2531848464229</c:v>
                </c:pt>
                <c:pt idx="4">
                  <c:v>0.254747221364471</c:v>
                </c:pt>
                <c:pt idx="5">
                  <c:v>0.369721061895697</c:v>
                </c:pt>
                <c:pt idx="6">
                  <c:v>0.374411741977135</c:v>
                </c:pt>
                <c:pt idx="7">
                  <c:v>0.39592601520366</c:v>
                </c:pt>
                <c:pt idx="8">
                  <c:v>0.411068471271228</c:v>
                </c:pt>
                <c:pt idx="9">
                  <c:v>0.44402160689679</c:v>
                </c:pt>
                <c:pt idx="10">
                  <c:v>0.50364910631446</c:v>
                </c:pt>
                <c:pt idx="11">
                  <c:v>0.519228363731529</c:v>
                </c:pt>
                <c:pt idx="12">
                  <c:v>0.641277147503193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1284248"/>
        <c:axId val="2100775416"/>
      </c:barChart>
      <c:catAx>
        <c:axId val="2101284248"/>
        <c:scaling>
          <c:orientation val="minMax"/>
        </c:scaling>
        <c:delete val="0"/>
        <c:axPos val="l"/>
        <c:majorTickMark val="out"/>
        <c:minorTickMark val="none"/>
        <c:tickLblPos val="nextTo"/>
        <c:crossAx val="2100775416"/>
        <c:crosses val="autoZero"/>
        <c:auto val="1"/>
        <c:lblAlgn val="ctr"/>
        <c:lblOffset val="100"/>
        <c:noMultiLvlLbl val="0"/>
      </c:catAx>
      <c:valAx>
        <c:axId val="2100775416"/>
        <c:scaling>
          <c:orientation val="minMax"/>
        </c:scaling>
        <c:delete val="0"/>
        <c:axPos val="b"/>
        <c:numFmt formatCode="_-* #\ ##0.00_р_._-;\-* #\ ##0.00_р_._-;_-* &quot;-&quot;??_р_._-;_-@_-" sourceLinked="1"/>
        <c:majorTickMark val="out"/>
        <c:minorTickMark val="none"/>
        <c:tickLblPos val="nextTo"/>
        <c:crossAx val="21012842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15</Pages>
  <Words>3688</Words>
  <Characters>27336</Characters>
  <Application>Microsoft Macintosh Word</Application>
  <DocSecurity>0</DocSecurity>
  <Lines>635</Lines>
  <Paragraphs>256</Paragraphs>
  <ScaleCrop>false</ScaleCrop>
  <Company>HSE</Company>
  <LinksUpToDate>false</LinksUpToDate>
  <CharactersWithSpaces>30768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ShafranskayaIN</dc:creator>
  <cp:keywords/>
  <dc:description/>
  <cp:lastModifiedBy>Microsoft Office User</cp:lastModifiedBy>
  <cp:revision>19</cp:revision>
  <dcterms:created xsi:type="dcterms:W3CDTF">2012-08-02T14:11:00Z</dcterms:created>
  <dcterms:modified xsi:type="dcterms:W3CDTF">2012-10-09T09:52:00Z</dcterms:modified>
</cp:coreProperties>
</file>