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xml" ContentType="application/vnd.openxmlformats-officedocument.wordprocessingml.header+xml"/>
  <Override PartName="/word/footer22.xml" ContentType="application/vnd.openxmlformats-officedocument.wordprocessingml.footer+xml"/>
  <Override PartName="/word/header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footer3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1.xml" ContentType="application/vnd.openxmlformats-officedocument.wordprocessingml.header+xml"/>
  <Override PartName="/word/footer4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4.xml" ContentType="application/vnd.openxmlformats-officedocument.wordprocessingml.header+xml"/>
  <Override PartName="/word/footer4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2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2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25.xml" ContentType="application/vnd.openxmlformats-officedocument.wordprocessingml.header+xml"/>
  <Override PartName="/word/footer86.xml" ContentType="application/vnd.openxmlformats-officedocument.wordprocessingml.footer+xml"/>
  <Override PartName="/word/header2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27.xml" ContentType="application/vnd.openxmlformats-officedocument.wordprocessingml.header+xml"/>
  <Override PartName="/word/footer89.xml" ContentType="application/vnd.openxmlformats-officedocument.wordprocessingml.footer+xml"/>
  <Override PartName="/word/header2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29.xml" ContentType="application/vnd.openxmlformats-officedocument.wordprocessingml.header+xml"/>
  <Override PartName="/word/footer9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32.xml" ContentType="application/vnd.openxmlformats-officedocument.wordprocessingml.header+xml"/>
  <Override PartName="/word/footer95.xml" ContentType="application/vnd.openxmlformats-officedocument.wordprocessingml.footer+xml"/>
  <Override PartName="/word/header3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34.xml" ContentType="application/vnd.openxmlformats-officedocument.wordprocessingml.header+xml"/>
  <Override PartName="/word/footer98.xml" ContentType="application/vnd.openxmlformats-officedocument.wordprocessingml.footer+xml"/>
  <Override PartName="/word/header35.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36.xml" ContentType="application/vnd.openxmlformats-officedocument.wordprocessingml.header+xml"/>
  <Override PartName="/word/footer101.xml" ContentType="application/vnd.openxmlformats-officedocument.wordprocessingml.footer+xml"/>
  <Override PartName="/word/header3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38.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44EA2" w14:textId="77777777" w:rsidR="00350D42" w:rsidRDefault="00350D42">
      <w:pPr>
        <w:spacing w:line="240" w:lineRule="exact"/>
        <w:rPr>
          <w:sz w:val="19"/>
          <w:szCs w:val="19"/>
        </w:rPr>
      </w:pPr>
    </w:p>
    <w:p w14:paraId="73995D96" w14:textId="77777777" w:rsidR="00350D42" w:rsidRDefault="00350D42">
      <w:pPr>
        <w:spacing w:line="240" w:lineRule="exact"/>
        <w:rPr>
          <w:sz w:val="19"/>
          <w:szCs w:val="19"/>
        </w:rPr>
      </w:pPr>
    </w:p>
    <w:p w14:paraId="5DA8414C" w14:textId="77777777" w:rsidR="00350D42" w:rsidRDefault="00350D42">
      <w:pPr>
        <w:spacing w:line="240" w:lineRule="exact"/>
        <w:rPr>
          <w:sz w:val="19"/>
          <w:szCs w:val="19"/>
        </w:rPr>
      </w:pPr>
    </w:p>
    <w:p w14:paraId="1ADDD98D" w14:textId="77777777" w:rsidR="00350D42" w:rsidRDefault="00350D42">
      <w:pPr>
        <w:spacing w:line="240" w:lineRule="exact"/>
        <w:rPr>
          <w:sz w:val="19"/>
          <w:szCs w:val="19"/>
        </w:rPr>
      </w:pPr>
    </w:p>
    <w:p w14:paraId="4BEFC100" w14:textId="77777777" w:rsidR="00350D42" w:rsidRDefault="00350D42">
      <w:pPr>
        <w:spacing w:line="240" w:lineRule="exact"/>
        <w:rPr>
          <w:sz w:val="19"/>
          <w:szCs w:val="19"/>
        </w:rPr>
      </w:pPr>
    </w:p>
    <w:p w14:paraId="47CC017B" w14:textId="77777777" w:rsidR="00350D42" w:rsidRDefault="00350D42">
      <w:pPr>
        <w:spacing w:line="240" w:lineRule="exact"/>
        <w:rPr>
          <w:sz w:val="19"/>
          <w:szCs w:val="19"/>
        </w:rPr>
      </w:pPr>
    </w:p>
    <w:p w14:paraId="78619569" w14:textId="77777777" w:rsidR="00350D42" w:rsidRDefault="00350D42">
      <w:pPr>
        <w:spacing w:line="240" w:lineRule="exact"/>
        <w:rPr>
          <w:sz w:val="19"/>
          <w:szCs w:val="19"/>
        </w:rPr>
      </w:pPr>
    </w:p>
    <w:p w14:paraId="52ADD328" w14:textId="77777777" w:rsidR="00350D42" w:rsidRDefault="00350D42">
      <w:pPr>
        <w:spacing w:line="240" w:lineRule="exact"/>
        <w:rPr>
          <w:sz w:val="19"/>
          <w:szCs w:val="19"/>
        </w:rPr>
      </w:pPr>
    </w:p>
    <w:p w14:paraId="718A82AA" w14:textId="77777777" w:rsidR="00350D42" w:rsidRDefault="00350D42">
      <w:pPr>
        <w:spacing w:before="84" w:after="84" w:line="240" w:lineRule="exact"/>
        <w:rPr>
          <w:sz w:val="19"/>
          <w:szCs w:val="19"/>
        </w:rPr>
      </w:pPr>
    </w:p>
    <w:p w14:paraId="69C3AB7E" w14:textId="77777777" w:rsidR="00350D42" w:rsidRDefault="00350D42">
      <w:pPr>
        <w:rPr>
          <w:sz w:val="2"/>
          <w:szCs w:val="2"/>
        </w:rPr>
        <w:sectPr w:rsidR="00350D42">
          <w:footnotePr>
            <w:numRestart w:val="eachPage"/>
          </w:footnotePr>
          <w:pgSz w:w="8789" w:h="13493"/>
          <w:pgMar w:top="990" w:right="0" w:bottom="1173" w:left="0" w:header="0" w:footer="3" w:gutter="0"/>
          <w:cols w:space="720"/>
          <w:noEndnote/>
          <w:docGrid w:linePitch="360"/>
        </w:sectPr>
      </w:pPr>
    </w:p>
    <w:p w14:paraId="1296E4CE" w14:textId="77777777" w:rsidR="00350D42" w:rsidRDefault="008E6F64">
      <w:pPr>
        <w:pStyle w:val="12"/>
        <w:keepNext/>
        <w:keepLines/>
        <w:shd w:val="clear" w:color="auto" w:fill="auto"/>
        <w:spacing w:after="229"/>
        <w:ind w:left="20"/>
      </w:pPr>
      <w:bookmarkStart w:id="0" w:name="bookmark0"/>
      <w:r>
        <w:rPr>
          <w:rStyle w:val="13"/>
          <w:lang w:val="en-US" w:eastAsia="en-US" w:bidi="en-US"/>
        </w:rPr>
        <w:t>GR</w:t>
      </w:r>
      <w:bookmarkEnd w:id="0"/>
    </w:p>
    <w:p w14:paraId="41D4791E" w14:textId="77777777" w:rsidR="00350D42" w:rsidRDefault="008E6F64">
      <w:pPr>
        <w:pStyle w:val="12"/>
        <w:keepNext/>
        <w:keepLines/>
        <w:shd w:val="clear" w:color="auto" w:fill="auto"/>
        <w:spacing w:after="690" w:line="821" w:lineRule="exact"/>
        <w:ind w:left="20"/>
      </w:pPr>
      <w:bookmarkStart w:id="1" w:name="bookmark1"/>
      <w:r>
        <w:rPr>
          <w:rStyle w:val="13"/>
        </w:rPr>
        <w:t>ВЗАИМОДЕЙСТВИЕ БИЗНЕСА</w:t>
      </w:r>
      <w:r>
        <w:rPr>
          <w:rStyle w:val="13"/>
        </w:rPr>
        <w:br/>
        <w:t>И ОРГАНОВ ВЛАСТИ</w:t>
      </w:r>
      <w:bookmarkEnd w:id="1"/>
    </w:p>
    <w:p w14:paraId="0F375C47" w14:textId="77777777" w:rsidR="00350D42" w:rsidRDefault="008E6F64">
      <w:pPr>
        <w:pStyle w:val="35"/>
        <w:shd w:val="clear" w:color="auto" w:fill="auto"/>
        <w:spacing w:before="0"/>
        <w:ind w:left="20"/>
      </w:pPr>
      <w:r>
        <w:rPr>
          <w:rStyle w:val="36"/>
        </w:rPr>
        <w:t>УЧЕБНИК И ПРАКТИКУМ ДЛЯ ВУЗОВ</w:t>
      </w:r>
      <w:r>
        <w:rPr>
          <w:rStyle w:val="36"/>
        </w:rPr>
        <w:br/>
        <w:t xml:space="preserve">Под редакцией </w:t>
      </w:r>
      <w:r>
        <w:rPr>
          <w:rStyle w:val="37"/>
        </w:rPr>
        <w:t>Е. И. Марковской</w:t>
      </w:r>
    </w:p>
    <w:p w14:paraId="59DBC43E" w14:textId="476150A0" w:rsidR="00350D42" w:rsidRDefault="007C74F5">
      <w:pPr>
        <w:pStyle w:val="35"/>
        <w:shd w:val="clear" w:color="auto" w:fill="auto"/>
        <w:spacing w:before="0" w:after="886" w:line="346" w:lineRule="exact"/>
        <w:ind w:left="20"/>
      </w:pPr>
      <w:r w:rsidRPr="00B517C8">
        <w:rPr>
          <w:rStyle w:val="36"/>
          <w:highlight w:val="green"/>
        </w:rPr>
        <w:t>3</w:t>
      </w:r>
      <w:r w:rsidR="008E6F64" w:rsidRPr="00B517C8">
        <w:rPr>
          <w:rStyle w:val="36"/>
          <w:highlight w:val="green"/>
        </w:rPr>
        <w:t>-е издание</w:t>
      </w:r>
    </w:p>
    <w:p w14:paraId="5F045E0E" w14:textId="77777777" w:rsidR="00350D42" w:rsidRDefault="008E6F64">
      <w:pPr>
        <w:pStyle w:val="45"/>
        <w:shd w:val="clear" w:color="auto" w:fill="auto"/>
        <w:spacing w:before="0" w:after="1019"/>
        <w:ind w:left="20"/>
      </w:pPr>
      <w:r>
        <w:rPr>
          <w:rStyle w:val="46"/>
          <w:i/>
          <w:iCs/>
        </w:rPr>
        <w:t>Рекомендовано Учебно-методическим отделом высшего образования</w:t>
      </w:r>
      <w:r>
        <w:rPr>
          <w:rStyle w:val="46"/>
          <w:i/>
          <w:iCs/>
        </w:rPr>
        <w:br/>
        <w:t>в качестве учебника и практикума для студентов высших учебных заведений,</w:t>
      </w:r>
      <w:r>
        <w:rPr>
          <w:rStyle w:val="46"/>
          <w:i/>
          <w:iCs/>
        </w:rPr>
        <w:br/>
        <w:t>обучающихся по экономическим направлениям</w:t>
      </w:r>
    </w:p>
    <w:p w14:paraId="45992FA1" w14:textId="77777777" w:rsidR="00350D42" w:rsidRDefault="008E6F64">
      <w:pPr>
        <w:pStyle w:val="54"/>
        <w:shd w:val="clear" w:color="auto" w:fill="auto"/>
        <w:spacing w:before="0" w:after="738"/>
        <w:ind w:left="20"/>
      </w:pPr>
      <w:r>
        <w:rPr>
          <w:rStyle w:val="55"/>
          <w:b/>
          <w:bCs/>
        </w:rPr>
        <w:t xml:space="preserve">Книга доступна на образовательной платформе «Юрайт» </w:t>
      </w:r>
      <w:r>
        <w:rPr>
          <w:rStyle w:val="55"/>
          <w:b/>
          <w:bCs/>
          <w:lang w:val="en-US" w:eastAsia="en-US" w:bidi="en-US"/>
        </w:rPr>
        <w:t>urait</w:t>
      </w:r>
      <w:r w:rsidRPr="008E6F64">
        <w:rPr>
          <w:rStyle w:val="55"/>
          <w:b/>
          <w:bCs/>
          <w:lang w:eastAsia="en-US" w:bidi="en-US"/>
        </w:rPr>
        <w:t>.</w:t>
      </w:r>
      <w:r>
        <w:rPr>
          <w:rStyle w:val="55"/>
          <w:b/>
          <w:bCs/>
          <w:lang w:val="en-US" w:eastAsia="en-US" w:bidi="en-US"/>
        </w:rPr>
        <w:t>ru</w:t>
      </w:r>
      <w:r w:rsidRPr="008E6F64">
        <w:rPr>
          <w:rStyle w:val="55"/>
          <w:b/>
          <w:bCs/>
          <w:lang w:eastAsia="en-US" w:bidi="en-US"/>
        </w:rPr>
        <w:t>,</w:t>
      </w:r>
      <w:r w:rsidRPr="008E6F64">
        <w:rPr>
          <w:rStyle w:val="55"/>
          <w:b/>
          <w:bCs/>
          <w:lang w:eastAsia="en-US" w:bidi="en-US"/>
        </w:rPr>
        <w:br/>
      </w:r>
      <w:r>
        <w:rPr>
          <w:rStyle w:val="55"/>
          <w:b/>
          <w:bCs/>
        </w:rPr>
        <w:t>а также в мобильном приложении «Юрайт.Библиотека»</w:t>
      </w:r>
    </w:p>
    <w:p w14:paraId="20C50696" w14:textId="042DF775" w:rsidR="00350D42" w:rsidRPr="00B517C8" w:rsidRDefault="008E6F64">
      <w:pPr>
        <w:pStyle w:val="54"/>
        <w:shd w:val="clear" w:color="auto" w:fill="auto"/>
        <w:spacing w:before="0" w:after="0" w:line="216" w:lineRule="exact"/>
        <w:ind w:left="20"/>
      </w:pPr>
      <w:r w:rsidRPr="00B517C8">
        <w:rPr>
          <w:rStyle w:val="55"/>
          <w:b/>
          <w:bCs/>
          <w:highlight w:val="green"/>
        </w:rPr>
        <w:lastRenderedPageBreak/>
        <w:t>Москва ■ Юрайт ■ 202</w:t>
      </w:r>
      <w:r w:rsidR="007C74F5" w:rsidRPr="00B517C8">
        <w:rPr>
          <w:rStyle w:val="55"/>
          <w:b/>
          <w:bCs/>
          <w:highlight w:val="green"/>
        </w:rPr>
        <w:t>3</w:t>
      </w:r>
    </w:p>
    <w:p w14:paraId="419A6CD4" w14:textId="77777777" w:rsidR="00350D42" w:rsidRDefault="008E6F64">
      <w:pPr>
        <w:pStyle w:val="63"/>
        <w:shd w:val="clear" w:color="auto" w:fill="auto"/>
        <w:ind w:right="5260"/>
      </w:pPr>
      <w:r>
        <w:rPr>
          <w:rStyle w:val="64"/>
        </w:rPr>
        <w:t>УДК 334(075.8) ББК 65.012.1я73 Д41</w:t>
      </w:r>
    </w:p>
    <w:p w14:paraId="5C4DCDAA" w14:textId="77777777" w:rsidR="00350D42" w:rsidRDefault="008E6F64">
      <w:pPr>
        <w:pStyle w:val="70"/>
        <w:shd w:val="clear" w:color="auto" w:fill="auto"/>
        <w:ind w:left="2440"/>
      </w:pPr>
      <w:r>
        <w:rPr>
          <w:rStyle w:val="71"/>
          <w:i/>
          <w:iCs/>
        </w:rPr>
        <w:t>Ответственный редактор:</w:t>
      </w:r>
    </w:p>
    <w:p w14:paraId="2FD7EBFE" w14:textId="77777777" w:rsidR="00350D42" w:rsidRDefault="008E6F64">
      <w:pPr>
        <w:pStyle w:val="63"/>
        <w:shd w:val="clear" w:color="auto" w:fill="auto"/>
        <w:spacing w:after="207" w:line="202" w:lineRule="exact"/>
        <w:ind w:left="600" w:firstLine="280"/>
      </w:pPr>
      <w:r>
        <w:rPr>
          <w:rStyle w:val="64"/>
        </w:rPr>
        <w:t>Марковская Елизавета Игоревна — доцент, кандидат экономических наук, доцент департамент финансов Санкт-Петербургской школы эконо</w:t>
      </w:r>
      <w:r>
        <w:rPr>
          <w:rStyle w:val="64"/>
        </w:rPr>
        <w:softHyphen/>
        <w:t>мики и Национального исследовательского университета «Высшая школа экономики».</w:t>
      </w:r>
    </w:p>
    <w:p w14:paraId="09854512" w14:textId="77777777" w:rsidR="00350D42" w:rsidRDefault="008E6F64">
      <w:pPr>
        <w:pStyle w:val="70"/>
        <w:shd w:val="clear" w:color="auto" w:fill="auto"/>
        <w:spacing w:line="168" w:lineRule="exact"/>
        <w:ind w:left="3080"/>
      </w:pPr>
      <w:r>
        <w:rPr>
          <w:rStyle w:val="71"/>
          <w:i/>
          <w:iCs/>
        </w:rPr>
        <w:t>Рецензенты</w:t>
      </w:r>
      <w:r>
        <w:rPr>
          <w:rStyle w:val="72"/>
        </w:rPr>
        <w:t>:</w:t>
      </w:r>
    </w:p>
    <w:p w14:paraId="58B77630" w14:textId="77777777" w:rsidR="00350D42" w:rsidRDefault="008E6F64">
      <w:pPr>
        <w:pStyle w:val="63"/>
        <w:shd w:val="clear" w:color="auto" w:fill="auto"/>
        <w:spacing w:line="202" w:lineRule="exact"/>
        <w:ind w:left="600" w:firstLine="280"/>
      </w:pPr>
      <w:r>
        <w:rPr>
          <w:rStyle w:val="65"/>
        </w:rPr>
        <w:t>Песоцкая Е. В.</w:t>
      </w:r>
      <w:r>
        <w:rPr>
          <w:rStyle w:val="64"/>
        </w:rPr>
        <w:t xml:space="preserve"> — доктор экономических наук, профессор Санкт- Петербургского государственного экономического университета;</w:t>
      </w:r>
    </w:p>
    <w:p w14:paraId="113E078D" w14:textId="77777777" w:rsidR="00350D42" w:rsidRDefault="008E6F64">
      <w:pPr>
        <w:pStyle w:val="63"/>
        <w:shd w:val="clear" w:color="auto" w:fill="auto"/>
        <w:spacing w:line="202" w:lineRule="exact"/>
        <w:ind w:left="600" w:firstLine="280"/>
      </w:pPr>
      <w:r>
        <w:rPr>
          <w:rStyle w:val="65"/>
        </w:rPr>
        <w:t>Лабудин А. В.</w:t>
      </w:r>
      <w:r>
        <w:rPr>
          <w:rStyle w:val="64"/>
        </w:rPr>
        <w:t xml:space="preserve"> — доктор экономических наук, профессор, заведующий кафедрой экономической теории Санкт-Петербургского государственного лесотехнического университета имени С. М. Кирова;</w:t>
      </w:r>
    </w:p>
    <w:p w14:paraId="13B46638" w14:textId="77777777" w:rsidR="00350D42" w:rsidRDefault="008E6F64">
      <w:pPr>
        <w:pStyle w:val="63"/>
        <w:shd w:val="clear" w:color="auto" w:fill="auto"/>
        <w:spacing w:after="180" w:line="202" w:lineRule="exact"/>
        <w:ind w:left="600" w:firstLine="280"/>
      </w:pPr>
      <w:r>
        <w:rPr>
          <w:rStyle w:val="65"/>
        </w:rPr>
        <w:t>Асаул В. В.</w:t>
      </w:r>
      <w:r>
        <w:rPr>
          <w:rStyle w:val="64"/>
        </w:rPr>
        <w:t xml:space="preserve"> — доктор экономических наук, профессор, заведующая кафе</w:t>
      </w:r>
      <w:r>
        <w:rPr>
          <w:rStyle w:val="64"/>
        </w:rPr>
        <w:softHyphen/>
        <w:t>дрой экономики строительства и ЖКХ Санкт-Петербургского государствен</w:t>
      </w:r>
      <w:r>
        <w:rPr>
          <w:rStyle w:val="64"/>
        </w:rPr>
        <w:softHyphen/>
        <w:t>ного архитектурно-строительного университета.</w:t>
      </w:r>
    </w:p>
    <w:p w14:paraId="0AC23C74" w14:textId="515537B5" w:rsidR="00350D42" w:rsidRDefault="008E6F64">
      <w:pPr>
        <w:pStyle w:val="63"/>
        <w:shd w:val="clear" w:color="auto" w:fill="auto"/>
        <w:spacing w:after="207" w:line="202" w:lineRule="exact"/>
        <w:ind w:firstLine="880"/>
      </w:pPr>
      <w:r>
        <w:rPr>
          <w:rStyle w:val="64"/>
          <w:lang w:val="en-US" w:eastAsia="en-US" w:bidi="en-US"/>
        </w:rPr>
        <w:t>GR</w:t>
      </w:r>
      <w:r w:rsidRPr="008E6F64">
        <w:rPr>
          <w:rStyle w:val="64"/>
          <w:lang w:eastAsia="en-US" w:bidi="en-US"/>
        </w:rPr>
        <w:t xml:space="preserve">. </w:t>
      </w:r>
      <w:r>
        <w:rPr>
          <w:rStyle w:val="64"/>
        </w:rPr>
        <w:t xml:space="preserve">Взаимодействие бизнеса и органов власти : учебник и практикум Д41 для вузов / Е. И. Марковская [и др.] ; под редакцией Е. И. Марковской. — </w:t>
      </w:r>
      <w:r w:rsidR="007C74F5" w:rsidRPr="00B517C8">
        <w:rPr>
          <w:rStyle w:val="64"/>
          <w:highlight w:val="green"/>
        </w:rPr>
        <w:t>3</w:t>
      </w:r>
      <w:r w:rsidRPr="00B517C8">
        <w:rPr>
          <w:rStyle w:val="64"/>
          <w:highlight w:val="green"/>
        </w:rPr>
        <w:t>-е изд. —</w:t>
      </w:r>
      <w:r>
        <w:rPr>
          <w:rStyle w:val="64"/>
        </w:rPr>
        <w:t xml:space="preserve"> Москва : Издательство Юрайт, </w:t>
      </w:r>
      <w:r w:rsidRPr="00B517C8">
        <w:rPr>
          <w:rStyle w:val="64"/>
          <w:highlight w:val="green"/>
        </w:rPr>
        <w:t>202</w:t>
      </w:r>
      <w:r w:rsidR="007C74F5" w:rsidRPr="00B517C8">
        <w:rPr>
          <w:rStyle w:val="64"/>
          <w:highlight w:val="green"/>
        </w:rPr>
        <w:t>3</w:t>
      </w:r>
      <w:r>
        <w:rPr>
          <w:rStyle w:val="64"/>
        </w:rPr>
        <w:t xml:space="preserve">. — </w:t>
      </w:r>
      <w:r w:rsidR="00C93682">
        <w:rPr>
          <w:rStyle w:val="64"/>
        </w:rPr>
        <w:t>415</w:t>
      </w:r>
      <w:r>
        <w:rPr>
          <w:rStyle w:val="64"/>
        </w:rPr>
        <w:t xml:space="preserve"> с. — (Высшее образо</w:t>
      </w:r>
      <w:r>
        <w:rPr>
          <w:rStyle w:val="64"/>
        </w:rPr>
        <w:softHyphen/>
        <w:t>вание). — Текст : непосредственный.</w:t>
      </w:r>
    </w:p>
    <w:p w14:paraId="5895D3E7" w14:textId="77777777" w:rsidR="00350D42" w:rsidRDefault="008E6F64">
      <w:pPr>
        <w:pStyle w:val="63"/>
        <w:shd w:val="clear" w:color="auto" w:fill="auto"/>
        <w:spacing w:after="153" w:line="168" w:lineRule="exact"/>
        <w:ind w:left="600" w:firstLine="280"/>
      </w:pPr>
      <w:r>
        <w:rPr>
          <w:rStyle w:val="64"/>
          <w:lang w:val="en-US" w:eastAsia="en-US" w:bidi="en-US"/>
        </w:rPr>
        <w:t>ISBN</w:t>
      </w:r>
      <w:r w:rsidRPr="008E6F64">
        <w:rPr>
          <w:rStyle w:val="64"/>
          <w:lang w:eastAsia="en-US" w:bidi="en-US"/>
        </w:rPr>
        <w:t xml:space="preserve"> </w:t>
      </w:r>
      <w:r>
        <w:rPr>
          <w:rStyle w:val="64"/>
        </w:rPr>
        <w:t>978-5-534-13132-1</w:t>
      </w:r>
    </w:p>
    <w:p w14:paraId="06EF33BE" w14:textId="77777777" w:rsidR="00350D42" w:rsidRDefault="008E6F64">
      <w:pPr>
        <w:pStyle w:val="63"/>
        <w:shd w:val="clear" w:color="auto" w:fill="auto"/>
        <w:spacing w:line="202" w:lineRule="exact"/>
        <w:ind w:left="600" w:firstLine="280"/>
      </w:pPr>
      <w:r>
        <w:rPr>
          <w:rStyle w:val="64"/>
        </w:rPr>
        <w:t>Учебник содержит основные теоретические и практические положения, раскрывающие сущность экономических явлений и процессов, которые опре</w:t>
      </w:r>
      <w:r>
        <w:rPr>
          <w:rStyle w:val="64"/>
        </w:rPr>
        <w:softHyphen/>
        <w:t>деляют основы взаимодействия государства и бизнеса, формы, модели и акту</w:t>
      </w:r>
      <w:r>
        <w:rPr>
          <w:rStyle w:val="64"/>
        </w:rPr>
        <w:softHyphen/>
        <w:t>альные проблемы такого взаимодействия. Издание поможет студентам изучить имеющийся опыт взаимоотношений государства и бизнес-структур, про</w:t>
      </w:r>
      <w:r>
        <w:rPr>
          <w:rStyle w:val="64"/>
        </w:rPr>
        <w:softHyphen/>
        <w:t>анализировать организационные и социально-экономические составляющие данных отношений, а также механизмы, обеспечивающие, с одной стороны, предоставление государством соответствующих условий, стимулирующих предпринимателей к участию в партнерских отношениях, а с другой — повы</w:t>
      </w:r>
      <w:r>
        <w:rPr>
          <w:rStyle w:val="64"/>
        </w:rPr>
        <w:softHyphen/>
        <w:t>шение активности бизнес-структур в инновационном развитии страны.</w:t>
      </w:r>
    </w:p>
    <w:p w14:paraId="21A0A5F0" w14:textId="77777777" w:rsidR="00350D42" w:rsidRDefault="008E6F64">
      <w:pPr>
        <w:pStyle w:val="63"/>
        <w:shd w:val="clear" w:color="auto" w:fill="auto"/>
        <w:spacing w:line="202" w:lineRule="exact"/>
        <w:ind w:left="600" w:firstLine="280"/>
      </w:pPr>
      <w:r>
        <w:rPr>
          <w:rStyle w:val="64"/>
        </w:rPr>
        <w:t>Соответствует актуальным требованиям Федерального государственного образовательного стандарта высшего образования.</w:t>
      </w:r>
    </w:p>
    <w:p w14:paraId="2B0ABE95" w14:textId="5C97A6AF" w:rsidR="00350D42" w:rsidRDefault="008E6F64">
      <w:pPr>
        <w:pStyle w:val="70"/>
        <w:shd w:val="clear" w:color="auto" w:fill="auto"/>
        <w:spacing w:after="256"/>
        <w:ind w:left="600" w:firstLine="280"/>
      </w:pPr>
      <w:r>
        <w:rPr>
          <w:rStyle w:val="71"/>
          <w:i/>
          <w:iCs/>
        </w:rPr>
        <w:t>Для студентов высших</w:t>
      </w:r>
      <w:r w:rsidR="00960409">
        <w:rPr>
          <w:rStyle w:val="71"/>
          <w:i/>
          <w:iCs/>
        </w:rPr>
        <w:t xml:space="preserve"> </w:t>
      </w:r>
      <w:r>
        <w:rPr>
          <w:rStyle w:val="71"/>
          <w:i/>
          <w:iCs/>
        </w:rPr>
        <w:t>учебныхзаведений, обучающихся по экономическим направлениям.</w:t>
      </w:r>
    </w:p>
    <w:p w14:paraId="563E1E2A" w14:textId="77777777" w:rsidR="00350D42" w:rsidRDefault="008E6F64">
      <w:pPr>
        <w:pStyle w:val="63"/>
        <w:shd w:val="clear" w:color="auto" w:fill="auto"/>
        <w:spacing w:after="952"/>
        <w:ind w:left="5340"/>
        <w:jc w:val="right"/>
      </w:pPr>
      <w:r>
        <w:rPr>
          <w:rStyle w:val="64"/>
        </w:rPr>
        <w:t>УДК 334(075.8) ББК 65.012.1я73</w:t>
      </w:r>
    </w:p>
    <w:p w14:paraId="28180867" w14:textId="77777777" w:rsidR="00350D42" w:rsidRDefault="008E6F64">
      <w:pPr>
        <w:pStyle w:val="70"/>
        <w:shd w:val="clear" w:color="auto" w:fill="auto"/>
        <w:spacing w:after="468" w:line="216" w:lineRule="exact"/>
      </w:pPr>
      <w:r>
        <w:rPr>
          <w:rStyle w:val="71"/>
          <w:i/>
          <w:iCs/>
        </w:rPr>
        <w:t>Все права защищены. Никакая часть данной книги не может быть воспроизведена в какой бы то ни было форме без письменного разрешения владельцев авторских прав.</w:t>
      </w:r>
    </w:p>
    <w:p w14:paraId="3D071469" w14:textId="77777777" w:rsidR="00350D42" w:rsidRDefault="008E6F64">
      <w:pPr>
        <w:pStyle w:val="63"/>
        <w:shd w:val="clear" w:color="auto" w:fill="auto"/>
        <w:ind w:left="3740" w:right="720"/>
      </w:pPr>
      <w:r>
        <w:rPr>
          <w:rStyle w:val="64"/>
        </w:rPr>
        <w:t>© Коллектив авторов, 2017 © Коллектив авторов, 2020, с изменениями</w:t>
      </w:r>
    </w:p>
    <w:p w14:paraId="53A6D470" w14:textId="77777777" w:rsidR="00350D42" w:rsidRDefault="008E6F64">
      <w:pPr>
        <w:pStyle w:val="63"/>
        <w:shd w:val="clear" w:color="auto" w:fill="auto"/>
        <w:tabs>
          <w:tab w:val="left" w:pos="3701"/>
        </w:tabs>
        <w:sectPr w:rsidR="00350D42">
          <w:type w:val="continuous"/>
          <w:pgSz w:w="8789" w:h="13493"/>
          <w:pgMar w:top="990" w:right="1073" w:bottom="1173" w:left="1072" w:header="0" w:footer="3" w:gutter="0"/>
          <w:cols w:space="720"/>
          <w:noEndnote/>
          <w:docGrid w:linePitch="360"/>
        </w:sectPr>
      </w:pPr>
      <w:r>
        <w:rPr>
          <w:rStyle w:val="64"/>
          <w:lang w:val="en-US" w:eastAsia="en-US" w:bidi="en-US"/>
        </w:rPr>
        <w:lastRenderedPageBreak/>
        <w:t xml:space="preserve">ISBN </w:t>
      </w:r>
      <w:r>
        <w:rPr>
          <w:rStyle w:val="64"/>
        </w:rPr>
        <w:t>978-5-534-13132-1</w:t>
      </w:r>
      <w:r>
        <w:rPr>
          <w:rStyle w:val="64"/>
        </w:rPr>
        <w:tab/>
        <w:t>© ООО «Издательство Юрайт», 2020</w:t>
      </w:r>
    </w:p>
    <w:p w14:paraId="4230B3CA" w14:textId="77777777" w:rsidR="00350D42" w:rsidRDefault="008E6F64">
      <w:pPr>
        <w:pStyle w:val="39"/>
        <w:keepNext/>
        <w:keepLines/>
        <w:shd w:val="clear" w:color="auto" w:fill="auto"/>
        <w:spacing w:after="465"/>
      </w:pPr>
      <w:bookmarkStart w:id="2" w:name="bookmark2"/>
      <w:r>
        <w:rPr>
          <w:rStyle w:val="3a"/>
          <w:b/>
          <w:bCs/>
        </w:rPr>
        <w:lastRenderedPageBreak/>
        <w:t>Оглавление</w:t>
      </w:r>
      <w:bookmarkEnd w:id="2"/>
    </w:p>
    <w:p w14:paraId="616E23D3" w14:textId="77777777" w:rsidR="00350D42" w:rsidRDefault="00350D42">
      <w:pPr>
        <w:pStyle w:val="27"/>
        <w:shd w:val="clear" w:color="auto" w:fill="auto"/>
        <w:tabs>
          <w:tab w:val="left" w:leader="dot" w:pos="6382"/>
        </w:tabs>
        <w:spacing w:before="0"/>
      </w:pPr>
      <w:r>
        <w:fldChar w:fldCharType="begin"/>
      </w:r>
      <w:r w:rsidR="008E6F64">
        <w:instrText xml:space="preserve"> TOC \o "1-5" \h \z </w:instrText>
      </w:r>
      <w:r>
        <w:fldChar w:fldCharType="separate"/>
      </w:r>
      <w:hyperlink w:anchor="bookmark4" w:tooltip="Current Document">
        <w:r w:rsidR="008E6F64">
          <w:rPr>
            <w:rStyle w:val="28"/>
            <w:b/>
            <w:bCs/>
          </w:rPr>
          <w:t>Авторский коллектив</w:t>
        </w:r>
        <w:r w:rsidR="008E6F64">
          <w:rPr>
            <w:rStyle w:val="28"/>
            <w:b/>
            <w:bCs/>
          </w:rPr>
          <w:tab/>
          <w:t>6</w:t>
        </w:r>
      </w:hyperlink>
    </w:p>
    <w:p w14:paraId="59612E84" w14:textId="77777777" w:rsidR="00350D42" w:rsidRDefault="00000000">
      <w:pPr>
        <w:pStyle w:val="27"/>
        <w:shd w:val="clear" w:color="auto" w:fill="auto"/>
        <w:tabs>
          <w:tab w:val="left" w:leader="dot" w:pos="6382"/>
        </w:tabs>
        <w:spacing w:before="0" w:after="85"/>
      </w:pPr>
      <w:hyperlink w:anchor="bookmark6" w:tooltip="Current Document">
        <w:r w:rsidR="008E6F64">
          <w:rPr>
            <w:rStyle w:val="28"/>
            <w:b/>
            <w:bCs/>
          </w:rPr>
          <w:t>Предисловие</w:t>
        </w:r>
        <w:r w:rsidR="008E6F64">
          <w:rPr>
            <w:rStyle w:val="29"/>
            <w:b/>
            <w:bCs/>
          </w:rPr>
          <w:tab/>
        </w:r>
        <w:r w:rsidR="008E6F64">
          <w:rPr>
            <w:rStyle w:val="28"/>
            <w:b/>
            <w:bCs/>
          </w:rPr>
          <w:t>7</w:t>
        </w:r>
      </w:hyperlink>
    </w:p>
    <w:p w14:paraId="00426821" w14:textId="77777777" w:rsidR="00350D42" w:rsidRDefault="00000000">
      <w:pPr>
        <w:pStyle w:val="27"/>
        <w:shd w:val="clear" w:color="auto" w:fill="auto"/>
        <w:tabs>
          <w:tab w:val="right" w:leader="dot" w:pos="6593"/>
        </w:tabs>
        <w:spacing w:before="0" w:after="0" w:line="254" w:lineRule="exact"/>
        <w:jc w:val="left"/>
      </w:pPr>
      <w:hyperlink w:anchor="bookmark8" w:tooltip="Current Document">
        <w:r w:rsidR="008E6F64">
          <w:rPr>
            <w:rStyle w:val="28"/>
            <w:b/>
            <w:bCs/>
          </w:rPr>
          <w:t>Глава 1. Теоретические подходы к взаимодействию государства и бизнеса</w:t>
        </w:r>
        <w:r w:rsidR="008E6F64">
          <w:rPr>
            <w:rStyle w:val="29"/>
            <w:b/>
            <w:bCs/>
          </w:rPr>
          <w:tab/>
        </w:r>
        <w:r w:rsidR="008E6F64">
          <w:rPr>
            <w:rStyle w:val="28"/>
            <w:b/>
            <w:bCs/>
          </w:rPr>
          <w:t>10</w:t>
        </w:r>
      </w:hyperlink>
    </w:p>
    <w:p w14:paraId="0EA17C3A" w14:textId="77777777" w:rsidR="00350D42" w:rsidRDefault="00000000">
      <w:pPr>
        <w:pStyle w:val="ad"/>
        <w:numPr>
          <w:ilvl w:val="0"/>
          <w:numId w:val="1"/>
        </w:numPr>
        <w:shd w:val="clear" w:color="auto" w:fill="auto"/>
        <w:tabs>
          <w:tab w:val="left" w:pos="794"/>
        </w:tabs>
        <w:ind w:left="320" w:firstLine="0"/>
      </w:pPr>
      <w:hyperlink w:anchor="bookmark7" w:tooltip="Current Document">
        <w:r w:rsidR="008E6F64">
          <w:rPr>
            <w:rStyle w:val="ae"/>
          </w:rPr>
          <w:t>Взгляды традиционных экономических школ на вопросы</w:t>
        </w:r>
      </w:hyperlink>
    </w:p>
    <w:p w14:paraId="6427866D" w14:textId="77777777" w:rsidR="00350D42" w:rsidRDefault="008E6F64">
      <w:pPr>
        <w:pStyle w:val="ad"/>
        <w:shd w:val="clear" w:color="auto" w:fill="auto"/>
        <w:tabs>
          <w:tab w:val="right" w:leader="dot" w:pos="6593"/>
        </w:tabs>
        <w:ind w:left="660" w:firstLine="0"/>
      </w:pPr>
      <w:r>
        <w:rPr>
          <w:rStyle w:val="ae"/>
        </w:rPr>
        <w:t>государственного регулирования</w:t>
      </w:r>
      <w:r>
        <w:rPr>
          <w:rStyle w:val="ae"/>
        </w:rPr>
        <w:tab/>
        <w:t>10</w:t>
      </w:r>
    </w:p>
    <w:p w14:paraId="5B5CE522" w14:textId="77777777" w:rsidR="00350D42" w:rsidRDefault="00000000">
      <w:pPr>
        <w:pStyle w:val="ad"/>
        <w:numPr>
          <w:ilvl w:val="0"/>
          <w:numId w:val="1"/>
        </w:numPr>
        <w:shd w:val="clear" w:color="auto" w:fill="auto"/>
        <w:tabs>
          <w:tab w:val="left" w:pos="803"/>
          <w:tab w:val="right" w:leader="dot" w:pos="6593"/>
        </w:tabs>
        <w:spacing w:line="192" w:lineRule="exact"/>
        <w:ind w:left="320" w:firstLine="0"/>
      </w:pPr>
      <w:hyperlink w:anchor="bookmark11" w:tooltip="Current Document">
        <w:r w:rsidR="008E6F64">
          <w:rPr>
            <w:rStyle w:val="ae"/>
          </w:rPr>
          <w:t>Принципы и методы государственного регулирования</w:t>
        </w:r>
        <w:r w:rsidR="008E6F64">
          <w:rPr>
            <w:rStyle w:val="ae"/>
          </w:rPr>
          <w:tab/>
          <w:t>29</w:t>
        </w:r>
      </w:hyperlink>
    </w:p>
    <w:p w14:paraId="15CF3E18" w14:textId="77777777" w:rsidR="00350D42" w:rsidRDefault="00000000">
      <w:pPr>
        <w:pStyle w:val="ad"/>
        <w:numPr>
          <w:ilvl w:val="0"/>
          <w:numId w:val="1"/>
        </w:numPr>
        <w:shd w:val="clear" w:color="auto" w:fill="auto"/>
        <w:tabs>
          <w:tab w:val="left" w:pos="803"/>
          <w:tab w:val="right" w:leader="dot" w:pos="6593"/>
        </w:tabs>
        <w:spacing w:line="226" w:lineRule="exact"/>
        <w:ind w:left="320" w:firstLine="0"/>
      </w:pPr>
      <w:hyperlink w:anchor="bookmark13" w:tooltip="Current Document">
        <w:r w:rsidR="008E6F64">
          <w:rPr>
            <w:rStyle w:val="ae"/>
          </w:rPr>
          <w:t>Модели государственного регулирования</w:t>
        </w:r>
        <w:r w:rsidR="008E6F64">
          <w:rPr>
            <w:rStyle w:val="af"/>
          </w:rPr>
          <w:tab/>
        </w:r>
        <w:r w:rsidR="008E6F64">
          <w:rPr>
            <w:rStyle w:val="ae"/>
          </w:rPr>
          <w:t>33</w:t>
        </w:r>
      </w:hyperlink>
    </w:p>
    <w:p w14:paraId="4A8DD20B" w14:textId="77777777" w:rsidR="00350D42" w:rsidRDefault="00000000">
      <w:pPr>
        <w:pStyle w:val="48"/>
        <w:shd w:val="clear" w:color="auto" w:fill="auto"/>
        <w:tabs>
          <w:tab w:val="right" w:leader="dot" w:pos="6593"/>
        </w:tabs>
        <w:ind w:left="320"/>
      </w:pPr>
      <w:hyperlink w:anchor="bookmark15" w:tooltip="Current Document">
        <w:r w:rsidR="008E6F64">
          <w:rPr>
            <w:rStyle w:val="3b"/>
            <w:i/>
            <w:iCs/>
          </w:rPr>
          <w:t>Выводы</w:t>
        </w:r>
        <w:r w:rsidR="008E6F64">
          <w:rPr>
            <w:rStyle w:val="3c"/>
          </w:rPr>
          <w:tab/>
          <w:t>40</w:t>
        </w:r>
      </w:hyperlink>
    </w:p>
    <w:p w14:paraId="3DBFDA18" w14:textId="77777777" w:rsidR="00350D42" w:rsidRDefault="00000000">
      <w:pPr>
        <w:pStyle w:val="48"/>
        <w:shd w:val="clear" w:color="auto" w:fill="auto"/>
        <w:tabs>
          <w:tab w:val="right" w:leader="dot" w:pos="6593"/>
        </w:tabs>
        <w:ind w:left="320"/>
      </w:pPr>
      <w:hyperlink w:anchor="bookmark17" w:tooltip="Current Document">
        <w:r w:rsidR="008E6F64">
          <w:rPr>
            <w:rStyle w:val="3b"/>
            <w:i/>
            <w:iCs/>
          </w:rPr>
          <w:t>Практикум</w:t>
        </w:r>
        <w:r w:rsidR="008E6F64">
          <w:rPr>
            <w:rStyle w:val="3c"/>
          </w:rPr>
          <w:tab/>
          <w:t>41</w:t>
        </w:r>
      </w:hyperlink>
    </w:p>
    <w:p w14:paraId="041EAC5B" w14:textId="77777777" w:rsidR="00350D42" w:rsidRDefault="00000000">
      <w:pPr>
        <w:pStyle w:val="48"/>
        <w:shd w:val="clear" w:color="auto" w:fill="auto"/>
        <w:tabs>
          <w:tab w:val="right" w:leader="dot" w:pos="6593"/>
        </w:tabs>
        <w:spacing w:after="97"/>
        <w:ind w:left="320"/>
      </w:pPr>
      <w:hyperlink w:anchor="bookmark18" w:tooltip="Current Document">
        <w:r w:rsidR="008E6F64">
          <w:rPr>
            <w:rStyle w:val="3b"/>
            <w:i/>
            <w:iCs/>
          </w:rPr>
          <w:t>Литература</w:t>
        </w:r>
        <w:r w:rsidR="008E6F64">
          <w:rPr>
            <w:rStyle w:val="3c"/>
          </w:rPr>
          <w:tab/>
          <w:t>41</w:t>
        </w:r>
      </w:hyperlink>
    </w:p>
    <w:p w14:paraId="27C6C62C" w14:textId="77777777" w:rsidR="00350D42" w:rsidRDefault="00000000">
      <w:pPr>
        <w:pStyle w:val="27"/>
        <w:shd w:val="clear" w:color="auto" w:fill="auto"/>
        <w:tabs>
          <w:tab w:val="right" w:leader="dot" w:pos="6593"/>
        </w:tabs>
        <w:spacing w:before="0" w:after="0" w:line="254" w:lineRule="exact"/>
        <w:jc w:val="left"/>
      </w:pPr>
      <w:hyperlink w:anchor="bookmark20" w:tooltip="Current Document">
        <w:r w:rsidR="008E6F64">
          <w:rPr>
            <w:rStyle w:val="28"/>
            <w:b/>
            <w:bCs/>
          </w:rPr>
          <w:t>Глава 2. Взаимодействие государства и бизнеса в условиях глобализации</w:t>
        </w:r>
        <w:r w:rsidR="008E6F64">
          <w:rPr>
            <w:rStyle w:val="28"/>
            <w:b/>
            <w:bCs/>
          </w:rPr>
          <w:tab/>
          <w:t>42</w:t>
        </w:r>
      </w:hyperlink>
    </w:p>
    <w:p w14:paraId="0FAD58C9" w14:textId="77777777" w:rsidR="00350D42" w:rsidRDefault="00000000">
      <w:pPr>
        <w:pStyle w:val="ad"/>
        <w:numPr>
          <w:ilvl w:val="0"/>
          <w:numId w:val="2"/>
        </w:numPr>
        <w:shd w:val="clear" w:color="auto" w:fill="auto"/>
        <w:tabs>
          <w:tab w:val="left" w:pos="813"/>
          <w:tab w:val="right" w:leader="dot" w:pos="6593"/>
        </w:tabs>
        <w:spacing w:line="254" w:lineRule="exact"/>
        <w:ind w:left="320" w:firstLine="0"/>
      </w:pPr>
      <w:hyperlink w:anchor="bookmark21" w:tooltip="Current Document">
        <w:r w:rsidR="008E6F64">
          <w:rPr>
            <w:rStyle w:val="ae"/>
          </w:rPr>
          <w:t>Глобальная конкуренция и разумный протекционизм</w:t>
        </w:r>
        <w:r w:rsidR="008E6F64">
          <w:rPr>
            <w:rStyle w:val="ae"/>
          </w:rPr>
          <w:tab/>
          <w:t>42</w:t>
        </w:r>
      </w:hyperlink>
    </w:p>
    <w:p w14:paraId="0833BF7C" w14:textId="77777777" w:rsidR="00350D42" w:rsidRDefault="00000000">
      <w:pPr>
        <w:pStyle w:val="ad"/>
        <w:numPr>
          <w:ilvl w:val="0"/>
          <w:numId w:val="2"/>
        </w:numPr>
        <w:shd w:val="clear" w:color="auto" w:fill="auto"/>
        <w:tabs>
          <w:tab w:val="left" w:pos="818"/>
        </w:tabs>
        <w:spacing w:line="254" w:lineRule="exact"/>
        <w:ind w:left="320" w:firstLine="0"/>
      </w:pPr>
      <w:hyperlink w:anchor="bookmark22" w:tooltip="Current Document">
        <w:r w:rsidR="008E6F64">
          <w:rPr>
            <w:rStyle w:val="ae"/>
          </w:rPr>
          <w:t>Инвестиционный климат страны: институциональный аспект .... 58</w:t>
        </w:r>
      </w:hyperlink>
    </w:p>
    <w:p w14:paraId="4445AED2" w14:textId="77777777" w:rsidR="00350D42" w:rsidRDefault="00000000">
      <w:pPr>
        <w:pStyle w:val="ad"/>
        <w:numPr>
          <w:ilvl w:val="0"/>
          <w:numId w:val="2"/>
        </w:numPr>
        <w:shd w:val="clear" w:color="auto" w:fill="auto"/>
        <w:tabs>
          <w:tab w:val="left" w:pos="818"/>
        </w:tabs>
        <w:spacing w:line="226" w:lineRule="exact"/>
        <w:ind w:left="320" w:firstLine="0"/>
      </w:pPr>
      <w:hyperlink w:anchor="bookmark24" w:tooltip="Current Document">
        <w:r w:rsidR="008E6F64">
          <w:rPr>
            <w:rStyle w:val="ae"/>
          </w:rPr>
          <w:t>Государственные и корпоративные вложения в человеческий</w:t>
        </w:r>
      </w:hyperlink>
    </w:p>
    <w:p w14:paraId="40507FA9" w14:textId="77777777" w:rsidR="00350D42" w:rsidRDefault="008E6F64">
      <w:pPr>
        <w:pStyle w:val="ad"/>
        <w:shd w:val="clear" w:color="auto" w:fill="auto"/>
        <w:tabs>
          <w:tab w:val="right" w:leader="dot" w:pos="6593"/>
        </w:tabs>
        <w:spacing w:line="226" w:lineRule="exact"/>
        <w:ind w:left="660" w:firstLine="0"/>
      </w:pPr>
      <w:r>
        <w:rPr>
          <w:rStyle w:val="ae"/>
        </w:rPr>
        <w:t>капитал: синергетический эффект</w:t>
      </w:r>
      <w:r>
        <w:rPr>
          <w:rStyle w:val="ae"/>
        </w:rPr>
        <w:tab/>
        <w:t>70</w:t>
      </w:r>
    </w:p>
    <w:p w14:paraId="6B3E5A46" w14:textId="77777777" w:rsidR="00350D42" w:rsidRDefault="00000000">
      <w:pPr>
        <w:pStyle w:val="48"/>
        <w:shd w:val="clear" w:color="auto" w:fill="auto"/>
        <w:tabs>
          <w:tab w:val="right" w:leader="dot" w:pos="6593"/>
        </w:tabs>
        <w:ind w:left="320"/>
      </w:pPr>
      <w:hyperlink w:anchor="bookmark27" w:tooltip="Current Document">
        <w:r w:rsidR="008E6F64">
          <w:rPr>
            <w:rStyle w:val="3b"/>
            <w:i/>
            <w:iCs/>
          </w:rPr>
          <w:t>Выводы</w:t>
        </w:r>
        <w:r w:rsidR="008E6F64">
          <w:rPr>
            <w:rStyle w:val="3c"/>
          </w:rPr>
          <w:tab/>
          <w:t xml:space="preserve"> 83</w:t>
        </w:r>
      </w:hyperlink>
    </w:p>
    <w:p w14:paraId="521A0E23" w14:textId="77777777" w:rsidR="00350D42" w:rsidRDefault="00000000">
      <w:pPr>
        <w:pStyle w:val="48"/>
        <w:shd w:val="clear" w:color="auto" w:fill="auto"/>
        <w:tabs>
          <w:tab w:val="right" w:leader="dot" w:pos="6593"/>
        </w:tabs>
        <w:ind w:left="320"/>
      </w:pPr>
      <w:hyperlink w:anchor="bookmark29" w:tooltip="Current Document">
        <w:r w:rsidR="008E6F64">
          <w:rPr>
            <w:rStyle w:val="3b"/>
            <w:i/>
            <w:iCs/>
          </w:rPr>
          <w:t>Практикум</w:t>
        </w:r>
        <w:r w:rsidR="008E6F64">
          <w:rPr>
            <w:rStyle w:val="3c"/>
          </w:rPr>
          <w:t xml:space="preserve"> </w:t>
        </w:r>
        <w:r w:rsidR="008E6F64">
          <w:rPr>
            <w:rStyle w:val="3c"/>
          </w:rPr>
          <w:tab/>
          <w:t xml:space="preserve"> 84</w:t>
        </w:r>
      </w:hyperlink>
    </w:p>
    <w:p w14:paraId="4C9D4555" w14:textId="77777777" w:rsidR="00350D42" w:rsidRDefault="00000000">
      <w:pPr>
        <w:pStyle w:val="48"/>
        <w:shd w:val="clear" w:color="auto" w:fill="auto"/>
        <w:tabs>
          <w:tab w:val="right" w:leader="dot" w:pos="6593"/>
        </w:tabs>
        <w:spacing w:after="97"/>
        <w:ind w:left="320"/>
      </w:pPr>
      <w:hyperlink w:anchor="bookmark31" w:tooltip="Current Document">
        <w:r w:rsidR="008E6F64">
          <w:rPr>
            <w:rStyle w:val="3b"/>
            <w:i/>
            <w:iCs/>
          </w:rPr>
          <w:t>Литература</w:t>
        </w:r>
        <w:r w:rsidR="008E6F64">
          <w:rPr>
            <w:rStyle w:val="3c"/>
          </w:rPr>
          <w:tab/>
          <w:t>86</w:t>
        </w:r>
      </w:hyperlink>
    </w:p>
    <w:p w14:paraId="4879A7F1" w14:textId="77777777" w:rsidR="00350D42" w:rsidRDefault="00000000">
      <w:pPr>
        <w:pStyle w:val="27"/>
        <w:shd w:val="clear" w:color="auto" w:fill="auto"/>
        <w:tabs>
          <w:tab w:val="right" w:leader="dot" w:pos="6593"/>
        </w:tabs>
        <w:spacing w:before="0" w:after="0" w:line="254" w:lineRule="exact"/>
        <w:jc w:val="left"/>
      </w:pPr>
      <w:hyperlink w:anchor="bookmark33" w:tooltip="Current Document">
        <w:r w:rsidR="008E6F64">
          <w:rPr>
            <w:rStyle w:val="28"/>
            <w:b/>
            <w:bCs/>
          </w:rPr>
          <w:t>Глава 3. Социальное партнерство власти, бизнеса и общества как фактор социально-экономического развития</w:t>
        </w:r>
        <w:r w:rsidR="008E6F64">
          <w:rPr>
            <w:rStyle w:val="28"/>
            <w:b/>
            <w:bCs/>
          </w:rPr>
          <w:tab/>
          <w:t>87</w:t>
        </w:r>
      </w:hyperlink>
    </w:p>
    <w:p w14:paraId="7E2CAF20" w14:textId="77777777" w:rsidR="00350D42" w:rsidRDefault="00000000">
      <w:pPr>
        <w:pStyle w:val="ad"/>
        <w:numPr>
          <w:ilvl w:val="1"/>
          <w:numId w:val="2"/>
        </w:numPr>
        <w:shd w:val="clear" w:color="auto" w:fill="auto"/>
        <w:tabs>
          <w:tab w:val="left" w:pos="808"/>
          <w:tab w:val="right" w:leader="dot" w:pos="6593"/>
        </w:tabs>
        <w:spacing w:line="254" w:lineRule="exact"/>
        <w:ind w:left="320" w:firstLine="0"/>
      </w:pPr>
      <w:hyperlink w:anchor="bookmark34" w:tooltip="Current Document">
        <w:r w:rsidR="008E6F64">
          <w:rPr>
            <w:rStyle w:val="ae"/>
          </w:rPr>
          <w:t>Теоретические предпосылки социального партнерства</w:t>
        </w:r>
        <w:r w:rsidR="008E6F64">
          <w:rPr>
            <w:rStyle w:val="ae"/>
          </w:rPr>
          <w:tab/>
          <w:t>87</w:t>
        </w:r>
      </w:hyperlink>
    </w:p>
    <w:p w14:paraId="13475205" w14:textId="77777777" w:rsidR="00350D42" w:rsidRDefault="00000000">
      <w:pPr>
        <w:pStyle w:val="ad"/>
        <w:numPr>
          <w:ilvl w:val="1"/>
          <w:numId w:val="2"/>
        </w:numPr>
        <w:shd w:val="clear" w:color="auto" w:fill="auto"/>
        <w:tabs>
          <w:tab w:val="left" w:pos="813"/>
          <w:tab w:val="right" w:leader="dot" w:pos="6593"/>
        </w:tabs>
        <w:spacing w:line="254" w:lineRule="exact"/>
        <w:ind w:left="320" w:firstLine="0"/>
      </w:pPr>
      <w:hyperlink w:anchor="bookmark36" w:tooltip="Current Document">
        <w:r w:rsidR="008E6F64">
          <w:rPr>
            <w:rStyle w:val="ae"/>
          </w:rPr>
          <w:t>Сущность и формы социального партнерства</w:t>
        </w:r>
        <w:r w:rsidR="008E6F64">
          <w:rPr>
            <w:rStyle w:val="af"/>
          </w:rPr>
          <w:tab/>
        </w:r>
        <w:r w:rsidR="008E6F64">
          <w:rPr>
            <w:rStyle w:val="ae"/>
          </w:rPr>
          <w:t>91</w:t>
        </w:r>
      </w:hyperlink>
    </w:p>
    <w:p w14:paraId="322232CE" w14:textId="77777777" w:rsidR="00350D42" w:rsidRDefault="00000000">
      <w:pPr>
        <w:pStyle w:val="ad"/>
        <w:numPr>
          <w:ilvl w:val="1"/>
          <w:numId w:val="2"/>
        </w:numPr>
        <w:shd w:val="clear" w:color="auto" w:fill="auto"/>
        <w:tabs>
          <w:tab w:val="left" w:pos="813"/>
        </w:tabs>
        <w:spacing w:line="254" w:lineRule="exact"/>
        <w:ind w:left="320" w:firstLine="0"/>
      </w:pPr>
      <w:hyperlink w:anchor="bookmark37" w:tooltip="Current Document">
        <w:r w:rsidR="008E6F64">
          <w:rPr>
            <w:rStyle w:val="ae"/>
          </w:rPr>
          <w:t>Практика тред-юнионистского социального партнерства</w:t>
        </w:r>
      </w:hyperlink>
    </w:p>
    <w:p w14:paraId="6503CA06" w14:textId="77777777" w:rsidR="00350D42" w:rsidRDefault="008E6F64">
      <w:pPr>
        <w:pStyle w:val="ad"/>
        <w:shd w:val="clear" w:color="auto" w:fill="auto"/>
        <w:tabs>
          <w:tab w:val="right" w:leader="dot" w:pos="6593"/>
        </w:tabs>
        <w:spacing w:line="192" w:lineRule="exact"/>
        <w:ind w:left="660" w:firstLine="0"/>
      </w:pPr>
      <w:r>
        <w:rPr>
          <w:rStyle w:val="ae"/>
        </w:rPr>
        <w:t xml:space="preserve">за рубежом </w:t>
      </w:r>
      <w:r>
        <w:rPr>
          <w:rStyle w:val="ae"/>
        </w:rPr>
        <w:tab/>
        <w:t xml:space="preserve"> 100</w:t>
      </w:r>
    </w:p>
    <w:p w14:paraId="5D6A2311" w14:textId="77777777" w:rsidR="00350D42" w:rsidRDefault="00000000">
      <w:pPr>
        <w:pStyle w:val="ad"/>
        <w:numPr>
          <w:ilvl w:val="1"/>
          <w:numId w:val="2"/>
        </w:numPr>
        <w:shd w:val="clear" w:color="auto" w:fill="auto"/>
        <w:tabs>
          <w:tab w:val="left" w:pos="813"/>
          <w:tab w:val="right" w:leader="dot" w:pos="6593"/>
        </w:tabs>
        <w:spacing w:line="226" w:lineRule="exact"/>
        <w:ind w:left="320" w:firstLine="0"/>
      </w:pPr>
      <w:hyperlink w:anchor="bookmark40" w:tooltip="Current Document">
        <w:r w:rsidR="008E6F64">
          <w:rPr>
            <w:rStyle w:val="ae"/>
          </w:rPr>
          <w:t>Политэкономическая теория социального партнерства</w:t>
        </w:r>
        <w:r w:rsidR="008E6F64">
          <w:rPr>
            <w:rStyle w:val="ae"/>
          </w:rPr>
          <w:tab/>
          <w:t>107</w:t>
        </w:r>
      </w:hyperlink>
    </w:p>
    <w:p w14:paraId="4BD029AD" w14:textId="77777777" w:rsidR="00350D42" w:rsidRDefault="00000000">
      <w:pPr>
        <w:pStyle w:val="48"/>
        <w:shd w:val="clear" w:color="auto" w:fill="auto"/>
        <w:tabs>
          <w:tab w:val="right" w:leader="dot" w:pos="6593"/>
        </w:tabs>
        <w:ind w:left="320"/>
      </w:pPr>
      <w:hyperlink w:anchor="bookmark42" w:tooltip="Current Document">
        <w:r w:rsidR="008E6F64">
          <w:rPr>
            <w:rStyle w:val="3b"/>
            <w:i/>
            <w:iCs/>
          </w:rPr>
          <w:t>Выводы</w:t>
        </w:r>
        <w:r w:rsidR="008E6F64">
          <w:rPr>
            <w:rStyle w:val="3c"/>
          </w:rPr>
          <w:tab/>
          <w:t>125</w:t>
        </w:r>
      </w:hyperlink>
    </w:p>
    <w:p w14:paraId="0BDBBE46" w14:textId="77777777" w:rsidR="00350D42" w:rsidRDefault="00000000">
      <w:pPr>
        <w:pStyle w:val="48"/>
        <w:shd w:val="clear" w:color="auto" w:fill="auto"/>
        <w:tabs>
          <w:tab w:val="right" w:leader="dot" w:pos="6593"/>
        </w:tabs>
        <w:ind w:left="320"/>
      </w:pPr>
      <w:hyperlink w:anchor="bookmark44" w:tooltip="Current Document">
        <w:r w:rsidR="008E6F64">
          <w:rPr>
            <w:rStyle w:val="3b"/>
            <w:i/>
            <w:iCs/>
          </w:rPr>
          <w:t>Практикум</w:t>
        </w:r>
        <w:r w:rsidR="008E6F64">
          <w:rPr>
            <w:rStyle w:val="3c"/>
          </w:rPr>
          <w:tab/>
          <w:t>126</w:t>
        </w:r>
      </w:hyperlink>
    </w:p>
    <w:p w14:paraId="081F308A" w14:textId="77777777" w:rsidR="00350D42" w:rsidRDefault="00000000">
      <w:pPr>
        <w:pStyle w:val="48"/>
        <w:shd w:val="clear" w:color="auto" w:fill="auto"/>
        <w:tabs>
          <w:tab w:val="right" w:leader="dot" w:pos="6593"/>
        </w:tabs>
        <w:spacing w:after="101"/>
        <w:ind w:left="320"/>
      </w:pPr>
      <w:hyperlink w:anchor="bookmark45" w:tooltip="Current Document">
        <w:r w:rsidR="008E6F64">
          <w:rPr>
            <w:rStyle w:val="3b"/>
            <w:i/>
            <w:iCs/>
          </w:rPr>
          <w:t>Литература</w:t>
        </w:r>
        <w:r w:rsidR="008E6F64">
          <w:rPr>
            <w:rStyle w:val="3d"/>
          </w:rPr>
          <w:tab/>
        </w:r>
        <w:r w:rsidR="008E6F64">
          <w:rPr>
            <w:rStyle w:val="3c"/>
          </w:rPr>
          <w:t>126</w:t>
        </w:r>
      </w:hyperlink>
    </w:p>
    <w:p w14:paraId="2F95DEF2" w14:textId="77777777" w:rsidR="00350D42" w:rsidRDefault="00000000">
      <w:pPr>
        <w:pStyle w:val="27"/>
        <w:shd w:val="clear" w:color="auto" w:fill="auto"/>
        <w:spacing w:before="0" w:after="0" w:line="250" w:lineRule="exact"/>
        <w:ind w:right="900"/>
        <w:jc w:val="left"/>
      </w:pPr>
      <w:hyperlink w:anchor="bookmark46" w:tooltip="Current Document">
        <w:r w:rsidR="008E6F64">
          <w:rPr>
            <w:rStyle w:val="28"/>
            <w:b/>
            <w:bCs/>
          </w:rPr>
          <w:t>Глава 4. Особенности взаимодействия власти и бизнеса</w:t>
        </w:r>
      </w:hyperlink>
      <w:r w:rsidR="008E6F64">
        <w:rPr>
          <w:rStyle w:val="28"/>
          <w:b/>
          <w:bCs/>
        </w:rPr>
        <w:t xml:space="preserve"> </w:t>
      </w:r>
      <w:hyperlink w:anchor="bookmark46" w:tooltip="Current Document">
        <w:r w:rsidR="008E6F64">
          <w:rPr>
            <w:rStyle w:val="28"/>
            <w:b/>
            <w:bCs/>
          </w:rPr>
          <w:t>с помощью механизма государственно-частного</w:t>
        </w:r>
      </w:hyperlink>
    </w:p>
    <w:p w14:paraId="2396C853" w14:textId="77777777" w:rsidR="00350D42" w:rsidRDefault="008E6F64">
      <w:pPr>
        <w:pStyle w:val="27"/>
        <w:shd w:val="clear" w:color="auto" w:fill="auto"/>
        <w:tabs>
          <w:tab w:val="right" w:leader="dot" w:pos="6593"/>
        </w:tabs>
        <w:spacing w:before="0" w:after="0" w:line="250" w:lineRule="exact"/>
      </w:pPr>
      <w:r>
        <w:rPr>
          <w:rStyle w:val="28"/>
          <w:b/>
          <w:bCs/>
        </w:rPr>
        <w:t>партнерства</w:t>
      </w:r>
      <w:r>
        <w:rPr>
          <w:rStyle w:val="28"/>
          <w:b/>
          <w:bCs/>
        </w:rPr>
        <w:tab/>
        <w:t>128</w:t>
      </w:r>
    </w:p>
    <w:p w14:paraId="6A8FECE5" w14:textId="77777777" w:rsidR="00350D42" w:rsidRDefault="00000000">
      <w:pPr>
        <w:pStyle w:val="ad"/>
        <w:numPr>
          <w:ilvl w:val="0"/>
          <w:numId w:val="3"/>
        </w:numPr>
        <w:shd w:val="clear" w:color="auto" w:fill="auto"/>
        <w:tabs>
          <w:tab w:val="left" w:pos="813"/>
        </w:tabs>
        <w:spacing w:line="250" w:lineRule="exact"/>
        <w:ind w:left="320" w:firstLine="0"/>
      </w:pPr>
      <w:hyperlink w:anchor="bookmark46" w:tooltip="Current Document">
        <w:r w:rsidR="008E6F64">
          <w:rPr>
            <w:rStyle w:val="ae"/>
          </w:rPr>
          <w:t>Государственно-частное партнерство: теоретический</w:t>
        </w:r>
      </w:hyperlink>
    </w:p>
    <w:p w14:paraId="2E7FF7BE" w14:textId="77777777" w:rsidR="00350D42" w:rsidRDefault="008E6F64">
      <w:pPr>
        <w:pStyle w:val="ad"/>
        <w:shd w:val="clear" w:color="auto" w:fill="auto"/>
        <w:tabs>
          <w:tab w:val="right" w:leader="dot" w:pos="6593"/>
        </w:tabs>
        <w:spacing w:line="192" w:lineRule="exact"/>
        <w:ind w:left="660" w:firstLine="0"/>
      </w:pPr>
      <w:r>
        <w:rPr>
          <w:rStyle w:val="ae"/>
        </w:rPr>
        <w:t>и исторический аспекты</w:t>
      </w:r>
      <w:r>
        <w:rPr>
          <w:rStyle w:val="ae"/>
        </w:rPr>
        <w:tab/>
        <w:t>128</w:t>
      </w:r>
      <w:r>
        <w:br w:type="page"/>
      </w:r>
    </w:p>
    <w:p w14:paraId="7E4FF2BC" w14:textId="77777777" w:rsidR="00350D42" w:rsidRDefault="00000000">
      <w:pPr>
        <w:pStyle w:val="ad"/>
        <w:numPr>
          <w:ilvl w:val="0"/>
          <w:numId w:val="3"/>
        </w:numPr>
        <w:shd w:val="clear" w:color="auto" w:fill="auto"/>
        <w:tabs>
          <w:tab w:val="left" w:pos="798"/>
          <w:tab w:val="right" w:leader="dot" w:pos="6588"/>
        </w:tabs>
        <w:spacing w:line="250" w:lineRule="exact"/>
        <w:ind w:left="300" w:firstLine="0"/>
      </w:pPr>
      <w:hyperlink w:anchor="bookmark50" w:tooltip="Current Document">
        <w:r w:rsidR="008E6F64">
          <w:rPr>
            <w:rStyle w:val="ae"/>
          </w:rPr>
          <w:t>Формы реализации государственно-частного партнерства</w:t>
        </w:r>
        <w:r w:rsidR="008E6F64">
          <w:rPr>
            <w:rStyle w:val="af"/>
          </w:rPr>
          <w:tab/>
        </w:r>
        <w:r w:rsidR="008E6F64">
          <w:rPr>
            <w:rStyle w:val="ae"/>
          </w:rPr>
          <w:t>138</w:t>
        </w:r>
      </w:hyperlink>
    </w:p>
    <w:p w14:paraId="5C2017C6" w14:textId="77777777" w:rsidR="00350D42" w:rsidRDefault="00000000">
      <w:pPr>
        <w:pStyle w:val="ad"/>
        <w:numPr>
          <w:ilvl w:val="0"/>
          <w:numId w:val="3"/>
        </w:numPr>
        <w:shd w:val="clear" w:color="auto" w:fill="auto"/>
        <w:tabs>
          <w:tab w:val="left" w:pos="798"/>
          <w:tab w:val="right" w:leader="dot" w:pos="6588"/>
        </w:tabs>
        <w:spacing w:line="250" w:lineRule="exact"/>
        <w:ind w:left="300" w:firstLine="0"/>
      </w:pPr>
      <w:hyperlink w:anchor="bookmark52" w:tooltip="Current Document">
        <w:r w:rsidR="008E6F64">
          <w:rPr>
            <w:rStyle w:val="ae"/>
          </w:rPr>
          <w:t>Механизмы и модели государственно-частного партнерства</w:t>
        </w:r>
        <w:r w:rsidR="008E6F64">
          <w:rPr>
            <w:rStyle w:val="af"/>
          </w:rPr>
          <w:tab/>
        </w:r>
        <w:r w:rsidR="008E6F64">
          <w:rPr>
            <w:rStyle w:val="ae"/>
          </w:rPr>
          <w:t>154</w:t>
        </w:r>
      </w:hyperlink>
    </w:p>
    <w:p w14:paraId="563CDBF9" w14:textId="77777777" w:rsidR="00350D42" w:rsidRDefault="00000000">
      <w:pPr>
        <w:pStyle w:val="ad"/>
        <w:numPr>
          <w:ilvl w:val="0"/>
          <w:numId w:val="3"/>
        </w:numPr>
        <w:shd w:val="clear" w:color="auto" w:fill="auto"/>
        <w:tabs>
          <w:tab w:val="left" w:pos="798"/>
          <w:tab w:val="right" w:leader="dot" w:pos="6588"/>
        </w:tabs>
        <w:spacing w:line="250" w:lineRule="exact"/>
        <w:ind w:left="300" w:firstLine="0"/>
      </w:pPr>
      <w:hyperlink w:anchor="bookmark54" w:tooltip="Current Document">
        <w:r w:rsidR="008E6F64">
          <w:rPr>
            <w:rStyle w:val="ae"/>
          </w:rPr>
          <w:t>Российский закон о государственно-частном партнерстве</w:t>
        </w:r>
        <w:r w:rsidR="008E6F64">
          <w:rPr>
            <w:rStyle w:val="ae"/>
          </w:rPr>
          <w:tab/>
          <w:t>159</w:t>
        </w:r>
      </w:hyperlink>
    </w:p>
    <w:p w14:paraId="77CFBF83" w14:textId="77777777" w:rsidR="00350D42" w:rsidRDefault="00000000">
      <w:pPr>
        <w:pStyle w:val="ad"/>
        <w:numPr>
          <w:ilvl w:val="0"/>
          <w:numId w:val="3"/>
        </w:numPr>
        <w:shd w:val="clear" w:color="auto" w:fill="auto"/>
        <w:tabs>
          <w:tab w:val="left" w:pos="798"/>
        </w:tabs>
        <w:spacing w:line="250" w:lineRule="exact"/>
        <w:ind w:left="300" w:firstLine="0"/>
      </w:pPr>
      <w:hyperlink w:anchor="bookmark55" w:tooltip="Current Document">
        <w:r w:rsidR="008E6F64">
          <w:rPr>
            <w:rStyle w:val="ae"/>
          </w:rPr>
          <w:t>Оценка эффективности заключения соглашения</w:t>
        </w:r>
      </w:hyperlink>
    </w:p>
    <w:p w14:paraId="77F2FF8B" w14:textId="77777777" w:rsidR="00350D42" w:rsidRDefault="008E6F64">
      <w:pPr>
        <w:pStyle w:val="ad"/>
        <w:shd w:val="clear" w:color="auto" w:fill="auto"/>
        <w:tabs>
          <w:tab w:val="right" w:leader="dot" w:pos="6588"/>
        </w:tabs>
        <w:spacing w:line="192" w:lineRule="exact"/>
        <w:ind w:left="660" w:firstLine="0"/>
      </w:pPr>
      <w:r>
        <w:rPr>
          <w:rStyle w:val="ae"/>
        </w:rPr>
        <w:t>о государственно-частном партнерстве</w:t>
      </w:r>
      <w:r>
        <w:rPr>
          <w:rStyle w:val="ae"/>
        </w:rPr>
        <w:tab/>
        <w:t>168</w:t>
      </w:r>
    </w:p>
    <w:p w14:paraId="40427A8C" w14:textId="77777777" w:rsidR="00350D42" w:rsidRDefault="00000000">
      <w:pPr>
        <w:pStyle w:val="ad"/>
        <w:numPr>
          <w:ilvl w:val="0"/>
          <w:numId w:val="3"/>
        </w:numPr>
        <w:shd w:val="clear" w:color="auto" w:fill="auto"/>
        <w:tabs>
          <w:tab w:val="left" w:pos="798"/>
        </w:tabs>
        <w:spacing w:line="221" w:lineRule="exact"/>
        <w:ind w:left="300" w:firstLine="0"/>
      </w:pPr>
      <w:hyperlink w:anchor="bookmark57" w:tooltip="Current Document">
        <w:r w:rsidR="008E6F64">
          <w:rPr>
            <w:rStyle w:val="ae"/>
          </w:rPr>
          <w:t>Государственно-частное партнерство за рубежом: общие</w:t>
        </w:r>
      </w:hyperlink>
    </w:p>
    <w:p w14:paraId="51641ADC" w14:textId="77777777" w:rsidR="00350D42" w:rsidRDefault="008E6F64">
      <w:pPr>
        <w:pStyle w:val="ad"/>
        <w:shd w:val="clear" w:color="auto" w:fill="auto"/>
        <w:tabs>
          <w:tab w:val="right" w:leader="dot" w:pos="6588"/>
        </w:tabs>
        <w:spacing w:line="221" w:lineRule="exact"/>
        <w:ind w:left="660" w:firstLine="0"/>
      </w:pPr>
      <w:r>
        <w:rPr>
          <w:rStyle w:val="ae"/>
        </w:rPr>
        <w:t>сведения</w:t>
      </w:r>
      <w:r>
        <w:rPr>
          <w:rStyle w:val="ae"/>
        </w:rPr>
        <w:tab/>
        <w:t>178</w:t>
      </w:r>
    </w:p>
    <w:p w14:paraId="08674723" w14:textId="77777777" w:rsidR="00350D42" w:rsidRDefault="00000000">
      <w:pPr>
        <w:pStyle w:val="ad"/>
        <w:numPr>
          <w:ilvl w:val="0"/>
          <w:numId w:val="3"/>
        </w:numPr>
        <w:shd w:val="clear" w:color="auto" w:fill="auto"/>
        <w:tabs>
          <w:tab w:val="left" w:pos="798"/>
        </w:tabs>
        <w:spacing w:line="226" w:lineRule="exact"/>
        <w:ind w:left="300" w:firstLine="0"/>
      </w:pPr>
      <w:hyperlink w:anchor="bookmark59" w:tooltip="Current Document">
        <w:r w:rsidR="008E6F64">
          <w:rPr>
            <w:rStyle w:val="ae"/>
          </w:rPr>
          <w:t>Государственно-частное партнерство в России: современный</w:t>
        </w:r>
      </w:hyperlink>
    </w:p>
    <w:p w14:paraId="7D20BBB0" w14:textId="77777777" w:rsidR="00350D42" w:rsidRDefault="008E6F64">
      <w:pPr>
        <w:pStyle w:val="ad"/>
        <w:shd w:val="clear" w:color="auto" w:fill="auto"/>
        <w:tabs>
          <w:tab w:val="right" w:leader="dot" w:pos="6588"/>
        </w:tabs>
        <w:spacing w:line="226" w:lineRule="exact"/>
        <w:ind w:left="660" w:firstLine="0"/>
      </w:pPr>
      <w:r>
        <w:rPr>
          <w:rStyle w:val="ae"/>
        </w:rPr>
        <w:t>опыт</w:t>
      </w:r>
      <w:r>
        <w:rPr>
          <w:rStyle w:val="ae"/>
        </w:rPr>
        <w:tab/>
        <w:t xml:space="preserve"> 188</w:t>
      </w:r>
    </w:p>
    <w:p w14:paraId="6BCD550F" w14:textId="77777777" w:rsidR="00350D42" w:rsidRDefault="00000000">
      <w:pPr>
        <w:pStyle w:val="ad"/>
        <w:numPr>
          <w:ilvl w:val="0"/>
          <w:numId w:val="3"/>
        </w:numPr>
        <w:shd w:val="clear" w:color="auto" w:fill="auto"/>
        <w:tabs>
          <w:tab w:val="left" w:pos="798"/>
        </w:tabs>
        <w:spacing w:line="221" w:lineRule="exact"/>
        <w:ind w:left="300" w:firstLine="0"/>
      </w:pPr>
      <w:hyperlink w:anchor="bookmark61" w:tooltip="Current Document">
        <w:r w:rsidR="008E6F64">
          <w:rPr>
            <w:rStyle w:val="ae"/>
          </w:rPr>
          <w:t>Государственно-частное партнерство в инновационной сфере ... 207</w:t>
        </w:r>
      </w:hyperlink>
    </w:p>
    <w:p w14:paraId="3F44FFAF" w14:textId="77777777" w:rsidR="00350D42" w:rsidRDefault="00000000">
      <w:pPr>
        <w:pStyle w:val="48"/>
        <w:shd w:val="clear" w:color="auto" w:fill="auto"/>
        <w:tabs>
          <w:tab w:val="right" w:leader="dot" w:pos="6588"/>
        </w:tabs>
        <w:spacing w:line="221" w:lineRule="exact"/>
        <w:ind w:left="300"/>
      </w:pPr>
      <w:hyperlink w:anchor="bookmark64" w:tooltip="Current Document">
        <w:r w:rsidR="008E6F64">
          <w:rPr>
            <w:rStyle w:val="3b"/>
            <w:i/>
            <w:iCs/>
          </w:rPr>
          <w:t>Выводы</w:t>
        </w:r>
        <w:r w:rsidR="008E6F64">
          <w:rPr>
            <w:rStyle w:val="3c"/>
          </w:rPr>
          <w:tab/>
          <w:t>220</w:t>
        </w:r>
      </w:hyperlink>
    </w:p>
    <w:p w14:paraId="5511B151" w14:textId="77777777" w:rsidR="00350D42" w:rsidRDefault="00000000">
      <w:pPr>
        <w:pStyle w:val="48"/>
        <w:shd w:val="clear" w:color="auto" w:fill="auto"/>
        <w:tabs>
          <w:tab w:val="right" w:leader="dot" w:pos="6588"/>
        </w:tabs>
        <w:spacing w:line="221" w:lineRule="exact"/>
        <w:ind w:left="300"/>
      </w:pPr>
      <w:hyperlink w:anchor="bookmark66" w:tooltip="Current Document">
        <w:r w:rsidR="008E6F64">
          <w:rPr>
            <w:rStyle w:val="3b"/>
            <w:i/>
            <w:iCs/>
          </w:rPr>
          <w:t>Практикум</w:t>
        </w:r>
        <w:r w:rsidR="008E6F64">
          <w:rPr>
            <w:rStyle w:val="3c"/>
          </w:rPr>
          <w:tab/>
          <w:t>221</w:t>
        </w:r>
      </w:hyperlink>
    </w:p>
    <w:p w14:paraId="22CC5AFA" w14:textId="77777777" w:rsidR="00350D42" w:rsidRDefault="00000000">
      <w:pPr>
        <w:pStyle w:val="48"/>
        <w:shd w:val="clear" w:color="auto" w:fill="auto"/>
        <w:tabs>
          <w:tab w:val="right" w:leader="dot" w:pos="6288"/>
        </w:tabs>
        <w:spacing w:after="117" w:line="221" w:lineRule="exact"/>
      </w:pPr>
      <w:hyperlink w:anchor="bookmark68" w:tooltip="Current Document">
        <w:r w:rsidR="008E6F64">
          <w:rPr>
            <w:rStyle w:val="3b"/>
            <w:i/>
            <w:iCs/>
          </w:rPr>
          <w:t>Литература</w:t>
        </w:r>
        <w:r w:rsidR="008E6F64">
          <w:rPr>
            <w:rStyle w:val="3c"/>
          </w:rPr>
          <w:tab/>
          <w:t>234</w:t>
        </w:r>
      </w:hyperlink>
    </w:p>
    <w:p w14:paraId="14CAE78A" w14:textId="77777777" w:rsidR="00350D42" w:rsidRDefault="00000000">
      <w:pPr>
        <w:pStyle w:val="27"/>
        <w:shd w:val="clear" w:color="auto" w:fill="auto"/>
        <w:tabs>
          <w:tab w:val="right" w:leader="dot" w:pos="6588"/>
        </w:tabs>
        <w:spacing w:before="0" w:after="0" w:line="250" w:lineRule="exact"/>
        <w:jc w:val="left"/>
      </w:pPr>
      <w:hyperlink w:anchor="bookmark70" w:tooltip="Current Document">
        <w:r w:rsidR="008E6F64">
          <w:rPr>
            <w:rStyle w:val="28"/>
            <w:b/>
            <w:bCs/>
          </w:rPr>
          <w:t>Глава 5. Практика применения антимонопольного законодательства в Российской Федерации</w:t>
        </w:r>
        <w:r w:rsidR="008E6F64">
          <w:rPr>
            <w:rStyle w:val="28"/>
            <w:b/>
            <w:bCs/>
          </w:rPr>
          <w:tab/>
          <w:t>236</w:t>
        </w:r>
      </w:hyperlink>
    </w:p>
    <w:p w14:paraId="47214DE2" w14:textId="77777777" w:rsidR="00350D42" w:rsidRDefault="00000000">
      <w:pPr>
        <w:pStyle w:val="ad"/>
        <w:numPr>
          <w:ilvl w:val="0"/>
          <w:numId w:val="4"/>
        </w:numPr>
        <w:shd w:val="clear" w:color="auto" w:fill="auto"/>
        <w:tabs>
          <w:tab w:val="left" w:pos="788"/>
        </w:tabs>
        <w:spacing w:line="221" w:lineRule="exact"/>
        <w:ind w:left="300" w:firstLine="0"/>
      </w:pPr>
      <w:hyperlink w:anchor="bookmark71" w:tooltip="Current Document">
        <w:r w:rsidR="008E6F64">
          <w:rPr>
            <w:rStyle w:val="ae"/>
          </w:rPr>
          <w:t>Особенности проведения анализа состояния конкуренции</w:t>
        </w:r>
      </w:hyperlink>
    </w:p>
    <w:p w14:paraId="63B5AC25" w14:textId="77777777" w:rsidR="00350D42" w:rsidRDefault="008E6F64">
      <w:pPr>
        <w:pStyle w:val="ad"/>
        <w:shd w:val="clear" w:color="auto" w:fill="auto"/>
        <w:tabs>
          <w:tab w:val="right" w:leader="dot" w:pos="6588"/>
        </w:tabs>
        <w:spacing w:line="221" w:lineRule="exact"/>
        <w:ind w:left="660" w:firstLine="0"/>
        <w:jc w:val="left"/>
      </w:pPr>
      <w:r>
        <w:rPr>
          <w:rStyle w:val="ae"/>
        </w:rPr>
        <w:t>на товарных рынках, определение долей хозяйствующих субъектов на рынках определенных товаров, работ, услуг</w:t>
      </w:r>
      <w:r>
        <w:rPr>
          <w:rStyle w:val="af"/>
        </w:rPr>
        <w:tab/>
      </w:r>
      <w:r>
        <w:rPr>
          <w:rStyle w:val="ae"/>
        </w:rPr>
        <w:t>237</w:t>
      </w:r>
    </w:p>
    <w:p w14:paraId="4B99E780" w14:textId="77777777" w:rsidR="00350D42" w:rsidRDefault="00000000">
      <w:pPr>
        <w:pStyle w:val="ad"/>
        <w:numPr>
          <w:ilvl w:val="0"/>
          <w:numId w:val="4"/>
        </w:numPr>
        <w:shd w:val="clear" w:color="auto" w:fill="auto"/>
        <w:tabs>
          <w:tab w:val="left" w:pos="793"/>
          <w:tab w:val="right" w:leader="dot" w:pos="6588"/>
        </w:tabs>
        <w:spacing w:line="192" w:lineRule="exact"/>
        <w:ind w:left="300" w:firstLine="0"/>
      </w:pPr>
      <w:hyperlink w:anchor="bookmark74" w:tooltip="Current Document">
        <w:r w:rsidR="008E6F64">
          <w:rPr>
            <w:rStyle w:val="ae"/>
          </w:rPr>
          <w:t>Понятие доминирующего хозяйствующего субъекта</w:t>
        </w:r>
        <w:r w:rsidR="008E6F64">
          <w:rPr>
            <w:rStyle w:val="ae"/>
          </w:rPr>
          <w:tab/>
          <w:t>247</w:t>
        </w:r>
      </w:hyperlink>
    </w:p>
    <w:p w14:paraId="6A52EE17" w14:textId="77777777" w:rsidR="00350D42" w:rsidRDefault="00000000">
      <w:pPr>
        <w:pStyle w:val="ad"/>
        <w:numPr>
          <w:ilvl w:val="0"/>
          <w:numId w:val="4"/>
        </w:numPr>
        <w:shd w:val="clear" w:color="auto" w:fill="auto"/>
        <w:tabs>
          <w:tab w:val="left" w:pos="793"/>
        </w:tabs>
        <w:spacing w:line="226" w:lineRule="exact"/>
        <w:ind w:left="300" w:firstLine="0"/>
      </w:pPr>
      <w:hyperlink w:anchor="bookmark75" w:tooltip="Current Document">
        <w:r w:rsidR="008E6F64">
          <w:rPr>
            <w:rStyle w:val="ae"/>
          </w:rPr>
          <w:t>Антимонопольное регулирование в сфере контроля</w:t>
        </w:r>
      </w:hyperlink>
    </w:p>
    <w:p w14:paraId="0A84EB55" w14:textId="77777777" w:rsidR="00350D42" w:rsidRDefault="008E6F64">
      <w:pPr>
        <w:pStyle w:val="ad"/>
        <w:shd w:val="clear" w:color="auto" w:fill="auto"/>
        <w:tabs>
          <w:tab w:val="right" w:leader="dot" w:pos="6588"/>
        </w:tabs>
        <w:spacing w:line="226" w:lineRule="exact"/>
        <w:ind w:left="660" w:firstLine="0"/>
      </w:pPr>
      <w:r>
        <w:rPr>
          <w:rStyle w:val="ae"/>
        </w:rPr>
        <w:t>недобросовестной деятельности</w:t>
      </w:r>
      <w:r>
        <w:rPr>
          <w:rStyle w:val="ae"/>
        </w:rPr>
        <w:tab/>
        <w:t>251</w:t>
      </w:r>
    </w:p>
    <w:p w14:paraId="2844E2D6" w14:textId="77777777" w:rsidR="00350D42" w:rsidRDefault="00000000">
      <w:pPr>
        <w:pStyle w:val="ad"/>
        <w:numPr>
          <w:ilvl w:val="0"/>
          <w:numId w:val="4"/>
        </w:numPr>
        <w:shd w:val="clear" w:color="auto" w:fill="auto"/>
        <w:tabs>
          <w:tab w:val="left" w:pos="793"/>
        </w:tabs>
        <w:spacing w:line="226" w:lineRule="exact"/>
        <w:ind w:left="300" w:firstLine="0"/>
      </w:pPr>
      <w:hyperlink w:anchor="bookmark77" w:tooltip="Current Document">
        <w:r w:rsidR="008E6F64">
          <w:rPr>
            <w:rStyle w:val="ae"/>
          </w:rPr>
          <w:t>Виды злоупотреблений со стороны хозяйствующих</w:t>
        </w:r>
      </w:hyperlink>
    </w:p>
    <w:p w14:paraId="75BF061A" w14:textId="77777777" w:rsidR="00350D42" w:rsidRDefault="008E6F64">
      <w:pPr>
        <w:pStyle w:val="ad"/>
        <w:shd w:val="clear" w:color="auto" w:fill="auto"/>
        <w:tabs>
          <w:tab w:val="right" w:leader="dot" w:pos="6588"/>
        </w:tabs>
        <w:spacing w:line="226" w:lineRule="exact"/>
        <w:ind w:left="660" w:firstLine="0"/>
        <w:jc w:val="left"/>
      </w:pPr>
      <w:r>
        <w:rPr>
          <w:rStyle w:val="ae"/>
        </w:rPr>
        <w:t>субъектов своим доминирующим положением на рынках энергетических ресурсов</w:t>
      </w:r>
      <w:r>
        <w:rPr>
          <w:rStyle w:val="ae"/>
        </w:rPr>
        <w:tab/>
        <w:t>253</w:t>
      </w:r>
    </w:p>
    <w:p w14:paraId="3C5A15E5" w14:textId="0E56435F" w:rsidR="00350D42" w:rsidRDefault="00A74D21">
      <w:pPr>
        <w:pStyle w:val="ad"/>
        <w:shd w:val="clear" w:color="auto" w:fill="auto"/>
        <w:tabs>
          <w:tab w:val="right" w:leader="dot" w:pos="6588"/>
        </w:tabs>
        <w:spacing w:line="192" w:lineRule="exact"/>
        <w:ind w:left="660" w:firstLine="0"/>
      </w:pPr>
      <w:r>
        <w:rPr>
          <w:noProof/>
          <w:lang w:bidi="ar-SA"/>
        </w:rPr>
        <mc:AlternateContent>
          <mc:Choice Requires="wps">
            <w:drawing>
              <wp:anchor distT="0" distB="0" distL="182880" distR="633730" simplePos="0" relativeHeight="377487104" behindDoc="1" locked="0" layoutInCell="1" allowOverlap="1" wp14:anchorId="742F7049" wp14:editId="003F1005">
                <wp:simplePos x="0" y="0"/>
                <wp:positionH relativeFrom="margin">
                  <wp:posOffset>189230</wp:posOffset>
                </wp:positionH>
                <wp:positionV relativeFrom="paragraph">
                  <wp:posOffset>-474345</wp:posOffset>
                </wp:positionV>
                <wp:extent cx="3389630" cy="430530"/>
                <wp:effectExtent l="3175" t="3810" r="0" b="3810"/>
                <wp:wrapTopAndBottom/>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48535" w14:textId="77777777" w:rsidR="00350D42" w:rsidRDefault="00000000">
                            <w:pPr>
                              <w:pStyle w:val="80"/>
                              <w:shd w:val="clear" w:color="auto" w:fill="auto"/>
                              <w:ind w:left="360"/>
                            </w:pPr>
                            <w:hyperlink w:anchor="bookmark79" w:tooltip="Current Document">
                              <w:r w:rsidR="008E6F64">
                                <w:rPr>
                                  <w:rStyle w:val="8Exact0"/>
                                </w:rPr>
                                <w:t>5.5. Основы контроля процедуры организации и проведения</w:t>
                              </w:r>
                            </w:hyperlink>
                            <w:r w:rsidR="008E6F64">
                              <w:rPr>
                                <w:rStyle w:val="8Exact0"/>
                              </w:rPr>
                              <w:t xml:space="preserve"> </w:t>
                            </w:r>
                            <w:hyperlink w:anchor="bookmark79" w:tooltip="Current Document">
                              <w:r w:rsidR="008E6F64">
                                <w:rPr>
                                  <w:rStyle w:val="8Exact0"/>
                                </w:rPr>
                                <w:t>торгов со стороны субъектов естественных монополий</w:t>
                              </w:r>
                            </w:hyperlink>
                            <w:r w:rsidR="008E6F64">
                              <w:rPr>
                                <w:rStyle w:val="8Exact0"/>
                              </w:rPr>
                              <w:t xml:space="preserve"> </w:t>
                            </w:r>
                            <w:hyperlink w:anchor="bookmark79" w:tooltip="Current Document">
                              <w:r w:rsidR="008E6F64">
                                <w:rPr>
                                  <w:rStyle w:val="8Exact0"/>
                                </w:rPr>
                                <w:t>и заключения договоров по результатам таких торгов</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2F7049" id="_x0000_t202" coordsize="21600,21600" o:spt="202" path="m,l,21600r21600,l21600,xe">
                <v:stroke joinstyle="miter"/>
                <v:path gradientshapeok="t" o:connecttype="rect"/>
              </v:shapetype>
              <v:shape id="Text Box 2" o:spid="_x0000_s1026" type="#_x0000_t202" style="position:absolute;left:0;text-align:left;margin-left:14.9pt;margin-top:-37.35pt;width:266.9pt;height:33.9pt;z-index:-125829376;visibility:visible;mso-wrap-style:square;mso-width-percent:0;mso-height-percent:0;mso-wrap-distance-left:14.4pt;mso-wrap-distance-top:0;mso-wrap-distance-right:49.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" filled="f" stroked="f">
                <v:textbox style="mso-fit-shape-to-text:t" inset="0,0,0,0">
                  <w:txbxContent>
                    <w:p w14:paraId="4AD48535" w14:textId="77777777" w:rsidR="00350D42" w:rsidRDefault="00000000">
                      <w:pPr>
                        <w:pStyle w:val="80"/>
                        <w:shd w:val="clear" w:color="auto" w:fill="auto"/>
                        <w:ind w:left="360"/>
                      </w:pPr>
                      <w:hyperlink w:anchor="bookmark79" w:tooltip="Current Document">
                        <w:r w:rsidR="008E6F64">
                          <w:rPr>
                            <w:rStyle w:val="8Exact0"/>
                          </w:rPr>
                          <w:t>5.5. Основы контроля процедуры организации и проведения</w:t>
                        </w:r>
                      </w:hyperlink>
                      <w:r w:rsidR="008E6F64">
                        <w:rPr>
                          <w:rStyle w:val="8Exact0"/>
                        </w:rPr>
                        <w:t xml:space="preserve"> </w:t>
                      </w:r>
                      <w:hyperlink w:anchor="bookmark79" w:tooltip="Current Document">
                        <w:r w:rsidR="008E6F64">
                          <w:rPr>
                            <w:rStyle w:val="8Exact0"/>
                          </w:rPr>
                          <w:t>торгов со стороны субъектов естественных монополий</w:t>
                        </w:r>
                      </w:hyperlink>
                      <w:r w:rsidR="008E6F64">
                        <w:rPr>
                          <w:rStyle w:val="8Exact0"/>
                        </w:rPr>
                        <w:t xml:space="preserve"> </w:t>
                      </w:r>
                      <w:hyperlink w:anchor="bookmark79" w:tooltip="Current Document">
                        <w:r w:rsidR="008E6F64">
                          <w:rPr>
                            <w:rStyle w:val="8Exact0"/>
                          </w:rPr>
                          <w:t>и заключения договоров по результатам таких торгов</w:t>
                        </w:r>
                      </w:hyperlink>
                    </w:p>
                  </w:txbxContent>
                </v:textbox>
                <w10:wrap type="topAndBottom" anchorx="margin"/>
              </v:shape>
            </w:pict>
          </mc:Fallback>
        </mc:AlternateContent>
      </w:r>
      <w:r w:rsidR="008E6F64">
        <w:rPr>
          <w:rStyle w:val="ae"/>
        </w:rPr>
        <w:t>(конкурсов и аукционов)</w:t>
      </w:r>
      <w:r w:rsidR="008E6F64">
        <w:rPr>
          <w:rStyle w:val="ae"/>
        </w:rPr>
        <w:tab/>
        <w:t>256</w:t>
      </w:r>
    </w:p>
    <w:p w14:paraId="6706D52B" w14:textId="77777777" w:rsidR="00350D42" w:rsidRDefault="00000000">
      <w:pPr>
        <w:pStyle w:val="ad"/>
        <w:numPr>
          <w:ilvl w:val="0"/>
          <w:numId w:val="5"/>
        </w:numPr>
        <w:shd w:val="clear" w:color="auto" w:fill="auto"/>
        <w:tabs>
          <w:tab w:val="left" w:pos="793"/>
        </w:tabs>
        <w:spacing w:line="221" w:lineRule="exact"/>
        <w:ind w:left="660" w:right="1480"/>
        <w:jc w:val="left"/>
      </w:pPr>
      <w:hyperlink w:anchor="bookmark80" w:tooltip="Current Document">
        <w:r w:rsidR="008E6F64">
          <w:rPr>
            <w:rStyle w:val="ae"/>
          </w:rPr>
          <w:t>Типичные нарушения со стороны государственных</w:t>
        </w:r>
      </w:hyperlink>
      <w:r w:rsidR="008E6F64">
        <w:rPr>
          <w:rStyle w:val="ae"/>
        </w:rPr>
        <w:t xml:space="preserve"> </w:t>
      </w:r>
      <w:hyperlink w:anchor="bookmark80" w:tooltip="Current Document">
        <w:r w:rsidR="008E6F64">
          <w:rPr>
            <w:rStyle w:val="ae"/>
          </w:rPr>
          <w:t>заказчиков при проведении закупочных процедур</w:t>
        </w:r>
      </w:hyperlink>
    </w:p>
    <w:p w14:paraId="0C2CD0CE" w14:textId="77777777" w:rsidR="00350D42" w:rsidRDefault="008E6F64">
      <w:pPr>
        <w:pStyle w:val="ad"/>
        <w:shd w:val="clear" w:color="auto" w:fill="auto"/>
        <w:tabs>
          <w:tab w:val="right" w:leader="dot" w:pos="6588"/>
        </w:tabs>
        <w:spacing w:line="221" w:lineRule="exact"/>
        <w:ind w:left="660" w:firstLine="0"/>
      </w:pPr>
      <w:r>
        <w:rPr>
          <w:rStyle w:val="ae"/>
        </w:rPr>
        <w:t>для государственных и муниципальных нужд</w:t>
      </w:r>
      <w:r>
        <w:rPr>
          <w:rStyle w:val="ae"/>
        </w:rPr>
        <w:tab/>
        <w:t>259</w:t>
      </w:r>
    </w:p>
    <w:p w14:paraId="2E531DD1" w14:textId="77777777" w:rsidR="00350D42" w:rsidRDefault="00000000">
      <w:pPr>
        <w:pStyle w:val="ad"/>
        <w:numPr>
          <w:ilvl w:val="0"/>
          <w:numId w:val="5"/>
        </w:numPr>
        <w:shd w:val="clear" w:color="auto" w:fill="auto"/>
        <w:tabs>
          <w:tab w:val="left" w:pos="793"/>
        </w:tabs>
        <w:spacing w:line="221" w:lineRule="exact"/>
        <w:ind w:left="300" w:firstLine="0"/>
      </w:pPr>
      <w:hyperlink w:anchor="bookmark82" w:tooltip="Current Document">
        <w:r w:rsidR="008E6F64">
          <w:rPr>
            <w:rStyle w:val="ae"/>
          </w:rPr>
          <w:t>Предупреждения и предостережения как новый инструмент</w:t>
        </w:r>
      </w:hyperlink>
    </w:p>
    <w:p w14:paraId="45ABB07E" w14:textId="77777777" w:rsidR="00350D42" w:rsidRDefault="008E6F64">
      <w:pPr>
        <w:pStyle w:val="ad"/>
        <w:shd w:val="clear" w:color="auto" w:fill="auto"/>
        <w:tabs>
          <w:tab w:val="right" w:leader="dot" w:pos="6588"/>
        </w:tabs>
        <w:spacing w:line="221" w:lineRule="exact"/>
        <w:ind w:left="660" w:firstLine="0"/>
      </w:pPr>
      <w:r>
        <w:rPr>
          <w:rStyle w:val="ae"/>
        </w:rPr>
        <w:t xml:space="preserve">антимонопольного контроля </w:t>
      </w:r>
      <w:r>
        <w:rPr>
          <w:rStyle w:val="ae"/>
        </w:rPr>
        <w:tab/>
        <w:t xml:space="preserve"> 263</w:t>
      </w:r>
    </w:p>
    <w:p w14:paraId="669EBC3F" w14:textId="77777777" w:rsidR="00350D42" w:rsidRDefault="00000000">
      <w:pPr>
        <w:pStyle w:val="48"/>
        <w:shd w:val="clear" w:color="auto" w:fill="auto"/>
        <w:tabs>
          <w:tab w:val="right" w:leader="dot" w:pos="6588"/>
        </w:tabs>
        <w:spacing w:line="221" w:lineRule="exact"/>
        <w:ind w:left="300"/>
      </w:pPr>
      <w:hyperlink w:anchor="bookmark85" w:tooltip="Current Document">
        <w:r w:rsidR="008E6F64">
          <w:rPr>
            <w:rStyle w:val="3b"/>
            <w:i/>
            <w:iCs/>
          </w:rPr>
          <w:t>Выводы</w:t>
        </w:r>
        <w:r w:rsidR="008E6F64">
          <w:rPr>
            <w:rStyle w:val="3c"/>
          </w:rPr>
          <w:tab/>
          <w:t xml:space="preserve"> 265</w:t>
        </w:r>
      </w:hyperlink>
    </w:p>
    <w:p w14:paraId="72A89AFE" w14:textId="77777777" w:rsidR="00350D42" w:rsidRDefault="00000000">
      <w:pPr>
        <w:pStyle w:val="48"/>
        <w:shd w:val="clear" w:color="auto" w:fill="auto"/>
        <w:tabs>
          <w:tab w:val="right" w:leader="dot" w:pos="6588"/>
        </w:tabs>
        <w:spacing w:line="221" w:lineRule="exact"/>
        <w:ind w:left="300"/>
      </w:pPr>
      <w:hyperlink w:anchor="bookmark87" w:tooltip="Current Document">
        <w:r w:rsidR="008E6F64">
          <w:rPr>
            <w:rStyle w:val="3b"/>
            <w:i/>
            <w:iCs/>
          </w:rPr>
          <w:t>Практикум</w:t>
        </w:r>
        <w:r w:rsidR="008E6F64">
          <w:rPr>
            <w:rStyle w:val="3c"/>
          </w:rPr>
          <w:t xml:space="preserve"> </w:t>
        </w:r>
        <w:r w:rsidR="008E6F64">
          <w:rPr>
            <w:rStyle w:val="3c"/>
          </w:rPr>
          <w:tab/>
          <w:t xml:space="preserve"> 266</w:t>
        </w:r>
      </w:hyperlink>
    </w:p>
    <w:p w14:paraId="494F07DF" w14:textId="77777777" w:rsidR="00350D42" w:rsidRDefault="00000000">
      <w:pPr>
        <w:pStyle w:val="48"/>
        <w:shd w:val="clear" w:color="auto" w:fill="auto"/>
        <w:tabs>
          <w:tab w:val="right" w:leader="dot" w:pos="6288"/>
        </w:tabs>
        <w:spacing w:after="129" w:line="221" w:lineRule="exact"/>
      </w:pPr>
      <w:hyperlink w:anchor="bookmark89" w:tooltip="Current Document">
        <w:r w:rsidR="008E6F64">
          <w:rPr>
            <w:rStyle w:val="3b"/>
            <w:i/>
            <w:iCs/>
          </w:rPr>
          <w:t>Литература</w:t>
        </w:r>
        <w:r w:rsidR="008E6F64">
          <w:rPr>
            <w:rStyle w:val="3c"/>
          </w:rPr>
          <w:tab/>
          <w:t>267</w:t>
        </w:r>
      </w:hyperlink>
    </w:p>
    <w:p w14:paraId="77EDCAC1" w14:textId="77777777" w:rsidR="00350D42" w:rsidRDefault="008E6F64">
      <w:pPr>
        <w:pStyle w:val="27"/>
        <w:shd w:val="clear" w:color="auto" w:fill="auto"/>
        <w:tabs>
          <w:tab w:val="right" w:leader="dot" w:pos="6588"/>
        </w:tabs>
        <w:spacing w:before="0" w:after="0" w:line="235" w:lineRule="exact"/>
        <w:jc w:val="left"/>
      </w:pPr>
      <w:r>
        <w:rPr>
          <w:rStyle w:val="28"/>
          <w:b/>
          <w:bCs/>
        </w:rPr>
        <w:t>Глава 6. Экономические, правовые и организационно</w:t>
      </w:r>
      <w:r>
        <w:rPr>
          <w:rStyle w:val="28"/>
          <w:b/>
          <w:bCs/>
        </w:rPr>
        <w:softHyphen/>
        <w:t>психологические аспекты управления системой государственных закупок</w:t>
      </w:r>
      <w:r>
        <w:rPr>
          <w:rStyle w:val="28"/>
          <w:b/>
          <w:bCs/>
        </w:rPr>
        <w:tab/>
        <w:t>269</w:t>
      </w:r>
    </w:p>
    <w:p w14:paraId="788838A8" w14:textId="77777777" w:rsidR="00350D42" w:rsidRDefault="00000000">
      <w:pPr>
        <w:pStyle w:val="ad"/>
        <w:numPr>
          <w:ilvl w:val="0"/>
          <w:numId w:val="6"/>
        </w:numPr>
        <w:shd w:val="clear" w:color="auto" w:fill="auto"/>
        <w:tabs>
          <w:tab w:val="left" w:pos="788"/>
        </w:tabs>
        <w:spacing w:line="235" w:lineRule="exact"/>
        <w:ind w:left="300" w:firstLine="0"/>
      </w:pPr>
      <w:hyperlink w:anchor="bookmark90" w:tooltip="Current Document">
        <w:r w:rsidR="008E6F64">
          <w:rPr>
            <w:rStyle w:val="ae"/>
          </w:rPr>
          <w:t>Экономические и правовые основы функционирования</w:t>
        </w:r>
      </w:hyperlink>
    </w:p>
    <w:p w14:paraId="1CF290A0" w14:textId="77777777" w:rsidR="00350D42" w:rsidRDefault="008E6F64">
      <w:pPr>
        <w:pStyle w:val="ad"/>
        <w:shd w:val="clear" w:color="auto" w:fill="auto"/>
        <w:tabs>
          <w:tab w:val="right" w:leader="dot" w:pos="6588"/>
        </w:tabs>
        <w:spacing w:line="235" w:lineRule="exact"/>
        <w:ind w:left="660" w:firstLine="0"/>
      </w:pPr>
      <w:r>
        <w:rPr>
          <w:rStyle w:val="ae"/>
        </w:rPr>
        <w:t>системы государственных закупок</w:t>
      </w:r>
      <w:r>
        <w:rPr>
          <w:rStyle w:val="ae"/>
        </w:rPr>
        <w:tab/>
        <w:t>269</w:t>
      </w:r>
    </w:p>
    <w:p w14:paraId="20A30CE3" w14:textId="77777777" w:rsidR="00350D42" w:rsidRDefault="00000000">
      <w:pPr>
        <w:pStyle w:val="ad"/>
        <w:numPr>
          <w:ilvl w:val="0"/>
          <w:numId w:val="6"/>
        </w:numPr>
        <w:shd w:val="clear" w:color="auto" w:fill="auto"/>
        <w:tabs>
          <w:tab w:val="left" w:pos="793"/>
        </w:tabs>
        <w:spacing w:line="235" w:lineRule="exact"/>
        <w:ind w:left="300" w:firstLine="0"/>
      </w:pPr>
      <w:hyperlink w:anchor="bookmark92" w:tooltip="Current Document">
        <w:r w:rsidR="008E6F64">
          <w:rPr>
            <w:rStyle w:val="ae"/>
          </w:rPr>
          <w:t>Система государственных закупок как организационно</w:t>
        </w:r>
        <w:r w:rsidR="008E6F64">
          <w:rPr>
            <w:rStyle w:val="ae"/>
          </w:rPr>
          <w:softHyphen/>
        </w:r>
      </w:hyperlink>
    </w:p>
    <w:p w14:paraId="2A32343D" w14:textId="77777777" w:rsidR="00350D42" w:rsidRDefault="008E6F64">
      <w:pPr>
        <w:pStyle w:val="ad"/>
        <w:shd w:val="clear" w:color="auto" w:fill="auto"/>
        <w:tabs>
          <w:tab w:val="right" w:leader="dot" w:pos="6588"/>
        </w:tabs>
        <w:spacing w:line="235" w:lineRule="exact"/>
        <w:ind w:left="660" w:firstLine="0"/>
        <w:jc w:val="left"/>
      </w:pPr>
      <w:r>
        <w:rPr>
          <w:rStyle w:val="ae"/>
        </w:rPr>
        <w:t>качественная модель фрагмента общественной экономической деятельности</w:t>
      </w:r>
      <w:r>
        <w:rPr>
          <w:rStyle w:val="ae"/>
        </w:rPr>
        <w:tab/>
        <w:t>272</w:t>
      </w:r>
    </w:p>
    <w:p w14:paraId="630ABE7B" w14:textId="77777777" w:rsidR="00350D42" w:rsidRDefault="00000000">
      <w:pPr>
        <w:pStyle w:val="48"/>
        <w:shd w:val="clear" w:color="auto" w:fill="auto"/>
        <w:tabs>
          <w:tab w:val="right" w:leader="dot" w:pos="6588"/>
        </w:tabs>
        <w:spacing w:line="221" w:lineRule="exact"/>
        <w:ind w:left="300"/>
      </w:pPr>
      <w:hyperlink w:anchor="bookmark95" w:tooltip="Current Document">
        <w:r w:rsidR="008E6F64">
          <w:rPr>
            <w:rStyle w:val="3b"/>
            <w:i/>
            <w:iCs/>
          </w:rPr>
          <w:t>Выводы</w:t>
        </w:r>
        <w:r w:rsidR="008E6F64">
          <w:rPr>
            <w:rStyle w:val="3c"/>
          </w:rPr>
          <w:tab/>
          <w:t xml:space="preserve"> 284</w:t>
        </w:r>
      </w:hyperlink>
    </w:p>
    <w:p w14:paraId="2E3A68F9" w14:textId="77777777" w:rsidR="00350D42" w:rsidRDefault="00000000">
      <w:pPr>
        <w:pStyle w:val="48"/>
        <w:shd w:val="clear" w:color="auto" w:fill="auto"/>
        <w:tabs>
          <w:tab w:val="right" w:leader="dot" w:pos="6588"/>
        </w:tabs>
        <w:spacing w:line="221" w:lineRule="exact"/>
        <w:ind w:left="300"/>
      </w:pPr>
      <w:hyperlink w:anchor="bookmark96" w:tooltip="Current Document">
        <w:r w:rsidR="008E6F64">
          <w:rPr>
            <w:rStyle w:val="3b"/>
            <w:i/>
            <w:iCs/>
          </w:rPr>
          <w:t>Практикум</w:t>
        </w:r>
        <w:r w:rsidR="008E6F64">
          <w:rPr>
            <w:rStyle w:val="3c"/>
          </w:rPr>
          <w:t xml:space="preserve"> </w:t>
        </w:r>
        <w:r w:rsidR="008E6F64">
          <w:rPr>
            <w:rStyle w:val="3c"/>
          </w:rPr>
          <w:tab/>
          <w:t xml:space="preserve"> 284</w:t>
        </w:r>
      </w:hyperlink>
    </w:p>
    <w:p w14:paraId="11D9EEB4" w14:textId="77777777" w:rsidR="00350D42" w:rsidRDefault="00000000">
      <w:pPr>
        <w:pStyle w:val="48"/>
        <w:shd w:val="clear" w:color="auto" w:fill="auto"/>
        <w:tabs>
          <w:tab w:val="right" w:leader="dot" w:pos="6588"/>
        </w:tabs>
        <w:spacing w:line="221" w:lineRule="exact"/>
        <w:ind w:left="300"/>
      </w:pPr>
      <w:hyperlink w:anchor="bookmark98" w:tooltip="Current Document">
        <w:r w:rsidR="008E6F64">
          <w:rPr>
            <w:rStyle w:val="3b"/>
            <w:i/>
            <w:iCs/>
          </w:rPr>
          <w:t>Литература</w:t>
        </w:r>
        <w:r w:rsidR="008E6F64">
          <w:rPr>
            <w:rStyle w:val="3c"/>
          </w:rPr>
          <w:tab/>
          <w:t>286</w:t>
        </w:r>
      </w:hyperlink>
      <w:r w:rsidR="008E6F64">
        <w:br w:type="page"/>
      </w:r>
    </w:p>
    <w:p w14:paraId="70A7257C" w14:textId="77777777" w:rsidR="00350D42" w:rsidRDefault="00000000">
      <w:pPr>
        <w:pStyle w:val="3f"/>
        <w:shd w:val="clear" w:color="auto" w:fill="auto"/>
        <w:tabs>
          <w:tab w:val="right" w:leader="dot" w:pos="6580"/>
        </w:tabs>
      </w:pPr>
      <w:hyperlink w:anchor="bookmark100" w:tooltip="Current Document">
        <w:r w:rsidR="008E6F64">
          <w:rPr>
            <w:rStyle w:val="49"/>
          </w:rPr>
          <w:t>Глава 7. Адаптационные механизмы во взаимодействии государства и бизнеса</w:t>
        </w:r>
        <w:r w:rsidR="008E6F64">
          <w:rPr>
            <w:rStyle w:val="49"/>
          </w:rPr>
          <w:tab/>
          <w:t>287</w:t>
        </w:r>
      </w:hyperlink>
    </w:p>
    <w:p w14:paraId="57560BCB" w14:textId="77777777" w:rsidR="00350D42" w:rsidRDefault="00000000">
      <w:pPr>
        <w:pStyle w:val="ad"/>
        <w:numPr>
          <w:ilvl w:val="0"/>
          <w:numId w:val="7"/>
        </w:numPr>
        <w:shd w:val="clear" w:color="auto" w:fill="auto"/>
        <w:tabs>
          <w:tab w:val="left" w:pos="789"/>
        </w:tabs>
        <w:spacing w:line="254" w:lineRule="exact"/>
        <w:ind w:left="320" w:firstLine="0"/>
      </w:pPr>
      <w:hyperlink w:anchor="bookmark99" w:tooltip="Current Document">
        <w:r w:rsidR="008E6F64">
          <w:rPr>
            <w:rStyle w:val="ae"/>
          </w:rPr>
          <w:t>Подходы к понятию «адаптация» с позиций различных</w:t>
        </w:r>
      </w:hyperlink>
    </w:p>
    <w:p w14:paraId="1B0F4D6E" w14:textId="77777777" w:rsidR="00350D42" w:rsidRDefault="008E6F64">
      <w:pPr>
        <w:pStyle w:val="ad"/>
        <w:shd w:val="clear" w:color="auto" w:fill="auto"/>
        <w:tabs>
          <w:tab w:val="right" w:leader="dot" w:pos="6580"/>
        </w:tabs>
        <w:spacing w:line="192" w:lineRule="exact"/>
        <w:ind w:left="660" w:firstLine="0"/>
      </w:pPr>
      <w:r>
        <w:rPr>
          <w:rStyle w:val="ae"/>
        </w:rPr>
        <w:t>областей знаний</w:t>
      </w:r>
      <w:r>
        <w:rPr>
          <w:rStyle w:val="ae"/>
        </w:rPr>
        <w:tab/>
        <w:t>287</w:t>
      </w:r>
    </w:p>
    <w:p w14:paraId="351A30E8" w14:textId="77777777" w:rsidR="00350D42" w:rsidRDefault="00000000">
      <w:pPr>
        <w:pStyle w:val="ad"/>
        <w:numPr>
          <w:ilvl w:val="0"/>
          <w:numId w:val="7"/>
        </w:numPr>
        <w:shd w:val="clear" w:color="auto" w:fill="auto"/>
        <w:tabs>
          <w:tab w:val="left" w:pos="798"/>
          <w:tab w:val="left" w:leader="dot" w:pos="6234"/>
        </w:tabs>
        <w:spacing w:line="192" w:lineRule="exact"/>
        <w:ind w:left="320" w:firstLine="0"/>
      </w:pPr>
      <w:hyperlink w:anchor="bookmark103" w:tooltip="Current Document">
        <w:r w:rsidR="008E6F64">
          <w:rPr>
            <w:rStyle w:val="ae"/>
          </w:rPr>
          <w:t>Адаптация в экономике с позиций экономической теории</w:t>
        </w:r>
        <w:r w:rsidR="008E6F64">
          <w:rPr>
            <w:rStyle w:val="ae"/>
          </w:rPr>
          <w:tab/>
          <w:t>290</w:t>
        </w:r>
      </w:hyperlink>
    </w:p>
    <w:p w14:paraId="48D2F3BF" w14:textId="77777777" w:rsidR="00350D42" w:rsidRDefault="00000000">
      <w:pPr>
        <w:pStyle w:val="ad"/>
        <w:numPr>
          <w:ilvl w:val="0"/>
          <w:numId w:val="7"/>
        </w:numPr>
        <w:shd w:val="clear" w:color="auto" w:fill="auto"/>
        <w:tabs>
          <w:tab w:val="left" w:pos="798"/>
        </w:tabs>
        <w:ind w:left="320" w:firstLine="0"/>
      </w:pPr>
      <w:hyperlink w:anchor="bookmark104" w:tooltip="Current Document">
        <w:r w:rsidR="008E6F64">
          <w:rPr>
            <w:rStyle w:val="ae"/>
          </w:rPr>
          <w:t>Классификация адаптационных механизмов экономических</w:t>
        </w:r>
      </w:hyperlink>
    </w:p>
    <w:p w14:paraId="5FDDBA74" w14:textId="77777777" w:rsidR="00350D42" w:rsidRDefault="008E6F64">
      <w:pPr>
        <w:pStyle w:val="ad"/>
        <w:shd w:val="clear" w:color="auto" w:fill="auto"/>
        <w:tabs>
          <w:tab w:val="right" w:leader="dot" w:pos="6580"/>
        </w:tabs>
        <w:ind w:left="660" w:firstLine="0"/>
      </w:pPr>
      <w:r>
        <w:rPr>
          <w:rStyle w:val="ae"/>
        </w:rPr>
        <w:t>субъектов</w:t>
      </w:r>
      <w:r>
        <w:rPr>
          <w:rStyle w:val="ae"/>
        </w:rPr>
        <w:tab/>
        <w:t>292</w:t>
      </w:r>
    </w:p>
    <w:p w14:paraId="5846ECB3" w14:textId="77777777" w:rsidR="00350D42" w:rsidRDefault="00000000">
      <w:pPr>
        <w:pStyle w:val="ad"/>
        <w:numPr>
          <w:ilvl w:val="0"/>
          <w:numId w:val="7"/>
        </w:numPr>
        <w:shd w:val="clear" w:color="auto" w:fill="auto"/>
        <w:tabs>
          <w:tab w:val="left" w:pos="798"/>
        </w:tabs>
        <w:spacing w:line="226" w:lineRule="exact"/>
        <w:ind w:left="320" w:firstLine="0"/>
      </w:pPr>
      <w:hyperlink w:anchor="bookmark106" w:tooltip="Current Document">
        <w:r w:rsidR="008E6F64">
          <w:rPr>
            <w:rStyle w:val="ae"/>
          </w:rPr>
          <w:t>Особенности адаптации различных экономических</w:t>
        </w:r>
      </w:hyperlink>
    </w:p>
    <w:p w14:paraId="33F372D5" w14:textId="77777777" w:rsidR="00350D42" w:rsidRDefault="008E6F64">
      <w:pPr>
        <w:pStyle w:val="ad"/>
        <w:shd w:val="clear" w:color="auto" w:fill="auto"/>
        <w:tabs>
          <w:tab w:val="right" w:leader="dot" w:pos="6580"/>
        </w:tabs>
        <w:spacing w:line="226" w:lineRule="exact"/>
        <w:ind w:left="660" w:firstLine="0"/>
      </w:pPr>
      <w:r>
        <w:rPr>
          <w:rStyle w:val="ae"/>
        </w:rPr>
        <w:t>субъектов российской экономики</w:t>
      </w:r>
      <w:r>
        <w:rPr>
          <w:rStyle w:val="ae"/>
        </w:rPr>
        <w:tab/>
        <w:t>295</w:t>
      </w:r>
    </w:p>
    <w:p w14:paraId="1D892D1F" w14:textId="77777777" w:rsidR="00350D42" w:rsidRDefault="00000000">
      <w:pPr>
        <w:pStyle w:val="48"/>
        <w:shd w:val="clear" w:color="auto" w:fill="auto"/>
        <w:tabs>
          <w:tab w:val="right" w:leader="dot" w:pos="6580"/>
        </w:tabs>
        <w:ind w:left="320"/>
      </w:pPr>
      <w:hyperlink w:anchor="bookmark109" w:tooltip="Current Document">
        <w:r w:rsidR="008E6F64">
          <w:rPr>
            <w:rStyle w:val="3b"/>
            <w:i/>
            <w:iCs/>
          </w:rPr>
          <w:t>Выводы</w:t>
        </w:r>
        <w:r w:rsidR="008E6F64">
          <w:rPr>
            <w:rStyle w:val="3c"/>
          </w:rPr>
          <w:tab/>
          <w:t>311</w:t>
        </w:r>
      </w:hyperlink>
    </w:p>
    <w:p w14:paraId="3294CCA3" w14:textId="77777777" w:rsidR="00350D42" w:rsidRDefault="00000000">
      <w:pPr>
        <w:pStyle w:val="48"/>
        <w:shd w:val="clear" w:color="auto" w:fill="auto"/>
        <w:tabs>
          <w:tab w:val="right" w:leader="dot" w:pos="6580"/>
        </w:tabs>
        <w:ind w:left="320"/>
      </w:pPr>
      <w:hyperlink w:anchor="bookmark110" w:tooltip="Current Document">
        <w:r w:rsidR="008E6F64">
          <w:rPr>
            <w:rStyle w:val="3b"/>
            <w:i/>
            <w:iCs/>
          </w:rPr>
          <w:t>Практикум</w:t>
        </w:r>
        <w:r w:rsidR="008E6F64">
          <w:rPr>
            <w:rStyle w:val="3c"/>
          </w:rPr>
          <w:tab/>
          <w:t>311</w:t>
        </w:r>
      </w:hyperlink>
    </w:p>
    <w:p w14:paraId="117B62E8" w14:textId="77777777" w:rsidR="00350D42" w:rsidRDefault="00000000">
      <w:pPr>
        <w:pStyle w:val="48"/>
        <w:shd w:val="clear" w:color="auto" w:fill="auto"/>
        <w:tabs>
          <w:tab w:val="right" w:leader="dot" w:pos="6580"/>
        </w:tabs>
        <w:ind w:left="320"/>
      </w:pPr>
      <w:hyperlink w:anchor="bookmark112" w:tooltip="Current Document">
        <w:r w:rsidR="008E6F64">
          <w:rPr>
            <w:rStyle w:val="3b"/>
            <w:i/>
            <w:iCs/>
          </w:rPr>
          <w:t>Литература</w:t>
        </w:r>
        <w:r w:rsidR="008E6F64">
          <w:rPr>
            <w:rStyle w:val="3c"/>
          </w:rPr>
          <w:tab/>
          <w:t>312</w:t>
        </w:r>
      </w:hyperlink>
    </w:p>
    <w:p w14:paraId="458E2204" w14:textId="77777777" w:rsidR="00350D42" w:rsidRDefault="00000000">
      <w:pPr>
        <w:pStyle w:val="3f"/>
        <w:shd w:val="clear" w:color="auto" w:fill="auto"/>
        <w:tabs>
          <w:tab w:val="right" w:leader="dot" w:pos="6580"/>
        </w:tabs>
        <w:spacing w:line="202" w:lineRule="exact"/>
      </w:pPr>
      <w:hyperlink w:anchor="bookmark114" w:tooltip="Current Document">
        <w:r w:rsidR="008E6F64">
          <w:rPr>
            <w:rStyle w:val="49"/>
          </w:rPr>
          <w:t>Глоссарий</w:t>
        </w:r>
        <w:r w:rsidR="008E6F64">
          <w:rPr>
            <w:rStyle w:val="49"/>
          </w:rPr>
          <w:tab/>
          <w:t>314</w:t>
        </w:r>
      </w:hyperlink>
    </w:p>
    <w:p w14:paraId="78BBD515" w14:textId="77777777" w:rsidR="00350D42" w:rsidRDefault="00000000">
      <w:pPr>
        <w:pStyle w:val="3f"/>
        <w:shd w:val="clear" w:color="auto" w:fill="auto"/>
        <w:spacing w:line="202" w:lineRule="exact"/>
      </w:pPr>
      <w:hyperlink w:anchor="bookmark115" w:tooltip="Current Document">
        <w:r w:rsidR="008E6F64">
          <w:rPr>
            <w:rStyle w:val="49"/>
          </w:rPr>
          <w:t>Приложение 1. Учебно-методический комплекс</w:t>
        </w:r>
      </w:hyperlink>
    </w:p>
    <w:p w14:paraId="58EA7A78" w14:textId="77777777" w:rsidR="00350D42" w:rsidRDefault="008E6F64">
      <w:pPr>
        <w:pStyle w:val="3f"/>
        <w:shd w:val="clear" w:color="auto" w:fill="auto"/>
        <w:tabs>
          <w:tab w:val="right" w:leader="dot" w:pos="6580"/>
        </w:tabs>
        <w:spacing w:line="202" w:lineRule="exact"/>
      </w:pPr>
      <w:r>
        <w:rPr>
          <w:rStyle w:val="49"/>
        </w:rPr>
        <w:t>по дисциплине «Взаимодействие государства и бизнеса»</w:t>
      </w:r>
      <w:r>
        <w:rPr>
          <w:rStyle w:val="49"/>
        </w:rPr>
        <w:tab/>
        <w:t>318</w:t>
      </w:r>
    </w:p>
    <w:p w14:paraId="3669208A" w14:textId="77777777" w:rsidR="00350D42" w:rsidRDefault="00000000">
      <w:pPr>
        <w:pStyle w:val="3f"/>
        <w:shd w:val="clear" w:color="auto" w:fill="auto"/>
        <w:spacing w:line="202" w:lineRule="exact"/>
      </w:pPr>
      <w:hyperlink w:anchor="bookmark117" w:tooltip="Current Document">
        <w:r w:rsidR="008E6F64">
          <w:rPr>
            <w:rStyle w:val="49"/>
          </w:rPr>
          <w:t>Приложение 2. Методика оценки рисков долгосрочного</w:t>
        </w:r>
      </w:hyperlink>
    </w:p>
    <w:p w14:paraId="7A122AE4" w14:textId="77777777" w:rsidR="00350D42" w:rsidRDefault="008E6F64">
      <w:pPr>
        <w:pStyle w:val="3f"/>
        <w:shd w:val="clear" w:color="auto" w:fill="auto"/>
        <w:tabs>
          <w:tab w:val="right" w:leader="dot" w:pos="6580"/>
        </w:tabs>
        <w:spacing w:line="202" w:lineRule="exact"/>
      </w:pPr>
      <w:r>
        <w:rPr>
          <w:rStyle w:val="49"/>
        </w:rPr>
        <w:t>финансирования инвестиционного проекта</w:t>
      </w:r>
      <w:r>
        <w:rPr>
          <w:rStyle w:val="49"/>
        </w:rPr>
        <w:tab/>
        <w:t>345</w:t>
      </w:r>
    </w:p>
    <w:p w14:paraId="26046816" w14:textId="77777777" w:rsidR="00350D42" w:rsidRDefault="00000000">
      <w:pPr>
        <w:pStyle w:val="3f"/>
        <w:shd w:val="clear" w:color="auto" w:fill="auto"/>
        <w:tabs>
          <w:tab w:val="right" w:leader="dot" w:pos="6580"/>
        </w:tabs>
        <w:sectPr w:rsidR="00350D42">
          <w:footerReference w:type="even" r:id="rId8"/>
          <w:footerReference w:type="first" r:id="rId9"/>
          <w:pgSz w:w="8789" w:h="13493"/>
          <w:pgMar w:top="990" w:right="1073" w:bottom="1173" w:left="1072" w:header="0" w:footer="3" w:gutter="0"/>
          <w:cols w:space="720"/>
          <w:noEndnote/>
          <w:titlePg/>
          <w:docGrid w:linePitch="360"/>
        </w:sectPr>
      </w:pPr>
      <w:hyperlink w:anchor="bookmark120" w:tooltip="Current Document">
        <w:r w:rsidR="008E6F64">
          <w:rPr>
            <w:rStyle w:val="49"/>
          </w:rPr>
          <w:t>Новые издания по дисциплине «Взаимодействие бизнеса и власти» и смежным дисциплинам</w:t>
        </w:r>
        <w:r w:rsidR="008E6F64">
          <w:rPr>
            <w:rStyle w:val="49"/>
          </w:rPr>
          <w:tab/>
          <w:t>367</w:t>
        </w:r>
      </w:hyperlink>
      <w:r w:rsidR="00350D42">
        <w:fldChar w:fldCharType="end"/>
      </w:r>
    </w:p>
    <w:p w14:paraId="1219E631" w14:textId="77777777" w:rsidR="00350D42" w:rsidRDefault="00350D42">
      <w:pPr>
        <w:spacing w:line="240" w:lineRule="exact"/>
        <w:rPr>
          <w:sz w:val="19"/>
          <w:szCs w:val="19"/>
        </w:rPr>
      </w:pPr>
    </w:p>
    <w:p w14:paraId="06A0A33F" w14:textId="77777777" w:rsidR="00350D42" w:rsidRDefault="00350D42">
      <w:pPr>
        <w:spacing w:line="240" w:lineRule="exact"/>
        <w:rPr>
          <w:sz w:val="19"/>
          <w:szCs w:val="19"/>
        </w:rPr>
      </w:pPr>
    </w:p>
    <w:p w14:paraId="5BA35943" w14:textId="77777777" w:rsidR="00350D42" w:rsidRDefault="00350D42">
      <w:pPr>
        <w:spacing w:line="240" w:lineRule="exact"/>
        <w:rPr>
          <w:sz w:val="19"/>
          <w:szCs w:val="19"/>
        </w:rPr>
      </w:pPr>
    </w:p>
    <w:p w14:paraId="24A45415" w14:textId="77777777" w:rsidR="00350D42" w:rsidRDefault="00350D42">
      <w:pPr>
        <w:spacing w:before="64" w:after="64" w:line="240" w:lineRule="exact"/>
        <w:rPr>
          <w:sz w:val="19"/>
          <w:szCs w:val="19"/>
        </w:rPr>
      </w:pPr>
    </w:p>
    <w:p w14:paraId="4F3A5CF4" w14:textId="77777777" w:rsidR="00350D42" w:rsidRDefault="00350D42">
      <w:pPr>
        <w:rPr>
          <w:sz w:val="2"/>
          <w:szCs w:val="2"/>
        </w:rPr>
        <w:sectPr w:rsidR="00350D42">
          <w:footerReference w:type="even" r:id="rId10"/>
          <w:footerReference w:type="default" r:id="rId11"/>
          <w:footerReference w:type="first" r:id="rId12"/>
          <w:pgSz w:w="8789" w:h="13493"/>
          <w:pgMar w:top="853" w:right="0" w:bottom="1057" w:left="0" w:header="0" w:footer="3" w:gutter="0"/>
          <w:cols w:space="720"/>
          <w:noEndnote/>
          <w:titlePg/>
          <w:docGrid w:linePitch="360"/>
        </w:sectPr>
      </w:pPr>
    </w:p>
    <w:p w14:paraId="0D0CE6BE" w14:textId="77777777" w:rsidR="00350D42" w:rsidRDefault="008E6F64">
      <w:pPr>
        <w:pStyle w:val="39"/>
        <w:keepNext/>
        <w:keepLines/>
        <w:shd w:val="clear" w:color="auto" w:fill="auto"/>
        <w:spacing w:after="433"/>
      </w:pPr>
      <w:bookmarkStart w:id="3" w:name="bookmark3"/>
      <w:bookmarkStart w:id="4" w:name="bookmark4"/>
      <w:r>
        <w:rPr>
          <w:rStyle w:val="3a"/>
          <w:b/>
          <w:bCs/>
        </w:rPr>
        <w:t>Авторский коллектив</w:t>
      </w:r>
      <w:bookmarkEnd w:id="3"/>
      <w:bookmarkEnd w:id="4"/>
    </w:p>
    <w:p w14:paraId="42FCC24B" w14:textId="77777777" w:rsidR="00350D42" w:rsidRDefault="008E6F64">
      <w:pPr>
        <w:pStyle w:val="2c"/>
        <w:shd w:val="clear" w:color="auto" w:fill="auto"/>
        <w:spacing w:before="0"/>
        <w:ind w:firstLine="320"/>
      </w:pPr>
      <w:r>
        <w:rPr>
          <w:rStyle w:val="2d"/>
        </w:rPr>
        <w:t>Луссе Андрей Владимирович — кандидат экономических наук, доцент кафедры общей экономической теории и истории экономи</w:t>
      </w:r>
      <w:r>
        <w:rPr>
          <w:rStyle w:val="2d"/>
        </w:rPr>
        <w:softHyphen/>
        <w:t>ческой мысли Санкт-Петербургского государственного экономиче</w:t>
      </w:r>
      <w:r>
        <w:rPr>
          <w:rStyle w:val="2d"/>
        </w:rPr>
        <w:softHyphen/>
        <w:t>ского университета — гл. 1.</w:t>
      </w:r>
    </w:p>
    <w:p w14:paraId="75B684B8" w14:textId="77777777" w:rsidR="00350D42" w:rsidRDefault="008E6F64">
      <w:pPr>
        <w:pStyle w:val="2c"/>
        <w:shd w:val="clear" w:color="auto" w:fill="auto"/>
        <w:spacing w:before="0"/>
        <w:ind w:firstLine="320"/>
      </w:pPr>
      <w:r>
        <w:rPr>
          <w:rStyle w:val="2d"/>
        </w:rPr>
        <w:t>Марковская Елизавета Игоревна — кандидат экономических наук, доцент департамента финансов Национального исследова</w:t>
      </w:r>
      <w:r>
        <w:rPr>
          <w:rStyle w:val="2d"/>
        </w:rPr>
        <w:softHyphen/>
        <w:t>тельского университета «Высшая школа экономики» — предисловие (совместно с Н. С. Рагимовой); гл. 6 (совместно с И. В. Троицкой); гл. 7, глоссарий, приложения 1, 2.</w:t>
      </w:r>
    </w:p>
    <w:p w14:paraId="760E8000" w14:textId="49DA5BC5" w:rsidR="00350D42" w:rsidRDefault="008E6F64">
      <w:pPr>
        <w:pStyle w:val="2c"/>
        <w:shd w:val="clear" w:color="auto" w:fill="auto"/>
        <w:spacing w:before="0"/>
        <w:ind w:firstLine="320"/>
      </w:pPr>
      <w:r>
        <w:rPr>
          <w:rStyle w:val="2d"/>
        </w:rPr>
        <w:t>Медведь Анна Алексеевна — кандидат экономических наук, до</w:t>
      </w:r>
      <w:r>
        <w:rPr>
          <w:rStyle w:val="2d"/>
        </w:rPr>
        <w:softHyphen/>
        <w:t xml:space="preserve">цент кафедры </w:t>
      </w:r>
      <w:r w:rsidR="00736C3B" w:rsidRPr="00736C3B">
        <w:rPr>
          <w:rStyle w:val="2d"/>
          <w:color w:val="00B050"/>
        </w:rPr>
        <w:t xml:space="preserve">экономической теории и истории экономической мысли </w:t>
      </w:r>
      <w:r w:rsidRPr="00736C3B">
        <w:rPr>
          <w:rStyle w:val="2d"/>
          <w:color w:val="FF0000"/>
        </w:rPr>
        <w:t xml:space="preserve">национальной экономики </w:t>
      </w:r>
      <w:r>
        <w:rPr>
          <w:rStyle w:val="2d"/>
        </w:rPr>
        <w:t>Санкт-Петербургского го</w:t>
      </w:r>
      <w:r>
        <w:rPr>
          <w:rStyle w:val="2d"/>
        </w:rPr>
        <w:softHyphen/>
        <w:t>сударственного экономического университета — гл. 2.</w:t>
      </w:r>
    </w:p>
    <w:p w14:paraId="25517544" w14:textId="1F63635F" w:rsidR="00350D42" w:rsidRDefault="008E6F64">
      <w:pPr>
        <w:pStyle w:val="2c"/>
        <w:shd w:val="clear" w:color="auto" w:fill="auto"/>
        <w:spacing w:before="0"/>
        <w:ind w:firstLine="320"/>
      </w:pPr>
      <w:r>
        <w:rPr>
          <w:rStyle w:val="2d"/>
        </w:rPr>
        <w:t xml:space="preserve">Привалов Николай Геннадьевич — </w:t>
      </w:r>
      <w:r w:rsidR="00960409">
        <w:rPr>
          <w:color w:val="00FF00"/>
          <w:shd w:val="clear" w:color="auto" w:fill="FFFFFF"/>
        </w:rPr>
        <w:t xml:space="preserve">доктор экономических наук, профессор кафедры Гуманитарных и социально-экономических дисциплин Северо-Западного филиала Российского государственного университета правосудия </w:t>
      </w:r>
      <w:r w:rsidRPr="00960409">
        <w:rPr>
          <w:rStyle w:val="2d"/>
          <w:color w:val="FF0000"/>
        </w:rPr>
        <w:t>доктор экономических наук, профессор кафедры экономической теории Санкт-Петербургского государственного архитектурно-строительного университета; про</w:t>
      </w:r>
      <w:r w:rsidRPr="00960409">
        <w:rPr>
          <w:rStyle w:val="2d"/>
          <w:color w:val="FF0000"/>
        </w:rPr>
        <w:softHyphen/>
        <w:t>фессор кафедры «Экономическая теория» Петербургского государ</w:t>
      </w:r>
      <w:r w:rsidRPr="00960409">
        <w:rPr>
          <w:rStyle w:val="2d"/>
          <w:color w:val="FF0000"/>
        </w:rPr>
        <w:softHyphen/>
        <w:t>ственного университета путей сообщения Императора Алексан</w:t>
      </w:r>
      <w:r w:rsidRPr="00960409">
        <w:rPr>
          <w:rStyle w:val="2d"/>
          <w:color w:val="FF0000"/>
        </w:rPr>
        <w:softHyphen/>
        <w:t xml:space="preserve">дра I </w:t>
      </w:r>
      <w:r>
        <w:rPr>
          <w:rStyle w:val="2d"/>
        </w:rPr>
        <w:t>— гл. 3, тесты.</w:t>
      </w:r>
    </w:p>
    <w:p w14:paraId="410C6F85" w14:textId="0FA76A9D" w:rsidR="00350D42" w:rsidRDefault="008E6F64">
      <w:pPr>
        <w:pStyle w:val="2c"/>
        <w:shd w:val="clear" w:color="auto" w:fill="auto"/>
        <w:spacing w:before="0"/>
        <w:ind w:firstLine="320"/>
      </w:pPr>
      <w:r>
        <w:rPr>
          <w:rStyle w:val="2d"/>
        </w:rPr>
        <w:t xml:space="preserve">Рагимова Наталья Сергеевна — кандидат экономических наук, </w:t>
      </w:r>
      <w:r w:rsidR="00636098" w:rsidRPr="00636098">
        <w:rPr>
          <w:rFonts w:ascii="Arial" w:hAnsi="Arial" w:cs="Arial"/>
          <w:color w:val="00B050"/>
          <w:shd w:val="clear" w:color="auto" w:fill="FFFFFF"/>
        </w:rPr>
        <w:t>доцент кафедры экономической безопасности</w:t>
      </w:r>
      <w:r w:rsidR="00636098">
        <w:rPr>
          <w:rFonts w:ascii="Arial" w:hAnsi="Arial" w:cs="Arial"/>
          <w:shd w:val="clear" w:color="auto" w:fill="FFFFFF"/>
        </w:rPr>
        <w:t xml:space="preserve"> </w:t>
      </w:r>
      <w:r w:rsidRPr="00636098">
        <w:rPr>
          <w:rStyle w:val="2d"/>
          <w:color w:val="FF0000"/>
        </w:rPr>
        <w:t xml:space="preserve">старший преподаватель кафедры национальной экономики </w:t>
      </w:r>
      <w:r>
        <w:rPr>
          <w:rStyle w:val="2d"/>
        </w:rPr>
        <w:t>Санкт- Петербургского государственного экономического университета — предисловие (совместно с Е. И. Марковской).</w:t>
      </w:r>
    </w:p>
    <w:p w14:paraId="151F158A" w14:textId="2CC05857" w:rsidR="00350D42" w:rsidRDefault="008E6F64">
      <w:pPr>
        <w:pStyle w:val="2c"/>
        <w:shd w:val="clear" w:color="auto" w:fill="auto"/>
        <w:spacing w:before="0"/>
        <w:ind w:firstLine="320"/>
      </w:pPr>
      <w:r>
        <w:rPr>
          <w:rStyle w:val="2d"/>
        </w:rPr>
        <w:t>Радушинский Дмитрий Александрович — кандидат эконо</w:t>
      </w:r>
      <w:r>
        <w:rPr>
          <w:rStyle w:val="2d"/>
        </w:rPr>
        <w:softHyphen/>
        <w:t xml:space="preserve">мических наук, </w:t>
      </w:r>
      <w:r w:rsidR="001F090F">
        <w:rPr>
          <w:color w:val="231F20"/>
          <w:shd w:val="clear" w:color="auto" w:fill="FFFFFF"/>
        </w:rPr>
        <w:t> кандидат эконо</w:t>
      </w:r>
      <w:r w:rsidR="001F090F">
        <w:rPr>
          <w:color w:val="231F20"/>
          <w:shd w:val="clear" w:color="auto" w:fill="FFFFFF"/>
        </w:rPr>
        <w:softHyphen/>
        <w:t xml:space="preserve">мических наук, </w:t>
      </w:r>
      <w:r w:rsidR="001F090F" w:rsidRPr="001F090F">
        <w:rPr>
          <w:color w:val="00B050"/>
          <w:shd w:val="clear" w:color="auto" w:fill="FFFFFF"/>
        </w:rPr>
        <w:t>доцент кафедры </w:t>
      </w:r>
      <w:r w:rsidR="001F090F" w:rsidRPr="001F090F">
        <w:rPr>
          <w:b/>
          <w:bCs/>
          <w:color w:val="00B050"/>
          <w:shd w:val="clear" w:color="auto" w:fill="FFFFFF"/>
        </w:rPr>
        <w:t>Метрологии, приборостроения и управления качеством Санкт- Петербургского горного университета</w:t>
      </w:r>
      <w:r w:rsidR="001F090F">
        <w:rPr>
          <w:b/>
          <w:bCs/>
          <w:color w:val="00B050"/>
          <w:shd w:val="clear" w:color="auto" w:fill="FFFFFF"/>
        </w:rPr>
        <w:t xml:space="preserve"> </w:t>
      </w:r>
      <w:r w:rsidRPr="001F090F">
        <w:rPr>
          <w:rStyle w:val="2d"/>
          <w:color w:val="FF0000"/>
        </w:rPr>
        <w:t xml:space="preserve">доцент кафедры экономической теории Санкт- Петербургского государственного лесотехнического университета им. С. М. Кирова </w:t>
      </w:r>
      <w:r>
        <w:rPr>
          <w:rStyle w:val="2d"/>
        </w:rPr>
        <w:t>— гл. 4.</w:t>
      </w:r>
    </w:p>
    <w:p w14:paraId="648A08E7" w14:textId="77777777" w:rsidR="00350D42" w:rsidRDefault="008E6F64">
      <w:pPr>
        <w:pStyle w:val="2c"/>
        <w:shd w:val="clear" w:color="auto" w:fill="auto"/>
        <w:spacing w:before="0"/>
        <w:ind w:firstLine="320"/>
      </w:pPr>
      <w:r>
        <w:rPr>
          <w:rStyle w:val="2d"/>
        </w:rPr>
        <w:t>Троицкая Ирина Владимировна — кандидат психологических наук, доцент кафедры психологии Русской христианской гумани</w:t>
      </w:r>
      <w:r>
        <w:rPr>
          <w:rStyle w:val="2d"/>
        </w:rPr>
        <w:softHyphen/>
        <w:t>тарной академии — гл. 6 (совместно с Е. И. Марковской).</w:t>
      </w:r>
    </w:p>
    <w:p w14:paraId="1E84617C" w14:textId="77777777" w:rsidR="00350D42" w:rsidRDefault="008E6F64">
      <w:pPr>
        <w:pStyle w:val="2c"/>
        <w:shd w:val="clear" w:color="auto" w:fill="auto"/>
        <w:spacing w:before="0"/>
        <w:ind w:firstLine="320"/>
      </w:pPr>
      <w:r>
        <w:rPr>
          <w:rStyle w:val="2d"/>
        </w:rPr>
        <w:t>Холодкова Виктория Владимировна — кандидат экономиче</w:t>
      </w:r>
      <w:r>
        <w:rPr>
          <w:rStyle w:val="2d"/>
        </w:rPr>
        <w:softHyphen/>
        <w:t>ских наук, доцент кафедры экономической кибернетики Санкт- Петербургского государственного экономического университета — гл. 5.</w:t>
      </w:r>
    </w:p>
    <w:p w14:paraId="579C842C" w14:textId="77777777" w:rsidR="00350D42" w:rsidRDefault="008E6F64">
      <w:pPr>
        <w:pStyle w:val="39"/>
        <w:keepNext/>
        <w:keepLines/>
        <w:shd w:val="clear" w:color="auto" w:fill="auto"/>
        <w:spacing w:after="433"/>
      </w:pPr>
      <w:bookmarkStart w:id="5" w:name="bookmark5"/>
      <w:bookmarkStart w:id="6" w:name="bookmark6"/>
      <w:r>
        <w:rPr>
          <w:rStyle w:val="3a"/>
          <w:b/>
          <w:bCs/>
        </w:rPr>
        <w:lastRenderedPageBreak/>
        <w:t>Предисловие</w:t>
      </w:r>
      <w:bookmarkEnd w:id="5"/>
      <w:bookmarkEnd w:id="6"/>
    </w:p>
    <w:p w14:paraId="2A8779AE" w14:textId="77777777" w:rsidR="00350D42" w:rsidRDefault="008E6F64">
      <w:pPr>
        <w:pStyle w:val="2c"/>
        <w:shd w:val="clear" w:color="auto" w:fill="auto"/>
        <w:spacing w:before="0"/>
        <w:ind w:firstLine="320"/>
      </w:pPr>
      <w:r>
        <w:rPr>
          <w:rStyle w:val="2d"/>
        </w:rPr>
        <w:t>Дисциплина «Взаимодействие государства и бизнеса» содержит теоретические и практические положения, раскрывающие сущ</w:t>
      </w:r>
      <w:r>
        <w:rPr>
          <w:rStyle w:val="2d"/>
        </w:rPr>
        <w:softHyphen/>
        <w:t>ность экономических явлений и процессов, которые определяют основы взаимодействия государства и бизнеса, формы, модели и ак</w:t>
      </w:r>
      <w:r>
        <w:rPr>
          <w:rStyle w:val="2d"/>
        </w:rPr>
        <w:softHyphen/>
        <w:t>туальные проблемы такого взаимодействия.</w:t>
      </w:r>
    </w:p>
    <w:p w14:paraId="2A53DF0E" w14:textId="77777777" w:rsidR="00350D42" w:rsidRDefault="008E6F64">
      <w:pPr>
        <w:pStyle w:val="2c"/>
        <w:shd w:val="clear" w:color="auto" w:fill="auto"/>
        <w:spacing w:before="0"/>
        <w:ind w:firstLine="320"/>
      </w:pPr>
      <w:r>
        <w:rPr>
          <w:rStyle w:val="2d"/>
        </w:rPr>
        <w:t>Многие изучаемые проблемы взаимодействия государства и биз</w:t>
      </w:r>
      <w:r>
        <w:rPr>
          <w:rStyle w:val="2d"/>
        </w:rPr>
        <w:softHyphen/>
        <w:t>неса носят дискуссионный характер. Современный мировой опыт демонстрирует высокую эффективность взаимодействия государ</w:t>
      </w:r>
      <w:r>
        <w:rPr>
          <w:rStyle w:val="2d"/>
        </w:rPr>
        <w:softHyphen/>
        <w:t>ства и бизнеса. В России основное внимание сосредоточено на фор</w:t>
      </w:r>
      <w:r>
        <w:rPr>
          <w:rStyle w:val="2d"/>
        </w:rPr>
        <w:softHyphen/>
        <w:t>мировании институциональных основ этих взаимоотношений, в том числе создании оптимальных форм взаимодействия государ</w:t>
      </w:r>
      <w:r>
        <w:rPr>
          <w:rStyle w:val="2d"/>
        </w:rPr>
        <w:softHyphen/>
        <w:t>ства и бизнес-структур, обеспечивающих выполнение стратегиче</w:t>
      </w:r>
      <w:r>
        <w:rPr>
          <w:rStyle w:val="2d"/>
        </w:rPr>
        <w:softHyphen/>
        <w:t>ски значимых задач.</w:t>
      </w:r>
    </w:p>
    <w:p w14:paraId="6EA0E391" w14:textId="77777777" w:rsidR="00350D42" w:rsidRDefault="008E6F64">
      <w:pPr>
        <w:pStyle w:val="2c"/>
        <w:shd w:val="clear" w:color="auto" w:fill="auto"/>
        <w:spacing w:before="0"/>
        <w:ind w:firstLine="320"/>
      </w:pPr>
      <w:r>
        <w:rPr>
          <w:rStyle w:val="2d"/>
        </w:rPr>
        <w:t>Вместе с тем в России во взаимодействии государства и бизнеса существует большое число проблем, которые препятствуют их эф</w:t>
      </w:r>
      <w:r>
        <w:rPr>
          <w:rStyle w:val="2d"/>
        </w:rPr>
        <w:softHyphen/>
        <w:t>фективному сотрудничеству. Это недостатки правовой базы, опре</w:t>
      </w:r>
      <w:r>
        <w:rPr>
          <w:rStyle w:val="2d"/>
        </w:rPr>
        <w:softHyphen/>
        <w:t>деляющей права и ответственность сторон; несовершенство форм и методов реализации партнерских отношений; отсутствие конку</w:t>
      </w:r>
      <w:r>
        <w:rPr>
          <w:rStyle w:val="2d"/>
        </w:rPr>
        <w:softHyphen/>
        <w:t>рентных условий для эффективного сотрудничества; неразвитость инвестиционной и инновационной среды и т. д.</w:t>
      </w:r>
    </w:p>
    <w:p w14:paraId="2D471675" w14:textId="77777777" w:rsidR="00350D42" w:rsidRDefault="008E6F64">
      <w:pPr>
        <w:pStyle w:val="2c"/>
        <w:shd w:val="clear" w:color="auto" w:fill="auto"/>
        <w:spacing w:before="0"/>
        <w:ind w:firstLine="320"/>
      </w:pPr>
      <w:r>
        <w:rPr>
          <w:rStyle w:val="2d"/>
        </w:rPr>
        <w:t>Усиливающееся в последние годы влияние крупных компаний на экономическое развитие страны обусловливает необходимость привлечения бизнеса к формированию инновационной политики государства, а также осуществления согласованных с ним действий, направленных на модернизацию производства и расширение вне</w:t>
      </w:r>
      <w:r>
        <w:rPr>
          <w:rStyle w:val="2d"/>
        </w:rPr>
        <w:softHyphen/>
        <w:t>дрения инновационных технологий. Поэтому одной из отличитель</w:t>
      </w:r>
      <w:r>
        <w:rPr>
          <w:rStyle w:val="2d"/>
        </w:rPr>
        <w:softHyphen/>
        <w:t>ных особенностей освоения данной дисциплины является необходи</w:t>
      </w:r>
      <w:r>
        <w:rPr>
          <w:rStyle w:val="2d"/>
        </w:rPr>
        <w:softHyphen/>
        <w:t>мость изучения имеющегося опыта взаимоотношений государства и бизнес-структур, анализа организационных и социально-эконо</w:t>
      </w:r>
      <w:r>
        <w:rPr>
          <w:rStyle w:val="2d"/>
        </w:rPr>
        <w:softHyphen/>
        <w:t>мических составляющих данных отношений, а также подробного анализа механизмов, обеспечивающих, с одной стороны, предо</w:t>
      </w:r>
      <w:r>
        <w:rPr>
          <w:rStyle w:val="2d"/>
        </w:rPr>
        <w:softHyphen/>
        <w:t>ставление государством соответствующих условий, стимулирующих предпринимателей к участию в партнерских отношениях, а с дру</w:t>
      </w:r>
      <w:r>
        <w:rPr>
          <w:rStyle w:val="2d"/>
        </w:rPr>
        <w:softHyphen/>
        <w:t>гой — повышение активности бизнес-структур в инновационном развитии страны.</w:t>
      </w:r>
    </w:p>
    <w:p w14:paraId="1B3545D2" w14:textId="77777777" w:rsidR="00350D42" w:rsidRDefault="008E6F64">
      <w:pPr>
        <w:pStyle w:val="2c"/>
        <w:shd w:val="clear" w:color="auto" w:fill="auto"/>
        <w:spacing w:before="0"/>
        <w:ind w:firstLine="320"/>
      </w:pPr>
      <w:r>
        <w:rPr>
          <w:rStyle w:val="2d"/>
        </w:rPr>
        <w:t>Изучение дисциплины «Взаимодействие государства и бизнеса» позволяет достичь как теоретических, так и практических целей.</w:t>
      </w:r>
    </w:p>
    <w:p w14:paraId="65C44F6C" w14:textId="77777777" w:rsidR="00350D42" w:rsidRDefault="008E6F64">
      <w:pPr>
        <w:pStyle w:val="2c"/>
        <w:shd w:val="clear" w:color="auto" w:fill="auto"/>
        <w:spacing w:before="0" w:line="245" w:lineRule="exact"/>
      </w:pPr>
      <w:r>
        <w:rPr>
          <w:rStyle w:val="2d"/>
        </w:rPr>
        <w:t>Важнейшей теоретической целью является формирование у студен</w:t>
      </w:r>
      <w:r>
        <w:rPr>
          <w:rStyle w:val="2d"/>
        </w:rPr>
        <w:softHyphen/>
        <w:t>тов целостного представления о механизме взаимодействия госу</w:t>
      </w:r>
      <w:r>
        <w:rPr>
          <w:rStyle w:val="2d"/>
        </w:rPr>
        <w:softHyphen/>
        <w:t>дарства и бизнеса, об основных проблемах, возникающих в данном процессе. Практическая цель состоит в выработке у обучающихся элементарных навыков принятия решений.</w:t>
      </w:r>
    </w:p>
    <w:p w14:paraId="3727BCAC" w14:textId="77777777" w:rsidR="00350D42" w:rsidRDefault="008E6F64">
      <w:pPr>
        <w:pStyle w:val="2c"/>
        <w:shd w:val="clear" w:color="auto" w:fill="auto"/>
        <w:spacing w:before="0" w:line="245" w:lineRule="exact"/>
        <w:ind w:firstLine="320"/>
      </w:pPr>
      <w:r>
        <w:rPr>
          <w:rStyle w:val="2d"/>
        </w:rPr>
        <w:t>Для достижения поставленных целей студентам необходимо:</w:t>
      </w:r>
    </w:p>
    <w:p w14:paraId="0A7DF58B" w14:textId="77777777" w:rsidR="00350D42" w:rsidRDefault="008E6F64">
      <w:pPr>
        <w:pStyle w:val="2c"/>
        <w:numPr>
          <w:ilvl w:val="0"/>
          <w:numId w:val="8"/>
        </w:numPr>
        <w:shd w:val="clear" w:color="auto" w:fill="auto"/>
        <w:tabs>
          <w:tab w:val="left" w:pos="630"/>
        </w:tabs>
        <w:spacing w:before="0" w:line="245" w:lineRule="exact"/>
        <w:ind w:firstLine="320"/>
      </w:pPr>
      <w:r>
        <w:rPr>
          <w:rStyle w:val="2d"/>
        </w:rPr>
        <w:lastRenderedPageBreak/>
        <w:t>изучить и осмыслить понятийный аппарат теоретических ос</w:t>
      </w:r>
      <w:r>
        <w:rPr>
          <w:rStyle w:val="2d"/>
        </w:rPr>
        <w:softHyphen/>
        <w:t>нов государственного регулирования экономики;</w:t>
      </w:r>
    </w:p>
    <w:p w14:paraId="1D418DEB" w14:textId="77777777" w:rsidR="00350D42" w:rsidRDefault="008E6F64">
      <w:pPr>
        <w:pStyle w:val="2c"/>
        <w:numPr>
          <w:ilvl w:val="0"/>
          <w:numId w:val="8"/>
        </w:numPr>
        <w:shd w:val="clear" w:color="auto" w:fill="auto"/>
        <w:tabs>
          <w:tab w:val="left" w:pos="625"/>
        </w:tabs>
        <w:spacing w:before="0" w:line="245" w:lineRule="exact"/>
        <w:ind w:firstLine="320"/>
      </w:pPr>
      <w:r>
        <w:rPr>
          <w:rStyle w:val="2d"/>
        </w:rPr>
        <w:t>овладеть методологией исследования процессов взаимодей</w:t>
      </w:r>
      <w:r>
        <w:rPr>
          <w:rStyle w:val="2d"/>
        </w:rPr>
        <w:softHyphen/>
        <w:t>ствия государства и бизнеса;</w:t>
      </w:r>
    </w:p>
    <w:p w14:paraId="76EE4197" w14:textId="77777777" w:rsidR="00350D42" w:rsidRDefault="008E6F64">
      <w:pPr>
        <w:pStyle w:val="2c"/>
        <w:numPr>
          <w:ilvl w:val="0"/>
          <w:numId w:val="8"/>
        </w:numPr>
        <w:shd w:val="clear" w:color="auto" w:fill="auto"/>
        <w:tabs>
          <w:tab w:val="left" w:pos="630"/>
        </w:tabs>
        <w:spacing w:before="0" w:line="245" w:lineRule="exact"/>
        <w:ind w:firstLine="320"/>
      </w:pPr>
      <w:r>
        <w:rPr>
          <w:rStyle w:val="2d"/>
        </w:rPr>
        <w:t>выявить систему связей, принципов и инструментов такого взаимодействия;</w:t>
      </w:r>
    </w:p>
    <w:p w14:paraId="2D573A2A" w14:textId="77777777" w:rsidR="00350D42" w:rsidRDefault="008E6F64">
      <w:pPr>
        <w:pStyle w:val="2c"/>
        <w:numPr>
          <w:ilvl w:val="0"/>
          <w:numId w:val="8"/>
        </w:numPr>
        <w:shd w:val="clear" w:color="auto" w:fill="auto"/>
        <w:tabs>
          <w:tab w:val="left" w:pos="625"/>
        </w:tabs>
        <w:spacing w:before="0" w:line="245" w:lineRule="exact"/>
        <w:ind w:firstLine="320"/>
      </w:pPr>
      <w:r>
        <w:rPr>
          <w:rStyle w:val="2d"/>
        </w:rPr>
        <w:t>развить способности к оценке способов взаимодействия вла</w:t>
      </w:r>
      <w:r>
        <w:rPr>
          <w:rStyle w:val="2d"/>
        </w:rPr>
        <w:softHyphen/>
        <w:t>сти и бизнеса;</w:t>
      </w:r>
    </w:p>
    <w:p w14:paraId="065F1DED" w14:textId="77777777" w:rsidR="00350D42" w:rsidRDefault="008E6F64">
      <w:pPr>
        <w:pStyle w:val="2c"/>
        <w:numPr>
          <w:ilvl w:val="0"/>
          <w:numId w:val="8"/>
        </w:numPr>
        <w:shd w:val="clear" w:color="auto" w:fill="auto"/>
        <w:tabs>
          <w:tab w:val="left" w:pos="630"/>
        </w:tabs>
        <w:spacing w:before="0" w:line="245" w:lineRule="exact"/>
        <w:ind w:firstLine="320"/>
      </w:pPr>
      <w:r>
        <w:rPr>
          <w:rStyle w:val="2d"/>
        </w:rPr>
        <w:t>освоить закономерности развития экономических отноше</w:t>
      </w:r>
      <w:r>
        <w:rPr>
          <w:rStyle w:val="2d"/>
        </w:rPr>
        <w:softHyphen/>
        <w:t>ний между государством и бизнесом;</w:t>
      </w:r>
    </w:p>
    <w:p w14:paraId="0A0BB736" w14:textId="77777777" w:rsidR="00350D42" w:rsidRDefault="008E6F64">
      <w:pPr>
        <w:pStyle w:val="2c"/>
        <w:numPr>
          <w:ilvl w:val="0"/>
          <w:numId w:val="8"/>
        </w:numPr>
        <w:shd w:val="clear" w:color="auto" w:fill="auto"/>
        <w:tabs>
          <w:tab w:val="left" w:pos="630"/>
        </w:tabs>
        <w:spacing w:before="0" w:line="245" w:lineRule="exact"/>
        <w:ind w:firstLine="320"/>
      </w:pPr>
      <w:r>
        <w:rPr>
          <w:rStyle w:val="2d"/>
        </w:rPr>
        <w:t>сформировать понимание сущности проблем, возникающих в процессе взаимодействия государства и бизнеса;</w:t>
      </w:r>
    </w:p>
    <w:p w14:paraId="7E80493D" w14:textId="77777777" w:rsidR="00350D42" w:rsidRDefault="008E6F64">
      <w:pPr>
        <w:pStyle w:val="2c"/>
        <w:numPr>
          <w:ilvl w:val="0"/>
          <w:numId w:val="8"/>
        </w:numPr>
        <w:shd w:val="clear" w:color="auto" w:fill="auto"/>
        <w:tabs>
          <w:tab w:val="left" w:pos="630"/>
        </w:tabs>
        <w:spacing w:before="0" w:line="245" w:lineRule="exact"/>
        <w:ind w:firstLine="320"/>
      </w:pPr>
      <w:r>
        <w:rPr>
          <w:rStyle w:val="2d"/>
        </w:rPr>
        <w:t>приобрести навыки самостоятельного анализа состояния конкуренции на товарных рынках, определения долей хозяйствую</w:t>
      </w:r>
      <w:r>
        <w:rPr>
          <w:rStyle w:val="2d"/>
        </w:rPr>
        <w:softHyphen/>
        <w:t>щих субъектов на рынках товаров, работ, услуг;</w:t>
      </w:r>
    </w:p>
    <w:p w14:paraId="1A8692F6" w14:textId="77777777" w:rsidR="00350D42" w:rsidRDefault="008E6F64">
      <w:pPr>
        <w:pStyle w:val="2c"/>
        <w:numPr>
          <w:ilvl w:val="0"/>
          <w:numId w:val="8"/>
        </w:numPr>
        <w:shd w:val="clear" w:color="auto" w:fill="auto"/>
        <w:tabs>
          <w:tab w:val="left" w:pos="625"/>
        </w:tabs>
        <w:spacing w:before="0" w:line="245" w:lineRule="exact"/>
        <w:ind w:firstLine="320"/>
      </w:pPr>
      <w:r>
        <w:rPr>
          <w:rStyle w:val="2d"/>
        </w:rPr>
        <w:t>сформировать четкое представление об институциональных основах взаимодействия государства и бизнеса;</w:t>
      </w:r>
    </w:p>
    <w:p w14:paraId="37C0AD20" w14:textId="77777777" w:rsidR="00350D42" w:rsidRDefault="008E6F64">
      <w:pPr>
        <w:pStyle w:val="2c"/>
        <w:numPr>
          <w:ilvl w:val="0"/>
          <w:numId w:val="8"/>
        </w:numPr>
        <w:shd w:val="clear" w:color="auto" w:fill="auto"/>
        <w:tabs>
          <w:tab w:val="left" w:pos="625"/>
        </w:tabs>
        <w:spacing w:before="0" w:line="245" w:lineRule="exact"/>
        <w:ind w:firstLine="320"/>
      </w:pPr>
      <w:r>
        <w:rPr>
          <w:rStyle w:val="2d"/>
        </w:rPr>
        <w:t>выявить особенности инвестиционного климата в Россий</w:t>
      </w:r>
      <w:r>
        <w:rPr>
          <w:rStyle w:val="2d"/>
        </w:rPr>
        <w:softHyphen/>
        <w:t>ской Федерации;</w:t>
      </w:r>
    </w:p>
    <w:p w14:paraId="75BE8295" w14:textId="77777777" w:rsidR="00350D42" w:rsidRDefault="008E6F64">
      <w:pPr>
        <w:pStyle w:val="2c"/>
        <w:numPr>
          <w:ilvl w:val="0"/>
          <w:numId w:val="8"/>
        </w:numPr>
        <w:shd w:val="clear" w:color="auto" w:fill="auto"/>
        <w:tabs>
          <w:tab w:val="left" w:pos="630"/>
        </w:tabs>
        <w:spacing w:before="0" w:line="245" w:lineRule="exact"/>
        <w:ind w:firstLine="320"/>
      </w:pPr>
      <w:r>
        <w:rPr>
          <w:rStyle w:val="2d"/>
        </w:rPr>
        <w:t>развить представления о характере поведения государства и бизнеса в условиях циклического развития.</w:t>
      </w:r>
    </w:p>
    <w:p w14:paraId="28A485CB" w14:textId="77777777" w:rsidR="00350D42" w:rsidRDefault="008E6F64">
      <w:pPr>
        <w:pStyle w:val="2c"/>
        <w:shd w:val="clear" w:color="auto" w:fill="auto"/>
        <w:spacing w:before="0" w:line="245" w:lineRule="exact"/>
        <w:ind w:firstLine="320"/>
      </w:pPr>
      <w:r>
        <w:rPr>
          <w:rStyle w:val="2d"/>
        </w:rPr>
        <w:t>Дисциплина «Взаимодействие государства и бизнеса» относится к базовой части профессионального цикла основной образовательной программы бакалавриата по направлению подготовки «Экономика».</w:t>
      </w:r>
    </w:p>
    <w:p w14:paraId="4AAD735E" w14:textId="77777777" w:rsidR="00350D42" w:rsidRDefault="008E6F64">
      <w:pPr>
        <w:pStyle w:val="2c"/>
        <w:shd w:val="clear" w:color="auto" w:fill="auto"/>
        <w:spacing w:before="0" w:line="245" w:lineRule="exact"/>
        <w:ind w:firstLine="320"/>
      </w:pPr>
      <w:r>
        <w:rPr>
          <w:rStyle w:val="2d"/>
        </w:rPr>
        <w:t>Для эффективного изучения данной дисциплины требуются знания, умения и навыки, полученные по дисциплинам «Эконо</w:t>
      </w:r>
      <w:r>
        <w:rPr>
          <w:rStyle w:val="2d"/>
        </w:rPr>
        <w:softHyphen/>
        <w:t>мическая теория» и «Макроэкономика». В свою очередь, освоение дисциплины «Взаимодействие государства и бизнеса» необходимо для таких учебных дисциплин, как «Институциональная экономи</w:t>
      </w:r>
      <w:r>
        <w:rPr>
          <w:rStyle w:val="2d"/>
        </w:rPr>
        <w:softHyphen/>
        <w:t>ка», «Экономика России» и др. Кроме того, изучение дисциплины предшествует подготовке выпускной квалификационной работы на степень бакалавра экономики, сдаче итогового государственно</w:t>
      </w:r>
      <w:r>
        <w:rPr>
          <w:rStyle w:val="2d"/>
        </w:rPr>
        <w:softHyphen/>
        <w:t>го междисциплинарного экзамена.</w:t>
      </w:r>
    </w:p>
    <w:p w14:paraId="7B2FC6F2" w14:textId="77777777" w:rsidR="00350D42" w:rsidRDefault="008E6F64">
      <w:pPr>
        <w:pStyle w:val="2c"/>
        <w:shd w:val="clear" w:color="auto" w:fill="auto"/>
        <w:spacing w:before="0" w:line="245" w:lineRule="exact"/>
        <w:ind w:firstLine="320"/>
      </w:pPr>
      <w:r>
        <w:rPr>
          <w:rStyle w:val="2d"/>
        </w:rPr>
        <w:t>В результате изучения дисциплины студент должен:</w:t>
      </w:r>
    </w:p>
    <w:p w14:paraId="72F01E08" w14:textId="77777777" w:rsidR="00350D42" w:rsidRDefault="008E6F64">
      <w:pPr>
        <w:pStyle w:val="90"/>
        <w:shd w:val="clear" w:color="auto" w:fill="auto"/>
      </w:pPr>
      <w:r>
        <w:rPr>
          <w:rStyle w:val="91"/>
          <w:b/>
          <w:bCs/>
          <w:i/>
          <w:iCs/>
        </w:rPr>
        <w:t>знать</w:t>
      </w:r>
    </w:p>
    <w:p w14:paraId="00BD1D4F" w14:textId="77777777" w:rsidR="00350D42" w:rsidRDefault="008E6F64">
      <w:pPr>
        <w:pStyle w:val="2c"/>
        <w:numPr>
          <w:ilvl w:val="0"/>
          <w:numId w:val="9"/>
        </w:numPr>
        <w:shd w:val="clear" w:color="auto" w:fill="auto"/>
        <w:tabs>
          <w:tab w:val="left" w:pos="585"/>
        </w:tabs>
        <w:spacing w:before="0" w:line="245" w:lineRule="exact"/>
        <w:ind w:firstLine="320"/>
      </w:pPr>
      <w:r>
        <w:rPr>
          <w:rStyle w:val="2d"/>
        </w:rPr>
        <w:t>основные понятия, категории и инструменты дисциплины;</w:t>
      </w:r>
    </w:p>
    <w:p w14:paraId="721A11AC" w14:textId="77777777" w:rsidR="00350D42" w:rsidRDefault="008E6F64">
      <w:pPr>
        <w:pStyle w:val="2c"/>
        <w:numPr>
          <w:ilvl w:val="0"/>
          <w:numId w:val="9"/>
        </w:numPr>
        <w:shd w:val="clear" w:color="auto" w:fill="auto"/>
        <w:tabs>
          <w:tab w:val="left" w:pos="585"/>
        </w:tabs>
        <w:spacing w:before="0" w:line="245" w:lineRule="exact"/>
        <w:ind w:firstLine="320"/>
      </w:pPr>
      <w:r>
        <w:rPr>
          <w:rStyle w:val="2d"/>
        </w:rPr>
        <w:t>основные особенности ведущих школ и направлений макроэ</w:t>
      </w:r>
      <w:r>
        <w:rPr>
          <w:rStyle w:val="2d"/>
        </w:rPr>
        <w:softHyphen/>
        <w:t>кономической науки;</w:t>
      </w:r>
    </w:p>
    <w:p w14:paraId="6D24F99B" w14:textId="77777777" w:rsidR="00350D42" w:rsidRDefault="008E6F64">
      <w:pPr>
        <w:pStyle w:val="2c"/>
        <w:numPr>
          <w:ilvl w:val="0"/>
          <w:numId w:val="9"/>
        </w:numPr>
        <w:shd w:val="clear" w:color="auto" w:fill="auto"/>
        <w:tabs>
          <w:tab w:val="left" w:pos="585"/>
        </w:tabs>
        <w:spacing w:before="0" w:line="245" w:lineRule="exact"/>
        <w:ind w:firstLine="320"/>
      </w:pPr>
      <w:r>
        <w:rPr>
          <w:rStyle w:val="2d"/>
        </w:rPr>
        <w:t>закономерности функционирования современной экономики на макроуровне;</w:t>
      </w:r>
    </w:p>
    <w:p w14:paraId="3E8899EF"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основные особенности российской экономики, ее институцио</w:t>
      </w:r>
      <w:r>
        <w:rPr>
          <w:rStyle w:val="2d"/>
        </w:rPr>
        <w:softHyphen/>
        <w:t>нальную структуру, направления экономической политики государ</w:t>
      </w:r>
      <w:r>
        <w:rPr>
          <w:rStyle w:val="2d"/>
        </w:rPr>
        <w:softHyphen/>
        <w:t>ства;</w:t>
      </w:r>
    </w:p>
    <w:p w14:paraId="19862B96"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основы построения, расчета и анализа современной системы показателей, характеризующих деятельность хозяйствующих субъ</w:t>
      </w:r>
      <w:r>
        <w:rPr>
          <w:rStyle w:val="2d"/>
        </w:rPr>
        <w:softHyphen/>
        <w:t>ектов на макроуровне;</w:t>
      </w:r>
    </w:p>
    <w:p w14:paraId="4B42D117" w14:textId="77777777" w:rsidR="00350D42" w:rsidRDefault="008E6F64">
      <w:pPr>
        <w:pStyle w:val="90"/>
        <w:shd w:val="clear" w:color="auto" w:fill="auto"/>
        <w:ind w:firstLine="340"/>
      </w:pPr>
      <w:r>
        <w:rPr>
          <w:rStyle w:val="91"/>
          <w:b/>
          <w:bCs/>
          <w:i/>
          <w:iCs/>
        </w:rPr>
        <w:t>уметь</w:t>
      </w:r>
    </w:p>
    <w:p w14:paraId="5D5C30A7"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lastRenderedPageBreak/>
        <w:t>анализировать во взаимосвязи экономические явления, про</w:t>
      </w:r>
      <w:r>
        <w:rPr>
          <w:rStyle w:val="2d"/>
        </w:rPr>
        <w:softHyphen/>
        <w:t>цессы и институты на макроуровне;</w:t>
      </w:r>
    </w:p>
    <w:p w14:paraId="34C35394"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выявлять проблемы экономического характера при анализе конкретных ситуаций, предлагать способы их решения с учетом критериев социально-экономической эффективности и возможных социально-экономических последствий;</w:t>
      </w:r>
    </w:p>
    <w:p w14:paraId="446A3799"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использовать источники экономической, социальной, управ</w:t>
      </w:r>
      <w:r>
        <w:rPr>
          <w:rStyle w:val="2d"/>
        </w:rPr>
        <w:softHyphen/>
        <w:t>ленческой информации;</w:t>
      </w:r>
    </w:p>
    <w:p w14:paraId="39E3B276"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w:t>
      </w:r>
      <w:r>
        <w:rPr>
          <w:rStyle w:val="2d"/>
        </w:rPr>
        <w:softHyphen/>
        <w:t>ских показателей;</w:t>
      </w:r>
    </w:p>
    <w:p w14:paraId="6F423673"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проводить поиск информации по полученному заданию, сбор, анализ данных, необходимых для решения поставленных макроэко</w:t>
      </w:r>
      <w:r>
        <w:rPr>
          <w:rStyle w:val="2d"/>
        </w:rPr>
        <w:softHyphen/>
        <w:t>номических задач;</w:t>
      </w:r>
    </w:p>
    <w:p w14:paraId="5A2FD4F5"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осуществлять выбор инструментальных средств для обработ</w:t>
      </w:r>
      <w:r>
        <w:rPr>
          <w:rStyle w:val="2d"/>
        </w:rPr>
        <w:softHyphen/>
        <w:t>ки экономических данных в соответствии с поставленной задачей, анализировать результаты расчетов и обосновывать полученные выводы;</w:t>
      </w:r>
    </w:p>
    <w:p w14:paraId="7809AC84"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строить на основе описания ситуаций стандартные теоретиче</w:t>
      </w:r>
      <w:r>
        <w:rPr>
          <w:rStyle w:val="2d"/>
        </w:rPr>
        <w:softHyphen/>
        <w:t>ские и экономико-математические модели, анализировать и содер</w:t>
      </w:r>
      <w:r>
        <w:rPr>
          <w:rStyle w:val="2d"/>
        </w:rPr>
        <w:softHyphen/>
        <w:t>жательно интерпретировать полученные результаты;</w:t>
      </w:r>
    </w:p>
    <w:p w14:paraId="262C4B47"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на основе стандартных теоретических и эконометрических мо</w:t>
      </w:r>
      <w:r>
        <w:rPr>
          <w:rStyle w:val="2d"/>
        </w:rPr>
        <w:softHyphen/>
        <w:t>делей прогнозировать поведение экономических агентов, развитие экономических процессов и явлений на макроуровне;</w:t>
      </w:r>
    </w:p>
    <w:p w14:paraId="0C509812" w14:textId="77777777" w:rsidR="00350D42" w:rsidRDefault="008E6F64">
      <w:pPr>
        <w:pStyle w:val="90"/>
        <w:shd w:val="clear" w:color="auto" w:fill="auto"/>
        <w:ind w:firstLine="340"/>
      </w:pPr>
      <w:r>
        <w:rPr>
          <w:rStyle w:val="91"/>
          <w:b/>
          <w:bCs/>
          <w:i/>
          <w:iCs/>
        </w:rPr>
        <w:t>владеть</w:t>
      </w:r>
    </w:p>
    <w:p w14:paraId="0AE6A3A3" w14:textId="77777777" w:rsidR="00350D42" w:rsidRDefault="008E6F64">
      <w:pPr>
        <w:pStyle w:val="2c"/>
        <w:numPr>
          <w:ilvl w:val="0"/>
          <w:numId w:val="9"/>
        </w:numPr>
        <w:shd w:val="clear" w:color="auto" w:fill="auto"/>
        <w:tabs>
          <w:tab w:val="left" w:pos="542"/>
        </w:tabs>
        <w:spacing w:before="0" w:line="245" w:lineRule="exact"/>
        <w:ind w:firstLine="340"/>
      </w:pPr>
      <w:r>
        <w:rPr>
          <w:rStyle w:val="2d"/>
        </w:rPr>
        <w:t>методологией экономического исследования;</w:t>
      </w:r>
    </w:p>
    <w:p w14:paraId="4D20676D"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современными методами сбора, обработки и анализа эконо</w:t>
      </w:r>
      <w:r>
        <w:rPr>
          <w:rStyle w:val="2d"/>
        </w:rPr>
        <w:softHyphen/>
        <w:t>мических и социальных данных;</w:t>
      </w:r>
    </w:p>
    <w:p w14:paraId="6F2C97D0"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методами и приемами анализа макроэкономических явлений и процессов с помощью стандартных теоретических и эконометри</w:t>
      </w:r>
      <w:r>
        <w:rPr>
          <w:rStyle w:val="2d"/>
        </w:rPr>
        <w:softHyphen/>
        <w:t>ческих моделей;</w:t>
      </w:r>
    </w:p>
    <w:p w14:paraId="1CC8F0E3" w14:textId="77777777" w:rsidR="00350D42" w:rsidRDefault="008E6F64">
      <w:pPr>
        <w:pStyle w:val="2c"/>
        <w:numPr>
          <w:ilvl w:val="0"/>
          <w:numId w:val="9"/>
        </w:numPr>
        <w:shd w:val="clear" w:color="auto" w:fill="auto"/>
        <w:tabs>
          <w:tab w:val="left" w:pos="523"/>
        </w:tabs>
        <w:spacing w:before="0" w:line="245" w:lineRule="exact"/>
        <w:ind w:firstLine="340"/>
      </w:pPr>
      <w:r>
        <w:rPr>
          <w:rStyle w:val="2d"/>
        </w:rPr>
        <w:t>современными методиками расчета и анализа социально-эко</w:t>
      </w:r>
      <w:r>
        <w:rPr>
          <w:rStyle w:val="2d"/>
        </w:rPr>
        <w:softHyphen/>
        <w:t>номических показателей, характеризующих экономические процес</w:t>
      </w:r>
      <w:r>
        <w:rPr>
          <w:rStyle w:val="2d"/>
        </w:rPr>
        <w:softHyphen/>
        <w:t>сы и явления на макроуровне.</w:t>
      </w:r>
    </w:p>
    <w:p w14:paraId="63CE04B6" w14:textId="77777777" w:rsidR="00350D42" w:rsidRDefault="008E6F64">
      <w:pPr>
        <w:pStyle w:val="2c"/>
        <w:shd w:val="clear" w:color="auto" w:fill="auto"/>
        <w:spacing w:before="0" w:line="245" w:lineRule="exact"/>
        <w:ind w:firstLine="340"/>
      </w:pPr>
      <w:r>
        <w:rPr>
          <w:rStyle w:val="2d"/>
        </w:rPr>
        <w:t>Издание предназначено для студентов-бакалавров, обучающих</w:t>
      </w:r>
      <w:r>
        <w:rPr>
          <w:rStyle w:val="2d"/>
        </w:rPr>
        <w:softHyphen/>
        <w:t>ся по экономическим направлениям, магистрантов, обучающихся по различным направлениям, а также для преподавателей.</w:t>
      </w:r>
    </w:p>
    <w:p w14:paraId="72831A6F" w14:textId="77777777" w:rsidR="00B01894" w:rsidRPr="00B01894" w:rsidRDefault="00B01894" w:rsidP="00B01894">
      <w:pPr>
        <w:keepNext/>
        <w:keepLines/>
        <w:widowControl w:val="0"/>
        <w:spacing w:line="475" w:lineRule="exact"/>
        <w:ind w:firstLine="0"/>
        <w:jc w:val="center"/>
        <w:outlineLvl w:val="1"/>
        <w:rPr>
          <w:rFonts w:ascii="Arial Narrow" w:eastAsia="Arial Narrow" w:hAnsi="Arial Narrow" w:cs="Arial Narrow"/>
          <w:b/>
          <w:bCs/>
          <w:sz w:val="32"/>
          <w:szCs w:val="32"/>
        </w:rPr>
      </w:pPr>
      <w:bookmarkStart w:id="7" w:name="bookmark7"/>
      <w:bookmarkStart w:id="8" w:name="bookmark19"/>
      <w:r w:rsidRPr="00B01894">
        <w:rPr>
          <w:rFonts w:ascii="Arial Narrow" w:eastAsia="Arial Narrow" w:hAnsi="Arial Narrow" w:cs="Arial Narrow"/>
          <w:b/>
          <w:bCs/>
          <w:color w:val="231F20"/>
          <w:sz w:val="32"/>
          <w:szCs w:val="32"/>
        </w:rPr>
        <w:t>Глава 1</w:t>
      </w:r>
      <w:bookmarkEnd w:id="7"/>
    </w:p>
    <w:p w14:paraId="2A9A023F" w14:textId="77777777" w:rsidR="00B01894" w:rsidRPr="00B01894" w:rsidRDefault="00B01894" w:rsidP="00B01894">
      <w:pPr>
        <w:keepNext/>
        <w:keepLines/>
        <w:widowControl w:val="0"/>
        <w:spacing w:line="475" w:lineRule="exact"/>
        <w:ind w:firstLine="0"/>
        <w:jc w:val="center"/>
        <w:outlineLvl w:val="1"/>
        <w:rPr>
          <w:rFonts w:ascii="Arial Narrow" w:eastAsia="Arial Narrow" w:hAnsi="Arial Narrow" w:cs="Arial Narrow"/>
          <w:b/>
          <w:bCs/>
          <w:sz w:val="32"/>
          <w:szCs w:val="32"/>
        </w:rPr>
      </w:pPr>
      <w:bookmarkStart w:id="9" w:name="bookmark8"/>
      <w:r w:rsidRPr="00B01894">
        <w:rPr>
          <w:rFonts w:ascii="Arial Narrow" w:eastAsia="Arial Narrow" w:hAnsi="Arial Narrow" w:cs="Arial Narrow"/>
          <w:b/>
          <w:bCs/>
          <w:color w:val="231F20"/>
          <w:sz w:val="32"/>
          <w:szCs w:val="32"/>
        </w:rPr>
        <w:t>ТЕОРЕТИЧЕСКИЕ ПОДХОДЫ</w:t>
      </w:r>
      <w:r w:rsidRPr="00B01894">
        <w:rPr>
          <w:rFonts w:ascii="Arial Narrow" w:eastAsia="Arial Narrow" w:hAnsi="Arial Narrow" w:cs="Arial Narrow"/>
          <w:b/>
          <w:bCs/>
          <w:color w:val="231F20"/>
          <w:sz w:val="32"/>
          <w:szCs w:val="32"/>
        </w:rPr>
        <w:br/>
        <w:t>К ВЗАИМОДЕЙСТВИЮ</w:t>
      </w:r>
      <w:r w:rsidRPr="00B01894">
        <w:rPr>
          <w:rFonts w:ascii="Arial Narrow" w:eastAsia="Arial Narrow" w:hAnsi="Arial Narrow" w:cs="Arial Narrow"/>
          <w:b/>
          <w:bCs/>
          <w:color w:val="231F20"/>
          <w:sz w:val="32"/>
          <w:szCs w:val="32"/>
        </w:rPr>
        <w:br/>
        <w:t>ГОСУДАРСТВА И БИЗНЕСА</w:t>
      </w:r>
      <w:bookmarkEnd w:id="9"/>
    </w:p>
    <w:p w14:paraId="7154F058" w14:textId="77777777" w:rsidR="00B01894" w:rsidRPr="00B01894" w:rsidRDefault="00B01894" w:rsidP="00B01894">
      <w:pPr>
        <w:widowControl w:val="0"/>
        <w:spacing w:line="226" w:lineRule="exact"/>
        <w:ind w:firstLine="320"/>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В результате изучения данной главы студент должен:</w:t>
      </w:r>
    </w:p>
    <w:p w14:paraId="6295486B" w14:textId="77777777" w:rsidR="00B01894" w:rsidRPr="00B01894" w:rsidRDefault="00B01894" w:rsidP="00B01894">
      <w:pPr>
        <w:widowControl w:val="0"/>
        <w:spacing w:line="226" w:lineRule="exact"/>
        <w:ind w:firstLine="320"/>
        <w:rPr>
          <w:rFonts w:ascii="Bookman Old Style" w:eastAsia="Bookman Old Style" w:hAnsi="Bookman Old Style" w:cs="Bookman Old Style"/>
          <w:b/>
          <w:bCs/>
          <w:i/>
          <w:iCs/>
          <w:sz w:val="16"/>
          <w:szCs w:val="16"/>
        </w:rPr>
      </w:pPr>
      <w:r w:rsidRPr="00B01894">
        <w:rPr>
          <w:rFonts w:ascii="Bookman Old Style" w:eastAsia="Bookman Old Style" w:hAnsi="Bookman Old Style" w:cs="Bookman Old Style"/>
          <w:b/>
          <w:bCs/>
          <w:i/>
          <w:iCs/>
          <w:color w:val="231F20"/>
          <w:sz w:val="16"/>
          <w:szCs w:val="16"/>
        </w:rPr>
        <w:lastRenderedPageBreak/>
        <w:t>знать</w:t>
      </w:r>
    </w:p>
    <w:p w14:paraId="140812CE" w14:textId="77777777" w:rsidR="00B01894" w:rsidRPr="00B01894" w:rsidRDefault="00B01894" w:rsidP="00B01894">
      <w:pPr>
        <w:widowControl w:val="0"/>
        <w:numPr>
          <w:ilvl w:val="0"/>
          <w:numId w:val="9"/>
        </w:numPr>
        <w:tabs>
          <w:tab w:val="left" w:pos="505"/>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взгляды традиционных экономических школ на роль государства в экономике;</w:t>
      </w:r>
    </w:p>
    <w:p w14:paraId="14C62BD3" w14:textId="77777777" w:rsidR="00B01894" w:rsidRPr="00B01894" w:rsidRDefault="00B01894" w:rsidP="00B01894">
      <w:pPr>
        <w:widowControl w:val="0"/>
        <w:numPr>
          <w:ilvl w:val="0"/>
          <w:numId w:val="9"/>
        </w:numPr>
        <w:tabs>
          <w:tab w:val="left" w:pos="500"/>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современные концепции о роли государства в экономике и взаимодей</w:t>
      </w:r>
      <w:r w:rsidRPr="00B01894">
        <w:rPr>
          <w:rFonts w:ascii="Bookman Old Style" w:eastAsia="Bookman Old Style" w:hAnsi="Bookman Old Style" w:cs="Bookman Old Style"/>
          <w:color w:val="231F20"/>
          <w:sz w:val="17"/>
          <w:szCs w:val="17"/>
        </w:rPr>
        <w:softHyphen/>
        <w:t>ствии государства и бизнеса;</w:t>
      </w:r>
    </w:p>
    <w:p w14:paraId="118BFFF8" w14:textId="77777777" w:rsidR="00B01894" w:rsidRPr="00B01894" w:rsidRDefault="00B01894" w:rsidP="00B01894">
      <w:pPr>
        <w:widowControl w:val="0"/>
        <w:spacing w:line="226" w:lineRule="exact"/>
        <w:ind w:firstLine="320"/>
        <w:rPr>
          <w:rFonts w:ascii="Bookman Old Style" w:eastAsia="Bookman Old Style" w:hAnsi="Bookman Old Style" w:cs="Bookman Old Style"/>
          <w:b/>
          <w:bCs/>
          <w:i/>
          <w:iCs/>
          <w:sz w:val="16"/>
          <w:szCs w:val="16"/>
        </w:rPr>
      </w:pPr>
      <w:r w:rsidRPr="00B01894">
        <w:rPr>
          <w:rFonts w:ascii="Bookman Old Style" w:eastAsia="Bookman Old Style" w:hAnsi="Bookman Old Style" w:cs="Bookman Old Style"/>
          <w:b/>
          <w:bCs/>
          <w:i/>
          <w:iCs/>
          <w:color w:val="231F20"/>
          <w:sz w:val="16"/>
          <w:szCs w:val="16"/>
        </w:rPr>
        <w:t>уметь</w:t>
      </w:r>
    </w:p>
    <w:p w14:paraId="42E7770E" w14:textId="77777777" w:rsidR="00B01894" w:rsidRPr="00B01894" w:rsidRDefault="00B01894" w:rsidP="00B01894">
      <w:pPr>
        <w:widowControl w:val="0"/>
        <w:numPr>
          <w:ilvl w:val="0"/>
          <w:numId w:val="9"/>
        </w:numPr>
        <w:tabs>
          <w:tab w:val="left" w:pos="505"/>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анализировать современную экономическую политику с точки зрения теоретических основ, заложенных различными экономическими школами;</w:t>
      </w:r>
    </w:p>
    <w:p w14:paraId="44CF2323" w14:textId="77777777" w:rsidR="00B01894" w:rsidRPr="00B01894" w:rsidRDefault="00B01894" w:rsidP="00B01894">
      <w:pPr>
        <w:widowControl w:val="0"/>
        <w:spacing w:line="226" w:lineRule="exact"/>
        <w:ind w:firstLine="320"/>
        <w:rPr>
          <w:rFonts w:ascii="Bookman Old Style" w:eastAsia="Bookman Old Style" w:hAnsi="Bookman Old Style" w:cs="Bookman Old Style"/>
          <w:b/>
          <w:bCs/>
          <w:i/>
          <w:iCs/>
          <w:sz w:val="16"/>
          <w:szCs w:val="16"/>
        </w:rPr>
      </w:pPr>
      <w:r w:rsidRPr="00B01894">
        <w:rPr>
          <w:rFonts w:ascii="Bookman Old Style" w:eastAsia="Bookman Old Style" w:hAnsi="Bookman Old Style" w:cs="Bookman Old Style"/>
          <w:b/>
          <w:bCs/>
          <w:i/>
          <w:iCs/>
          <w:color w:val="231F20"/>
          <w:sz w:val="16"/>
          <w:szCs w:val="16"/>
        </w:rPr>
        <w:t>владеть</w:t>
      </w:r>
    </w:p>
    <w:p w14:paraId="5983C164" w14:textId="77777777" w:rsidR="00B01894" w:rsidRPr="00B01894" w:rsidRDefault="00B01894" w:rsidP="00B01894">
      <w:pPr>
        <w:widowControl w:val="0"/>
        <w:numPr>
          <w:ilvl w:val="0"/>
          <w:numId w:val="9"/>
        </w:numPr>
        <w:tabs>
          <w:tab w:val="left" w:pos="505"/>
        </w:tabs>
        <w:spacing w:after="416"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знаниями об эволюции взглядов различных экономических школ на взаимодействие государства и бизнеса.</w:t>
      </w:r>
    </w:p>
    <w:p w14:paraId="2E9F04B4" w14:textId="77777777" w:rsidR="00B01894" w:rsidRPr="00B01894" w:rsidRDefault="00B01894" w:rsidP="00B01894">
      <w:pPr>
        <w:keepNext/>
        <w:keepLines/>
        <w:widowControl w:val="0"/>
        <w:numPr>
          <w:ilvl w:val="0"/>
          <w:numId w:val="10"/>
        </w:numPr>
        <w:tabs>
          <w:tab w:val="left" w:pos="1275"/>
        </w:tabs>
        <w:spacing w:after="189" w:line="331" w:lineRule="exact"/>
        <w:ind w:left="1000" w:right="780" w:hanging="220"/>
        <w:jc w:val="left"/>
        <w:outlineLvl w:val="3"/>
        <w:rPr>
          <w:rFonts w:ascii="Arial Narrow" w:eastAsia="Arial Narrow" w:hAnsi="Arial Narrow" w:cs="Arial Narrow"/>
          <w:b/>
          <w:bCs/>
        </w:rPr>
      </w:pPr>
      <w:bookmarkStart w:id="10" w:name="bookmark9"/>
      <w:r w:rsidRPr="00B01894">
        <w:rPr>
          <w:rFonts w:ascii="Arial Narrow" w:eastAsia="Arial Narrow" w:hAnsi="Arial Narrow" w:cs="Arial Narrow"/>
          <w:b/>
          <w:bCs/>
          <w:color w:val="231F20"/>
        </w:rPr>
        <w:t>Взгляды традиционных экономических школ на вопросы государственного регулирования</w:t>
      </w:r>
      <w:bookmarkEnd w:id="10"/>
    </w:p>
    <w:p w14:paraId="25842C08" w14:textId="77777777" w:rsidR="00B01894" w:rsidRPr="00B01894" w:rsidRDefault="00B01894" w:rsidP="00B01894">
      <w:pPr>
        <w:widowControl w:val="0"/>
        <w:spacing w:line="245"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Вопрос о характере взаимоотношений государства с субъекта</w:t>
      </w:r>
      <w:r w:rsidRPr="00B01894">
        <w:rPr>
          <w:rFonts w:ascii="Bookman Old Style" w:eastAsia="Bookman Old Style" w:hAnsi="Bookman Old Style" w:cs="Bookman Old Style"/>
          <w:color w:val="231F20"/>
          <w:sz w:val="18"/>
          <w:szCs w:val="18"/>
        </w:rPr>
        <w:softHyphen/>
        <w:t>ми экономической деятельности имеет первостепенное значение для обеспечения эффективности экономики и успешного функцио</w:t>
      </w:r>
      <w:r w:rsidRPr="00B01894">
        <w:rPr>
          <w:rFonts w:ascii="Bookman Old Style" w:eastAsia="Bookman Old Style" w:hAnsi="Bookman Old Style" w:cs="Bookman Old Style"/>
          <w:color w:val="231F20"/>
          <w:sz w:val="18"/>
          <w:szCs w:val="18"/>
        </w:rPr>
        <w:softHyphen/>
        <w:t>нирования экономической системы в целом.</w:t>
      </w:r>
    </w:p>
    <w:p w14:paraId="5A9A030D" w14:textId="77777777" w:rsidR="00B01894" w:rsidRPr="00B01894" w:rsidRDefault="00B01894" w:rsidP="00B01894">
      <w:pPr>
        <w:widowControl w:val="0"/>
        <w:spacing w:after="159" w:line="245"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истории экономики имели место различные модели взаимо</w:t>
      </w:r>
      <w:r w:rsidRPr="00B01894">
        <w:rPr>
          <w:rFonts w:ascii="Bookman Old Style" w:eastAsia="Bookman Old Style" w:hAnsi="Bookman Old Style" w:cs="Bookman Old Style"/>
          <w:color w:val="231F20"/>
          <w:sz w:val="18"/>
          <w:szCs w:val="18"/>
        </w:rPr>
        <w:softHyphen/>
        <w:t>отношений государства и субъектов экономической деятельности, основанные как на принципе абсолютизма государственной власти, который наиболее ярко выражен в знаменитом выражении, припи</w:t>
      </w:r>
      <w:r w:rsidRPr="00B01894">
        <w:rPr>
          <w:rFonts w:ascii="Bookman Old Style" w:eastAsia="Bookman Old Style" w:hAnsi="Bookman Old Style" w:cs="Bookman Old Style"/>
          <w:color w:val="231F20"/>
          <w:sz w:val="18"/>
          <w:szCs w:val="18"/>
        </w:rPr>
        <w:softHyphen/>
        <w:t>сываемом французскому королю Людовику XIV: «Государство — это я»</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 так и на принципах свободы предпринимательства и доктрине невмешательства государства в экономическую жизнь.</w:t>
      </w:r>
    </w:p>
    <w:p w14:paraId="6173E2E3" w14:textId="77777777" w:rsidR="00B01894" w:rsidRPr="00B01894" w:rsidRDefault="00B01894" w:rsidP="00B01894">
      <w:pPr>
        <w:widowControl w:val="0"/>
        <w:ind w:firstLine="320"/>
        <w:rPr>
          <w:rFonts w:ascii="Bookman Old Style" w:eastAsia="Bookman Old Style" w:hAnsi="Bookman Old Style" w:cs="Bookman Old Style"/>
          <w:sz w:val="15"/>
          <w:szCs w:val="15"/>
        </w:rPr>
      </w:pP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231F20"/>
          <w:sz w:val="15"/>
          <w:szCs w:val="15"/>
        </w:rPr>
        <w:t>В разных источниках это высказывание приписывается Людовику XIV, кото</w:t>
      </w:r>
      <w:r w:rsidRPr="00B01894">
        <w:rPr>
          <w:rFonts w:ascii="Bookman Old Style" w:eastAsia="Bookman Old Style" w:hAnsi="Bookman Old Style" w:cs="Bookman Old Style"/>
          <w:color w:val="231F20"/>
          <w:sz w:val="15"/>
          <w:szCs w:val="15"/>
        </w:rPr>
        <w:softHyphen/>
        <w:t>рый на заседании парламента Франции в апреле 1655 г. якобы сказал: «Вы думае</w:t>
      </w:r>
      <w:r w:rsidRPr="00B01894">
        <w:rPr>
          <w:rFonts w:ascii="Bookman Old Style" w:eastAsia="Bookman Old Style" w:hAnsi="Bookman Old Style" w:cs="Bookman Old Style"/>
          <w:color w:val="231F20"/>
          <w:sz w:val="15"/>
          <w:szCs w:val="15"/>
        </w:rPr>
        <w:softHyphen/>
        <w:t xml:space="preserve">те, господа, что государство — это вы? Ошибаетесь! Государство — это я!» Однако в опубликованных протоколах заседания данной фразы нет. По другой версии — британского журнала </w:t>
      </w:r>
      <w:r w:rsidRPr="00B01894">
        <w:rPr>
          <w:rFonts w:ascii="Bookman Old Style" w:eastAsia="Bookman Old Style" w:hAnsi="Bookman Old Style" w:cs="Bookman Old Style"/>
          <w:i/>
          <w:iCs/>
          <w:color w:val="231F20"/>
          <w:sz w:val="15"/>
          <w:szCs w:val="15"/>
          <w:lang w:val="en-US" w:eastAsia="en-US" w:bidi="en-US"/>
        </w:rPr>
        <w:t>Revue</w:t>
      </w:r>
      <w:r w:rsidRPr="00B01894">
        <w:rPr>
          <w:rFonts w:ascii="Bookman Old Style" w:eastAsia="Bookman Old Style" w:hAnsi="Bookman Old Style" w:cs="Bookman Old Style"/>
          <w:i/>
          <w:iCs/>
          <w:color w:val="231F20"/>
          <w:sz w:val="15"/>
          <w:szCs w:val="15"/>
          <w:lang w:eastAsia="en-US" w:bidi="en-US"/>
        </w:rPr>
        <w:t xml:space="preserve"> </w:t>
      </w:r>
      <w:r w:rsidRPr="00B01894">
        <w:rPr>
          <w:rFonts w:ascii="Bookman Old Style" w:eastAsia="Bookman Old Style" w:hAnsi="Bookman Old Style" w:cs="Bookman Old Style"/>
          <w:i/>
          <w:iCs/>
          <w:color w:val="231F20"/>
          <w:sz w:val="15"/>
          <w:szCs w:val="15"/>
          <w:lang w:val="en-US" w:eastAsia="en-US" w:bidi="en-US"/>
        </w:rPr>
        <w:t>Britannique</w:t>
      </w:r>
      <w:r w:rsidRPr="00B01894">
        <w:rPr>
          <w:rFonts w:ascii="Bookman Old Style" w:eastAsia="Bookman Old Style" w:hAnsi="Bookman Old Style" w:cs="Bookman Old Style"/>
          <w:color w:val="231F20"/>
          <w:sz w:val="15"/>
          <w:szCs w:val="15"/>
          <w:lang w:eastAsia="en-US" w:bidi="en-US"/>
        </w:rPr>
        <w:t xml:space="preserve"> </w:t>
      </w:r>
      <w:r w:rsidRPr="00B01894">
        <w:rPr>
          <w:rFonts w:ascii="Bookman Old Style" w:eastAsia="Bookman Old Style" w:hAnsi="Bookman Old Style" w:cs="Bookman Old Style"/>
          <w:color w:val="231F20"/>
          <w:sz w:val="15"/>
          <w:szCs w:val="15"/>
        </w:rPr>
        <w:t>(май 1851 г.) — фраза принадлежит англий</w:t>
      </w:r>
      <w:r w:rsidRPr="00B01894">
        <w:rPr>
          <w:rFonts w:ascii="Bookman Old Style" w:eastAsia="Bookman Old Style" w:hAnsi="Bookman Old Style" w:cs="Bookman Old Style"/>
          <w:color w:val="231F20"/>
          <w:sz w:val="15"/>
          <w:szCs w:val="15"/>
        </w:rPr>
        <w:softHyphen/>
        <w:t>ской королеве Елизавете Г.</w:t>
      </w:r>
    </w:p>
    <w:p w14:paraId="35D3FE2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истории экономической мысли мы наблюдаем эволюцию представлений о роли государства в экономике, как отражающих характер сложившихся взаимоотношений государства и субъектов экономической деятельности в данное время в данном месте, так и выражающих определенные идеологические и концептуальные взгляды на роль и функцию государства и его институтов.</w:t>
      </w:r>
    </w:p>
    <w:p w14:paraId="20C9CFE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Наиболее ранним сложившимся учением является меркан</w:t>
      </w:r>
      <w:r w:rsidRPr="00B01894">
        <w:rPr>
          <w:rFonts w:ascii="Bookman Old Style" w:eastAsia="Bookman Old Style" w:hAnsi="Bookman Old Style" w:cs="Bookman Old Style"/>
          <w:color w:val="231F20"/>
          <w:sz w:val="18"/>
          <w:szCs w:val="18"/>
        </w:rPr>
        <w:softHyphen/>
        <w:t xml:space="preserve">тилизм, который возник в конце XV в. Своим названием учение обязано итальянскому слову </w:t>
      </w:r>
      <w:r w:rsidRPr="00B01894">
        <w:rPr>
          <w:rFonts w:ascii="Bookman Old Style" w:eastAsia="Bookman Old Style" w:hAnsi="Bookman Old Style" w:cs="Bookman Old Style"/>
          <w:i/>
          <w:iCs/>
          <w:color w:val="231F20"/>
          <w:sz w:val="18"/>
          <w:szCs w:val="18"/>
          <w:lang w:val="en-US" w:eastAsia="en-US" w:bidi="en-US"/>
        </w:rPr>
        <w:t>mercante</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xml:space="preserve">(торговец), которое, в свою очередь, произошло от более раннего латинского слова </w:t>
      </w:r>
      <w:r w:rsidRPr="00B01894">
        <w:rPr>
          <w:rFonts w:ascii="Bookman Old Style" w:eastAsia="Bookman Old Style" w:hAnsi="Bookman Old Style" w:cs="Bookman Old Style"/>
          <w:i/>
          <w:iCs/>
          <w:color w:val="231F20"/>
          <w:sz w:val="18"/>
          <w:szCs w:val="18"/>
          <w:lang w:val="en-US" w:eastAsia="en-US" w:bidi="en-US"/>
        </w:rPr>
        <w:t>mercanti</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(торговать). Уже из названия ясно, что в основе учения лежат взаи</w:t>
      </w:r>
      <w:r w:rsidRPr="00B01894">
        <w:rPr>
          <w:rFonts w:ascii="Bookman Old Style" w:eastAsia="Bookman Old Style" w:hAnsi="Bookman Old Style" w:cs="Bookman Old Style"/>
          <w:color w:val="231F20"/>
          <w:sz w:val="18"/>
          <w:szCs w:val="18"/>
        </w:rPr>
        <w:softHyphen/>
        <w:t>моотношения, связанные с торговлей и денежным оборотом.</w:t>
      </w:r>
    </w:p>
    <w:p w14:paraId="793A5B9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Представители меркантилизма были сторонниками активного вмешательства государства в экономическую жизнь, одновременно ожидая от него покровительства своим интересам в той или иной форме </w:t>
      </w:r>
      <w:r w:rsidRPr="00B01894">
        <w:rPr>
          <w:rFonts w:ascii="Bookman Old Style" w:eastAsia="Bookman Old Style" w:hAnsi="Bookman Old Style" w:cs="Bookman Old Style"/>
          <w:color w:val="231F20"/>
          <w:sz w:val="18"/>
          <w:szCs w:val="18"/>
        </w:rPr>
        <w:lastRenderedPageBreak/>
        <w:t>протекционизма. Сам термин «протекционизм» ввел в науч</w:t>
      </w:r>
      <w:r w:rsidRPr="00B01894">
        <w:rPr>
          <w:rFonts w:ascii="Bookman Old Style" w:eastAsia="Bookman Old Style" w:hAnsi="Bookman Old Style" w:cs="Bookman Old Style"/>
          <w:color w:val="231F20"/>
          <w:sz w:val="18"/>
          <w:szCs w:val="18"/>
        </w:rPr>
        <w:softHyphen/>
        <w:t>ный оборот один из наиболее ярких меркантилистов — А. Монкре- тьен в работе «Трактат о политической экономии» (1615), и с тех пор он широко используется для характеристики политики госу</w:t>
      </w:r>
      <w:r w:rsidRPr="00B01894">
        <w:rPr>
          <w:rFonts w:ascii="Bookman Old Style" w:eastAsia="Bookman Old Style" w:hAnsi="Bookman Old Style" w:cs="Bookman Old Style"/>
          <w:color w:val="231F20"/>
          <w:sz w:val="18"/>
          <w:szCs w:val="18"/>
        </w:rPr>
        <w:softHyphen/>
        <w:t>дарства по защите интересов национального бизнеса. Кстати, Мон- кретьену принадлежит и заслуга введения в экономический оборот термина «политическая экономия».</w:t>
      </w:r>
    </w:p>
    <w:p w14:paraId="4ED874F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Учение меркантилизма разделяют на ранний и поздний этапы, и направления государственного протекционизма на этих этапах различались. Ранний меркантилизм связывает рост богатства ис</w:t>
      </w:r>
      <w:r w:rsidRPr="00B01894">
        <w:rPr>
          <w:rFonts w:ascii="Bookman Old Style" w:eastAsia="Bookman Old Style" w:hAnsi="Bookman Old Style" w:cs="Bookman Old Style"/>
          <w:color w:val="231F20"/>
          <w:sz w:val="18"/>
          <w:szCs w:val="18"/>
        </w:rPr>
        <w:softHyphen/>
        <w:t>ключительно со сферой обращения, поэтому основное внимание уделялось денежному балансу. Так как деньги в те времена факти</w:t>
      </w:r>
      <w:r w:rsidRPr="00B01894">
        <w:rPr>
          <w:rFonts w:ascii="Bookman Old Style" w:eastAsia="Bookman Old Style" w:hAnsi="Bookman Old Style" w:cs="Bookman Old Style"/>
          <w:color w:val="231F20"/>
          <w:sz w:val="18"/>
          <w:szCs w:val="18"/>
        </w:rPr>
        <w:softHyphen/>
        <w:t>чески отождествлялись с благородными металлами, то основной це</w:t>
      </w:r>
      <w:r w:rsidRPr="00B01894">
        <w:rPr>
          <w:rFonts w:ascii="Bookman Old Style" w:eastAsia="Bookman Old Style" w:hAnsi="Bookman Old Style" w:cs="Bookman Old Style"/>
          <w:color w:val="231F20"/>
          <w:sz w:val="18"/>
          <w:szCs w:val="18"/>
        </w:rPr>
        <w:softHyphen/>
        <w:t xml:space="preserve">лью провозглашалось накопление золота и серебра. Яркий пример подобной политики являла собой Англия </w:t>
      </w:r>
      <w:r w:rsidRPr="00B01894">
        <w:rPr>
          <w:rFonts w:ascii="Bookman Old Style" w:eastAsia="Bookman Old Style" w:hAnsi="Bookman Old Style" w:cs="Bookman Old Style"/>
          <w:color w:val="231F20"/>
          <w:sz w:val="18"/>
          <w:szCs w:val="18"/>
          <w:lang w:val="en-US" w:eastAsia="en-US" w:bidi="en-US"/>
        </w:rPr>
        <w:t>XVI</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xml:space="preserve">и </w:t>
      </w:r>
      <w:r w:rsidRPr="00B01894">
        <w:rPr>
          <w:rFonts w:ascii="Bookman Old Style" w:eastAsia="Bookman Old Style" w:hAnsi="Bookman Old Style" w:cs="Bookman Old Style"/>
          <w:color w:val="231F20"/>
          <w:sz w:val="18"/>
          <w:szCs w:val="18"/>
          <w:lang w:val="en-US" w:eastAsia="en-US" w:bidi="en-US"/>
        </w:rPr>
        <w:t>XVII</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вв. — в стране был принят ряд законов, ограничивающих возможности вывоза из страны золота и серебра и вводящих ограничения и запреты на предпринимательскую деятельность иностранцев, а также была введена система пошлин на ввозимые товары.</w:t>
      </w:r>
    </w:p>
    <w:p w14:paraId="610B074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 более позднем этапе в учении меркантилизма мы наблюда</w:t>
      </w:r>
      <w:r w:rsidRPr="00B01894">
        <w:rPr>
          <w:rFonts w:ascii="Bookman Old Style" w:eastAsia="Bookman Old Style" w:hAnsi="Bookman Old Style" w:cs="Bookman Old Style"/>
          <w:color w:val="231F20"/>
          <w:sz w:val="18"/>
          <w:szCs w:val="18"/>
        </w:rPr>
        <w:softHyphen/>
        <w:t>ем отход от идеи денежного баланса в пользу активного торгового баланса, а в политике меркантилистов проявляется отказ от идеи ограничения вывоза драгоценных металлов и высоких импортных пошлин в пользу стимулирования собственного производства и экс</w:t>
      </w:r>
      <w:r w:rsidRPr="00B01894">
        <w:rPr>
          <w:rFonts w:ascii="Bookman Old Style" w:eastAsia="Bookman Old Style" w:hAnsi="Bookman Old Style" w:cs="Bookman Old Style"/>
          <w:color w:val="231F20"/>
          <w:sz w:val="18"/>
          <w:szCs w:val="18"/>
        </w:rPr>
        <w:softHyphen/>
        <w:t>порта. Идеи позднего меркантилизма широко использовались в по</w:t>
      </w:r>
      <w:r w:rsidRPr="00B01894">
        <w:rPr>
          <w:rFonts w:ascii="Bookman Old Style" w:eastAsia="Bookman Old Style" w:hAnsi="Bookman Old Style" w:cs="Bookman Old Style"/>
          <w:color w:val="231F20"/>
          <w:sz w:val="18"/>
          <w:szCs w:val="18"/>
        </w:rPr>
        <w:softHyphen/>
        <w:t>литике практически всех европейских стран — от Франции времен Ж. Б. Кольбера до России времен Николая I.</w:t>
      </w:r>
    </w:p>
    <w:p w14:paraId="7F243FA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целом учение меркантилизма сыграло положительную роль в ста</w:t>
      </w:r>
      <w:r w:rsidRPr="00B01894">
        <w:rPr>
          <w:rFonts w:ascii="Bookman Old Style" w:eastAsia="Bookman Old Style" w:hAnsi="Bookman Old Style" w:cs="Bookman Old Style"/>
          <w:color w:val="231F20"/>
          <w:sz w:val="18"/>
          <w:szCs w:val="18"/>
        </w:rPr>
        <w:softHyphen/>
        <w:t>новлении капитализма и формировании институтов и инструментов государственного регулирования экономики, однако еще Адам Смит отмечал ограниченность данной концепции как не способствующей свободному развитию рынков и основанной на неверных представ</w:t>
      </w:r>
      <w:r w:rsidRPr="00B01894">
        <w:rPr>
          <w:rFonts w:ascii="Bookman Old Style" w:eastAsia="Bookman Old Style" w:hAnsi="Bookman Old Style" w:cs="Bookman Old Style"/>
          <w:color w:val="231F20"/>
          <w:sz w:val="18"/>
          <w:szCs w:val="18"/>
        </w:rPr>
        <w:softHyphen/>
        <w:t>лениях о причинах и природе богатства. Сегодня учение меркан</w:t>
      </w:r>
      <w:r w:rsidRPr="00B01894">
        <w:rPr>
          <w:rFonts w:ascii="Bookman Old Style" w:eastAsia="Bookman Old Style" w:hAnsi="Bookman Old Style" w:cs="Bookman Old Style"/>
          <w:color w:val="231F20"/>
          <w:sz w:val="18"/>
          <w:szCs w:val="18"/>
        </w:rPr>
        <w:softHyphen/>
        <w:t>тилизма представляет интерес в основном с точки зрения истории развития экономической мысли, а в экономической политике ассо</w:t>
      </w:r>
      <w:r w:rsidRPr="00B01894">
        <w:rPr>
          <w:rFonts w:ascii="Bookman Old Style" w:eastAsia="Bookman Old Style" w:hAnsi="Bookman Old Style" w:cs="Bookman Old Style"/>
          <w:color w:val="231F20"/>
          <w:sz w:val="18"/>
          <w:szCs w:val="18"/>
        </w:rPr>
        <w:softHyphen/>
        <w:t>циируется с обоснованием протекционизма.</w:t>
      </w:r>
    </w:p>
    <w:p w14:paraId="2CAB07B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противовес меркантилизму физиократы выдвинули принцип свободного предпринимательства, вошедший в историю эконо</w:t>
      </w:r>
      <w:r w:rsidRPr="00B01894">
        <w:rPr>
          <w:rFonts w:ascii="Bookman Old Style" w:eastAsia="Bookman Old Style" w:hAnsi="Bookman Old Style" w:cs="Bookman Old Style"/>
          <w:color w:val="231F20"/>
          <w:sz w:val="18"/>
          <w:szCs w:val="18"/>
        </w:rPr>
        <w:softHyphen/>
        <w:t xml:space="preserve">мической мысли как </w:t>
      </w:r>
      <w:r w:rsidRPr="00B01894">
        <w:rPr>
          <w:rFonts w:ascii="Bookman Old Style" w:eastAsia="Bookman Old Style" w:hAnsi="Bookman Old Style" w:cs="Bookman Old Style"/>
          <w:i/>
          <w:iCs/>
          <w:color w:val="231F20"/>
          <w:sz w:val="18"/>
          <w:szCs w:val="18"/>
          <w:lang w:val="en-US" w:eastAsia="en-US" w:bidi="en-US"/>
        </w:rPr>
        <w:t>laissez</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faire</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laissez</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passer</w:t>
      </w:r>
      <w:r w:rsidRPr="00B01894">
        <w:rPr>
          <w:rFonts w:ascii="Bookman Old Style" w:eastAsia="Bookman Old Style" w:hAnsi="Bookman Old Style" w:cs="Bookman Old Style"/>
          <w:color w:val="231F20"/>
          <w:sz w:val="18"/>
          <w:szCs w:val="18"/>
          <w:vertAlign w:val="superscript"/>
          <w:lang w:val="en-US" w:eastAsia="en-US" w:bidi="en-US"/>
        </w:rPr>
        <w:footnoteReference w:id="1"/>
      </w:r>
      <w:r w:rsidRPr="00B01894">
        <w:rPr>
          <w:rFonts w:ascii="Bookman Old Style" w:eastAsia="Bookman Old Style" w:hAnsi="Bookman Old Style" w:cs="Bookman Old Style"/>
          <w:color w:val="231F20"/>
          <w:sz w:val="18"/>
          <w:szCs w:val="18"/>
          <w:lang w:eastAsia="en-US" w:bidi="en-US"/>
        </w:rPr>
        <w:t xml:space="preserve"> — </w:t>
      </w:r>
      <w:r w:rsidRPr="00B01894">
        <w:rPr>
          <w:rFonts w:ascii="Bookman Old Style" w:eastAsia="Bookman Old Style" w:hAnsi="Bookman Old Style" w:cs="Bookman Old Style"/>
          <w:color w:val="231F20"/>
          <w:sz w:val="18"/>
          <w:szCs w:val="18"/>
        </w:rPr>
        <w:t>принцип невме</w:t>
      </w:r>
      <w:r w:rsidRPr="00B01894">
        <w:rPr>
          <w:rFonts w:ascii="Bookman Old Style" w:eastAsia="Bookman Old Style" w:hAnsi="Bookman Old Style" w:cs="Bookman Old Style"/>
          <w:color w:val="231F20"/>
          <w:sz w:val="18"/>
          <w:szCs w:val="18"/>
        </w:rPr>
        <w:softHyphen/>
        <w:t>шательства, т. е. сведения к минимуму государственного участия в экономике. Теория физиократов имела большое значение именно для понимания природы возникновения богатства и развития эко</w:t>
      </w:r>
      <w:r w:rsidRPr="00B01894">
        <w:rPr>
          <w:rFonts w:ascii="Bookman Old Style" w:eastAsia="Bookman Old Style" w:hAnsi="Bookman Old Style" w:cs="Bookman Old Style"/>
          <w:color w:val="231F20"/>
          <w:sz w:val="18"/>
          <w:szCs w:val="18"/>
        </w:rPr>
        <w:softHyphen/>
        <w:t xml:space="preserve">номики, но в меньшей степени являлось учением, которое можно рассматривать как доктрину </w:t>
      </w:r>
      <w:r w:rsidRPr="00B01894">
        <w:rPr>
          <w:rFonts w:ascii="Bookman Old Style" w:eastAsia="Bookman Old Style" w:hAnsi="Bookman Old Style" w:cs="Bookman Old Style"/>
          <w:color w:val="231F20"/>
          <w:sz w:val="18"/>
          <w:szCs w:val="18"/>
        </w:rPr>
        <w:lastRenderedPageBreak/>
        <w:t>экономической политики.</w:t>
      </w:r>
    </w:p>
    <w:p w14:paraId="3852EE4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трудах основоположника физиократов Ф. Кенэ показано, что основой богатства является не сфера обращения, а материальное производство (под которым, правда, Кенэ понимал преимуществен</w:t>
      </w:r>
      <w:r w:rsidRPr="00B01894">
        <w:rPr>
          <w:rFonts w:ascii="Bookman Old Style" w:eastAsia="Bookman Old Style" w:hAnsi="Bookman Old Style" w:cs="Bookman Old Style"/>
          <w:color w:val="231F20"/>
          <w:sz w:val="18"/>
          <w:szCs w:val="18"/>
        </w:rPr>
        <w:softHyphen/>
        <w:t>но сельское хозяйство) и что именно в материальном производстве создается «чистый продукт» общества. Впервые были рассмотрены вопросы воспроизводства общественного продукта и распределения дохода между общественными классами. Однако каких-либо специ</w:t>
      </w:r>
      <w:r w:rsidRPr="00B01894">
        <w:rPr>
          <w:rFonts w:ascii="Bookman Old Style" w:eastAsia="Bookman Old Style" w:hAnsi="Bookman Old Style" w:cs="Bookman Old Style"/>
          <w:color w:val="231F20"/>
          <w:sz w:val="18"/>
          <w:szCs w:val="18"/>
        </w:rPr>
        <w:softHyphen/>
        <w:t>альных рекомендаций по взаимоотношению государства и эконо</w:t>
      </w:r>
      <w:r w:rsidRPr="00B01894">
        <w:rPr>
          <w:rFonts w:ascii="Bookman Old Style" w:eastAsia="Bookman Old Style" w:hAnsi="Bookman Old Style" w:cs="Bookman Old Style"/>
          <w:color w:val="231F20"/>
          <w:sz w:val="18"/>
          <w:szCs w:val="18"/>
        </w:rPr>
        <w:softHyphen/>
        <w:t>мических субъектов в учении физиократов нет. Кроме собственно принципа невмешательства в этом учении подчеркивается мысль о «естественном ходе вещей», т. е. важности подчинения всех одним правилам, которые выражены в законодательстве, регулирующем экономическую жизнь.</w:t>
      </w:r>
    </w:p>
    <w:p w14:paraId="608C505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Однако практическая реализация теории физиократов не была столь удачной. Так, другой известный представитель этой на</w:t>
      </w:r>
      <w:r w:rsidRPr="00B01894">
        <w:rPr>
          <w:rFonts w:ascii="Bookman Old Style" w:eastAsia="Bookman Old Style" w:hAnsi="Bookman Old Style" w:cs="Bookman Old Style"/>
          <w:color w:val="231F20"/>
          <w:sz w:val="18"/>
          <w:szCs w:val="18"/>
        </w:rPr>
        <w:softHyphen/>
        <w:t>учной школы Ж. Тюрго был назначен в 1774 г. Людовиком XVI на пост генерального контролера финансов (фактически министр финансов в современной терминологии) и пытался провести ряд соответствующих реформ. Но если его начинания в защиту част</w:t>
      </w:r>
      <w:r w:rsidRPr="00B01894">
        <w:rPr>
          <w:rFonts w:ascii="Bookman Old Style" w:eastAsia="Bookman Old Style" w:hAnsi="Bookman Old Style" w:cs="Bookman Old Style"/>
          <w:color w:val="231F20"/>
          <w:sz w:val="18"/>
          <w:szCs w:val="18"/>
        </w:rPr>
        <w:softHyphen/>
        <w:t>ной собственности и «естественного права» получили поддержку общества, то меры, направленные на осуществление экономиче</w:t>
      </w:r>
      <w:r w:rsidRPr="00B01894">
        <w:rPr>
          <w:rFonts w:ascii="Bookman Old Style" w:eastAsia="Bookman Old Style" w:hAnsi="Bookman Old Style" w:cs="Bookman Old Style"/>
          <w:color w:val="231F20"/>
          <w:sz w:val="18"/>
          <w:szCs w:val="18"/>
        </w:rPr>
        <w:softHyphen/>
        <w:t>ского равенства всех перед законом, в частности в налоговой сфе</w:t>
      </w:r>
      <w:r w:rsidRPr="00B01894">
        <w:rPr>
          <w:rFonts w:ascii="Bookman Old Style" w:eastAsia="Bookman Old Style" w:hAnsi="Bookman Old Style" w:cs="Bookman Old Style"/>
          <w:color w:val="231F20"/>
          <w:sz w:val="18"/>
          <w:szCs w:val="18"/>
        </w:rPr>
        <w:softHyphen/>
        <w:t>ре, натолкнулись на противодействие дворянской элиты и не были реализованы до конца — менее чем через два года он вынужден был покинуть пост.</w:t>
      </w:r>
    </w:p>
    <w:p w14:paraId="01F21F8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Тем не менее принципы свободы предпринимательства были за</w:t>
      </w:r>
      <w:r w:rsidRPr="00B01894">
        <w:rPr>
          <w:rFonts w:ascii="Bookman Old Style" w:eastAsia="Bookman Old Style" w:hAnsi="Bookman Old Style" w:cs="Bookman Old Style"/>
          <w:color w:val="231F20"/>
          <w:sz w:val="18"/>
          <w:szCs w:val="18"/>
        </w:rPr>
        <w:softHyphen/>
        <w:t>ложены, а сама практика развития капитализма требовала их реа</w:t>
      </w:r>
      <w:r w:rsidRPr="00B01894">
        <w:rPr>
          <w:rFonts w:ascii="Bookman Old Style" w:eastAsia="Bookman Old Style" w:hAnsi="Bookman Old Style" w:cs="Bookman Old Style"/>
          <w:color w:val="231F20"/>
          <w:sz w:val="18"/>
          <w:szCs w:val="18"/>
        </w:rPr>
        <w:softHyphen/>
        <w:t>лизации. И наиболее полное развитие они получили в трудах пред</w:t>
      </w:r>
      <w:r w:rsidRPr="00B01894">
        <w:rPr>
          <w:rFonts w:ascii="Bookman Old Style" w:eastAsia="Bookman Old Style" w:hAnsi="Bookman Old Style" w:cs="Bookman Old Style"/>
          <w:color w:val="231F20"/>
          <w:sz w:val="18"/>
          <w:szCs w:val="18"/>
        </w:rPr>
        <w:softHyphen/>
        <w:t>ставителей классической школы политической экономии.</w:t>
      </w:r>
    </w:p>
    <w:p w14:paraId="40B11BD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Классическая школа политической экономии своим рожде</w:t>
      </w:r>
      <w:r w:rsidRPr="00B01894">
        <w:rPr>
          <w:rFonts w:ascii="Bookman Old Style" w:eastAsia="Bookman Old Style" w:hAnsi="Bookman Old Style" w:cs="Bookman Old Style"/>
          <w:color w:val="231F20"/>
          <w:sz w:val="18"/>
          <w:szCs w:val="18"/>
        </w:rPr>
        <w:softHyphen/>
        <w:t>нием обязана трудам великого английского экономиста А. Смита, и в первую очередь его книге «Исследование о природе и причинах богатства народов», увидевшей свет в 1776 г. Смит впервые пред</w:t>
      </w:r>
      <w:r w:rsidRPr="00B01894">
        <w:rPr>
          <w:rFonts w:ascii="Bookman Old Style" w:eastAsia="Bookman Old Style" w:hAnsi="Bookman Old Style" w:cs="Bookman Old Style"/>
          <w:color w:val="231F20"/>
          <w:sz w:val="18"/>
          <w:szCs w:val="18"/>
        </w:rPr>
        <w:softHyphen/>
        <w:t>ставил всестороннюю характеристику экономики как системы, функционирующей на основе единых принципов и законов разви</w:t>
      </w:r>
      <w:r w:rsidRPr="00B01894">
        <w:rPr>
          <w:rFonts w:ascii="Bookman Old Style" w:eastAsia="Bookman Old Style" w:hAnsi="Bookman Old Style" w:cs="Bookman Old Style"/>
          <w:color w:val="231F20"/>
          <w:sz w:val="18"/>
          <w:szCs w:val="18"/>
        </w:rPr>
        <w:softHyphen/>
        <w:t>тия, показал роль производительного труда как источника порожде</w:t>
      </w:r>
      <w:r w:rsidRPr="00B01894">
        <w:rPr>
          <w:rFonts w:ascii="Bookman Old Style" w:eastAsia="Bookman Old Style" w:hAnsi="Bookman Old Style" w:cs="Bookman Old Style"/>
          <w:color w:val="231F20"/>
          <w:sz w:val="18"/>
          <w:szCs w:val="18"/>
        </w:rPr>
        <w:softHyphen/>
        <w:t>ния богатства и благосостояния, указал, что в создании стоимости участвуют ключевые факторы производства — труд, земля и капи</w:t>
      </w:r>
      <w:r w:rsidRPr="00B01894">
        <w:rPr>
          <w:rFonts w:ascii="Bookman Old Style" w:eastAsia="Bookman Old Style" w:hAnsi="Bookman Old Style" w:cs="Bookman Old Style"/>
          <w:color w:val="231F20"/>
          <w:sz w:val="18"/>
          <w:szCs w:val="18"/>
        </w:rPr>
        <w:softHyphen/>
        <w:t>тал и каждый из них вносит свой вклад в создание общественного продукта.</w:t>
      </w:r>
    </w:p>
    <w:p w14:paraId="6585189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Особый интерес в работе А. Смита представляет анализ мотивов экономического поведения субъектов и обоснование принципов не</w:t>
      </w:r>
      <w:r w:rsidRPr="00B01894">
        <w:rPr>
          <w:rFonts w:ascii="Bookman Old Style" w:eastAsia="Bookman Old Style" w:hAnsi="Bookman Old Style" w:cs="Bookman Old Style"/>
          <w:color w:val="231F20"/>
          <w:sz w:val="18"/>
          <w:szCs w:val="18"/>
        </w:rPr>
        <w:softHyphen/>
        <w:t>вмешательства государства в экономическую жизнь. Свобода пред</w:t>
      </w:r>
      <w:r w:rsidRPr="00B01894">
        <w:rPr>
          <w:rFonts w:ascii="Bookman Old Style" w:eastAsia="Bookman Old Style" w:hAnsi="Bookman Old Style" w:cs="Bookman Old Style"/>
          <w:color w:val="231F20"/>
          <w:sz w:val="18"/>
          <w:szCs w:val="18"/>
        </w:rPr>
        <w:softHyphen/>
        <w:t xml:space="preserve">принимательства — </w:t>
      </w:r>
      <w:r w:rsidRPr="00B01894">
        <w:rPr>
          <w:rFonts w:ascii="Bookman Old Style" w:eastAsia="Bookman Old Style" w:hAnsi="Bookman Old Style" w:cs="Bookman Old Style"/>
          <w:i/>
          <w:iCs/>
          <w:color w:val="231F20"/>
          <w:sz w:val="18"/>
          <w:szCs w:val="18"/>
          <w:lang w:val="en-US" w:eastAsia="en-US" w:bidi="en-US"/>
        </w:rPr>
        <w:t>laisser</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faire</w:t>
      </w:r>
      <w:r w:rsidRPr="00B01894">
        <w:rPr>
          <w:rFonts w:ascii="Bookman Old Style" w:eastAsia="Bookman Old Style" w:hAnsi="Bookman Old Style" w:cs="Bookman Old Style"/>
          <w:i/>
          <w:iCs/>
          <w:color w:val="231F20"/>
          <w:sz w:val="18"/>
          <w:szCs w:val="18"/>
          <w:lang w:eastAsia="en-US" w:bidi="en-US"/>
        </w:rPr>
        <w:t>,</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по мнению Смита, является крае</w:t>
      </w:r>
      <w:r w:rsidRPr="00B01894">
        <w:rPr>
          <w:rFonts w:ascii="Bookman Old Style" w:eastAsia="Bookman Old Style" w:hAnsi="Bookman Old Style" w:cs="Bookman Old Style"/>
          <w:color w:val="231F20"/>
          <w:sz w:val="18"/>
          <w:szCs w:val="18"/>
        </w:rPr>
        <w:softHyphen/>
        <w:t>угольным камнем экономики, а государственное вмешательство должно быть сведено к минимуму. Согласно Смиту каждый эко</w:t>
      </w:r>
      <w:r w:rsidRPr="00B01894">
        <w:rPr>
          <w:rFonts w:ascii="Bookman Old Style" w:eastAsia="Bookman Old Style" w:hAnsi="Bookman Old Style" w:cs="Bookman Old Style"/>
          <w:color w:val="231F20"/>
          <w:sz w:val="18"/>
          <w:szCs w:val="18"/>
        </w:rPr>
        <w:softHyphen/>
        <w:t xml:space="preserve">номический субъект действует как «экономический человек», т. е. преследующий </w:t>
      </w:r>
      <w:r w:rsidRPr="00B01894">
        <w:rPr>
          <w:rFonts w:ascii="Bookman Old Style" w:eastAsia="Bookman Old Style" w:hAnsi="Bookman Old Style" w:cs="Bookman Old Style"/>
          <w:color w:val="231F20"/>
          <w:sz w:val="18"/>
          <w:szCs w:val="18"/>
        </w:rPr>
        <w:lastRenderedPageBreak/>
        <w:t>исключительно свою выгоду «эгоист». Однако это не означает, что миллионы «эгоистов» не смогут быть полезны друг другу в экономической деятельности без помощи извне со стороны государства. Дело в том, что невозможно извлекать выгоду, не бу</w:t>
      </w:r>
      <w:r w:rsidRPr="00B01894">
        <w:rPr>
          <w:rFonts w:ascii="Bookman Old Style" w:eastAsia="Bookman Old Style" w:hAnsi="Bookman Old Style" w:cs="Bookman Old Style"/>
          <w:color w:val="231F20"/>
          <w:sz w:val="18"/>
          <w:szCs w:val="18"/>
        </w:rPr>
        <w:softHyphen/>
        <w:t>дучи полезным другим членам общества. Если каждый свободен в своем выборе, то это означает не только свободу производства, но и свободу потребления, а это значит, что силы спроса и предло</w:t>
      </w:r>
      <w:r w:rsidRPr="00B01894">
        <w:rPr>
          <w:rFonts w:ascii="Bookman Old Style" w:eastAsia="Bookman Old Style" w:hAnsi="Bookman Old Style" w:cs="Bookman Old Style"/>
          <w:color w:val="231F20"/>
          <w:sz w:val="18"/>
          <w:szCs w:val="18"/>
        </w:rPr>
        <w:softHyphen/>
        <w:t>жения будут уравновешивать друг друга, а любые дисбалансы долж</w:t>
      </w:r>
      <w:r w:rsidRPr="00B01894">
        <w:rPr>
          <w:rFonts w:ascii="Bookman Old Style" w:eastAsia="Bookman Old Style" w:hAnsi="Bookman Old Style" w:cs="Bookman Old Style"/>
          <w:color w:val="231F20"/>
          <w:sz w:val="18"/>
          <w:szCs w:val="18"/>
        </w:rPr>
        <w:softHyphen/>
        <w:t>ны устраняться «невидимой рукой рынка».</w:t>
      </w:r>
    </w:p>
    <w:p w14:paraId="3E0D266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 в этом смысле свободная экономика представляется наиболее эффективной моделью с точки зрения как использования ограни</w:t>
      </w:r>
      <w:r w:rsidRPr="00B01894">
        <w:rPr>
          <w:rFonts w:ascii="Bookman Old Style" w:eastAsia="Bookman Old Style" w:hAnsi="Bookman Old Style" w:cs="Bookman Old Style"/>
          <w:color w:val="231F20"/>
          <w:sz w:val="18"/>
          <w:szCs w:val="18"/>
        </w:rPr>
        <w:softHyphen/>
        <w:t>ченных ресурсов — ресурсы не будут тратиться на производство ни</w:t>
      </w:r>
      <w:r w:rsidRPr="00B01894">
        <w:rPr>
          <w:rFonts w:ascii="Bookman Old Style" w:eastAsia="Bookman Old Style" w:hAnsi="Bookman Old Style" w:cs="Bookman Old Style"/>
          <w:color w:val="231F20"/>
          <w:sz w:val="18"/>
          <w:szCs w:val="18"/>
        </w:rPr>
        <w:softHyphen/>
        <w:t>кому не нужных товаров, так и эффективности производства — ры</w:t>
      </w:r>
      <w:r w:rsidRPr="00B01894">
        <w:rPr>
          <w:rFonts w:ascii="Bookman Old Style" w:eastAsia="Bookman Old Style" w:hAnsi="Bookman Old Style" w:cs="Bookman Old Style"/>
          <w:color w:val="231F20"/>
          <w:sz w:val="18"/>
          <w:szCs w:val="18"/>
        </w:rPr>
        <w:softHyphen/>
        <w:t>нок вытеснит за свои пределы непроизводительные производства и некачественную продукцию. Роль же государства сводится к соз</w:t>
      </w:r>
      <w:r w:rsidRPr="00B01894">
        <w:rPr>
          <w:rFonts w:ascii="Bookman Old Style" w:eastAsia="Bookman Old Style" w:hAnsi="Bookman Old Style" w:cs="Bookman Old Style"/>
          <w:color w:val="231F20"/>
          <w:sz w:val="18"/>
          <w:szCs w:val="18"/>
        </w:rPr>
        <w:softHyphen/>
        <w:t>данию благоприятных условий для бизнеса и формированию еди</w:t>
      </w:r>
      <w:r w:rsidRPr="00B01894">
        <w:rPr>
          <w:rFonts w:ascii="Bookman Old Style" w:eastAsia="Bookman Old Style" w:hAnsi="Bookman Old Style" w:cs="Bookman Old Style"/>
          <w:color w:val="231F20"/>
          <w:sz w:val="18"/>
          <w:szCs w:val="18"/>
        </w:rPr>
        <w:softHyphen/>
        <w:t>ной для всех экономической среды — законов и институтов рынка.</w:t>
      </w:r>
    </w:p>
    <w:p w14:paraId="19873D8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дальнейшем взгляды А. Смита были развиты в трудах других выдающихся представителей классического направления эконо</w:t>
      </w:r>
      <w:r w:rsidRPr="00B01894">
        <w:rPr>
          <w:rFonts w:ascii="Bookman Old Style" w:eastAsia="Bookman Old Style" w:hAnsi="Bookman Old Style" w:cs="Bookman Old Style"/>
          <w:color w:val="231F20"/>
          <w:sz w:val="18"/>
          <w:szCs w:val="18"/>
        </w:rPr>
        <w:softHyphen/>
        <w:t>мической мысли, таких как Д. Рикардо, Ж. Б. Сэй, Дж. С. Милль, А. Маршалл и многие другие. Каждый из них внес определенный вклад в развитие экономической теории, анализ процессов произ</w:t>
      </w:r>
      <w:r w:rsidRPr="00B01894">
        <w:rPr>
          <w:rFonts w:ascii="Bookman Old Style" w:eastAsia="Bookman Old Style" w:hAnsi="Bookman Old Style" w:cs="Bookman Old Style"/>
          <w:color w:val="231F20"/>
          <w:sz w:val="18"/>
          <w:szCs w:val="18"/>
        </w:rPr>
        <w:softHyphen/>
        <w:t>водства и потребления, сбережения и инвестирования, объяснение мотивов поведения субъектов рынка и т. д. Несмотря на имеющие</w:t>
      </w:r>
      <w:r w:rsidRPr="00B01894">
        <w:rPr>
          <w:rFonts w:ascii="Bookman Old Style" w:eastAsia="Bookman Old Style" w:hAnsi="Bookman Old Style" w:cs="Bookman Old Style"/>
          <w:color w:val="231F20"/>
          <w:sz w:val="18"/>
          <w:szCs w:val="18"/>
        </w:rPr>
        <w:softHyphen/>
        <w:t>ся различия в трактовке тех или иных вопросов, спорность и проти</w:t>
      </w:r>
      <w:r w:rsidRPr="00B01894">
        <w:rPr>
          <w:rFonts w:ascii="Bookman Old Style" w:eastAsia="Bookman Old Style" w:hAnsi="Bookman Old Style" w:cs="Bookman Old Style"/>
          <w:color w:val="231F20"/>
          <w:sz w:val="18"/>
          <w:szCs w:val="18"/>
        </w:rPr>
        <w:softHyphen/>
        <w:t>воречивость некоторых идей или теорий, все представители клас</w:t>
      </w:r>
      <w:r w:rsidRPr="00B01894">
        <w:rPr>
          <w:rFonts w:ascii="Bookman Old Style" w:eastAsia="Bookman Old Style" w:hAnsi="Bookman Old Style" w:cs="Bookman Old Style"/>
          <w:color w:val="231F20"/>
          <w:sz w:val="18"/>
          <w:szCs w:val="18"/>
        </w:rPr>
        <w:softHyphen/>
        <w:t>сической школы сходны в одном — в понимании роли свободного предпринимательства как основы экономической деятельности и незыблемости принципов невмешательства государства в эконо</w:t>
      </w:r>
      <w:r w:rsidRPr="00B01894">
        <w:rPr>
          <w:rFonts w:ascii="Bookman Old Style" w:eastAsia="Bookman Old Style" w:hAnsi="Bookman Old Style" w:cs="Bookman Old Style"/>
          <w:color w:val="231F20"/>
          <w:sz w:val="18"/>
          <w:szCs w:val="18"/>
        </w:rPr>
        <w:softHyphen/>
        <w:t>мику.</w:t>
      </w:r>
    </w:p>
    <w:p w14:paraId="7450EE8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Сегодня обобщенные взгляды классической школы экономиче</w:t>
      </w:r>
      <w:r w:rsidRPr="00B01894">
        <w:rPr>
          <w:rFonts w:ascii="Bookman Old Style" w:eastAsia="Bookman Old Style" w:hAnsi="Bookman Old Style" w:cs="Bookman Old Style"/>
          <w:color w:val="231F20"/>
          <w:sz w:val="18"/>
          <w:szCs w:val="18"/>
        </w:rPr>
        <w:softHyphen/>
        <w:t>ской теории мы изучаем в учебниках как во вводных курсах дис</w:t>
      </w:r>
      <w:r w:rsidRPr="00B01894">
        <w:rPr>
          <w:rFonts w:ascii="Bookman Old Style" w:eastAsia="Bookman Old Style" w:hAnsi="Bookman Old Style" w:cs="Bookman Old Style"/>
          <w:color w:val="231F20"/>
          <w:sz w:val="18"/>
          <w:szCs w:val="18"/>
        </w:rPr>
        <w:softHyphen/>
        <w:t>циплины «Экономика», так и в специальных курсах микроэкономи</w:t>
      </w:r>
      <w:r w:rsidRPr="00B01894">
        <w:rPr>
          <w:rFonts w:ascii="Bookman Old Style" w:eastAsia="Bookman Old Style" w:hAnsi="Bookman Old Style" w:cs="Bookman Old Style"/>
          <w:color w:val="231F20"/>
          <w:sz w:val="18"/>
          <w:szCs w:val="18"/>
        </w:rPr>
        <w:softHyphen/>
        <w:t>ки и макроэкономики. Современное представление о классической концепции основано на определенных основополагающих принци</w:t>
      </w:r>
      <w:r w:rsidRPr="00B01894">
        <w:rPr>
          <w:rFonts w:ascii="Bookman Old Style" w:eastAsia="Bookman Old Style" w:hAnsi="Bookman Old Style" w:cs="Bookman Old Style"/>
          <w:color w:val="231F20"/>
          <w:sz w:val="18"/>
          <w:szCs w:val="18"/>
        </w:rPr>
        <w:softHyphen/>
        <w:t>пах функционирования экономики и характере поведения эконо</w:t>
      </w:r>
      <w:r w:rsidRPr="00B01894">
        <w:rPr>
          <w:rFonts w:ascii="Bookman Old Style" w:eastAsia="Bookman Old Style" w:hAnsi="Bookman Old Style" w:cs="Bookman Old Style"/>
          <w:color w:val="231F20"/>
          <w:sz w:val="18"/>
          <w:szCs w:val="18"/>
        </w:rPr>
        <w:softHyphen/>
        <w:t>мических субъектов, среди которых можно отметить следующие:</w:t>
      </w:r>
    </w:p>
    <w:p w14:paraId="5FDCE7D2"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экономика по своей природе является экономикой совершен</w:t>
      </w:r>
      <w:r w:rsidRPr="00B01894">
        <w:rPr>
          <w:rFonts w:ascii="Bookman Old Style" w:eastAsia="Bookman Old Style" w:hAnsi="Bookman Old Style" w:cs="Bookman Old Style"/>
          <w:color w:val="231F20"/>
          <w:sz w:val="18"/>
          <w:szCs w:val="18"/>
        </w:rPr>
        <w:softHyphen/>
        <w:t>ной конкуренции, а наблюдающееся «несовершенство» рынков есть следствие внешнего воздействия, в первую очередь государственно</w:t>
      </w:r>
      <w:r w:rsidRPr="00B01894">
        <w:rPr>
          <w:rFonts w:ascii="Bookman Old Style" w:eastAsia="Bookman Old Style" w:hAnsi="Bookman Old Style" w:cs="Bookman Old Style"/>
          <w:color w:val="231F20"/>
          <w:sz w:val="18"/>
          <w:szCs w:val="18"/>
        </w:rPr>
        <w:softHyphen/>
        <w:t>го регулирования и чрезмерных регламентаций;</w:t>
      </w:r>
    </w:p>
    <w:p w14:paraId="38B65781"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экономические субъекты действуют рационально, опираясь на формально выраженные объективные параметры состояния рынка и стараясь использовать всю доступную имеющуюся инфор</w:t>
      </w:r>
      <w:r w:rsidRPr="00B01894">
        <w:rPr>
          <w:rFonts w:ascii="Bookman Old Style" w:eastAsia="Bookman Old Style" w:hAnsi="Bookman Old Style" w:cs="Bookman Old Style"/>
          <w:color w:val="231F20"/>
          <w:sz w:val="18"/>
          <w:szCs w:val="18"/>
        </w:rPr>
        <w:softHyphen/>
        <w:t>мацию;</w:t>
      </w:r>
    </w:p>
    <w:p w14:paraId="4647BF23"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отсутствие государственного регулирования цены являются гибкими, способными оперативно меняться в сторону как повыше</w:t>
      </w:r>
      <w:r w:rsidRPr="00B01894">
        <w:rPr>
          <w:rFonts w:ascii="Bookman Old Style" w:eastAsia="Bookman Old Style" w:hAnsi="Bookman Old Style" w:cs="Bookman Old Style"/>
          <w:color w:val="231F20"/>
          <w:sz w:val="18"/>
          <w:szCs w:val="18"/>
        </w:rPr>
        <w:softHyphen/>
        <w:t>ния, так и снижения;</w:t>
      </w:r>
    </w:p>
    <w:p w14:paraId="497C824C"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деньги нейтральны, и изменение их количества не может по</w:t>
      </w:r>
      <w:r w:rsidRPr="00B01894">
        <w:rPr>
          <w:rFonts w:ascii="Bookman Old Style" w:eastAsia="Bookman Old Style" w:hAnsi="Bookman Old Style" w:cs="Bookman Old Style"/>
          <w:color w:val="231F20"/>
          <w:sz w:val="18"/>
          <w:szCs w:val="18"/>
        </w:rPr>
        <w:softHyphen/>
        <w:t>влиять на реальные параметры экономики, отражаясь только в из</w:t>
      </w:r>
      <w:r w:rsidRPr="00B01894">
        <w:rPr>
          <w:rFonts w:ascii="Bookman Old Style" w:eastAsia="Bookman Old Style" w:hAnsi="Bookman Old Style" w:cs="Bookman Old Style"/>
          <w:color w:val="231F20"/>
          <w:sz w:val="18"/>
          <w:szCs w:val="18"/>
        </w:rPr>
        <w:softHyphen/>
        <w:t>менении цен.</w:t>
      </w:r>
    </w:p>
    <w:p w14:paraId="489F7C9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Данные принципы, выраженные как постулаты функциониро</w:t>
      </w:r>
      <w:r w:rsidRPr="00B01894">
        <w:rPr>
          <w:rFonts w:ascii="Bookman Old Style" w:eastAsia="Bookman Old Style" w:hAnsi="Bookman Old Style" w:cs="Bookman Old Style"/>
          <w:color w:val="231F20"/>
          <w:sz w:val="18"/>
          <w:szCs w:val="18"/>
        </w:rPr>
        <w:softHyphen/>
        <w:t>вания экономики, позволяют представить экономику как саморе</w:t>
      </w:r>
      <w:r w:rsidRPr="00B01894">
        <w:rPr>
          <w:rFonts w:ascii="Bookman Old Style" w:eastAsia="Bookman Old Style" w:hAnsi="Bookman Old Style" w:cs="Bookman Old Style"/>
          <w:color w:val="231F20"/>
          <w:sz w:val="18"/>
          <w:szCs w:val="18"/>
        </w:rPr>
        <w:softHyphen/>
        <w:t>гулирующуюся систему, которая находится в равновесном состоя</w:t>
      </w:r>
      <w:r w:rsidRPr="00B01894">
        <w:rPr>
          <w:rFonts w:ascii="Bookman Old Style" w:eastAsia="Bookman Old Style" w:hAnsi="Bookman Old Style" w:cs="Bookman Old Style"/>
          <w:color w:val="231F20"/>
          <w:sz w:val="18"/>
          <w:szCs w:val="18"/>
        </w:rPr>
        <w:softHyphen/>
        <w:t>нии, а любые отклонения от него позволяют устранить встроенные стабилизаторы. Так, принцип совершенной конкуренции позво</w:t>
      </w:r>
      <w:r w:rsidRPr="00B01894">
        <w:rPr>
          <w:rFonts w:ascii="Bookman Old Style" w:eastAsia="Bookman Old Style" w:hAnsi="Bookman Old Style" w:cs="Bookman Old Style"/>
          <w:color w:val="231F20"/>
          <w:sz w:val="18"/>
          <w:szCs w:val="18"/>
        </w:rPr>
        <w:softHyphen/>
        <w:t>ляет не допускать дефицитов или избытков на рынке благ, рацио</w:t>
      </w:r>
      <w:r w:rsidRPr="00B01894">
        <w:rPr>
          <w:rFonts w:ascii="Bookman Old Style" w:eastAsia="Bookman Old Style" w:hAnsi="Bookman Old Style" w:cs="Bookman Old Style"/>
          <w:color w:val="231F20"/>
          <w:sz w:val="18"/>
          <w:szCs w:val="18"/>
        </w:rPr>
        <w:softHyphen/>
        <w:t>нальность поведения способствует эффективному использованию ресурсов в производстве и потреблении, гибкость цен (как на то</w:t>
      </w:r>
      <w:r w:rsidRPr="00B01894">
        <w:rPr>
          <w:rFonts w:ascii="Bookman Old Style" w:eastAsia="Bookman Old Style" w:hAnsi="Bookman Old Style" w:cs="Bookman Old Style"/>
          <w:color w:val="231F20"/>
          <w:sz w:val="18"/>
          <w:szCs w:val="18"/>
        </w:rPr>
        <w:softHyphen/>
        <w:t>вары и услуги, так и на факторы производства) обеспечивает нали</w:t>
      </w:r>
      <w:r w:rsidRPr="00B01894">
        <w:rPr>
          <w:rFonts w:ascii="Bookman Old Style" w:eastAsia="Bookman Old Style" w:hAnsi="Bookman Old Style" w:cs="Bookman Old Style"/>
          <w:color w:val="231F20"/>
          <w:sz w:val="18"/>
          <w:szCs w:val="18"/>
        </w:rPr>
        <w:softHyphen/>
        <w:t>чие встроенных стабилизаторов, а нейтральность денег указывает на тщетность стимулирования экономики путем «накачивания» ее деньгами.</w:t>
      </w:r>
    </w:p>
    <w:p w14:paraId="297C9F8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Что же остается за государством, по мнению классиков? Государ</w:t>
      </w:r>
      <w:r w:rsidRPr="00B01894">
        <w:rPr>
          <w:rFonts w:ascii="Bookman Old Style" w:eastAsia="Bookman Old Style" w:hAnsi="Bookman Old Style" w:cs="Bookman Old Style"/>
          <w:color w:val="231F20"/>
          <w:sz w:val="18"/>
          <w:szCs w:val="18"/>
        </w:rPr>
        <w:softHyphen/>
        <w:t>ство должно выполнять функции, обеспечивающие функционирова</w:t>
      </w:r>
      <w:r w:rsidRPr="00B01894">
        <w:rPr>
          <w:rFonts w:ascii="Bookman Old Style" w:eastAsia="Bookman Old Style" w:hAnsi="Bookman Old Style" w:cs="Bookman Old Style"/>
          <w:color w:val="231F20"/>
          <w:sz w:val="18"/>
          <w:szCs w:val="18"/>
        </w:rPr>
        <w:softHyphen/>
        <w:t>ние экономики как единого целого, а именно:</w:t>
      </w:r>
    </w:p>
    <w:p w14:paraId="2D00C7A0"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устанавливать единый свод правил поведения в обществе, в том числе экономического поведения, сформировав законодатель</w:t>
      </w:r>
      <w:r w:rsidRPr="00B01894">
        <w:rPr>
          <w:rFonts w:ascii="Bookman Old Style" w:eastAsia="Bookman Old Style" w:hAnsi="Bookman Old Style" w:cs="Bookman Old Style"/>
          <w:color w:val="231F20"/>
          <w:sz w:val="18"/>
          <w:szCs w:val="18"/>
        </w:rPr>
        <w:softHyphen/>
        <w:t>ную базу для бизнеса и эффективную судебную систему;</w:t>
      </w:r>
    </w:p>
    <w:p w14:paraId="11F706D7" w14:textId="77777777" w:rsidR="00B01894" w:rsidRPr="00B01894" w:rsidRDefault="00B01894" w:rsidP="00B01894">
      <w:pPr>
        <w:widowControl w:val="0"/>
        <w:numPr>
          <w:ilvl w:val="0"/>
          <w:numId w:val="8"/>
        </w:numPr>
        <w:tabs>
          <w:tab w:val="left" w:pos="67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обеспечивать общественную безопасность ведения бизнеса;</w:t>
      </w:r>
    </w:p>
    <w:p w14:paraId="4CCE250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формировать и поддерживать функционирование общенацио</w:t>
      </w:r>
      <w:r w:rsidRPr="00B01894">
        <w:rPr>
          <w:rFonts w:ascii="Bookman Old Style" w:eastAsia="Bookman Old Style" w:hAnsi="Bookman Old Style" w:cs="Bookman Old Style"/>
          <w:color w:val="231F20"/>
          <w:sz w:val="18"/>
          <w:szCs w:val="18"/>
        </w:rPr>
        <w:softHyphen/>
        <w:t>нальных институтов, в первую очередь социальных, создание кото</w:t>
      </w:r>
      <w:r w:rsidRPr="00B01894">
        <w:rPr>
          <w:rFonts w:ascii="Bookman Old Style" w:eastAsia="Bookman Old Style" w:hAnsi="Bookman Old Style" w:cs="Bookman Old Style"/>
          <w:color w:val="231F20"/>
          <w:sz w:val="18"/>
          <w:szCs w:val="18"/>
        </w:rPr>
        <w:softHyphen/>
        <w:t>рых невозможно в рамках частной инициативы.</w:t>
      </w:r>
    </w:p>
    <w:p w14:paraId="1B70070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Однако экономическое развитие капитализма, особенно начиная с середины XIX — начала XX в., показало, что принципы свободного предпринимательства далеко не всегда и не везде приводили к ожи</w:t>
      </w:r>
      <w:r w:rsidRPr="00B01894">
        <w:rPr>
          <w:rFonts w:ascii="Bookman Old Style" w:eastAsia="Bookman Old Style" w:hAnsi="Bookman Old Style" w:cs="Bookman Old Style"/>
          <w:color w:val="231F20"/>
          <w:sz w:val="18"/>
          <w:szCs w:val="18"/>
        </w:rPr>
        <w:softHyphen/>
        <w:t>даемому результату. Усилились циклические проявления в экономи</w:t>
      </w:r>
      <w:r w:rsidRPr="00B01894">
        <w:rPr>
          <w:rFonts w:ascii="Bookman Old Style" w:eastAsia="Bookman Old Style" w:hAnsi="Bookman Old Style" w:cs="Bookman Old Style"/>
          <w:color w:val="231F20"/>
          <w:sz w:val="18"/>
          <w:szCs w:val="18"/>
        </w:rPr>
        <w:softHyphen/>
        <w:t>ческой динамике, кризисы стали нормой, стала появляться высокая безработица, усилились социальное неравенство и расслоение об</w:t>
      </w:r>
      <w:r w:rsidRPr="00B01894">
        <w:rPr>
          <w:rFonts w:ascii="Bookman Old Style" w:eastAsia="Bookman Old Style" w:hAnsi="Bookman Old Style" w:cs="Bookman Old Style"/>
          <w:color w:val="231F20"/>
          <w:sz w:val="18"/>
          <w:szCs w:val="18"/>
        </w:rPr>
        <w:softHyphen/>
        <w:t>щества. Возрастание концентрации производства привело к высо</w:t>
      </w:r>
      <w:r w:rsidRPr="00B01894">
        <w:rPr>
          <w:rFonts w:ascii="Bookman Old Style" w:eastAsia="Bookman Old Style" w:hAnsi="Bookman Old Style" w:cs="Bookman Old Style"/>
          <w:color w:val="231F20"/>
          <w:sz w:val="18"/>
          <w:szCs w:val="18"/>
        </w:rPr>
        <w:softHyphen/>
        <w:t>кой степени его монополизации, что негативно сказывалось на его эффективности и подрывало принцип рациональности использова</w:t>
      </w:r>
      <w:r w:rsidRPr="00B01894">
        <w:rPr>
          <w:rFonts w:ascii="Bookman Old Style" w:eastAsia="Bookman Old Style" w:hAnsi="Bookman Old Style" w:cs="Bookman Old Style"/>
          <w:color w:val="231F20"/>
          <w:sz w:val="18"/>
          <w:szCs w:val="18"/>
        </w:rPr>
        <w:softHyphen/>
        <w:t>ния ресурсов. И в экономической науке стали появляться новые те</w:t>
      </w:r>
      <w:r w:rsidRPr="00B01894">
        <w:rPr>
          <w:rFonts w:ascii="Bookman Old Style" w:eastAsia="Bookman Old Style" w:hAnsi="Bookman Old Style" w:cs="Bookman Old Style"/>
          <w:color w:val="231F20"/>
          <w:sz w:val="18"/>
          <w:szCs w:val="18"/>
        </w:rPr>
        <w:softHyphen/>
        <w:t>чения, которые указывали на имеющиеся противоречия и предлага</w:t>
      </w:r>
      <w:r w:rsidRPr="00B01894">
        <w:rPr>
          <w:rFonts w:ascii="Bookman Old Style" w:eastAsia="Bookman Old Style" w:hAnsi="Bookman Old Style" w:cs="Bookman Old Style"/>
          <w:color w:val="231F20"/>
          <w:sz w:val="18"/>
          <w:szCs w:val="18"/>
        </w:rPr>
        <w:softHyphen/>
        <w:t>ли способы их устранения, в том числе обосновывая необходимость государственного вмешательства в экономическую жизнь.</w:t>
      </w:r>
    </w:p>
    <w:p w14:paraId="33C9ED2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 этом если одни ученые исходили из принципиальной жиз</w:t>
      </w:r>
      <w:r w:rsidRPr="00B01894">
        <w:rPr>
          <w:rFonts w:ascii="Bookman Old Style" w:eastAsia="Bookman Old Style" w:hAnsi="Bookman Old Style" w:cs="Bookman Old Style"/>
          <w:color w:val="231F20"/>
          <w:sz w:val="18"/>
          <w:szCs w:val="18"/>
        </w:rPr>
        <w:softHyphen/>
        <w:t>неспособности экономической системы свободного рынка и видели необходимость государственного регулирования лишь в ограничен</w:t>
      </w:r>
      <w:r w:rsidRPr="00B01894">
        <w:rPr>
          <w:rFonts w:ascii="Bookman Old Style" w:eastAsia="Bookman Old Style" w:hAnsi="Bookman Old Style" w:cs="Bookman Old Style"/>
          <w:color w:val="231F20"/>
          <w:sz w:val="18"/>
          <w:szCs w:val="18"/>
        </w:rPr>
        <w:softHyphen/>
        <w:t>ных областях, в первую очередь в сферах распределения и денеж</w:t>
      </w:r>
      <w:r w:rsidRPr="00B01894">
        <w:rPr>
          <w:rFonts w:ascii="Bookman Old Style" w:eastAsia="Bookman Old Style" w:hAnsi="Bookman Old Style" w:cs="Bookman Old Style"/>
          <w:color w:val="231F20"/>
          <w:sz w:val="18"/>
          <w:szCs w:val="18"/>
        </w:rPr>
        <w:softHyphen/>
        <w:t>ного обращения, то другие считали систему свободного рынка обреченной, так как непреодолимые противоречия заложены уже в сфере производства.</w:t>
      </w:r>
    </w:p>
    <w:p w14:paraId="649B128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Наиболее известным критиком системы свободной конкуренции был К. Маркс. В его главном труде «Капитал», заложившем основу такого </w:t>
      </w:r>
      <w:r w:rsidRPr="00B01894">
        <w:rPr>
          <w:rFonts w:ascii="Bookman Old Style" w:eastAsia="Bookman Old Style" w:hAnsi="Bookman Old Style" w:cs="Bookman Old Style"/>
          <w:color w:val="231F20"/>
          <w:sz w:val="18"/>
          <w:szCs w:val="18"/>
        </w:rPr>
        <w:lastRenderedPageBreak/>
        <w:t>экономического учения, как марксизм, мы сталкиваемся с анализом процесса воспроизводства на основе трудовой теории стоимости. Основное внимание Маркс уделяет процессу создания стоимости и присвоения прибавочного продукта в условиях эксплу</w:t>
      </w:r>
      <w:r w:rsidRPr="00B01894">
        <w:rPr>
          <w:rFonts w:ascii="Bookman Old Style" w:eastAsia="Bookman Old Style" w:hAnsi="Bookman Old Style" w:cs="Bookman Old Style"/>
          <w:color w:val="231F20"/>
          <w:sz w:val="18"/>
          <w:szCs w:val="18"/>
        </w:rPr>
        <w:softHyphen/>
        <w:t>атации. Выводы, к которым приходит К. Маркс, сводятся не толь</w:t>
      </w:r>
      <w:r w:rsidRPr="00B01894">
        <w:rPr>
          <w:rFonts w:ascii="Bookman Old Style" w:eastAsia="Bookman Old Style" w:hAnsi="Bookman Old Style" w:cs="Bookman Old Style"/>
          <w:color w:val="231F20"/>
          <w:sz w:val="18"/>
          <w:szCs w:val="18"/>
        </w:rPr>
        <w:softHyphen/>
        <w:t>ко к отрицанию принципов свободного предпринимательства, но и к невозможности преодоления противоречий в условиях част</w:t>
      </w:r>
      <w:r w:rsidRPr="00B01894">
        <w:rPr>
          <w:rFonts w:ascii="Bookman Old Style" w:eastAsia="Bookman Old Style" w:hAnsi="Bookman Old Style" w:cs="Bookman Old Style"/>
          <w:color w:val="231F20"/>
          <w:sz w:val="18"/>
          <w:szCs w:val="18"/>
        </w:rPr>
        <w:softHyphen/>
        <w:t>ной собственности. Таким образом, по мнению Маркса, необходимо не просто государственное вмешательство, а переделка самого госу</w:t>
      </w:r>
      <w:r w:rsidRPr="00B01894">
        <w:rPr>
          <w:rFonts w:ascii="Bookman Old Style" w:eastAsia="Bookman Old Style" w:hAnsi="Bookman Old Style" w:cs="Bookman Old Style"/>
          <w:color w:val="231F20"/>
          <w:sz w:val="18"/>
          <w:szCs w:val="18"/>
        </w:rPr>
        <w:softHyphen/>
        <w:t>дарства, изменение социально-политического строя, т. е. создание государства, где производство основано на принципах обществен</w:t>
      </w:r>
      <w:r w:rsidRPr="00B01894">
        <w:rPr>
          <w:rFonts w:ascii="Bookman Old Style" w:eastAsia="Bookman Old Style" w:hAnsi="Bookman Old Style" w:cs="Bookman Old Style"/>
          <w:color w:val="231F20"/>
          <w:sz w:val="18"/>
          <w:szCs w:val="18"/>
        </w:rPr>
        <w:softHyphen/>
        <w:t>ной собственности на средства производства и плановом ведении хозяйства.</w:t>
      </w:r>
    </w:p>
    <w:p w14:paraId="2C22DBC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Идеи Маркса были развиты В. И. Лениным — основоположни</w:t>
      </w:r>
      <w:r w:rsidRPr="00B01894">
        <w:rPr>
          <w:rFonts w:ascii="Bookman Old Style" w:eastAsia="Bookman Old Style" w:hAnsi="Bookman Old Style" w:cs="Bookman Old Style"/>
          <w:color w:val="231F20"/>
          <w:sz w:val="18"/>
          <w:szCs w:val="18"/>
        </w:rPr>
        <w:softHyphen/>
        <w:t>ком советского государства, и в СССР в течение 70 лет существовало общество, основанное на провозглашенных К. Марксом принципах. В СССР государство было не просто основным субъектом экономи</w:t>
      </w:r>
      <w:r w:rsidRPr="00B01894">
        <w:rPr>
          <w:rFonts w:ascii="Bookman Old Style" w:eastAsia="Bookman Old Style" w:hAnsi="Bookman Old Style" w:cs="Bookman Old Style"/>
          <w:color w:val="231F20"/>
          <w:sz w:val="18"/>
          <w:szCs w:val="18"/>
        </w:rPr>
        <w:softHyphen/>
        <w:t>ки — оно регулировало практически все сферы экономической жиз</w:t>
      </w:r>
      <w:r w:rsidRPr="00B01894">
        <w:rPr>
          <w:rFonts w:ascii="Bookman Old Style" w:eastAsia="Bookman Old Style" w:hAnsi="Bookman Old Style" w:cs="Bookman Old Style"/>
          <w:color w:val="231F20"/>
          <w:sz w:val="18"/>
          <w:szCs w:val="18"/>
        </w:rPr>
        <w:softHyphen/>
        <w:t>ни. Всеобщее планирование, сочетаемое с ленинскими принципа</w:t>
      </w:r>
      <w:r w:rsidRPr="00B01894">
        <w:rPr>
          <w:rFonts w:ascii="Bookman Old Style" w:eastAsia="Bookman Old Style" w:hAnsi="Bookman Old Style" w:cs="Bookman Old Style"/>
          <w:color w:val="231F20"/>
          <w:sz w:val="18"/>
          <w:szCs w:val="18"/>
        </w:rPr>
        <w:softHyphen/>
        <w:t>ми учета и контроля, привело к созданию экономической системы, получившей название командно-административной. Данная модель экономики в целом показала свою жизнеспособность, в первую оче</w:t>
      </w:r>
      <w:r w:rsidRPr="00B01894">
        <w:rPr>
          <w:rFonts w:ascii="Bookman Old Style" w:eastAsia="Bookman Old Style" w:hAnsi="Bookman Old Style" w:cs="Bookman Old Style"/>
          <w:color w:val="231F20"/>
          <w:sz w:val="18"/>
          <w:szCs w:val="18"/>
        </w:rPr>
        <w:softHyphen/>
        <w:t>редь для выполнения крупномасштабных задач, требующих концен</w:t>
      </w:r>
      <w:r w:rsidRPr="00B01894">
        <w:rPr>
          <w:rFonts w:ascii="Bookman Old Style" w:eastAsia="Bookman Old Style" w:hAnsi="Bookman Old Style" w:cs="Bookman Old Style"/>
          <w:color w:val="231F20"/>
          <w:sz w:val="18"/>
          <w:szCs w:val="18"/>
        </w:rPr>
        <w:softHyphen/>
        <w:t>трации больших ресурсов. Однако недостатками системы оказались инертность и неспособность гибко реагировать на быстрые измене</w:t>
      </w:r>
      <w:r w:rsidRPr="00B01894">
        <w:rPr>
          <w:rFonts w:ascii="Bookman Old Style" w:eastAsia="Bookman Old Style" w:hAnsi="Bookman Old Style" w:cs="Bookman Old Style"/>
          <w:color w:val="231F20"/>
          <w:sz w:val="18"/>
          <w:szCs w:val="18"/>
        </w:rPr>
        <w:softHyphen/>
        <w:t>ния потребностей. Лишенные самостоятельности субъекты эконо</w:t>
      </w:r>
      <w:r w:rsidRPr="00B01894">
        <w:rPr>
          <w:rFonts w:ascii="Bookman Old Style" w:eastAsia="Bookman Old Style" w:hAnsi="Bookman Old Style" w:cs="Bookman Old Style"/>
          <w:color w:val="231F20"/>
          <w:sz w:val="18"/>
          <w:szCs w:val="18"/>
        </w:rPr>
        <w:softHyphen/>
        <w:t>мической деятельности были скованы жесткими заданиями плана и лишены возможности для каких-либо маневров по изменению ас</w:t>
      </w:r>
      <w:r w:rsidRPr="00B01894">
        <w:rPr>
          <w:rFonts w:ascii="Bookman Old Style" w:eastAsia="Bookman Old Style" w:hAnsi="Bookman Old Style" w:cs="Bookman Old Style"/>
          <w:color w:val="231F20"/>
          <w:sz w:val="18"/>
          <w:szCs w:val="18"/>
        </w:rPr>
        <w:softHyphen/>
        <w:t>сортиментной структуры производства. В результате характерной чертой такой экономической системы стал дефицит на товарных рынках, но основным негативным качеством плановой экономики была низкая восприимчивость к инновациям. Все научно-техни</w:t>
      </w:r>
      <w:r w:rsidRPr="00B01894">
        <w:rPr>
          <w:rFonts w:ascii="Bookman Old Style" w:eastAsia="Bookman Old Style" w:hAnsi="Bookman Old Style" w:cs="Bookman Old Style"/>
          <w:color w:val="231F20"/>
          <w:sz w:val="18"/>
          <w:szCs w:val="18"/>
        </w:rPr>
        <w:softHyphen/>
        <w:t>ческие достижения советской экономики связаны с реализацией крупномасштабных проектов, выполнение которых непосредствен</w:t>
      </w:r>
      <w:r w:rsidRPr="00B01894">
        <w:rPr>
          <w:rFonts w:ascii="Bookman Old Style" w:eastAsia="Bookman Old Style" w:hAnsi="Bookman Old Style" w:cs="Bookman Old Style"/>
          <w:color w:val="231F20"/>
          <w:sz w:val="18"/>
          <w:szCs w:val="18"/>
        </w:rPr>
        <w:softHyphen/>
        <w:t>но контролировалось высшим руководством, причем реализация таких проектов, например, в космической или в оборонной области, происходила с некоторыми элементами конкуренции. Но во многих других отраслях экономики наблюдались устаревание технической базы производства, несоответствие ассортимента выпускаемой про</w:t>
      </w:r>
      <w:r w:rsidRPr="00B01894">
        <w:rPr>
          <w:rFonts w:ascii="Bookman Old Style" w:eastAsia="Bookman Old Style" w:hAnsi="Bookman Old Style" w:cs="Bookman Old Style"/>
          <w:color w:val="231F20"/>
          <w:sz w:val="18"/>
          <w:szCs w:val="18"/>
        </w:rPr>
        <w:softHyphen/>
        <w:t>дукции структуре спроса, что зачастую приводило к неспособности экономической системы решать даже текущие задачи.</w:t>
      </w:r>
    </w:p>
    <w:p w14:paraId="50570CA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Экономисты классической школы сместили основное внимание с проблем формирования стоимости и анализа экономического по</w:t>
      </w:r>
      <w:r w:rsidRPr="00B01894">
        <w:rPr>
          <w:rFonts w:ascii="Bookman Old Style" w:eastAsia="Bookman Old Style" w:hAnsi="Bookman Old Style" w:cs="Bookman Old Style"/>
          <w:color w:val="231F20"/>
          <w:sz w:val="18"/>
          <w:szCs w:val="18"/>
        </w:rPr>
        <w:softHyphen/>
        <w:t>ведения к проблемам, которые мы сегодня называем микроэко</w:t>
      </w:r>
      <w:r w:rsidRPr="00B01894">
        <w:rPr>
          <w:rFonts w:ascii="Bookman Old Style" w:eastAsia="Bookman Old Style" w:hAnsi="Bookman Old Style" w:cs="Bookman Old Style"/>
          <w:color w:val="231F20"/>
          <w:sz w:val="18"/>
          <w:szCs w:val="18"/>
        </w:rPr>
        <w:softHyphen/>
        <w:t>номическими. Так, были построены модели функционирования рынков в различных условиях конкуренции, с разной степенью не</w:t>
      </w:r>
      <w:r w:rsidRPr="00B01894">
        <w:rPr>
          <w:rFonts w:ascii="Bookman Old Style" w:eastAsia="Bookman Old Style" w:hAnsi="Bookman Old Style" w:cs="Bookman Old Style"/>
          <w:color w:val="231F20"/>
          <w:sz w:val="18"/>
          <w:szCs w:val="18"/>
        </w:rPr>
        <w:softHyphen/>
        <w:t>совершенства вплоть до полной монополии, что позволило конкре</w:t>
      </w:r>
      <w:r w:rsidRPr="00B01894">
        <w:rPr>
          <w:rFonts w:ascii="Bookman Old Style" w:eastAsia="Bookman Old Style" w:hAnsi="Bookman Old Style" w:cs="Bookman Old Style"/>
          <w:color w:val="231F20"/>
          <w:sz w:val="18"/>
          <w:szCs w:val="18"/>
        </w:rPr>
        <w:softHyphen/>
        <w:t xml:space="preserve">тизировать условия формирования равновесия и оценить потери общества при нарушениях </w:t>
      </w:r>
      <w:r w:rsidRPr="00B01894">
        <w:rPr>
          <w:rFonts w:ascii="Bookman Old Style" w:eastAsia="Bookman Old Style" w:hAnsi="Bookman Old Style" w:cs="Bookman Old Style"/>
          <w:color w:val="231F20"/>
          <w:sz w:val="18"/>
          <w:szCs w:val="18"/>
        </w:rPr>
        <w:lastRenderedPageBreak/>
        <w:t>конкурентной среды. Большое внимание уделялось вопросам взаимодействия рынков и проблеме установле</w:t>
      </w:r>
      <w:r w:rsidRPr="00B01894">
        <w:rPr>
          <w:rFonts w:ascii="Bookman Old Style" w:eastAsia="Bookman Old Style" w:hAnsi="Bookman Old Style" w:cs="Bookman Old Style"/>
          <w:color w:val="231F20"/>
          <w:sz w:val="18"/>
          <w:szCs w:val="18"/>
        </w:rPr>
        <w:softHyphen/>
        <w:t>ния не только равновесия на каждом из них, но и общего равнове</w:t>
      </w:r>
      <w:r w:rsidRPr="00B01894">
        <w:rPr>
          <w:rFonts w:ascii="Bookman Old Style" w:eastAsia="Bookman Old Style" w:hAnsi="Bookman Old Style" w:cs="Bookman Old Style"/>
          <w:color w:val="231F20"/>
          <w:sz w:val="18"/>
          <w:szCs w:val="18"/>
        </w:rPr>
        <w:softHyphen/>
        <w:t>сия на всех рынках одновременно.</w:t>
      </w:r>
    </w:p>
    <w:p w14:paraId="368C6F6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Большой вклад в теорию рыночного равновесия внес француз</w:t>
      </w:r>
      <w:r w:rsidRPr="00B01894">
        <w:rPr>
          <w:rFonts w:ascii="Bookman Old Style" w:eastAsia="Bookman Old Style" w:hAnsi="Bookman Old Style" w:cs="Bookman Old Style"/>
          <w:color w:val="231F20"/>
          <w:sz w:val="18"/>
          <w:szCs w:val="18"/>
        </w:rPr>
        <w:softHyphen/>
        <w:t>ский экономист Л. Вальрас, которому принадлежит заслуга по</w:t>
      </w:r>
      <w:r w:rsidRPr="00B01894">
        <w:rPr>
          <w:rFonts w:ascii="Bookman Old Style" w:eastAsia="Bookman Old Style" w:hAnsi="Bookman Old Style" w:cs="Bookman Old Style"/>
          <w:color w:val="231F20"/>
          <w:sz w:val="18"/>
          <w:szCs w:val="18"/>
        </w:rPr>
        <w:softHyphen/>
        <w:t>строения первой модели общего экономического равновесия. Валь</w:t>
      </w:r>
      <w:r w:rsidRPr="00B01894">
        <w:rPr>
          <w:rFonts w:ascii="Bookman Old Style" w:eastAsia="Bookman Old Style" w:hAnsi="Bookman Old Style" w:cs="Bookman Old Style"/>
          <w:color w:val="231F20"/>
          <w:sz w:val="18"/>
          <w:szCs w:val="18"/>
        </w:rPr>
        <w:softHyphen/>
        <w:t>рас представил экономику как систему взаимосвязанных рынков, на каждом их которых поведение экономических субъектов описы</w:t>
      </w:r>
      <w:r w:rsidRPr="00B01894">
        <w:rPr>
          <w:rFonts w:ascii="Bookman Old Style" w:eastAsia="Bookman Old Style" w:hAnsi="Bookman Old Style" w:cs="Bookman Old Style"/>
          <w:color w:val="231F20"/>
          <w:sz w:val="18"/>
          <w:szCs w:val="18"/>
        </w:rPr>
        <w:softHyphen/>
        <w:t xml:space="preserve">вается функциями </w:t>
      </w:r>
      <w:r w:rsidRPr="00B01894">
        <w:rPr>
          <w:rFonts w:ascii="Bookman Old Style" w:eastAsia="Bookman Old Style" w:hAnsi="Bookman Old Style" w:cs="Bookman Old Style"/>
          <w:i/>
          <w:iCs/>
          <w:color w:val="231F20"/>
          <w:sz w:val="18"/>
          <w:szCs w:val="18"/>
        </w:rPr>
        <w:t>спроса</w:t>
      </w:r>
      <w:r w:rsidRPr="00B01894">
        <w:rPr>
          <w:rFonts w:ascii="Bookman Old Style" w:eastAsia="Bookman Old Style" w:hAnsi="Bookman Old Style" w:cs="Bookman Old Style"/>
          <w:color w:val="231F20"/>
          <w:sz w:val="18"/>
          <w:szCs w:val="18"/>
        </w:rPr>
        <w:t xml:space="preserve"> и </w:t>
      </w:r>
      <w:r w:rsidRPr="00B01894">
        <w:rPr>
          <w:rFonts w:ascii="Bookman Old Style" w:eastAsia="Bookman Old Style" w:hAnsi="Bookman Old Style" w:cs="Bookman Old Style"/>
          <w:i/>
          <w:iCs/>
          <w:color w:val="231F20"/>
          <w:sz w:val="18"/>
          <w:szCs w:val="18"/>
        </w:rPr>
        <w:t>предложения.</w:t>
      </w:r>
      <w:r w:rsidRPr="00B01894">
        <w:rPr>
          <w:rFonts w:ascii="Bookman Old Style" w:eastAsia="Bookman Old Style" w:hAnsi="Bookman Old Style" w:cs="Bookman Old Style"/>
          <w:color w:val="231F20"/>
          <w:sz w:val="18"/>
          <w:szCs w:val="18"/>
        </w:rPr>
        <w:t xml:space="preserve"> В результате ему удалось определить формальные критерии установления равновесия в эко</w:t>
      </w:r>
      <w:r w:rsidRPr="00B01894">
        <w:rPr>
          <w:rFonts w:ascii="Bookman Old Style" w:eastAsia="Bookman Old Style" w:hAnsi="Bookman Old Style" w:cs="Bookman Old Style"/>
          <w:color w:val="231F20"/>
          <w:sz w:val="18"/>
          <w:szCs w:val="18"/>
        </w:rPr>
        <w:softHyphen/>
        <w:t>номике. В целом модель Вальраса дает нам представление об эконо</w:t>
      </w:r>
      <w:r w:rsidRPr="00B01894">
        <w:rPr>
          <w:rFonts w:ascii="Bookman Old Style" w:eastAsia="Bookman Old Style" w:hAnsi="Bookman Old Style" w:cs="Bookman Old Style"/>
          <w:color w:val="231F20"/>
          <w:sz w:val="18"/>
          <w:szCs w:val="18"/>
        </w:rPr>
        <w:softHyphen/>
        <w:t>мике как о саморегулирующейся системе, в которой возникающие дисбалансы устраняются за счет действия сил спроса и предложе</w:t>
      </w:r>
      <w:r w:rsidRPr="00B01894">
        <w:rPr>
          <w:rFonts w:ascii="Bookman Old Style" w:eastAsia="Bookman Old Style" w:hAnsi="Bookman Old Style" w:cs="Bookman Old Style"/>
          <w:color w:val="231F20"/>
          <w:sz w:val="18"/>
          <w:szCs w:val="18"/>
        </w:rPr>
        <w:softHyphen/>
        <w:t>ния. Однако некоторые моменты требовали специального рассмо</w:t>
      </w:r>
      <w:r w:rsidRPr="00B01894">
        <w:rPr>
          <w:rFonts w:ascii="Bookman Old Style" w:eastAsia="Bookman Old Style" w:hAnsi="Bookman Old Style" w:cs="Bookman Old Style"/>
          <w:color w:val="231F20"/>
          <w:sz w:val="18"/>
          <w:szCs w:val="18"/>
        </w:rPr>
        <w:softHyphen/>
        <w:t>трения, и Вальрас, который хотя и придерживался классических принципов саморегулирования, но отвергал представление об эко</w:t>
      </w:r>
      <w:r w:rsidRPr="00B01894">
        <w:rPr>
          <w:rFonts w:ascii="Bookman Old Style" w:eastAsia="Bookman Old Style" w:hAnsi="Bookman Old Style" w:cs="Bookman Old Style"/>
          <w:color w:val="231F20"/>
          <w:sz w:val="18"/>
          <w:szCs w:val="18"/>
        </w:rPr>
        <w:softHyphen/>
        <w:t>номике как о «чистой науке», обосновывал необходимость ограни</w:t>
      </w:r>
      <w:r w:rsidRPr="00B01894">
        <w:rPr>
          <w:rFonts w:ascii="Bookman Old Style" w:eastAsia="Bookman Old Style" w:hAnsi="Bookman Old Style" w:cs="Bookman Old Style"/>
          <w:color w:val="231F20"/>
          <w:sz w:val="18"/>
          <w:szCs w:val="18"/>
        </w:rPr>
        <w:softHyphen/>
        <w:t>ченного государственного регулирования.</w:t>
      </w:r>
    </w:p>
    <w:p w14:paraId="449B9AD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Во-первых, саморегулирование экономической системы возмож</w:t>
      </w:r>
      <w:r w:rsidRPr="00B01894">
        <w:rPr>
          <w:rFonts w:ascii="Bookman Old Style" w:eastAsia="Bookman Old Style" w:hAnsi="Bookman Old Style" w:cs="Bookman Old Style"/>
          <w:color w:val="231F20"/>
          <w:sz w:val="18"/>
          <w:szCs w:val="18"/>
        </w:rPr>
        <w:softHyphen/>
        <w:t>но при условии, что все рынки являются рынками совершенной конкуренции, при этом принцип совершенной конкуренции был применен не только к отдельному рынку, но и к экономике в це</w:t>
      </w:r>
      <w:r w:rsidRPr="00B01894">
        <w:rPr>
          <w:rFonts w:ascii="Bookman Old Style" w:eastAsia="Bookman Old Style" w:hAnsi="Bookman Old Style" w:cs="Bookman Old Style"/>
          <w:color w:val="231F20"/>
          <w:sz w:val="18"/>
          <w:szCs w:val="18"/>
        </w:rPr>
        <w:softHyphen/>
        <w:t>лом — и спрос, и предложение на каждом рынке зависят не только от цены товара данного рынка, но и от цен на все остальные то</w:t>
      </w:r>
      <w:r w:rsidRPr="00B01894">
        <w:rPr>
          <w:rFonts w:ascii="Bookman Old Style" w:eastAsia="Bookman Old Style" w:hAnsi="Bookman Old Style" w:cs="Bookman Old Style"/>
          <w:color w:val="231F20"/>
          <w:sz w:val="18"/>
          <w:szCs w:val="18"/>
        </w:rPr>
        <w:softHyphen/>
        <w:t>вары. И для каждого отдельного субъекта — покупателя или про</w:t>
      </w:r>
      <w:r w:rsidRPr="00B01894">
        <w:rPr>
          <w:rFonts w:ascii="Bookman Old Style" w:eastAsia="Bookman Old Style" w:hAnsi="Bookman Old Style" w:cs="Bookman Old Style"/>
          <w:color w:val="231F20"/>
          <w:sz w:val="18"/>
          <w:szCs w:val="18"/>
        </w:rPr>
        <w:softHyphen/>
        <w:t>давца — постулируется невозможность повлиять на цену — цена определяется рынком, и при условии, что функции спроса и пред</w:t>
      </w:r>
      <w:r w:rsidRPr="00B01894">
        <w:rPr>
          <w:rFonts w:ascii="Bookman Old Style" w:eastAsia="Bookman Old Style" w:hAnsi="Bookman Old Style" w:cs="Bookman Old Style"/>
          <w:color w:val="231F20"/>
          <w:sz w:val="18"/>
          <w:szCs w:val="18"/>
        </w:rPr>
        <w:softHyphen/>
        <w:t>ложения известны, ценность каждого товара определена.</w:t>
      </w:r>
    </w:p>
    <w:p w14:paraId="2090EA3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Однако в экономике есть один уникальный товар, который не</w:t>
      </w:r>
      <w:r w:rsidRPr="00B01894">
        <w:rPr>
          <w:rFonts w:ascii="Bookman Old Style" w:eastAsia="Bookman Old Style" w:hAnsi="Bookman Old Style" w:cs="Bookman Old Style"/>
          <w:color w:val="231F20"/>
          <w:sz w:val="18"/>
          <w:szCs w:val="18"/>
        </w:rPr>
        <w:softHyphen/>
        <w:t>возможно описать стандартными функциями спроса и предложения и ценность которого остается неопределенной. Этот товар — день</w:t>
      </w:r>
      <w:r w:rsidRPr="00B01894">
        <w:rPr>
          <w:rFonts w:ascii="Bookman Old Style" w:eastAsia="Bookman Old Style" w:hAnsi="Bookman Old Style" w:cs="Bookman Old Style"/>
          <w:color w:val="231F20"/>
          <w:sz w:val="18"/>
          <w:szCs w:val="18"/>
        </w:rPr>
        <w:softHyphen/>
        <w:t>ги. Вальрас был первым, кто широко использовал математические методы анализа в экономике. Его модель общего экономическо</w:t>
      </w:r>
      <w:r w:rsidRPr="00B01894">
        <w:rPr>
          <w:rFonts w:ascii="Bookman Old Style" w:eastAsia="Bookman Old Style" w:hAnsi="Bookman Old Style" w:cs="Bookman Old Style"/>
          <w:color w:val="231F20"/>
          <w:sz w:val="18"/>
          <w:szCs w:val="18"/>
        </w:rPr>
        <w:softHyphen/>
        <w:t xml:space="preserve">го равновесия представлена как система из </w:t>
      </w:r>
      <w:r w:rsidRPr="00B01894">
        <w:rPr>
          <w:rFonts w:ascii="Bookman Old Style" w:eastAsia="Bookman Old Style" w:hAnsi="Bookman Old Style" w:cs="Bookman Old Style"/>
          <w:i/>
          <w:iCs/>
          <w:color w:val="231F20"/>
          <w:sz w:val="18"/>
          <w:szCs w:val="18"/>
          <w:lang w:val="en-US" w:eastAsia="en-US" w:bidi="en-US"/>
        </w:rPr>
        <w:t>n</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xml:space="preserve">взаимосвязанных рынков, в которой можно определить ценность </w:t>
      </w:r>
      <w:r w:rsidRPr="00B01894">
        <w:rPr>
          <w:rFonts w:ascii="Bookman Old Style" w:eastAsia="Bookman Old Style" w:hAnsi="Bookman Old Style" w:cs="Bookman Old Style"/>
          <w:color w:val="231F20"/>
          <w:sz w:val="18"/>
          <w:szCs w:val="18"/>
          <w:lang w:eastAsia="en-US" w:bidi="en-US"/>
        </w:rPr>
        <w:t>(</w:t>
      </w:r>
      <w:r w:rsidRPr="00B01894">
        <w:rPr>
          <w:rFonts w:ascii="Bookman Old Style" w:eastAsia="Bookman Old Style" w:hAnsi="Bookman Old Style" w:cs="Bookman Old Style"/>
          <w:color w:val="231F20"/>
          <w:sz w:val="18"/>
          <w:szCs w:val="18"/>
          <w:lang w:val="en-US" w:eastAsia="en-US" w:bidi="en-US"/>
        </w:rPr>
        <w:t>n</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xml:space="preserve">- 1) блага, т. е. переменных в модели </w:t>
      </w:r>
      <w:r w:rsidRPr="00B01894">
        <w:rPr>
          <w:rFonts w:ascii="Bookman Old Style" w:eastAsia="Bookman Old Style" w:hAnsi="Bookman Old Style" w:cs="Bookman Old Style"/>
          <w:color w:val="231F20"/>
          <w:sz w:val="18"/>
          <w:szCs w:val="18"/>
          <w:lang w:val="en-US" w:eastAsia="en-US" w:bidi="en-US"/>
        </w:rPr>
        <w:t>n</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xml:space="preserve">а уравнений — </w:t>
      </w:r>
      <w:r w:rsidRPr="00B01894">
        <w:rPr>
          <w:rFonts w:ascii="Bookman Old Style" w:eastAsia="Bookman Old Style" w:hAnsi="Bookman Old Style" w:cs="Bookman Old Style"/>
          <w:color w:val="231F20"/>
          <w:sz w:val="18"/>
          <w:szCs w:val="18"/>
          <w:lang w:eastAsia="en-US" w:bidi="en-US"/>
        </w:rPr>
        <w:t>(</w:t>
      </w:r>
      <w:r w:rsidRPr="00B01894">
        <w:rPr>
          <w:rFonts w:ascii="Bookman Old Style" w:eastAsia="Bookman Old Style" w:hAnsi="Bookman Old Style" w:cs="Bookman Old Style"/>
          <w:color w:val="231F20"/>
          <w:sz w:val="18"/>
          <w:szCs w:val="18"/>
          <w:lang w:val="en-US" w:eastAsia="en-US" w:bidi="en-US"/>
        </w:rPr>
        <w:t>n</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- 1), т. е. чисто мате</w:t>
      </w:r>
      <w:r w:rsidRPr="00B01894">
        <w:rPr>
          <w:rFonts w:ascii="Bookman Old Style" w:eastAsia="Bookman Old Style" w:hAnsi="Bookman Old Style" w:cs="Bookman Old Style"/>
          <w:color w:val="231F20"/>
          <w:sz w:val="18"/>
          <w:szCs w:val="18"/>
        </w:rPr>
        <w:softHyphen/>
        <w:t>матически «система не определена». Но Вальрас «элегантно» реша</w:t>
      </w:r>
      <w:r w:rsidRPr="00B01894">
        <w:rPr>
          <w:rFonts w:ascii="Bookman Old Style" w:eastAsia="Bookman Old Style" w:hAnsi="Bookman Old Style" w:cs="Bookman Old Style"/>
          <w:color w:val="231F20"/>
          <w:sz w:val="18"/>
          <w:szCs w:val="18"/>
        </w:rPr>
        <w:softHyphen/>
        <w:t>ет данный вопрос при помощи «закона Вальраса», согласно кото</w:t>
      </w:r>
      <w:r w:rsidRPr="00B01894">
        <w:rPr>
          <w:rFonts w:ascii="Bookman Old Style" w:eastAsia="Bookman Old Style" w:hAnsi="Bookman Old Style" w:cs="Bookman Old Style"/>
          <w:color w:val="231F20"/>
          <w:sz w:val="18"/>
          <w:szCs w:val="18"/>
        </w:rPr>
        <w:softHyphen/>
        <w:t xml:space="preserve">рому если в экономике, состоящей из </w:t>
      </w:r>
      <w:r w:rsidRPr="00B01894">
        <w:rPr>
          <w:rFonts w:ascii="Bookman Old Style" w:eastAsia="Bookman Old Style" w:hAnsi="Bookman Old Style" w:cs="Bookman Old Style"/>
          <w:i/>
          <w:iCs/>
          <w:color w:val="231F20"/>
          <w:sz w:val="18"/>
          <w:szCs w:val="18"/>
          <w:lang w:val="en-US" w:eastAsia="en-US" w:bidi="en-US"/>
        </w:rPr>
        <w:t>n</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xml:space="preserve">взаимосвязанных рынков на </w:t>
      </w:r>
      <w:r w:rsidRPr="00B01894">
        <w:rPr>
          <w:rFonts w:ascii="Bookman Old Style" w:eastAsia="Bookman Old Style" w:hAnsi="Bookman Old Style" w:cs="Bookman Old Style"/>
          <w:color w:val="231F20"/>
          <w:sz w:val="18"/>
          <w:szCs w:val="18"/>
          <w:lang w:eastAsia="en-US" w:bidi="en-US"/>
        </w:rPr>
        <w:t>(</w:t>
      </w:r>
      <w:r w:rsidRPr="00B01894">
        <w:rPr>
          <w:rFonts w:ascii="Bookman Old Style" w:eastAsia="Bookman Old Style" w:hAnsi="Bookman Old Style" w:cs="Bookman Old Style"/>
          <w:color w:val="231F20"/>
          <w:sz w:val="18"/>
          <w:szCs w:val="18"/>
          <w:lang w:val="en-US" w:eastAsia="en-US" w:bidi="en-US"/>
        </w:rPr>
        <w:t>n</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- 1) рынке, установилось равновесие, то оно также устанавли</w:t>
      </w:r>
      <w:r w:rsidRPr="00B01894">
        <w:rPr>
          <w:rFonts w:ascii="Bookman Old Style" w:eastAsia="Bookman Old Style" w:hAnsi="Bookman Old Style" w:cs="Bookman Old Style"/>
          <w:color w:val="231F20"/>
          <w:sz w:val="18"/>
          <w:szCs w:val="18"/>
        </w:rPr>
        <w:softHyphen/>
        <w:t xml:space="preserve">вается и на </w:t>
      </w:r>
      <w:r w:rsidRPr="00B01894">
        <w:rPr>
          <w:rFonts w:ascii="Bookman Old Style" w:eastAsia="Bookman Old Style" w:hAnsi="Bookman Old Style" w:cs="Bookman Old Style"/>
          <w:color w:val="231F20"/>
          <w:sz w:val="18"/>
          <w:szCs w:val="18"/>
          <w:lang w:val="en-US" w:eastAsia="en-US" w:bidi="en-US"/>
        </w:rPr>
        <w:t>n</w:t>
      </w:r>
      <w:r w:rsidRPr="00B01894">
        <w:rPr>
          <w:rFonts w:ascii="Bookman Old Style" w:eastAsia="Bookman Old Style" w:hAnsi="Bookman Old Style" w:cs="Bookman Old Style"/>
          <w:color w:val="231F20"/>
          <w:sz w:val="18"/>
          <w:szCs w:val="18"/>
        </w:rPr>
        <w:t>-м рынке.</w:t>
      </w:r>
    </w:p>
    <w:p w14:paraId="72757F2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Тем не менее Вальрас понимал, что проблема установления «ценности» имеет значение, учитывая, что в XIX в. денежная си</w:t>
      </w:r>
      <w:r w:rsidRPr="00B01894">
        <w:rPr>
          <w:rFonts w:ascii="Bookman Old Style" w:eastAsia="Bookman Old Style" w:hAnsi="Bookman Old Style" w:cs="Bookman Old Style"/>
          <w:color w:val="231F20"/>
          <w:sz w:val="18"/>
          <w:szCs w:val="18"/>
        </w:rPr>
        <w:softHyphen/>
        <w:t>стема была далека от идеала, потребность развивающейся эконо</w:t>
      </w:r>
      <w:r w:rsidRPr="00B01894">
        <w:rPr>
          <w:rFonts w:ascii="Bookman Old Style" w:eastAsia="Bookman Old Style" w:hAnsi="Bookman Old Style" w:cs="Bookman Old Style"/>
          <w:color w:val="231F20"/>
          <w:sz w:val="18"/>
          <w:szCs w:val="18"/>
        </w:rPr>
        <w:softHyphen/>
        <w:t xml:space="preserve">мики в деньгах возрастала, а использование лишь бумажных денег не имело общепринятых стандартов и правил. Такое положение дел приводило к </w:t>
      </w:r>
      <w:r w:rsidRPr="00B01894">
        <w:rPr>
          <w:rFonts w:ascii="Bookman Old Style" w:eastAsia="Bookman Old Style" w:hAnsi="Bookman Old Style" w:cs="Bookman Old Style"/>
          <w:color w:val="231F20"/>
          <w:sz w:val="18"/>
          <w:szCs w:val="18"/>
        </w:rPr>
        <w:lastRenderedPageBreak/>
        <w:t>скачкам цен, что сдерживало установление равно</w:t>
      </w:r>
      <w:r w:rsidRPr="00B01894">
        <w:rPr>
          <w:rFonts w:ascii="Bookman Old Style" w:eastAsia="Bookman Old Style" w:hAnsi="Bookman Old Style" w:cs="Bookman Old Style"/>
          <w:color w:val="231F20"/>
          <w:sz w:val="18"/>
          <w:szCs w:val="18"/>
        </w:rPr>
        <w:softHyphen/>
        <w:t>весных цен. Вальрас осознавал важность этой проблемы и пони</w:t>
      </w:r>
      <w:r w:rsidRPr="00B01894">
        <w:rPr>
          <w:rFonts w:ascii="Bookman Old Style" w:eastAsia="Bookman Old Style" w:hAnsi="Bookman Old Style" w:cs="Bookman Old Style"/>
          <w:color w:val="231F20"/>
          <w:sz w:val="18"/>
          <w:szCs w:val="18"/>
        </w:rPr>
        <w:softHyphen/>
        <w:t>мал, что без участия государства ее не решить. Так, он предлагал осуществить привязку выпуска бумажных денег к биметалличе</w:t>
      </w:r>
      <w:r w:rsidRPr="00B01894">
        <w:rPr>
          <w:rFonts w:ascii="Bookman Old Style" w:eastAsia="Bookman Old Style" w:hAnsi="Bookman Old Style" w:cs="Bookman Old Style"/>
          <w:color w:val="231F20"/>
          <w:sz w:val="18"/>
          <w:szCs w:val="18"/>
        </w:rPr>
        <w:softHyphen/>
        <w:t>скому стандарту при государственном регулировании денежного обращения.</w:t>
      </w:r>
    </w:p>
    <w:p w14:paraId="209C69E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Во-вторых, стала формироваться область, где государственное регулирование необходимо — монополизация рынков. Монополи</w:t>
      </w:r>
      <w:r w:rsidRPr="00B01894">
        <w:rPr>
          <w:rFonts w:ascii="Bookman Old Style" w:eastAsia="Bookman Old Style" w:hAnsi="Bookman Old Style" w:cs="Bookman Old Style"/>
          <w:color w:val="231F20"/>
          <w:sz w:val="18"/>
          <w:szCs w:val="18"/>
        </w:rPr>
        <w:softHyphen/>
        <w:t>зация приводила к нарушению действия сил спроса и предложения, и, как следствие, нарушался один из основных принципов — невоз</w:t>
      </w:r>
      <w:r w:rsidRPr="00B01894">
        <w:rPr>
          <w:rFonts w:ascii="Bookman Old Style" w:eastAsia="Bookman Old Style" w:hAnsi="Bookman Old Style" w:cs="Bookman Old Style"/>
          <w:color w:val="231F20"/>
          <w:sz w:val="18"/>
          <w:szCs w:val="18"/>
        </w:rPr>
        <w:softHyphen/>
        <w:t>можность влиять на цену, что, в свою очередь, приводило к невоз</w:t>
      </w:r>
      <w:r w:rsidRPr="00B01894">
        <w:rPr>
          <w:rFonts w:ascii="Bookman Old Style" w:eastAsia="Bookman Old Style" w:hAnsi="Bookman Old Style" w:cs="Bookman Old Style"/>
          <w:color w:val="231F20"/>
          <w:sz w:val="18"/>
          <w:szCs w:val="18"/>
        </w:rPr>
        <w:softHyphen/>
        <w:t>можности саморегулирования экономической системы. В резуль</w:t>
      </w:r>
      <w:r w:rsidRPr="00B01894">
        <w:rPr>
          <w:rFonts w:ascii="Bookman Old Style" w:eastAsia="Bookman Old Style" w:hAnsi="Bookman Old Style" w:cs="Bookman Old Style"/>
          <w:color w:val="231F20"/>
          <w:sz w:val="18"/>
          <w:szCs w:val="18"/>
        </w:rPr>
        <w:softHyphen/>
        <w:t>тате в условиях монополии нарушался принцип полезности, что имело следствием неэффективное и нерациональное использова</w:t>
      </w:r>
      <w:r w:rsidRPr="00B01894">
        <w:rPr>
          <w:rFonts w:ascii="Bookman Old Style" w:eastAsia="Bookman Old Style" w:hAnsi="Bookman Old Style" w:cs="Bookman Old Style"/>
          <w:color w:val="231F20"/>
          <w:sz w:val="18"/>
          <w:szCs w:val="18"/>
        </w:rPr>
        <w:softHyphen/>
        <w:t>ние ресурсов. Вальрас считал необходимым ограничивать влияние монополий, преимущественно методами налогового регулирова</w:t>
      </w:r>
      <w:r w:rsidRPr="00B01894">
        <w:rPr>
          <w:rFonts w:ascii="Bookman Old Style" w:eastAsia="Bookman Old Style" w:hAnsi="Bookman Old Style" w:cs="Bookman Old Style"/>
          <w:color w:val="231F20"/>
          <w:sz w:val="18"/>
          <w:szCs w:val="18"/>
        </w:rPr>
        <w:softHyphen/>
        <w:t>ния; при этом он полагал, что наиболее действенным будет исполь</w:t>
      </w:r>
      <w:r w:rsidRPr="00B01894">
        <w:rPr>
          <w:rFonts w:ascii="Bookman Old Style" w:eastAsia="Bookman Old Style" w:hAnsi="Bookman Old Style" w:cs="Bookman Old Style"/>
          <w:color w:val="231F20"/>
          <w:sz w:val="18"/>
          <w:szCs w:val="18"/>
        </w:rPr>
        <w:softHyphen/>
        <w:t>зование имущественных налогов, а налоги на доходы ограничивать не стоит, так как они стимулируют производство.</w:t>
      </w:r>
    </w:p>
    <w:p w14:paraId="2B971E9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Еще одной сферой, где необходимо государственное регулиро</w:t>
      </w:r>
      <w:r w:rsidRPr="00B01894">
        <w:rPr>
          <w:rFonts w:ascii="Bookman Old Style" w:eastAsia="Bookman Old Style" w:hAnsi="Bookman Old Style" w:cs="Bookman Old Style"/>
          <w:color w:val="231F20"/>
          <w:sz w:val="18"/>
          <w:szCs w:val="18"/>
        </w:rPr>
        <w:softHyphen/>
        <w:t>вание, Вальрас считал сферу распределения доходов. Если в сфере производства действуют объективные законы спроса и предложе</w:t>
      </w:r>
      <w:r w:rsidRPr="00B01894">
        <w:rPr>
          <w:rFonts w:ascii="Bookman Old Style" w:eastAsia="Bookman Old Style" w:hAnsi="Bookman Old Style" w:cs="Bookman Old Style"/>
          <w:color w:val="231F20"/>
          <w:sz w:val="18"/>
          <w:szCs w:val="18"/>
        </w:rPr>
        <w:softHyphen/>
        <w:t>ния, основанные на принципе полезности, и любое вмешательство может лишь нарушить сложившееся равновесие, то в сфере распре</w:t>
      </w:r>
      <w:r w:rsidRPr="00B01894">
        <w:rPr>
          <w:rFonts w:ascii="Bookman Old Style" w:eastAsia="Bookman Old Style" w:hAnsi="Bookman Old Style" w:cs="Bookman Old Style"/>
          <w:color w:val="231F20"/>
          <w:sz w:val="18"/>
          <w:szCs w:val="18"/>
        </w:rPr>
        <w:softHyphen/>
        <w:t>деления, по мнению Вальраса, многое подчинено «человеческой воле», и развитие экономики даже в условиях свободной конкурен</w:t>
      </w:r>
      <w:r w:rsidRPr="00B01894">
        <w:rPr>
          <w:rFonts w:ascii="Bookman Old Style" w:eastAsia="Bookman Old Style" w:hAnsi="Bookman Old Style" w:cs="Bookman Old Style"/>
          <w:color w:val="231F20"/>
          <w:sz w:val="18"/>
          <w:szCs w:val="18"/>
        </w:rPr>
        <w:softHyphen/>
        <w:t>ции может сопровождаться усилением дифференциации доходов, а в условиях монополизации приводит к «несправедливости» рас</w:t>
      </w:r>
      <w:r w:rsidRPr="00B01894">
        <w:rPr>
          <w:rFonts w:ascii="Bookman Old Style" w:eastAsia="Bookman Old Style" w:hAnsi="Bookman Old Style" w:cs="Bookman Old Style"/>
          <w:color w:val="231F20"/>
          <w:sz w:val="18"/>
          <w:szCs w:val="18"/>
        </w:rPr>
        <w:softHyphen/>
        <w:t>пределения. Поэтому согласно Вальрасу, если в сфере производства доминирует принцип полезности, то в сфере распределения его дол</w:t>
      </w:r>
      <w:r w:rsidRPr="00B01894">
        <w:rPr>
          <w:rFonts w:ascii="Bookman Old Style" w:eastAsia="Bookman Old Style" w:hAnsi="Bookman Old Style" w:cs="Bookman Old Style"/>
          <w:color w:val="231F20"/>
          <w:sz w:val="18"/>
          <w:szCs w:val="18"/>
        </w:rPr>
        <w:softHyphen/>
        <w:t>жен заменить принцип справедливости.</w:t>
      </w:r>
    </w:p>
    <w:p w14:paraId="5F7CE9E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Роль государства Вальрас видел в обеспечении равных для всех возможностей и в заботе о социально незащищенных слоях населе</w:t>
      </w:r>
      <w:r w:rsidRPr="00B01894">
        <w:rPr>
          <w:rFonts w:ascii="Bookman Old Style" w:eastAsia="Bookman Old Style" w:hAnsi="Bookman Old Style" w:cs="Bookman Old Style"/>
          <w:color w:val="231F20"/>
          <w:sz w:val="18"/>
          <w:szCs w:val="18"/>
        </w:rPr>
        <w:softHyphen/>
        <w:t>ния. Так, преодолеть несправедливость распределения он предлагал с помощью системы социальных пособий. Среди радикальных пред</w:t>
      </w:r>
      <w:r w:rsidRPr="00B01894">
        <w:rPr>
          <w:rFonts w:ascii="Bookman Old Style" w:eastAsia="Bookman Old Style" w:hAnsi="Bookman Old Style" w:cs="Bookman Old Style"/>
          <w:color w:val="231F20"/>
          <w:sz w:val="18"/>
          <w:szCs w:val="18"/>
        </w:rPr>
        <w:softHyphen/>
        <w:t>ложений Вальраса следует отметить национализацию земли — он считал, что это позволит повысить эффективность ее использова</w:t>
      </w:r>
      <w:r w:rsidRPr="00B01894">
        <w:rPr>
          <w:rFonts w:ascii="Bookman Old Style" w:eastAsia="Bookman Old Style" w:hAnsi="Bookman Old Style" w:cs="Bookman Old Style"/>
          <w:color w:val="231F20"/>
          <w:sz w:val="18"/>
          <w:szCs w:val="18"/>
        </w:rPr>
        <w:softHyphen/>
        <w:t>ния и, главное, получаемая с земли рента может служить источни</w:t>
      </w:r>
      <w:r w:rsidRPr="00B01894">
        <w:rPr>
          <w:rFonts w:ascii="Bookman Old Style" w:eastAsia="Bookman Old Style" w:hAnsi="Bookman Old Style" w:cs="Bookman Old Style"/>
          <w:color w:val="231F20"/>
          <w:sz w:val="18"/>
          <w:szCs w:val="18"/>
        </w:rPr>
        <w:softHyphen/>
        <w:t>ком финансирования производства общественных благ.</w:t>
      </w:r>
    </w:p>
    <w:p w14:paraId="56274B5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дальнейшем идеи Вальраса об ограниченном государствен</w:t>
      </w:r>
      <w:r w:rsidRPr="00B01894">
        <w:rPr>
          <w:rFonts w:ascii="Bookman Old Style" w:eastAsia="Bookman Old Style" w:hAnsi="Bookman Old Style" w:cs="Bookman Old Style"/>
          <w:color w:val="231F20"/>
          <w:sz w:val="18"/>
          <w:szCs w:val="18"/>
        </w:rPr>
        <w:softHyphen/>
        <w:t>ном вмешательстве получили развитие и в экономической науке, и в практике государственного управления. В частности, необхо</w:t>
      </w:r>
      <w:r w:rsidRPr="00B01894">
        <w:rPr>
          <w:rFonts w:ascii="Bookman Old Style" w:eastAsia="Bookman Old Style" w:hAnsi="Bookman Old Style" w:cs="Bookman Old Style"/>
          <w:color w:val="231F20"/>
          <w:sz w:val="18"/>
          <w:szCs w:val="18"/>
        </w:rPr>
        <w:softHyphen/>
        <w:t>димость выработки мер государственного регулирования в части ограничения монополизации не вызывала сомнений, и уже с на</w:t>
      </w:r>
      <w:r w:rsidRPr="00B01894">
        <w:rPr>
          <w:rFonts w:ascii="Bookman Old Style" w:eastAsia="Bookman Old Style" w:hAnsi="Bookman Old Style" w:cs="Bookman Old Style"/>
          <w:color w:val="231F20"/>
          <w:sz w:val="18"/>
          <w:szCs w:val="18"/>
        </w:rPr>
        <w:softHyphen/>
        <w:t xml:space="preserve">чала </w:t>
      </w:r>
      <w:r w:rsidRPr="00B01894">
        <w:rPr>
          <w:rFonts w:ascii="Bookman Old Style" w:eastAsia="Bookman Old Style" w:hAnsi="Bookman Old Style" w:cs="Bookman Old Style"/>
          <w:color w:val="231F20"/>
          <w:sz w:val="18"/>
          <w:szCs w:val="18"/>
          <w:lang w:val="en-US" w:eastAsia="en-US" w:bidi="en-US"/>
        </w:rPr>
        <w:t>XX</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в. мы наблюдаем развитие антимонопольного законода</w:t>
      </w:r>
      <w:r w:rsidRPr="00B01894">
        <w:rPr>
          <w:rFonts w:ascii="Bookman Old Style" w:eastAsia="Bookman Old Style" w:hAnsi="Bookman Old Style" w:cs="Bookman Old Style"/>
          <w:color w:val="231F20"/>
          <w:sz w:val="18"/>
          <w:szCs w:val="18"/>
        </w:rPr>
        <w:softHyphen/>
        <w:t>тельства и стимулирования конкуренции, причем применяются не только налоговые методы, но и тарифное регулирование и пря</w:t>
      </w:r>
      <w:r w:rsidRPr="00B01894">
        <w:rPr>
          <w:rFonts w:ascii="Bookman Old Style" w:eastAsia="Bookman Old Style" w:hAnsi="Bookman Old Style" w:cs="Bookman Old Style"/>
          <w:color w:val="231F20"/>
          <w:sz w:val="18"/>
          <w:szCs w:val="18"/>
        </w:rPr>
        <w:softHyphen/>
        <w:t xml:space="preserve">мое </w:t>
      </w:r>
      <w:r w:rsidRPr="00B01894">
        <w:rPr>
          <w:rFonts w:ascii="Bookman Old Style" w:eastAsia="Bookman Old Style" w:hAnsi="Bookman Old Style" w:cs="Bookman Old Style"/>
          <w:color w:val="231F20"/>
          <w:sz w:val="18"/>
          <w:szCs w:val="18"/>
        </w:rPr>
        <w:lastRenderedPageBreak/>
        <w:t>государственное администрирование. Также постоянно раз</w:t>
      </w:r>
      <w:r w:rsidRPr="00B01894">
        <w:rPr>
          <w:rFonts w:ascii="Bookman Old Style" w:eastAsia="Bookman Old Style" w:hAnsi="Bookman Old Style" w:cs="Bookman Old Style"/>
          <w:color w:val="231F20"/>
          <w:sz w:val="18"/>
          <w:szCs w:val="18"/>
        </w:rPr>
        <w:softHyphen/>
        <w:t>вивается государственное регулирование сферы распределения с помощью развития как системы налогов (например, путем уста</w:t>
      </w:r>
      <w:r w:rsidRPr="00B01894">
        <w:rPr>
          <w:rFonts w:ascii="Bookman Old Style" w:eastAsia="Bookman Old Style" w:hAnsi="Bookman Old Style" w:cs="Bookman Old Style"/>
          <w:color w:val="231F20"/>
          <w:sz w:val="18"/>
          <w:szCs w:val="18"/>
        </w:rPr>
        <w:softHyphen/>
        <w:t>новления прогрессивной шкалы налогообложения), так и системы социальных пособий.</w:t>
      </w:r>
    </w:p>
    <w:p w14:paraId="3C8145E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Крупномасштабный кризис 1929—1933 гг., вошедший в историю как Великая депрессия, положил начало исследованиям, которые мы сегодня называем макроэкономическими. В их основе лежит фундаментальный труд Дж. М. Кейнса «Общая теория занятости, процента и денег», увидевший свет в 1936 г. Он положил начало не только новому разделу экономической теории — макроэкономи</w:t>
      </w:r>
      <w:r w:rsidRPr="00B01894">
        <w:rPr>
          <w:rFonts w:ascii="Bookman Old Style" w:eastAsia="Bookman Old Style" w:hAnsi="Bookman Old Style" w:cs="Bookman Old Style"/>
          <w:color w:val="231F20"/>
          <w:sz w:val="18"/>
          <w:szCs w:val="18"/>
        </w:rPr>
        <w:softHyphen/>
        <w:t>ке, но и одновременно породил новое направление экономической мысли — кейнсианство.</w:t>
      </w:r>
    </w:p>
    <w:p w14:paraId="46649DB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отличие от экономистов классической школы Кейнс не толь</w:t>
      </w:r>
      <w:r w:rsidRPr="00B01894">
        <w:rPr>
          <w:rFonts w:ascii="Bookman Old Style" w:eastAsia="Bookman Old Style" w:hAnsi="Bookman Old Style" w:cs="Bookman Old Style"/>
          <w:color w:val="231F20"/>
          <w:sz w:val="18"/>
          <w:szCs w:val="18"/>
        </w:rPr>
        <w:softHyphen/>
        <w:t>ко не отрицал государственное вмешательство в экономическую жизнь, но и придавал ему большое значение. В основе кейнсианской теории лежит представление об экономике как об экономике несо</w:t>
      </w:r>
      <w:r w:rsidRPr="00B01894">
        <w:rPr>
          <w:rFonts w:ascii="Bookman Old Style" w:eastAsia="Bookman Old Style" w:hAnsi="Bookman Old Style" w:cs="Bookman Old Style"/>
          <w:color w:val="231F20"/>
          <w:sz w:val="18"/>
          <w:szCs w:val="18"/>
        </w:rPr>
        <w:softHyphen/>
        <w:t>вершенной конкуренции с достаточно жесткими ценами. Классики утверждали, что совершенная конкуренция имманентно присуща экономике, а несовершенство рынков есть результат внешнего, в первую очередь государственного, воздействия. Кейнс же считал, что экономику необходимо воспринимать такой, какая она есть — с монополистическими проявлениями, ограничивающими свобод</w:t>
      </w:r>
      <w:r w:rsidRPr="00B01894">
        <w:rPr>
          <w:rFonts w:ascii="Bookman Old Style" w:eastAsia="Bookman Old Style" w:hAnsi="Bookman Old Style" w:cs="Bookman Old Style"/>
          <w:color w:val="231F20"/>
          <w:sz w:val="18"/>
          <w:szCs w:val="18"/>
        </w:rPr>
        <w:softHyphen/>
        <w:t>ный вход на рынок, наличием институциональных факторов, дела</w:t>
      </w:r>
      <w:r w:rsidRPr="00B01894">
        <w:rPr>
          <w:rFonts w:ascii="Bookman Old Style" w:eastAsia="Bookman Old Style" w:hAnsi="Bookman Old Style" w:cs="Bookman Old Style"/>
          <w:color w:val="231F20"/>
          <w:sz w:val="18"/>
          <w:szCs w:val="18"/>
        </w:rPr>
        <w:softHyphen/>
        <w:t>ющих систему цен относительно жесткой, не способной выполнять функции встроенных регуляторов. Но главное — Кейнс исходил из того, что субъекты экономики не являются рационально действу</w:t>
      </w:r>
      <w:r w:rsidRPr="00B01894">
        <w:rPr>
          <w:rFonts w:ascii="Bookman Old Style" w:eastAsia="Bookman Old Style" w:hAnsi="Bookman Old Style" w:cs="Bookman Old Style"/>
          <w:color w:val="231F20"/>
          <w:sz w:val="18"/>
          <w:szCs w:val="18"/>
        </w:rPr>
        <w:softHyphen/>
        <w:t>ющими индивидами, так как их решения принимаются не на осно</w:t>
      </w:r>
      <w:r w:rsidRPr="00B01894">
        <w:rPr>
          <w:rFonts w:ascii="Bookman Old Style" w:eastAsia="Bookman Old Style" w:hAnsi="Bookman Old Style" w:cs="Bookman Old Style"/>
          <w:color w:val="231F20"/>
          <w:sz w:val="18"/>
          <w:szCs w:val="18"/>
        </w:rPr>
        <w:softHyphen/>
        <w:t>ве анализа объективных и наблюдаемых параметров конъюнктуры рынка, а под влиянием факторов преимущественно субъективного характера — психологических, традиций, окружения среды и т. п. И в результате «невидимая рука рынка» не способна свести в единое целое разноплановые интересы экономических субъектов.</w:t>
      </w:r>
    </w:p>
    <w:p w14:paraId="1D026E2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классической теории утверждается, что система свободного рынка способствует полному и рациональному использованию име</w:t>
      </w:r>
      <w:r w:rsidRPr="00B01894">
        <w:rPr>
          <w:rFonts w:ascii="Bookman Old Style" w:eastAsia="Bookman Old Style" w:hAnsi="Bookman Old Style" w:cs="Bookman Old Style"/>
          <w:color w:val="231F20"/>
          <w:sz w:val="18"/>
          <w:szCs w:val="18"/>
        </w:rPr>
        <w:softHyphen/>
        <w:t>ющихся ресурсов, а любое предложение автоматически порождает соответствующий спрос (так называемый закон Сэя). Кейнс же по</w:t>
      </w:r>
      <w:r w:rsidRPr="00B01894">
        <w:rPr>
          <w:rFonts w:ascii="Bookman Old Style" w:eastAsia="Bookman Old Style" w:hAnsi="Bookman Old Style" w:cs="Bookman Old Style"/>
          <w:color w:val="231F20"/>
          <w:sz w:val="18"/>
          <w:szCs w:val="18"/>
        </w:rPr>
        <w:softHyphen/>
        <w:t>казывает, что экономика в силу разнонаправленности интересов различных ее субъектов не только неспособна эффективно исполь</w:t>
      </w:r>
      <w:r w:rsidRPr="00B01894">
        <w:rPr>
          <w:rFonts w:ascii="Bookman Old Style" w:eastAsia="Bookman Old Style" w:hAnsi="Bookman Old Style" w:cs="Bookman Old Style"/>
          <w:color w:val="231F20"/>
          <w:sz w:val="18"/>
          <w:szCs w:val="18"/>
        </w:rPr>
        <w:softHyphen/>
        <w:t>зовать имеющиеся ресурсы, но более того — развивается в услови</w:t>
      </w:r>
      <w:r w:rsidRPr="00B01894">
        <w:rPr>
          <w:rFonts w:ascii="Bookman Old Style" w:eastAsia="Bookman Old Style" w:hAnsi="Bookman Old Style" w:cs="Bookman Old Style"/>
          <w:color w:val="231F20"/>
          <w:sz w:val="18"/>
          <w:szCs w:val="18"/>
        </w:rPr>
        <w:softHyphen/>
        <w:t>ях их относительного избытка, и кризисы перепроизводства есть следствие неспособности экономической системы восстанавливать нарушения равновесия.</w:t>
      </w:r>
    </w:p>
    <w:p w14:paraId="0148F31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Особое внимание Кейнс уделял анализу характера поведения экономических субъектов. Спрос домашних хозяйств определяет</w:t>
      </w:r>
      <w:r w:rsidRPr="00B01894">
        <w:rPr>
          <w:rFonts w:ascii="Bookman Old Style" w:eastAsia="Bookman Old Style" w:hAnsi="Bookman Old Style" w:cs="Bookman Old Style"/>
          <w:color w:val="231F20"/>
          <w:sz w:val="18"/>
          <w:szCs w:val="18"/>
        </w:rPr>
        <w:softHyphen/>
        <w:t xml:space="preserve">ся той долей доходов, которую они направляют на потребление. Однако </w:t>
      </w:r>
      <w:r w:rsidRPr="00B01894">
        <w:rPr>
          <w:rFonts w:ascii="Bookman Old Style" w:eastAsia="Bookman Old Style" w:hAnsi="Bookman Old Style" w:cs="Bookman Old Style"/>
          <w:color w:val="231F20"/>
          <w:sz w:val="18"/>
          <w:szCs w:val="18"/>
        </w:rPr>
        <w:lastRenderedPageBreak/>
        <w:t>мотивы, которыми руководствуются домашние хозяйства при формировании спроса, по своему характеру иные, чем те, ко</w:t>
      </w:r>
      <w:r w:rsidRPr="00B01894">
        <w:rPr>
          <w:rFonts w:ascii="Bookman Old Style" w:eastAsia="Bookman Old Style" w:hAnsi="Bookman Old Style" w:cs="Bookman Old Style"/>
          <w:color w:val="231F20"/>
          <w:sz w:val="18"/>
          <w:szCs w:val="18"/>
        </w:rPr>
        <w:softHyphen/>
        <w:t>торыми руководствуются фирмы при формировании предложения.</w:t>
      </w:r>
    </w:p>
    <w:p w14:paraId="66A264D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 точки зрения классиков, домашние хозяйства продают фирмам факторы, те производят продукт, доход от продажи которого переда</w:t>
      </w:r>
      <w:r w:rsidRPr="00B01894">
        <w:rPr>
          <w:rFonts w:ascii="Bookman Old Style" w:eastAsia="Bookman Old Style" w:hAnsi="Bookman Old Style" w:cs="Bookman Old Style"/>
          <w:color w:val="231F20"/>
          <w:sz w:val="18"/>
          <w:szCs w:val="18"/>
        </w:rPr>
        <w:softHyphen/>
        <w:t>ется домашним хозяйствам, так как стоимость произведенной про</w:t>
      </w:r>
      <w:r w:rsidRPr="00B01894">
        <w:rPr>
          <w:rFonts w:ascii="Bookman Old Style" w:eastAsia="Bookman Old Style" w:hAnsi="Bookman Old Style" w:cs="Bookman Old Style"/>
          <w:color w:val="231F20"/>
          <w:sz w:val="18"/>
          <w:szCs w:val="18"/>
        </w:rPr>
        <w:softHyphen/>
        <w:t>дукции без остатка раскладывается на сумму факторных доходов. При этом, так как часть доходов домашние хозяйства сберегают, проблема равновесия на рынке сводится к тому, чтобы эти сбере</w:t>
      </w:r>
      <w:r w:rsidRPr="00B01894">
        <w:rPr>
          <w:rFonts w:ascii="Bookman Old Style" w:eastAsia="Bookman Old Style" w:hAnsi="Bookman Old Style" w:cs="Bookman Old Style"/>
          <w:color w:val="231F20"/>
          <w:sz w:val="18"/>
          <w:szCs w:val="18"/>
        </w:rPr>
        <w:softHyphen/>
        <w:t>жения не осели мертвым грузом «в сундуках», а были использова</w:t>
      </w:r>
      <w:r w:rsidRPr="00B01894">
        <w:rPr>
          <w:rFonts w:ascii="Bookman Old Style" w:eastAsia="Bookman Old Style" w:hAnsi="Bookman Old Style" w:cs="Bookman Old Style"/>
          <w:color w:val="231F20"/>
          <w:sz w:val="18"/>
          <w:szCs w:val="18"/>
        </w:rPr>
        <w:softHyphen/>
        <w:t>ны другими субъектами экономики — фирмами для осуществления инвестиций. И вопрос лишь в том, чтобы сумма формируемых домашними хозяйствами сбережений соответствовала объему ин</w:t>
      </w:r>
      <w:r w:rsidRPr="00B01894">
        <w:rPr>
          <w:rFonts w:ascii="Bookman Old Style" w:eastAsia="Bookman Old Style" w:hAnsi="Bookman Old Style" w:cs="Bookman Old Style"/>
          <w:color w:val="231F20"/>
          <w:sz w:val="18"/>
          <w:szCs w:val="18"/>
        </w:rPr>
        <w:softHyphen/>
        <w:t>вестиционного спроса фирм. В «идеальной» экономической системе свободного рынка совершенной конкуренции вопрос решается про</w:t>
      </w:r>
      <w:r w:rsidRPr="00B01894">
        <w:rPr>
          <w:rFonts w:ascii="Bookman Old Style" w:eastAsia="Bookman Old Style" w:hAnsi="Bookman Old Style" w:cs="Bookman Old Style"/>
          <w:color w:val="231F20"/>
          <w:sz w:val="18"/>
          <w:szCs w:val="18"/>
        </w:rPr>
        <w:softHyphen/>
        <w:t>сто — и домашние хозяйства, и фирмы как рационально действую</w:t>
      </w:r>
      <w:r w:rsidRPr="00B01894">
        <w:rPr>
          <w:rFonts w:ascii="Bookman Old Style" w:eastAsia="Bookman Old Style" w:hAnsi="Bookman Old Style" w:cs="Bookman Old Style"/>
          <w:color w:val="231F20"/>
          <w:sz w:val="18"/>
          <w:szCs w:val="18"/>
        </w:rPr>
        <w:softHyphen/>
        <w:t>щие субъекты ориентируются на один и тот же мотив при формиро</w:t>
      </w:r>
      <w:r w:rsidRPr="00B01894">
        <w:rPr>
          <w:rFonts w:ascii="Bookman Old Style" w:eastAsia="Bookman Old Style" w:hAnsi="Bookman Old Style" w:cs="Bookman Old Style"/>
          <w:color w:val="231F20"/>
          <w:sz w:val="18"/>
          <w:szCs w:val="18"/>
        </w:rPr>
        <w:softHyphen/>
        <w:t>вании сбережений и инвестиций — мотив выгоды. В свою очередь, выгода определяется текущей ставкой процента, а так как рынок капитала свободный, то ставка процента гибкая и действуют силы спроса и предложения — находится такая ставка процента, при ко</w:t>
      </w:r>
      <w:r w:rsidRPr="00B01894">
        <w:rPr>
          <w:rFonts w:ascii="Bookman Old Style" w:eastAsia="Bookman Old Style" w:hAnsi="Bookman Old Style" w:cs="Bookman Old Style"/>
          <w:color w:val="231F20"/>
          <w:sz w:val="18"/>
          <w:szCs w:val="18"/>
        </w:rPr>
        <w:softHyphen/>
        <w:t>торой объем сбережений уравновешивается объемом спроса на ин</w:t>
      </w:r>
      <w:r w:rsidRPr="00B01894">
        <w:rPr>
          <w:rFonts w:ascii="Bookman Old Style" w:eastAsia="Bookman Old Style" w:hAnsi="Bookman Old Style" w:cs="Bookman Old Style"/>
          <w:color w:val="231F20"/>
          <w:sz w:val="18"/>
          <w:szCs w:val="18"/>
        </w:rPr>
        <w:softHyphen/>
        <w:t>вестиции. И в экономике в целом наступает равновесие.</w:t>
      </w:r>
    </w:p>
    <w:p w14:paraId="7F0266E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Кейнс же показывает, что данный механизм в реальной экономи</w:t>
      </w:r>
      <w:r w:rsidRPr="00B01894">
        <w:rPr>
          <w:rFonts w:ascii="Bookman Old Style" w:eastAsia="Bookman Old Style" w:hAnsi="Bookman Old Style" w:cs="Bookman Old Style"/>
          <w:color w:val="231F20"/>
          <w:sz w:val="18"/>
          <w:szCs w:val="18"/>
        </w:rPr>
        <w:softHyphen/>
        <w:t xml:space="preserve">ке не работает. Формирование инвестиционного спроса со стороны предпринимателей происходит не только под влиянием процентной ставки, но и их ожиданий прибыльности и оценки рисков, Кейнс называет это </w:t>
      </w:r>
      <w:r w:rsidRPr="00B01894">
        <w:rPr>
          <w:rFonts w:ascii="Bookman Old Style" w:eastAsia="Bookman Old Style" w:hAnsi="Bookman Old Style" w:cs="Bookman Old Style"/>
          <w:i/>
          <w:iCs/>
          <w:color w:val="231F20"/>
          <w:sz w:val="18"/>
          <w:szCs w:val="18"/>
          <w:lang w:val="en-US" w:eastAsia="en-US" w:bidi="en-US"/>
        </w:rPr>
        <w:t>animal</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spiri</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«животным чутьем» предпринимателей.</w:t>
      </w:r>
    </w:p>
    <w:p w14:paraId="1A320A4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Домашние же хозяйства распределяют доход на потребление и сбережение исходя не из колебаний процентной ставки, т. е. не из формальной «выгоды» долгосрочного характера, а из сложившихся предпочтений, формально выражаемых параметрами предельной склонности к потреблению и сбережению. При этом изменения величины потребления и сбережения происходят исключительно под влиянием изменения самого дохода, но не пропорционально, а в соответствии с так называемым основным психологическим за</w:t>
      </w:r>
      <w:r w:rsidRPr="00B01894">
        <w:rPr>
          <w:rFonts w:ascii="Bookman Old Style" w:eastAsia="Bookman Old Style" w:hAnsi="Bookman Old Style" w:cs="Bookman Old Style"/>
          <w:color w:val="231F20"/>
          <w:sz w:val="18"/>
          <w:szCs w:val="18"/>
        </w:rPr>
        <w:softHyphen/>
        <w:t>коном — с ростом дохода люди склонны потреблять больше, но не в той степени, в которой растет доход.</w:t>
      </w:r>
    </w:p>
    <w:p w14:paraId="0CC10A5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Общий вывод из анализа мотивов поведения домашних хо</w:t>
      </w:r>
      <w:r w:rsidRPr="00B01894">
        <w:rPr>
          <w:rFonts w:ascii="Bookman Old Style" w:eastAsia="Bookman Old Style" w:hAnsi="Bookman Old Style" w:cs="Bookman Old Style"/>
          <w:color w:val="231F20"/>
          <w:sz w:val="18"/>
          <w:szCs w:val="18"/>
        </w:rPr>
        <w:softHyphen/>
        <w:t>зяйств и фирм заключается в том, что в силу разного характера мотивов принятия решений в экономике на рынке благ (товаров и услуг) не может установиться автоматическое равновесие, а раз</w:t>
      </w:r>
      <w:r w:rsidRPr="00B01894">
        <w:rPr>
          <w:rFonts w:ascii="Bookman Old Style" w:eastAsia="Bookman Old Style" w:hAnsi="Bookman Old Style" w:cs="Bookman Old Style"/>
          <w:color w:val="231F20"/>
          <w:sz w:val="18"/>
          <w:szCs w:val="18"/>
        </w:rPr>
        <w:softHyphen/>
        <w:t>балансировка между спросом и предложением не только возможна, но и естественна. Более того, если равновесие и устанавливается, то происходит это в условиях неполного использования имеющих</w:t>
      </w:r>
      <w:r w:rsidRPr="00B01894">
        <w:rPr>
          <w:rFonts w:ascii="Bookman Old Style" w:eastAsia="Bookman Old Style" w:hAnsi="Bookman Old Style" w:cs="Bookman Old Style"/>
          <w:color w:val="231F20"/>
          <w:sz w:val="18"/>
          <w:szCs w:val="18"/>
        </w:rPr>
        <w:softHyphen/>
        <w:t xml:space="preserve">ся ресурсов. Поэтому необходимо активное участие государства на рынке благ не только как одного из субъектов, осуществляющих закупки на рынке благ (государственные </w:t>
      </w:r>
      <w:r w:rsidRPr="00B01894">
        <w:rPr>
          <w:rFonts w:ascii="Bookman Old Style" w:eastAsia="Bookman Old Style" w:hAnsi="Bookman Old Style" w:cs="Bookman Old Style"/>
          <w:color w:val="231F20"/>
          <w:sz w:val="18"/>
          <w:szCs w:val="18"/>
        </w:rPr>
        <w:lastRenderedPageBreak/>
        <w:t>закупки), но и в качестве субъекта экономического регулирования.</w:t>
      </w:r>
    </w:p>
    <w:p w14:paraId="64B7004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Большое внимание Кейнс уделяет функционированию рынка тру</w:t>
      </w:r>
      <w:r w:rsidRPr="00B01894">
        <w:rPr>
          <w:rFonts w:ascii="Bookman Old Style" w:eastAsia="Bookman Old Style" w:hAnsi="Bookman Old Style" w:cs="Bookman Old Style"/>
          <w:color w:val="231F20"/>
          <w:sz w:val="18"/>
          <w:szCs w:val="18"/>
        </w:rPr>
        <w:softHyphen/>
        <w:t>да. Проведенный анализ позволяет сделать вывод о том, что рынок труда — наиболее неравновесный рынок в экономической системе. Это обусловлено тем, что ставка номинальной зарплаты, которая в классическом варианте является гибкой и выступает в качестве автоматического регулятора спроса и предложения на труд, в реаль</w:t>
      </w:r>
      <w:r w:rsidRPr="00B01894">
        <w:rPr>
          <w:rFonts w:ascii="Bookman Old Style" w:eastAsia="Bookman Old Style" w:hAnsi="Bookman Old Style" w:cs="Bookman Old Style"/>
          <w:color w:val="231F20"/>
          <w:sz w:val="18"/>
          <w:szCs w:val="18"/>
        </w:rPr>
        <w:softHyphen/>
        <w:t>ности достаточно жестко фиксирована. Во-первых, номинальная за</w:t>
      </w:r>
      <w:r w:rsidRPr="00B01894">
        <w:rPr>
          <w:rFonts w:ascii="Bookman Old Style" w:eastAsia="Bookman Old Style" w:hAnsi="Bookman Old Style" w:cs="Bookman Old Style"/>
          <w:color w:val="231F20"/>
          <w:sz w:val="18"/>
          <w:szCs w:val="18"/>
        </w:rPr>
        <w:softHyphen/>
        <w:t>работная плата меняется не так уж часто, и если меняется, то не под влиянием рыночных сил, а в результате переговоров предпринима</w:t>
      </w:r>
      <w:r w:rsidRPr="00B01894">
        <w:rPr>
          <w:rFonts w:ascii="Bookman Old Style" w:eastAsia="Bookman Old Style" w:hAnsi="Bookman Old Style" w:cs="Bookman Old Style"/>
          <w:color w:val="231F20"/>
          <w:sz w:val="18"/>
          <w:szCs w:val="18"/>
        </w:rPr>
        <w:softHyphen/>
        <w:t>телей и работников. Во-вторых, меняется она, как правило, только в сторону повышения, что происходит в периоды роста экономи</w:t>
      </w:r>
      <w:r w:rsidRPr="00B01894">
        <w:rPr>
          <w:rFonts w:ascii="Bookman Old Style" w:eastAsia="Bookman Old Style" w:hAnsi="Bookman Old Style" w:cs="Bookman Old Style"/>
          <w:color w:val="231F20"/>
          <w:sz w:val="18"/>
          <w:szCs w:val="18"/>
        </w:rPr>
        <w:softHyphen/>
        <w:t>ческой активности. Снижению же номинальной заработной платы препятствуют действующие институты рынка труда и социальной организации общества — долгосрочные договоры, профсоюзы, тру</w:t>
      </w:r>
      <w:r w:rsidRPr="00B01894">
        <w:rPr>
          <w:rFonts w:ascii="Bookman Old Style" w:eastAsia="Bookman Old Style" w:hAnsi="Bookman Old Style" w:cs="Bookman Old Style"/>
          <w:color w:val="231F20"/>
          <w:sz w:val="18"/>
          <w:szCs w:val="18"/>
        </w:rPr>
        <w:softHyphen/>
        <w:t>довое законодательство. Поэтому предпринимателю бывает легче уволить нескольких работников, чем снизить заработную плату всем, или никого не увольнять, а повышать цены на продукцию, внося тем самым «вклад» в общий рост цен, что будет способство</w:t>
      </w:r>
      <w:r w:rsidRPr="00B01894">
        <w:rPr>
          <w:rFonts w:ascii="Bookman Old Style" w:eastAsia="Bookman Old Style" w:hAnsi="Bookman Old Style" w:cs="Bookman Old Style"/>
          <w:color w:val="231F20"/>
          <w:sz w:val="18"/>
          <w:szCs w:val="18"/>
        </w:rPr>
        <w:softHyphen/>
        <w:t>вать снижению реальной заработной платы.</w:t>
      </w:r>
    </w:p>
    <w:p w14:paraId="5B91841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результате рынок труда функционирует с неполным исполь</w:t>
      </w:r>
      <w:r w:rsidRPr="00B01894">
        <w:rPr>
          <w:rFonts w:ascii="Bookman Old Style" w:eastAsia="Bookman Old Style" w:hAnsi="Bookman Old Style" w:cs="Bookman Old Style"/>
          <w:color w:val="231F20"/>
          <w:sz w:val="18"/>
          <w:szCs w:val="18"/>
        </w:rPr>
        <w:softHyphen/>
        <w:t>зованием трудовых ресурсов, более того — равновесие на рынке труда устанавливается, как правило, при наличии некоторой без</w:t>
      </w:r>
      <w:r w:rsidRPr="00B01894">
        <w:rPr>
          <w:rFonts w:ascii="Bookman Old Style" w:eastAsia="Bookman Old Style" w:hAnsi="Bookman Old Style" w:cs="Bookman Old Style"/>
          <w:color w:val="231F20"/>
          <w:sz w:val="18"/>
          <w:szCs w:val="18"/>
        </w:rPr>
        <w:softHyphen/>
        <w:t>работицы, а полная занятость для экономики является не нормой, а, скорее, исключением из правил. Таким образом, закономерности, определяющие функционирование рынка труда, обусловливают не</w:t>
      </w:r>
      <w:r w:rsidRPr="00B01894">
        <w:rPr>
          <w:rFonts w:ascii="Bookman Old Style" w:eastAsia="Bookman Old Style" w:hAnsi="Bookman Old Style" w:cs="Bookman Old Style"/>
          <w:color w:val="231F20"/>
          <w:sz w:val="18"/>
          <w:szCs w:val="18"/>
        </w:rPr>
        <w:softHyphen/>
        <w:t>обходимость государственного регулирования в сфере поддержа</w:t>
      </w:r>
      <w:r w:rsidRPr="00B01894">
        <w:rPr>
          <w:rFonts w:ascii="Bookman Old Style" w:eastAsia="Bookman Old Style" w:hAnsi="Bookman Old Style" w:cs="Bookman Old Style"/>
          <w:color w:val="231F20"/>
          <w:sz w:val="18"/>
          <w:szCs w:val="18"/>
        </w:rPr>
        <w:softHyphen/>
        <w:t>ния занятости и борьбы с безработицей, в том числе с помощью механизмов создания «государственных рабочих мест», например по проведению общественных работ.</w:t>
      </w:r>
    </w:p>
    <w:p w14:paraId="7886702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целом экономическая система по Кейнсу не может нормаль</w:t>
      </w:r>
      <w:r w:rsidRPr="00B01894">
        <w:rPr>
          <w:rFonts w:ascii="Bookman Old Style" w:eastAsia="Bookman Old Style" w:hAnsi="Bookman Old Style" w:cs="Bookman Old Style"/>
          <w:color w:val="231F20"/>
          <w:sz w:val="18"/>
          <w:szCs w:val="18"/>
        </w:rPr>
        <w:softHyphen/>
        <w:t>но функционировать без активного вмешательства государства, причем это касается абсолютно всех рынков, и реального сектора экономики — товарных и труда, и финансового сектора — рынков денег и капитала.</w:t>
      </w:r>
    </w:p>
    <w:p w14:paraId="588A632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 на рынке капитала государство может выступать активным участником, размещая свои облигации. Тем самым государство, с одной стороны, предъявляет спрос на свободные сбережения до</w:t>
      </w:r>
      <w:r w:rsidRPr="00B01894">
        <w:rPr>
          <w:rFonts w:ascii="Bookman Old Style" w:eastAsia="Bookman Old Style" w:hAnsi="Bookman Old Style" w:cs="Bookman Old Style"/>
          <w:color w:val="231F20"/>
          <w:sz w:val="18"/>
          <w:szCs w:val="18"/>
        </w:rPr>
        <w:softHyphen/>
        <w:t>машних хозяйств, которые не предъявили фирмы, а с другой — может восполнить нехватку собственных доходов для осуществле</w:t>
      </w:r>
      <w:r w:rsidRPr="00B01894">
        <w:rPr>
          <w:rFonts w:ascii="Bookman Old Style" w:eastAsia="Bookman Old Style" w:hAnsi="Bookman Old Style" w:cs="Bookman Old Style"/>
          <w:color w:val="231F20"/>
          <w:sz w:val="18"/>
          <w:szCs w:val="18"/>
        </w:rPr>
        <w:softHyphen/>
        <w:t>ния программ по стимулированию экономики. Эти рекомендации Кейнса стали широко использоваться и используются и в настоящее время — мы наблюдаем, что на рынке капитала присутствуют два ключевых игрока — государство и бизнес, которые конкурируют за свободные финансовые ресурсы, формируемые преимуществен</w:t>
      </w:r>
      <w:r w:rsidRPr="00B01894">
        <w:rPr>
          <w:rFonts w:ascii="Bookman Old Style" w:eastAsia="Bookman Old Style" w:hAnsi="Bookman Old Style" w:cs="Bookman Old Style"/>
          <w:color w:val="231F20"/>
          <w:sz w:val="18"/>
          <w:szCs w:val="18"/>
        </w:rPr>
        <w:softHyphen/>
        <w:t>но за счет сбережений домашних хозяйств. Кроме того, государство может активно использовать налоговое регулирование для поддер</w:t>
      </w:r>
      <w:r w:rsidRPr="00B01894">
        <w:rPr>
          <w:rFonts w:ascii="Bookman Old Style" w:eastAsia="Bookman Old Style" w:hAnsi="Bookman Old Style" w:cs="Bookman Old Style"/>
          <w:color w:val="231F20"/>
          <w:sz w:val="18"/>
          <w:szCs w:val="18"/>
        </w:rPr>
        <w:softHyphen/>
        <w:t xml:space="preserve">жания экономической </w:t>
      </w:r>
      <w:r w:rsidRPr="00B01894">
        <w:rPr>
          <w:rFonts w:ascii="Bookman Old Style" w:eastAsia="Bookman Old Style" w:hAnsi="Bookman Old Style" w:cs="Bookman Old Style"/>
          <w:color w:val="231F20"/>
          <w:sz w:val="18"/>
          <w:szCs w:val="18"/>
        </w:rPr>
        <w:lastRenderedPageBreak/>
        <w:t>активности и выравнивания дисбалансов. В целом использование инструментов бюджетно-налоговой полити</w:t>
      </w:r>
      <w:r w:rsidRPr="00B01894">
        <w:rPr>
          <w:rFonts w:ascii="Bookman Old Style" w:eastAsia="Bookman Old Style" w:hAnsi="Bookman Old Style" w:cs="Bookman Old Style"/>
          <w:color w:val="231F20"/>
          <w:sz w:val="18"/>
          <w:szCs w:val="18"/>
        </w:rPr>
        <w:softHyphen/>
        <w:t>ки Кейнс рассматривает в качестве основного метода государствен</w:t>
      </w:r>
      <w:r w:rsidRPr="00B01894">
        <w:rPr>
          <w:rFonts w:ascii="Bookman Old Style" w:eastAsia="Bookman Old Style" w:hAnsi="Bookman Old Style" w:cs="Bookman Old Style"/>
          <w:color w:val="231F20"/>
          <w:sz w:val="18"/>
          <w:szCs w:val="18"/>
        </w:rPr>
        <w:softHyphen/>
        <w:t>ного регулирования.</w:t>
      </w:r>
    </w:p>
    <w:p w14:paraId="500AFCA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Большое внимание Кейнс уделяет также анализу регулирования денежного рынка. В первой трети </w:t>
      </w:r>
      <w:r w:rsidRPr="00B01894">
        <w:rPr>
          <w:rFonts w:ascii="Bookman Old Style" w:eastAsia="Bookman Old Style" w:hAnsi="Bookman Old Style" w:cs="Bookman Old Style"/>
          <w:color w:val="231F20"/>
          <w:sz w:val="18"/>
          <w:szCs w:val="18"/>
          <w:lang w:val="en-US" w:eastAsia="en-US" w:bidi="en-US"/>
        </w:rPr>
        <w:t>XX</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в. уже сформировалась совре</w:t>
      </w:r>
      <w:r w:rsidRPr="00B01894">
        <w:rPr>
          <w:rFonts w:ascii="Bookman Old Style" w:eastAsia="Bookman Old Style" w:hAnsi="Bookman Old Style" w:cs="Bookman Old Style"/>
          <w:color w:val="231F20"/>
          <w:sz w:val="18"/>
          <w:szCs w:val="18"/>
        </w:rPr>
        <w:softHyphen/>
        <w:t>менная двухуровневая банковская система, предусматривающая жесткий государственный контроль над денежной эмиссией, и вы</w:t>
      </w:r>
      <w:r w:rsidRPr="00B01894">
        <w:rPr>
          <w:rFonts w:ascii="Bookman Old Style" w:eastAsia="Bookman Old Style" w:hAnsi="Bookman Old Style" w:cs="Bookman Old Style"/>
          <w:color w:val="231F20"/>
          <w:sz w:val="18"/>
          <w:szCs w:val="18"/>
        </w:rPr>
        <w:softHyphen/>
        <w:t>работаны основные правила денежного обращения и эмиссии де</w:t>
      </w:r>
      <w:r w:rsidRPr="00B01894">
        <w:rPr>
          <w:rFonts w:ascii="Bookman Old Style" w:eastAsia="Bookman Old Style" w:hAnsi="Bookman Old Style" w:cs="Bookman Old Style"/>
          <w:color w:val="231F20"/>
          <w:sz w:val="18"/>
          <w:szCs w:val="18"/>
        </w:rPr>
        <w:softHyphen/>
        <w:t>нег. Следовательно формирование предложения денег полностью находилось под контролем государства.</w:t>
      </w:r>
    </w:p>
    <w:p w14:paraId="508A731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Кейнс не подвергал сомнению принципы функционирования банковской системы — в более-менее неизменном виде они со</w:t>
      </w:r>
      <w:r w:rsidRPr="00B01894">
        <w:rPr>
          <w:rFonts w:ascii="Bookman Old Style" w:eastAsia="Bookman Old Style" w:hAnsi="Bookman Old Style" w:cs="Bookman Old Style"/>
          <w:color w:val="231F20"/>
          <w:sz w:val="18"/>
          <w:szCs w:val="18"/>
        </w:rPr>
        <w:softHyphen/>
        <w:t>хранились и до настоящего времени. Однако он внес неоценимый вклад в развитие представлений о формировании денежного спроса и роли денег в экономике. До Кейнса считалось, что деньги ней</w:t>
      </w:r>
      <w:r w:rsidRPr="00B01894">
        <w:rPr>
          <w:rFonts w:ascii="Bookman Old Style" w:eastAsia="Bookman Old Style" w:hAnsi="Bookman Old Style" w:cs="Bookman Old Style"/>
          <w:color w:val="231F20"/>
          <w:sz w:val="18"/>
          <w:szCs w:val="18"/>
        </w:rPr>
        <w:softHyphen/>
        <w:t>тральны, они служат счетной единицей (мерой стоимости) и сред</w:t>
      </w:r>
      <w:r w:rsidRPr="00B01894">
        <w:rPr>
          <w:rFonts w:ascii="Bookman Old Style" w:eastAsia="Bookman Old Style" w:hAnsi="Bookman Old Style" w:cs="Bookman Old Style"/>
          <w:color w:val="231F20"/>
          <w:sz w:val="18"/>
          <w:szCs w:val="18"/>
        </w:rPr>
        <w:softHyphen/>
        <w:t>ством обращения, выполняют также функцию средства платежа и накопления. Но сами по себе деньги ценности не имеют, цен</w:t>
      </w:r>
      <w:r w:rsidRPr="00B01894">
        <w:rPr>
          <w:rFonts w:ascii="Bookman Old Style" w:eastAsia="Bookman Old Style" w:hAnsi="Bookman Old Style" w:cs="Bookman Old Style"/>
          <w:color w:val="231F20"/>
          <w:sz w:val="18"/>
          <w:szCs w:val="18"/>
        </w:rPr>
        <w:softHyphen/>
        <w:t>ность имеет лишь то, что можно приобрести за деньги. Поэтому из</w:t>
      </w:r>
      <w:r w:rsidRPr="00B01894">
        <w:rPr>
          <w:rFonts w:ascii="Bookman Old Style" w:eastAsia="Bookman Old Style" w:hAnsi="Bookman Old Style" w:cs="Bookman Old Style"/>
          <w:color w:val="231F20"/>
          <w:sz w:val="18"/>
          <w:szCs w:val="18"/>
        </w:rPr>
        <w:softHyphen/>
        <w:t>менение количества денег в экономике не может оказать влияния на реальные параметры развития — объем производства и уровень занятости, а лишь приведет к пропорциональному изменению цен.</w:t>
      </w:r>
    </w:p>
    <w:p w14:paraId="6A6D576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Кейнс же утвердил иное представление о роли денег в эконо</w:t>
      </w:r>
      <w:r w:rsidRPr="00B01894">
        <w:rPr>
          <w:rFonts w:ascii="Bookman Old Style" w:eastAsia="Bookman Old Style" w:hAnsi="Bookman Old Style" w:cs="Bookman Old Style"/>
          <w:color w:val="231F20"/>
          <w:sz w:val="18"/>
          <w:szCs w:val="18"/>
        </w:rPr>
        <w:softHyphen/>
        <w:t>мике — после Кейнса фраза «деньги имеют значение» зазвучала совершенно по-иному, во всяком случае, в среде экономистов. Он рассматривал деньги как элемент богатства, но не как олицетворе</w:t>
      </w:r>
      <w:r w:rsidRPr="00B01894">
        <w:rPr>
          <w:rFonts w:ascii="Bookman Old Style" w:eastAsia="Bookman Old Style" w:hAnsi="Bookman Old Style" w:cs="Bookman Old Style"/>
          <w:color w:val="231F20"/>
          <w:sz w:val="18"/>
          <w:szCs w:val="18"/>
        </w:rPr>
        <w:softHyphen/>
        <w:t>ние богатства, не в обиходном понимании, а как актив, в который домашние хозяйства могут направлять свои сбережения наряду с другими активами. Кейнс использовал идею Дж. Р. Хикса о том, что спрос на деньги является частным случаем проблемы выбо</w:t>
      </w:r>
      <w:r w:rsidRPr="00B01894">
        <w:rPr>
          <w:rFonts w:ascii="Bookman Old Style" w:eastAsia="Bookman Old Style" w:hAnsi="Bookman Old Style" w:cs="Bookman Old Style"/>
          <w:color w:val="231F20"/>
          <w:sz w:val="18"/>
          <w:szCs w:val="18"/>
        </w:rPr>
        <w:softHyphen/>
        <w:t>ра оптимального портфеля активов, и в таком понимании деньги представляют собой некий актив, владение которым вызывает аль</w:t>
      </w:r>
      <w:r w:rsidRPr="00B01894">
        <w:rPr>
          <w:rFonts w:ascii="Bookman Old Style" w:eastAsia="Bookman Old Style" w:hAnsi="Bookman Old Style" w:cs="Bookman Old Style"/>
          <w:color w:val="231F20"/>
          <w:sz w:val="18"/>
          <w:szCs w:val="18"/>
        </w:rPr>
        <w:softHyphen/>
        <w:t>тернативные издержки.</w:t>
      </w:r>
    </w:p>
    <w:p w14:paraId="7FBFBAE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Кейнс выделил три мотива денежного спроса:</w:t>
      </w:r>
    </w:p>
    <w:p w14:paraId="7972F720" w14:textId="77777777" w:rsidR="00B01894" w:rsidRPr="00B01894" w:rsidRDefault="00B01894" w:rsidP="00B01894">
      <w:pPr>
        <w:widowControl w:val="0"/>
        <w:numPr>
          <w:ilvl w:val="0"/>
          <w:numId w:val="8"/>
        </w:numPr>
        <w:tabs>
          <w:tab w:val="left" w:pos="634"/>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трансакционный мотив, отражающий потребность в деньгах для совершения текущих платежей;</w:t>
      </w:r>
    </w:p>
    <w:p w14:paraId="4A7F8F85"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мотив предосторожности, отражающий потребность в день</w:t>
      </w:r>
      <w:r w:rsidRPr="00B01894">
        <w:rPr>
          <w:rFonts w:ascii="Bookman Old Style" w:eastAsia="Bookman Old Style" w:hAnsi="Bookman Old Style" w:cs="Bookman Old Style"/>
          <w:color w:val="231F20"/>
          <w:sz w:val="18"/>
          <w:szCs w:val="18"/>
        </w:rPr>
        <w:softHyphen/>
        <w:t>гах для осуществления непредвиденных платежей;</w:t>
      </w:r>
    </w:p>
    <w:p w14:paraId="1AB1B5C3"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спекулятивный мотив, отражающий спрос на деньги именно как на актив.</w:t>
      </w:r>
    </w:p>
    <w:p w14:paraId="2E96C88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Первые два мотива объясняют потребность в деньгах для совер</w:t>
      </w:r>
      <w:r w:rsidRPr="00B01894">
        <w:rPr>
          <w:rFonts w:ascii="Bookman Old Style" w:eastAsia="Bookman Old Style" w:hAnsi="Bookman Old Style" w:cs="Bookman Old Style"/>
          <w:color w:val="231F20"/>
          <w:sz w:val="18"/>
          <w:szCs w:val="18"/>
        </w:rPr>
        <w:softHyphen/>
        <w:t>шения сделок, последний выражает желание иметь их как элемент имущества, т. е. актив.</w:t>
      </w:r>
    </w:p>
    <w:p w14:paraId="69973F2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Такое представление о наших мотивах денежного спроса имеет не только теоретическое значение, оно позволило вскрыть совер</w:t>
      </w:r>
      <w:r w:rsidRPr="00B01894">
        <w:rPr>
          <w:rFonts w:ascii="Bookman Old Style" w:eastAsia="Bookman Old Style" w:hAnsi="Bookman Old Style" w:cs="Bookman Old Style"/>
          <w:color w:val="231F20"/>
          <w:sz w:val="18"/>
          <w:szCs w:val="18"/>
        </w:rPr>
        <w:softHyphen/>
        <w:t xml:space="preserve">шенно иные механизмы взаимодействия рынков, на которые ранее не обращали внимания. Дело в том, что, восполняя нехватку денег, или </w:t>
      </w:r>
      <w:r w:rsidRPr="00B01894">
        <w:rPr>
          <w:rFonts w:ascii="Bookman Old Style" w:eastAsia="Bookman Old Style" w:hAnsi="Bookman Old Style" w:cs="Bookman Old Style"/>
          <w:color w:val="231F20"/>
          <w:sz w:val="18"/>
          <w:szCs w:val="18"/>
        </w:rPr>
        <w:lastRenderedPageBreak/>
        <w:t>наоборот — избавляясь от их относительного избытка, домаш</w:t>
      </w:r>
      <w:r w:rsidRPr="00B01894">
        <w:rPr>
          <w:rFonts w:ascii="Bookman Old Style" w:eastAsia="Bookman Old Style" w:hAnsi="Bookman Old Style" w:cs="Bookman Old Style"/>
          <w:color w:val="231F20"/>
          <w:sz w:val="18"/>
          <w:szCs w:val="18"/>
        </w:rPr>
        <w:softHyphen/>
        <w:t>ние хозяйства такими действиями оказывают влияние на основной регулятор рынка капитала — процентную ставку, тем самым запу</w:t>
      </w:r>
      <w:r w:rsidRPr="00B01894">
        <w:rPr>
          <w:rFonts w:ascii="Bookman Old Style" w:eastAsia="Bookman Old Style" w:hAnsi="Bookman Old Style" w:cs="Bookman Old Style"/>
          <w:color w:val="231F20"/>
          <w:sz w:val="18"/>
          <w:szCs w:val="18"/>
        </w:rPr>
        <w:softHyphen/>
        <w:t>ская механизм, известный сегодня как эффект Кейнса. На измене</w:t>
      </w:r>
      <w:r w:rsidRPr="00B01894">
        <w:rPr>
          <w:rFonts w:ascii="Bookman Old Style" w:eastAsia="Bookman Old Style" w:hAnsi="Bookman Old Style" w:cs="Bookman Old Style"/>
          <w:color w:val="231F20"/>
          <w:sz w:val="18"/>
          <w:szCs w:val="18"/>
        </w:rPr>
        <w:softHyphen/>
        <w:t>ние процентной ставки реагируют предприниматели, изменяя объ</w:t>
      </w:r>
      <w:r w:rsidRPr="00B01894">
        <w:rPr>
          <w:rFonts w:ascii="Bookman Old Style" w:eastAsia="Bookman Old Style" w:hAnsi="Bookman Old Style" w:cs="Bookman Old Style"/>
          <w:color w:val="231F20"/>
          <w:sz w:val="18"/>
          <w:szCs w:val="18"/>
        </w:rPr>
        <w:softHyphen/>
        <w:t>ем инвестиционного спроса, что вызывает изменения в реальном секторе экономики, т. е. оказывается влияние на параметры рынка благ и, как следствие, на рынок труда.</w:t>
      </w:r>
    </w:p>
    <w:p w14:paraId="6A5E94C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изменение количества денег в экономике приво</w:t>
      </w:r>
      <w:r w:rsidRPr="00B01894">
        <w:rPr>
          <w:rFonts w:ascii="Bookman Old Style" w:eastAsia="Bookman Old Style" w:hAnsi="Bookman Old Style" w:cs="Bookman Old Style"/>
          <w:color w:val="231F20"/>
          <w:sz w:val="18"/>
          <w:szCs w:val="18"/>
        </w:rPr>
        <w:softHyphen/>
        <w:t>дит к изменению не только уровня цен, но и объемов производства и занятости. Этот важнейший вывод положил начало денежно-кре</w:t>
      </w:r>
      <w:r w:rsidRPr="00B01894">
        <w:rPr>
          <w:rFonts w:ascii="Bookman Old Style" w:eastAsia="Bookman Old Style" w:hAnsi="Bookman Old Style" w:cs="Bookman Old Style"/>
          <w:color w:val="231F20"/>
          <w:sz w:val="18"/>
          <w:szCs w:val="18"/>
        </w:rPr>
        <w:softHyphen/>
        <w:t>дитной политике в современной экономике. Однако следует иметь в виду, что влияние денег на экономику ограничено некоторыми пределами, так как в условиях роста экономики денежное регули</w:t>
      </w:r>
      <w:r w:rsidRPr="00B01894">
        <w:rPr>
          <w:rFonts w:ascii="Bookman Old Style" w:eastAsia="Bookman Old Style" w:hAnsi="Bookman Old Style" w:cs="Bookman Old Style"/>
          <w:color w:val="231F20"/>
          <w:sz w:val="18"/>
          <w:szCs w:val="18"/>
        </w:rPr>
        <w:softHyphen/>
        <w:t>рование целесообразно использовать в целях сдерживания, но не стимулирования экономической активности. В условиях спада де</w:t>
      </w:r>
      <w:r w:rsidRPr="00B01894">
        <w:rPr>
          <w:rFonts w:ascii="Bookman Old Style" w:eastAsia="Bookman Old Style" w:hAnsi="Bookman Old Style" w:cs="Bookman Old Style"/>
          <w:color w:val="231F20"/>
          <w:sz w:val="18"/>
          <w:szCs w:val="18"/>
        </w:rPr>
        <w:softHyphen/>
        <w:t>нежное стимулирование возможно, но может не дать нужных ре</w:t>
      </w:r>
      <w:r w:rsidRPr="00B01894">
        <w:rPr>
          <w:rFonts w:ascii="Bookman Old Style" w:eastAsia="Bookman Old Style" w:hAnsi="Bookman Old Style" w:cs="Bookman Old Style"/>
          <w:color w:val="231F20"/>
          <w:sz w:val="18"/>
          <w:szCs w:val="18"/>
        </w:rPr>
        <w:softHyphen/>
        <w:t>зультатов, поскольку экономика склонна при спаде впадать в ситу</w:t>
      </w:r>
      <w:r w:rsidRPr="00B01894">
        <w:rPr>
          <w:rFonts w:ascii="Bookman Old Style" w:eastAsia="Bookman Old Style" w:hAnsi="Bookman Old Style" w:cs="Bookman Old Style"/>
          <w:color w:val="231F20"/>
          <w:sz w:val="18"/>
          <w:szCs w:val="18"/>
        </w:rPr>
        <w:softHyphen/>
        <w:t>ации, которые получили название ликвидной и инвестиционной ловушки.</w:t>
      </w:r>
    </w:p>
    <w:p w14:paraId="497E9FC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Денежная теория Кейнса получила развитие в трудах другого из</w:t>
      </w:r>
      <w:r w:rsidRPr="00B01894">
        <w:rPr>
          <w:rFonts w:ascii="Bookman Old Style" w:eastAsia="Bookman Old Style" w:hAnsi="Bookman Old Style" w:cs="Bookman Old Style"/>
          <w:color w:val="231F20"/>
          <w:sz w:val="18"/>
          <w:szCs w:val="18"/>
        </w:rPr>
        <w:softHyphen/>
        <w:t>вестного экономиста — М. Фридмана, работы которого определили новое направление в экономике — монетаризм. Хотя монетаризм отталкивается от некоторых основных положений кейнсианства, но приходит в результате к совершенно противоположным кейнси</w:t>
      </w:r>
      <w:r w:rsidRPr="00B01894">
        <w:rPr>
          <w:rFonts w:ascii="Bookman Old Style" w:eastAsia="Bookman Old Style" w:hAnsi="Bookman Old Style" w:cs="Bookman Old Style"/>
          <w:color w:val="231F20"/>
          <w:sz w:val="18"/>
          <w:szCs w:val="18"/>
        </w:rPr>
        <w:softHyphen/>
        <w:t>анству выводам, и недаром теорию Фридмана часто называют но</w:t>
      </w:r>
      <w:r w:rsidRPr="00B01894">
        <w:rPr>
          <w:rFonts w:ascii="Bookman Old Style" w:eastAsia="Bookman Old Style" w:hAnsi="Bookman Old Style" w:cs="Bookman Old Style"/>
          <w:color w:val="231F20"/>
          <w:sz w:val="18"/>
          <w:szCs w:val="18"/>
        </w:rPr>
        <w:softHyphen/>
        <w:t>вой количественной теорией, как бы подчеркивая, что она скорее продолжение классической традиции, нежели кейнсианских пред</w:t>
      </w:r>
      <w:r w:rsidRPr="00B01894">
        <w:rPr>
          <w:rFonts w:ascii="Bookman Old Style" w:eastAsia="Bookman Old Style" w:hAnsi="Bookman Old Style" w:cs="Bookman Old Style"/>
          <w:color w:val="231F20"/>
          <w:sz w:val="18"/>
          <w:szCs w:val="18"/>
        </w:rPr>
        <w:softHyphen/>
        <w:t>ставлений.</w:t>
      </w:r>
    </w:p>
    <w:p w14:paraId="19C4C7C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Фридман, так же как и Кейнс, рассматривает деньги как один из видов активов, только расширяет состав этих активов, причем таким образом, что получается некоторая «привязка» каждого из ак</w:t>
      </w:r>
      <w:r w:rsidRPr="00B01894">
        <w:rPr>
          <w:rFonts w:ascii="Bookman Old Style" w:eastAsia="Bookman Old Style" w:hAnsi="Bookman Old Style" w:cs="Bookman Old Style"/>
          <w:color w:val="231F20"/>
          <w:sz w:val="18"/>
          <w:szCs w:val="18"/>
        </w:rPr>
        <w:softHyphen/>
        <w:t>тивов к одному из макроэкономических рынков. В результате из</w:t>
      </w:r>
      <w:r w:rsidRPr="00B01894">
        <w:rPr>
          <w:rFonts w:ascii="Bookman Old Style" w:eastAsia="Bookman Old Style" w:hAnsi="Bookman Old Style" w:cs="Bookman Old Style"/>
          <w:color w:val="231F20"/>
          <w:sz w:val="18"/>
          <w:szCs w:val="18"/>
        </w:rPr>
        <w:softHyphen/>
        <w:t>менения на денежном рынке могут оказывать на реальный сектор не только косвенное воздействие, как это имеет место при эффек</w:t>
      </w:r>
      <w:r w:rsidRPr="00B01894">
        <w:rPr>
          <w:rFonts w:ascii="Bookman Old Style" w:eastAsia="Bookman Old Style" w:hAnsi="Bookman Old Style" w:cs="Bookman Old Style"/>
          <w:color w:val="231F20"/>
          <w:sz w:val="18"/>
          <w:szCs w:val="18"/>
        </w:rPr>
        <w:softHyphen/>
        <w:t>те Кейнса, но и прямое непосредственное влияние, через эффекты имущества и субституции. И выражение «деньги имеют значение» приобретает еще более значимый смысл.</w:t>
      </w:r>
    </w:p>
    <w:p w14:paraId="2D30C40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Более того, Фридман считает, что влияние денег на экономику более сильное, нежели влияние изменений автономных расходов, и поэтому предостерегает от чрезмерного увлечения денежным регулированием. Дело в том, что в основе монетаристской теории лежит концепция перманентного дохода, которая появилась в рам</w:t>
      </w:r>
      <w:r w:rsidRPr="00B01894">
        <w:rPr>
          <w:rFonts w:ascii="Bookman Old Style" w:eastAsia="Bookman Old Style" w:hAnsi="Bookman Old Style" w:cs="Bookman Old Style"/>
          <w:color w:val="231F20"/>
          <w:sz w:val="18"/>
          <w:szCs w:val="18"/>
        </w:rPr>
        <w:softHyphen/>
        <w:t xml:space="preserve">ках критики кейнсианской теории потребления, начавшейся после публикации исследований С. Кузнеца, который установил, что доля потребления в доходе домашних хозяйств на удивление постоянна и, следовательно, «основной психологический закон» ошибочен. Было предложено </w:t>
      </w:r>
      <w:r w:rsidRPr="00B01894">
        <w:rPr>
          <w:rFonts w:ascii="Bookman Old Style" w:eastAsia="Bookman Old Style" w:hAnsi="Bookman Old Style" w:cs="Bookman Old Style"/>
          <w:color w:val="231F20"/>
          <w:sz w:val="18"/>
          <w:szCs w:val="18"/>
        </w:rPr>
        <w:lastRenderedPageBreak/>
        <w:t>множество объяснений этому феномену, одно из них и принадлежит Фридману. Общий вывод из концепции пер</w:t>
      </w:r>
      <w:r w:rsidRPr="00B01894">
        <w:rPr>
          <w:rFonts w:ascii="Bookman Old Style" w:eastAsia="Bookman Old Style" w:hAnsi="Bookman Old Style" w:cs="Bookman Old Style"/>
          <w:color w:val="231F20"/>
          <w:sz w:val="18"/>
          <w:szCs w:val="18"/>
        </w:rPr>
        <w:softHyphen/>
        <w:t>манентного дохода таков: экономические субъекты стремятся к по</w:t>
      </w:r>
      <w:r w:rsidRPr="00B01894">
        <w:rPr>
          <w:rFonts w:ascii="Bookman Old Style" w:eastAsia="Bookman Old Style" w:hAnsi="Bookman Old Style" w:cs="Bookman Old Style"/>
          <w:color w:val="231F20"/>
          <w:sz w:val="18"/>
          <w:szCs w:val="18"/>
        </w:rPr>
        <w:softHyphen/>
        <w:t>стоянному уровню дохода и потребления в долгосрочном периоде, несмотря на краткосрочные колебания текущего дохода. А так как именно доход определяет величину денежного спроса, то при посто</w:t>
      </w:r>
      <w:r w:rsidRPr="00B01894">
        <w:rPr>
          <w:rFonts w:ascii="Bookman Old Style" w:eastAsia="Bookman Old Style" w:hAnsi="Bookman Old Style" w:cs="Bookman Old Style"/>
          <w:color w:val="231F20"/>
          <w:sz w:val="18"/>
          <w:szCs w:val="18"/>
        </w:rPr>
        <w:softHyphen/>
        <w:t>янстве дохода спрос на деньги также постоянен. На колебания же денежного предложения субъекты будут реагировать тем, что бу</w:t>
      </w:r>
      <w:r w:rsidRPr="00B01894">
        <w:rPr>
          <w:rFonts w:ascii="Bookman Old Style" w:eastAsia="Bookman Old Style" w:hAnsi="Bookman Old Style" w:cs="Bookman Old Style"/>
          <w:color w:val="231F20"/>
          <w:sz w:val="18"/>
          <w:szCs w:val="18"/>
        </w:rPr>
        <w:softHyphen/>
        <w:t>дут запускаться различные механизмы влияния денежного сектора экономики на реальный, и далеко не всегда это приведет к положи</w:t>
      </w:r>
      <w:r w:rsidRPr="00B01894">
        <w:rPr>
          <w:rFonts w:ascii="Bookman Old Style" w:eastAsia="Bookman Old Style" w:hAnsi="Bookman Old Style" w:cs="Bookman Old Style"/>
          <w:color w:val="231F20"/>
          <w:sz w:val="18"/>
          <w:szCs w:val="18"/>
        </w:rPr>
        <w:softHyphen/>
        <w:t>тельным последствиям для экономики.</w:t>
      </w:r>
    </w:p>
    <w:p w14:paraId="42DD3D39"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Поэтому для стабилизации экономики лучше всего из года в год поддерживать постоянный рост денежной массы, соответствующий долгосрочному прогнозу по росту ВВП.</w:t>
      </w:r>
    </w:p>
    <w:p w14:paraId="3C829723"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Рекомендуемый Фридманом темп прироста денежной массы в обращении на уровне 3—5 % в год </w:t>
      </w:r>
      <w:r w:rsidRPr="00B01894">
        <w:rPr>
          <w:rFonts w:ascii="Bookman Old Style" w:eastAsia="Bookman Old Style" w:hAnsi="Bookman Old Style" w:cs="Bookman Old Style"/>
          <w:i/>
          <w:iCs/>
          <w:color w:val="231F20"/>
          <w:sz w:val="18"/>
          <w:szCs w:val="18"/>
        </w:rPr>
        <w:t>(«золотое монетарное прави</w:t>
      </w:r>
      <w:r w:rsidRPr="00B01894">
        <w:rPr>
          <w:rFonts w:ascii="Bookman Old Style" w:eastAsia="Bookman Old Style" w:hAnsi="Bookman Old Style" w:cs="Bookman Old Style"/>
          <w:i/>
          <w:iCs/>
          <w:color w:val="231F20"/>
          <w:sz w:val="18"/>
          <w:szCs w:val="18"/>
        </w:rPr>
        <w:softHyphen/>
        <w:t>ло»,</w:t>
      </w:r>
      <w:r w:rsidRPr="00B01894">
        <w:rPr>
          <w:rFonts w:ascii="Bookman Old Style" w:eastAsia="Bookman Old Style" w:hAnsi="Bookman Old Style" w:cs="Bookman Old Style"/>
          <w:color w:val="231F20"/>
          <w:sz w:val="18"/>
          <w:szCs w:val="18"/>
        </w:rPr>
        <w:t xml:space="preserve"> или «денежное правило»). Регулирование величины и темпов роста денежной массы осуществляется методом таргетирования, предполагающим установление целевых ориентиров роста денеж</w:t>
      </w:r>
      <w:r w:rsidRPr="00B01894">
        <w:rPr>
          <w:rFonts w:ascii="Bookman Old Style" w:eastAsia="Bookman Old Style" w:hAnsi="Bookman Old Style" w:cs="Bookman Old Style"/>
          <w:color w:val="231F20"/>
          <w:sz w:val="18"/>
          <w:szCs w:val="18"/>
        </w:rPr>
        <w:softHyphen/>
        <w:t>ных агрегатов на предстоящий период исходя из ожидаемого по</w:t>
      </w:r>
      <w:r w:rsidRPr="00B01894">
        <w:rPr>
          <w:rFonts w:ascii="Bookman Old Style" w:eastAsia="Bookman Old Style" w:hAnsi="Bookman Old Style" w:cs="Bookman Old Style"/>
          <w:color w:val="231F20"/>
          <w:sz w:val="18"/>
          <w:szCs w:val="18"/>
        </w:rPr>
        <w:softHyphen/>
        <w:t>вышения производственного потенциала и роста цен в течение таргетируемого периода, а также учет количественных параметров денежной массы в действиях всех участников рынка.</w:t>
      </w:r>
    </w:p>
    <w:p w14:paraId="78ECF4F9"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Стабилизация цен, нивелирование инфляционной компоненты в результате политики таргетирования ведет к стимулированию конкуренции. В этих условиях происходит восстановление меха</w:t>
      </w:r>
      <w:r w:rsidRPr="00B01894">
        <w:rPr>
          <w:rFonts w:ascii="Bookman Old Style" w:eastAsia="Bookman Old Style" w:hAnsi="Bookman Old Style" w:cs="Bookman Old Style"/>
          <w:color w:val="231F20"/>
          <w:sz w:val="18"/>
          <w:szCs w:val="18"/>
        </w:rPr>
        <w:softHyphen/>
        <w:t>низма равновесных цен, ориентирующих инвестора на вложение в более прибыльные сферы инвестиционной деятельности. Исполь</w:t>
      </w:r>
      <w:r w:rsidRPr="00B01894">
        <w:rPr>
          <w:rFonts w:ascii="Bookman Old Style" w:eastAsia="Bookman Old Style" w:hAnsi="Bookman Old Style" w:cs="Bookman Old Style"/>
          <w:color w:val="231F20"/>
          <w:sz w:val="18"/>
          <w:szCs w:val="18"/>
        </w:rPr>
        <w:softHyphen/>
        <w:t>зование монетарного правила должно учитывать долгосрочные цели. Общее изменение денежной массы за определенный период не должно превышать расчетного долгосрочного темпа.</w:t>
      </w:r>
    </w:p>
    <w:p w14:paraId="357EFDCD"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Средствами регулирования экономики монетаристы считают также достижение сбалансированности государственного бюджета (сокращение бюджетного дефицита), установление высоких про</w:t>
      </w:r>
      <w:r w:rsidRPr="00B01894">
        <w:rPr>
          <w:rFonts w:ascii="Bookman Old Style" w:eastAsia="Bookman Old Style" w:hAnsi="Bookman Old Style" w:cs="Bookman Old Style"/>
          <w:color w:val="231F20"/>
          <w:sz w:val="18"/>
          <w:szCs w:val="18"/>
        </w:rPr>
        <w:softHyphen/>
        <w:t>центных ставок. С целью воздействия на инвестиционный процесс государство использует также снижение налогового бремени.</w:t>
      </w:r>
    </w:p>
    <w:p w14:paraId="63DB795D"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Классическая теория, кейнсианство и монетаризм и сегодня остаются основными концепциями, определяющими характер эко</w:t>
      </w:r>
      <w:r w:rsidRPr="00B01894">
        <w:rPr>
          <w:rFonts w:ascii="Bookman Old Style" w:eastAsia="Bookman Old Style" w:hAnsi="Bookman Old Style" w:cs="Bookman Old Style"/>
          <w:color w:val="231F20"/>
          <w:sz w:val="18"/>
          <w:szCs w:val="18"/>
        </w:rPr>
        <w:softHyphen/>
        <w:t>номической политики. Но наряду с ними следует упомянуть и о дру</w:t>
      </w:r>
      <w:r w:rsidRPr="00B01894">
        <w:rPr>
          <w:rFonts w:ascii="Bookman Old Style" w:eastAsia="Bookman Old Style" w:hAnsi="Bookman Old Style" w:cs="Bookman Old Style"/>
          <w:color w:val="231F20"/>
          <w:sz w:val="18"/>
          <w:szCs w:val="18"/>
        </w:rPr>
        <w:softHyphen/>
        <w:t>гих направлениях экономической мысли, оказавших влияние на ме</w:t>
      </w:r>
      <w:r w:rsidRPr="00B01894">
        <w:rPr>
          <w:rFonts w:ascii="Bookman Old Style" w:eastAsia="Bookman Old Style" w:hAnsi="Bookman Old Style" w:cs="Bookman Old Style"/>
          <w:color w:val="231F20"/>
          <w:sz w:val="18"/>
          <w:szCs w:val="18"/>
        </w:rPr>
        <w:softHyphen/>
        <w:t>тоды и формы государственного регулирования.</w:t>
      </w:r>
    </w:p>
    <w:p w14:paraId="75CBC118"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Институционализм (от лат. </w:t>
      </w:r>
      <w:r w:rsidRPr="00B01894">
        <w:rPr>
          <w:rFonts w:ascii="Bookman Old Style" w:eastAsia="Bookman Old Style" w:hAnsi="Bookman Old Style" w:cs="Bookman Old Style"/>
          <w:i/>
          <w:iCs/>
          <w:color w:val="231F20"/>
          <w:sz w:val="18"/>
          <w:szCs w:val="18"/>
          <w:lang w:val="en-US" w:eastAsia="en-US" w:bidi="en-US"/>
        </w:rPr>
        <w:t>institutum</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учреждение) — на</w:t>
      </w:r>
      <w:r w:rsidRPr="00B01894">
        <w:rPr>
          <w:rFonts w:ascii="Bookman Old Style" w:eastAsia="Bookman Old Style" w:hAnsi="Bookman Old Style" w:cs="Bookman Old Style"/>
          <w:color w:val="231F20"/>
          <w:sz w:val="18"/>
          <w:szCs w:val="18"/>
        </w:rPr>
        <w:softHyphen/>
        <w:t>правление социально-экономических исследований, которое воз</w:t>
      </w:r>
      <w:r w:rsidRPr="00B01894">
        <w:rPr>
          <w:rFonts w:ascii="Bookman Old Style" w:eastAsia="Bookman Old Style" w:hAnsi="Bookman Old Style" w:cs="Bookman Old Style"/>
          <w:color w:val="231F20"/>
          <w:sz w:val="18"/>
          <w:szCs w:val="18"/>
        </w:rPr>
        <w:softHyphen/>
        <w:t xml:space="preserve">никло в конце XIX — начале XX в., рассматривает экономическую организацию общества как комплекс различных </w:t>
      </w:r>
      <w:r w:rsidRPr="00B01894">
        <w:rPr>
          <w:rFonts w:ascii="Bookman Old Style" w:eastAsia="Bookman Old Style" w:hAnsi="Bookman Old Style" w:cs="Bookman Old Style"/>
          <w:i/>
          <w:iCs/>
          <w:color w:val="231F20"/>
          <w:sz w:val="18"/>
          <w:szCs w:val="18"/>
        </w:rPr>
        <w:t>институтов.</w:t>
      </w:r>
      <w:r w:rsidRPr="00B01894">
        <w:rPr>
          <w:rFonts w:ascii="Bookman Old Style" w:eastAsia="Bookman Old Style" w:hAnsi="Bookman Old Style" w:cs="Bookman Old Style"/>
          <w:color w:val="231F20"/>
          <w:sz w:val="18"/>
          <w:szCs w:val="18"/>
        </w:rPr>
        <w:t xml:space="preserve"> К ин</w:t>
      </w:r>
      <w:r w:rsidRPr="00B01894">
        <w:rPr>
          <w:rFonts w:ascii="Bookman Old Style" w:eastAsia="Bookman Old Style" w:hAnsi="Bookman Old Style" w:cs="Bookman Old Style"/>
          <w:color w:val="231F20"/>
          <w:sz w:val="18"/>
          <w:szCs w:val="18"/>
        </w:rPr>
        <w:softHyphen/>
        <w:t>ститутам представители данного направления относят конкурен</w:t>
      </w:r>
      <w:r w:rsidRPr="00B01894">
        <w:rPr>
          <w:rFonts w:ascii="Bookman Old Style" w:eastAsia="Bookman Old Style" w:hAnsi="Bookman Old Style" w:cs="Bookman Old Style"/>
          <w:color w:val="231F20"/>
          <w:sz w:val="18"/>
          <w:szCs w:val="18"/>
        </w:rPr>
        <w:softHyphen/>
        <w:t xml:space="preserve">цию, профсоюзы, налоги, государство, монополии (корпорации), устойчивый образ мышления, </w:t>
      </w:r>
      <w:r w:rsidRPr="00B01894">
        <w:rPr>
          <w:rFonts w:ascii="Bookman Old Style" w:eastAsia="Bookman Old Style" w:hAnsi="Bookman Old Style" w:cs="Bookman Old Style"/>
          <w:color w:val="231F20"/>
          <w:sz w:val="18"/>
          <w:szCs w:val="18"/>
        </w:rPr>
        <w:lastRenderedPageBreak/>
        <w:t>юридические нормы, объединения граждан и др. Экономику они рассматривают как систему отноше</w:t>
      </w:r>
      <w:r w:rsidRPr="00B01894">
        <w:rPr>
          <w:rFonts w:ascii="Bookman Old Style" w:eastAsia="Bookman Old Style" w:hAnsi="Bookman Old Style" w:cs="Bookman Old Style"/>
          <w:color w:val="231F20"/>
          <w:sz w:val="18"/>
          <w:szCs w:val="18"/>
        </w:rPr>
        <w:softHyphen/>
        <w:t>ний между хозяйствующими субъектами, которые формируются под влиянием экономических и неэкономических факторов.</w:t>
      </w:r>
    </w:p>
    <w:p w14:paraId="24BBAD88"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Представители институционализма выступили с резкой критикой маржинализма — неоклассической теории рыночного равновесия с ее базовыми категориями предельной полезности и производи</w:t>
      </w:r>
      <w:r w:rsidRPr="00B01894">
        <w:rPr>
          <w:rFonts w:ascii="Bookman Old Style" w:eastAsia="Bookman Old Style" w:hAnsi="Bookman Old Style" w:cs="Bookman Old Style"/>
          <w:color w:val="231F20"/>
          <w:sz w:val="18"/>
          <w:szCs w:val="18"/>
        </w:rPr>
        <w:softHyphen/>
        <w:t xml:space="preserve">тельности. Они утверждали, что концепция классического общества свободной конкуренции </w:t>
      </w:r>
      <w:r w:rsidRPr="00B01894">
        <w:rPr>
          <w:rFonts w:ascii="Bookman Old Style" w:eastAsia="Bookman Old Style" w:hAnsi="Bookman Old Style" w:cs="Bookman Old Style"/>
          <w:color w:val="231F20"/>
          <w:sz w:val="18"/>
          <w:szCs w:val="18"/>
          <w:lang w:val="en-US" w:eastAsia="en-US" w:bidi="en-US"/>
        </w:rPr>
        <w:t>XIX</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в. перестала отвечать реалиям совре</w:t>
      </w:r>
      <w:r w:rsidRPr="00B01894">
        <w:rPr>
          <w:rFonts w:ascii="Bookman Old Style" w:eastAsia="Bookman Old Style" w:hAnsi="Bookman Old Style" w:cs="Bookman Old Style"/>
          <w:color w:val="231F20"/>
          <w:sz w:val="18"/>
          <w:szCs w:val="18"/>
        </w:rPr>
        <w:softHyphen/>
        <w:t>менности, а рынок стал одним из многочисленных экономических институтов, таких как корпорация, государство и др. Рынок способ</w:t>
      </w:r>
      <w:r w:rsidRPr="00B01894">
        <w:rPr>
          <w:rFonts w:ascii="Bookman Old Style" w:eastAsia="Bookman Old Style" w:hAnsi="Bookman Old Style" w:cs="Bookman Old Style"/>
          <w:color w:val="231F20"/>
          <w:sz w:val="18"/>
          <w:szCs w:val="18"/>
        </w:rPr>
        <w:softHyphen/>
        <w:t>ствует обогащению только крупных монополизированных предпри</w:t>
      </w:r>
      <w:r w:rsidRPr="00B01894">
        <w:rPr>
          <w:rFonts w:ascii="Bookman Old Style" w:eastAsia="Bookman Old Style" w:hAnsi="Bookman Old Style" w:cs="Bookman Old Style"/>
          <w:color w:val="231F20"/>
          <w:sz w:val="18"/>
          <w:szCs w:val="18"/>
        </w:rPr>
        <w:softHyphen/>
        <w:t>ятий, навязывающих свои товары и услуги потребителю.</w:t>
      </w:r>
    </w:p>
    <w:p w14:paraId="4EFCFEF7"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Развитие институционализма в начале ХХ в. параллельно с не</w:t>
      </w:r>
      <w:r w:rsidRPr="00B01894">
        <w:rPr>
          <w:rFonts w:ascii="Bookman Old Style" w:eastAsia="Bookman Old Style" w:hAnsi="Bookman Old Style" w:cs="Bookman Old Style"/>
          <w:color w:val="231F20"/>
          <w:sz w:val="18"/>
          <w:szCs w:val="18"/>
        </w:rPr>
        <w:softHyphen/>
        <w:t>классической школой было инициировано наметившимся усиле</w:t>
      </w:r>
      <w:r w:rsidRPr="00B01894">
        <w:rPr>
          <w:rFonts w:ascii="Bookman Old Style" w:eastAsia="Bookman Old Style" w:hAnsi="Bookman Old Style" w:cs="Bookman Old Style"/>
          <w:color w:val="231F20"/>
          <w:sz w:val="18"/>
          <w:szCs w:val="18"/>
        </w:rPr>
        <w:softHyphen/>
        <w:t>нием роли государства в правовом и ином регулировании эконо</w:t>
      </w:r>
      <w:r w:rsidRPr="00B01894">
        <w:rPr>
          <w:rFonts w:ascii="Bookman Old Style" w:eastAsia="Bookman Old Style" w:hAnsi="Bookman Old Style" w:cs="Bookman Old Style"/>
          <w:color w:val="231F20"/>
          <w:sz w:val="18"/>
          <w:szCs w:val="18"/>
        </w:rPr>
        <w:softHyphen/>
        <w:t>мических процессов. В результате возникла необходимость в новом подходе к исследованию экономических явлений, основанном на признании важности социальных норм и постулатов деятельно</w:t>
      </w:r>
      <w:r w:rsidRPr="00B01894">
        <w:rPr>
          <w:rFonts w:ascii="Bookman Old Style" w:eastAsia="Bookman Old Style" w:hAnsi="Bookman Old Style" w:cs="Bookman Old Style"/>
          <w:color w:val="231F20"/>
          <w:sz w:val="18"/>
          <w:szCs w:val="18"/>
        </w:rPr>
        <w:softHyphen/>
        <w:t>сти субъектов хозяйствования, а также в подходе, раскрывающем механизмы действия и тенденции изменения этих норм и обеспе</w:t>
      </w:r>
      <w:r w:rsidRPr="00B01894">
        <w:rPr>
          <w:rFonts w:ascii="Bookman Old Style" w:eastAsia="Bookman Old Style" w:hAnsi="Bookman Old Style" w:cs="Bookman Old Style"/>
          <w:color w:val="231F20"/>
          <w:sz w:val="18"/>
          <w:szCs w:val="18"/>
        </w:rPr>
        <w:softHyphen/>
        <w:t>чивающих их социальных институтов.</w:t>
      </w:r>
    </w:p>
    <w:p w14:paraId="5ACE2B49"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Согласно основной доктрине институционализма государство должно оказывать постоянное активное воздействие на нормы и правила поведения субъектов экономической деятельности, т. е. направлять эволюцию или отбор институтов, поскольку спонтанная эволюция общественных отношений не всегда следует выбору вари</w:t>
      </w:r>
      <w:r w:rsidRPr="00B01894">
        <w:rPr>
          <w:rFonts w:ascii="Bookman Old Style" w:eastAsia="Bookman Old Style" w:hAnsi="Bookman Old Style" w:cs="Bookman Old Style"/>
          <w:color w:val="231F20"/>
          <w:sz w:val="18"/>
          <w:szCs w:val="18"/>
        </w:rPr>
        <w:softHyphen/>
        <w:t>антов, адекватных конкретной стадии и уровню развития экономи</w:t>
      </w:r>
      <w:r w:rsidRPr="00B01894">
        <w:rPr>
          <w:rFonts w:ascii="Bookman Old Style" w:eastAsia="Bookman Old Style" w:hAnsi="Bookman Old Style" w:cs="Bookman Old Style"/>
          <w:color w:val="231F20"/>
          <w:sz w:val="18"/>
          <w:szCs w:val="18"/>
        </w:rPr>
        <w:softHyphen/>
        <w:t>ки в той или иной стране.</w:t>
      </w:r>
    </w:p>
    <w:p w14:paraId="325F7C64"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Различают социально-психологический (1890—1920-е гг.), соци</w:t>
      </w:r>
      <w:r w:rsidRPr="00B01894">
        <w:rPr>
          <w:rFonts w:ascii="Bookman Old Style" w:eastAsia="Bookman Old Style" w:hAnsi="Bookman Old Style" w:cs="Bookman Old Style"/>
          <w:color w:val="231F20"/>
          <w:sz w:val="18"/>
          <w:szCs w:val="18"/>
        </w:rPr>
        <w:softHyphen/>
        <w:t>ально-правовой (1920—1940-е гг.) и социально-технологический (1950—1980-е гг.) институционализм. Автор социально-психологи</w:t>
      </w:r>
      <w:r w:rsidRPr="00B01894">
        <w:rPr>
          <w:rFonts w:ascii="Bookman Old Style" w:eastAsia="Bookman Old Style" w:hAnsi="Bookman Old Style" w:cs="Bookman Old Style"/>
          <w:color w:val="231F20"/>
          <w:sz w:val="18"/>
          <w:szCs w:val="18"/>
        </w:rPr>
        <w:softHyphen/>
        <w:t>ческого институционализма Т. Веблен считает, что основа развития институтов — «инстинкт мастерства», «инстинкт к освоению новых знаний» и родственные чувства («инстинкт семьи»), а основатель социально-правового институционализма Дж. Р. Коммонс — что это право, юридические отношения, в частности между работода</w:t>
      </w:r>
      <w:r w:rsidRPr="00B01894">
        <w:rPr>
          <w:rFonts w:ascii="Bookman Old Style" w:eastAsia="Bookman Old Style" w:hAnsi="Bookman Old Style" w:cs="Bookman Old Style"/>
          <w:color w:val="231F20"/>
          <w:sz w:val="18"/>
          <w:szCs w:val="18"/>
        </w:rPr>
        <w:softHyphen/>
        <w:t>телями и работниками.</w:t>
      </w:r>
    </w:p>
    <w:p w14:paraId="1433DF3F"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Представители социально-технологического направления (позд</w:t>
      </w:r>
      <w:r w:rsidRPr="00B01894">
        <w:rPr>
          <w:rFonts w:ascii="Bookman Old Style" w:eastAsia="Bookman Old Style" w:hAnsi="Bookman Old Style" w:cs="Bookman Old Style"/>
          <w:color w:val="231F20"/>
          <w:sz w:val="18"/>
          <w:szCs w:val="18"/>
        </w:rPr>
        <w:softHyphen/>
        <w:t>ний институционализм) Дж. Гэлбрейт, Р. Арон, Я. Тинберген и дру</w:t>
      </w:r>
      <w:r w:rsidRPr="00B01894">
        <w:rPr>
          <w:rFonts w:ascii="Bookman Old Style" w:eastAsia="Bookman Old Style" w:hAnsi="Bookman Old Style" w:cs="Bookman Old Style"/>
          <w:color w:val="231F20"/>
          <w:sz w:val="18"/>
          <w:szCs w:val="18"/>
        </w:rPr>
        <w:softHyphen/>
        <w:t>гие основой экономического развития называют внедрение науки и техники в производство и исходя из этого обосновывают инду</w:t>
      </w:r>
      <w:r w:rsidRPr="00B01894">
        <w:rPr>
          <w:rFonts w:ascii="Bookman Old Style" w:eastAsia="Bookman Old Style" w:hAnsi="Bookman Old Style" w:cs="Bookman Old Style"/>
          <w:color w:val="231F20"/>
          <w:sz w:val="18"/>
          <w:szCs w:val="18"/>
        </w:rPr>
        <w:softHyphen/>
        <w:t>стриальное, постиндустриальное, информационное и другие, ли</w:t>
      </w:r>
      <w:r w:rsidRPr="00B01894">
        <w:rPr>
          <w:rFonts w:ascii="Bookman Old Style" w:eastAsia="Bookman Old Style" w:hAnsi="Bookman Old Style" w:cs="Bookman Old Style"/>
          <w:color w:val="231F20"/>
          <w:sz w:val="18"/>
          <w:szCs w:val="18"/>
        </w:rPr>
        <w:softHyphen/>
        <w:t>шенные конфликтов, формы общества.</w:t>
      </w:r>
    </w:p>
    <w:p w14:paraId="2508425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Корпорация, в которой происходит отделение собственности от </w:t>
      </w:r>
      <w:r w:rsidRPr="00B01894">
        <w:rPr>
          <w:rFonts w:ascii="Bookman Old Style" w:eastAsia="Bookman Old Style" w:hAnsi="Bookman Old Style" w:cs="Bookman Old Style"/>
          <w:color w:val="231F20"/>
          <w:sz w:val="18"/>
          <w:szCs w:val="18"/>
        </w:rPr>
        <w:lastRenderedPageBreak/>
        <w:t>управления и осуществляется планомерное развитие в единстве со стихией мелкого и среднего предпринимательства, представля</w:t>
      </w:r>
      <w:r w:rsidRPr="00B01894">
        <w:rPr>
          <w:rFonts w:ascii="Bookman Old Style" w:eastAsia="Bookman Old Style" w:hAnsi="Bookman Old Style" w:cs="Bookman Old Style"/>
          <w:color w:val="231F20"/>
          <w:sz w:val="18"/>
          <w:szCs w:val="18"/>
        </w:rPr>
        <w:softHyphen/>
        <w:t>ет собой качественно новый элемент экономических институтов. При этом ключевым экономическим институтом, основой совре</w:t>
      </w:r>
      <w:r w:rsidRPr="00B01894">
        <w:rPr>
          <w:rFonts w:ascii="Bookman Old Style" w:eastAsia="Bookman Old Style" w:hAnsi="Bookman Old Style" w:cs="Bookman Old Style"/>
          <w:color w:val="231F20"/>
          <w:sz w:val="18"/>
          <w:szCs w:val="18"/>
        </w:rPr>
        <w:softHyphen/>
        <w:t>менного им общества и будущей общественной системы предста</w:t>
      </w:r>
      <w:r w:rsidRPr="00B01894">
        <w:rPr>
          <w:rFonts w:ascii="Bookman Old Style" w:eastAsia="Bookman Old Style" w:hAnsi="Bookman Old Style" w:cs="Bookman Old Style"/>
          <w:color w:val="231F20"/>
          <w:sz w:val="18"/>
          <w:szCs w:val="18"/>
        </w:rPr>
        <w:softHyphen/>
        <w:t>вители институционализма считали государство, которое проводит активную социальную политику, применяет индикативное плани</w:t>
      </w:r>
      <w:r w:rsidRPr="00B01894">
        <w:rPr>
          <w:rFonts w:ascii="Bookman Old Style" w:eastAsia="Bookman Old Style" w:hAnsi="Bookman Old Style" w:cs="Bookman Old Style"/>
          <w:color w:val="231F20"/>
          <w:sz w:val="18"/>
          <w:szCs w:val="18"/>
        </w:rPr>
        <w:softHyphen/>
        <w:t>рование и регулирование хозяйственной жизни. Идеалом обще</w:t>
      </w:r>
      <w:r w:rsidRPr="00B01894">
        <w:rPr>
          <w:rFonts w:ascii="Bookman Old Style" w:eastAsia="Bookman Old Style" w:hAnsi="Bookman Old Style" w:cs="Bookman Old Style"/>
          <w:color w:val="231F20"/>
          <w:sz w:val="18"/>
          <w:szCs w:val="18"/>
        </w:rPr>
        <w:softHyphen/>
        <w:t xml:space="preserve">ственного устройства они провозгласили </w:t>
      </w:r>
      <w:r w:rsidRPr="00B01894">
        <w:rPr>
          <w:rFonts w:ascii="Bookman Old Style" w:eastAsia="Bookman Old Style" w:hAnsi="Bookman Old Style" w:cs="Bookman Old Style"/>
          <w:i/>
          <w:iCs/>
          <w:color w:val="231F20"/>
          <w:sz w:val="18"/>
          <w:szCs w:val="18"/>
        </w:rPr>
        <w:t>государство социального благоденствия,</w:t>
      </w:r>
      <w:r w:rsidRPr="00B01894">
        <w:rPr>
          <w:rFonts w:ascii="Bookman Old Style" w:eastAsia="Bookman Old Style" w:hAnsi="Bookman Old Style" w:cs="Bookman Old Style"/>
          <w:color w:val="231F20"/>
          <w:sz w:val="18"/>
          <w:szCs w:val="18"/>
        </w:rPr>
        <w:t xml:space="preserve"> а условием его построения — действенный социаль</w:t>
      </w:r>
      <w:r w:rsidRPr="00B01894">
        <w:rPr>
          <w:rFonts w:ascii="Bookman Old Style" w:eastAsia="Bookman Old Style" w:hAnsi="Bookman Old Style" w:cs="Bookman Old Style"/>
          <w:color w:val="231F20"/>
          <w:sz w:val="18"/>
          <w:szCs w:val="18"/>
        </w:rPr>
        <w:softHyphen/>
        <w:t>ный контроль.</w:t>
      </w:r>
    </w:p>
    <w:p w14:paraId="48E5BDE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Посткейнсианство (неокейнсианство) — одно из направлений развития западной экономической науки, которое рассматривает теорию Кейнса лишь в качестве одного из элементов новой систе</w:t>
      </w:r>
      <w:r w:rsidRPr="00B01894">
        <w:rPr>
          <w:rFonts w:ascii="Bookman Old Style" w:eastAsia="Bookman Old Style" w:hAnsi="Bookman Old Style" w:cs="Bookman Old Style"/>
          <w:color w:val="231F20"/>
          <w:sz w:val="18"/>
          <w:szCs w:val="18"/>
        </w:rPr>
        <w:softHyphen/>
        <w:t>мы экономических взглядов наряду со взглядами представителей институционального направления (их теорий рынка и ценообразо</w:t>
      </w:r>
      <w:r w:rsidRPr="00B01894">
        <w:rPr>
          <w:rFonts w:ascii="Bookman Old Style" w:eastAsia="Bookman Old Style" w:hAnsi="Bookman Old Style" w:cs="Bookman Old Style"/>
          <w:color w:val="231F20"/>
          <w:sz w:val="18"/>
          <w:szCs w:val="18"/>
        </w:rPr>
        <w:softHyphen/>
        <w:t>вания) и с некоторыми положениями теории К. Маркса по пробле</w:t>
      </w:r>
      <w:r w:rsidRPr="00B01894">
        <w:rPr>
          <w:rFonts w:ascii="Bookman Old Style" w:eastAsia="Bookman Old Style" w:hAnsi="Bookman Old Style" w:cs="Bookman Old Style"/>
          <w:color w:val="231F20"/>
          <w:sz w:val="18"/>
          <w:szCs w:val="18"/>
        </w:rPr>
        <w:softHyphen/>
        <w:t>мам капиталистического воспроизводства.</w:t>
      </w:r>
    </w:p>
    <w:p w14:paraId="30B3068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Наиболее известными представителями данного направления являются экономисты А. Лейонхуфвуд (США), Дж. Робинсон (Ве</w:t>
      </w:r>
      <w:r w:rsidRPr="00B01894">
        <w:rPr>
          <w:rFonts w:ascii="Bookman Old Style" w:eastAsia="Bookman Old Style" w:hAnsi="Bookman Old Style" w:cs="Bookman Old Style"/>
          <w:color w:val="231F20"/>
          <w:sz w:val="18"/>
          <w:szCs w:val="18"/>
        </w:rPr>
        <w:softHyphen/>
        <w:t>ликобритания), Л. Пазинетти (Италия) и другие. Критикуя поло</w:t>
      </w:r>
      <w:r w:rsidRPr="00B01894">
        <w:rPr>
          <w:rFonts w:ascii="Bookman Old Style" w:eastAsia="Bookman Old Style" w:hAnsi="Bookman Old Style" w:cs="Bookman Old Style"/>
          <w:color w:val="231F20"/>
          <w:sz w:val="18"/>
          <w:szCs w:val="18"/>
        </w:rPr>
        <w:softHyphen/>
        <w:t>жение неоклассической школы о способности рыночной системы обеспечить стабильный экономический рост и решить социальные проблемы, они пытаются разработать такую теорию производства и распределения продуктов, в которой темпы экономического ро</w:t>
      </w:r>
      <w:r w:rsidRPr="00B01894">
        <w:rPr>
          <w:rFonts w:ascii="Bookman Old Style" w:eastAsia="Bookman Old Style" w:hAnsi="Bookman Old Style" w:cs="Bookman Old Style"/>
          <w:color w:val="231F20"/>
          <w:sz w:val="18"/>
          <w:szCs w:val="18"/>
        </w:rPr>
        <w:softHyphen/>
        <w:t>ста, норма накопления капитала будут зависеть от распределения национального дохода между трудом и капиталом.</w:t>
      </w:r>
    </w:p>
    <w:p w14:paraId="5F0E716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Значительную роль посткейнсианцы отводят анализу денег и денежно-кредитных ресурсов, образованию и нестабильности денежного спроса, которые в состоянии повлиять на процесс вос</w:t>
      </w:r>
      <w:r w:rsidRPr="00B01894">
        <w:rPr>
          <w:rFonts w:ascii="Bookman Old Style" w:eastAsia="Bookman Old Style" w:hAnsi="Bookman Old Style" w:cs="Bookman Old Style"/>
          <w:color w:val="231F20"/>
          <w:sz w:val="18"/>
          <w:szCs w:val="18"/>
        </w:rPr>
        <w:softHyphen/>
        <w:t>производства. Инфляцию они объясняют особенностями монопо</w:t>
      </w:r>
      <w:r w:rsidRPr="00B01894">
        <w:rPr>
          <w:rFonts w:ascii="Bookman Old Style" w:eastAsia="Bookman Old Style" w:hAnsi="Bookman Old Style" w:cs="Bookman Old Style"/>
          <w:color w:val="231F20"/>
          <w:sz w:val="18"/>
          <w:szCs w:val="18"/>
        </w:rPr>
        <w:softHyphen/>
        <w:t>листического ценообразования и другими факторами, связанными с издержками производства, а финансовую нестабильность — ожи</w:t>
      </w:r>
      <w:r w:rsidRPr="00B01894">
        <w:rPr>
          <w:rFonts w:ascii="Bookman Old Style" w:eastAsia="Bookman Old Style" w:hAnsi="Bookman Old Style" w:cs="Bookman Old Style"/>
          <w:color w:val="231F20"/>
          <w:sz w:val="18"/>
          <w:szCs w:val="18"/>
        </w:rPr>
        <w:softHyphen/>
        <w:t>данием в условиях неопределенности, влияющим на динамику про</w:t>
      </w:r>
      <w:r w:rsidRPr="00B01894">
        <w:rPr>
          <w:rFonts w:ascii="Bookman Old Style" w:eastAsia="Bookman Old Style" w:hAnsi="Bookman Old Style" w:cs="Bookman Old Style"/>
          <w:color w:val="231F20"/>
          <w:sz w:val="18"/>
          <w:szCs w:val="18"/>
        </w:rPr>
        <w:softHyphen/>
        <w:t>центных ставок, оценку будущих прибылей и цен различных фи</w:t>
      </w:r>
      <w:r w:rsidRPr="00B01894">
        <w:rPr>
          <w:rFonts w:ascii="Bookman Old Style" w:eastAsia="Bookman Old Style" w:hAnsi="Bookman Old Style" w:cs="Bookman Old Style"/>
          <w:color w:val="231F20"/>
          <w:sz w:val="18"/>
          <w:szCs w:val="18"/>
        </w:rPr>
        <w:softHyphen/>
        <w:t>нансовых активов. Чтобы преодолеть инфляцию, необходимо, по их мнению, традиционные методы бюджетной и кредитной политики дополнить политикой доходов, предусматривающей добровольное соглашение профсоюзов, монополий и государства о темпах роста своих доходов в соответствии с определенными ориентирами ро</w:t>
      </w:r>
      <w:r w:rsidRPr="00B01894">
        <w:rPr>
          <w:rFonts w:ascii="Bookman Old Style" w:eastAsia="Bookman Old Style" w:hAnsi="Bookman Old Style" w:cs="Bookman Old Style"/>
          <w:color w:val="231F20"/>
          <w:sz w:val="18"/>
          <w:szCs w:val="18"/>
        </w:rPr>
        <w:softHyphen/>
        <w:t>ста производительности труда. Ими была разработана теория ак</w:t>
      </w:r>
      <w:r w:rsidRPr="00B01894">
        <w:rPr>
          <w:rFonts w:ascii="Bookman Old Style" w:eastAsia="Bookman Old Style" w:hAnsi="Bookman Old Style" w:cs="Bookman Old Style"/>
          <w:color w:val="231F20"/>
          <w:sz w:val="18"/>
          <w:szCs w:val="18"/>
        </w:rPr>
        <w:softHyphen/>
        <w:t xml:space="preserve">селератора (от лат. </w:t>
      </w:r>
      <w:r w:rsidRPr="00B01894">
        <w:rPr>
          <w:rFonts w:ascii="Bookman Old Style" w:eastAsia="Bookman Old Style" w:hAnsi="Bookman Old Style" w:cs="Bookman Old Style"/>
          <w:i/>
          <w:iCs/>
          <w:color w:val="231F20"/>
          <w:sz w:val="18"/>
          <w:szCs w:val="18"/>
          <w:lang w:val="en-US" w:eastAsia="en-US" w:bidi="en-US"/>
        </w:rPr>
        <w:t>accelerate</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ускорять), в которой раскрывается зависимость прироста инвестиций от прироста дохода и которая органично дополняет концепцию мультипликатора. При этом уста</w:t>
      </w:r>
      <w:r w:rsidRPr="00B01894">
        <w:rPr>
          <w:rFonts w:ascii="Bookman Old Style" w:eastAsia="Bookman Old Style" w:hAnsi="Bookman Old Style" w:cs="Bookman Old Style"/>
          <w:color w:val="231F20"/>
          <w:sz w:val="18"/>
          <w:szCs w:val="18"/>
        </w:rPr>
        <w:softHyphen/>
        <w:t>навливается, что каждый процент прироста дохода обусловливает больший процент прироста инвестиций.</w:t>
      </w:r>
    </w:p>
    <w:p w14:paraId="4821B97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Многие посткейнсианцы выступают за разработку долгосрочной стратегии регулирования экономики, проведение глубоких струк</w:t>
      </w:r>
      <w:r w:rsidRPr="00B01894">
        <w:rPr>
          <w:rFonts w:ascii="Bookman Old Style" w:eastAsia="Bookman Old Style" w:hAnsi="Bookman Old Style" w:cs="Bookman Old Style"/>
          <w:color w:val="231F20"/>
          <w:sz w:val="18"/>
          <w:szCs w:val="18"/>
        </w:rPr>
        <w:softHyphen/>
        <w:t xml:space="preserve">турных </w:t>
      </w:r>
      <w:r w:rsidRPr="00B01894">
        <w:rPr>
          <w:rFonts w:ascii="Bookman Old Style" w:eastAsia="Bookman Old Style" w:hAnsi="Bookman Old Style" w:cs="Bookman Old Style"/>
          <w:color w:val="231F20"/>
          <w:sz w:val="18"/>
          <w:szCs w:val="18"/>
        </w:rPr>
        <w:lastRenderedPageBreak/>
        <w:t>реформ, внедрение системы национального планирования экономики и т. д. Эти идеи в рамках посткейнсианства получили на</w:t>
      </w:r>
      <w:r w:rsidRPr="00B01894">
        <w:rPr>
          <w:rFonts w:ascii="Bookman Old Style" w:eastAsia="Bookman Old Style" w:hAnsi="Bookman Old Style" w:cs="Bookman Old Style"/>
          <w:color w:val="231F20"/>
          <w:sz w:val="18"/>
          <w:szCs w:val="18"/>
        </w:rPr>
        <w:softHyphen/>
        <w:t>звание левого кейнсианства. Его сторонники (П. Сраффа, Л. Пази- нетти и другие) выступают за ограничение власти монополий и их прибылей, уменьшение военных расходов, расширение социальных программ, развитие образования, здравоохранения, социального страхования, жилищного строительства, справедливое распреде</w:t>
      </w:r>
      <w:r w:rsidRPr="00B01894">
        <w:rPr>
          <w:rFonts w:ascii="Bookman Old Style" w:eastAsia="Bookman Old Style" w:hAnsi="Bookman Old Style" w:cs="Bookman Old Style"/>
          <w:color w:val="231F20"/>
          <w:sz w:val="18"/>
          <w:szCs w:val="18"/>
        </w:rPr>
        <w:softHyphen/>
        <w:t>ление и перераспределение национального дохода, более эффек</w:t>
      </w:r>
      <w:r w:rsidRPr="00B01894">
        <w:rPr>
          <w:rFonts w:ascii="Bookman Old Style" w:eastAsia="Bookman Old Style" w:hAnsi="Bookman Old Style" w:cs="Bookman Old Style"/>
          <w:color w:val="231F20"/>
          <w:sz w:val="18"/>
          <w:szCs w:val="18"/>
        </w:rPr>
        <w:softHyphen/>
        <w:t>тивную антикризисную и антициклическую политику государства. Такая политика должна осуществляться прежде всего через государ</w:t>
      </w:r>
      <w:r w:rsidRPr="00B01894">
        <w:rPr>
          <w:rFonts w:ascii="Bookman Old Style" w:eastAsia="Bookman Old Style" w:hAnsi="Bookman Old Style" w:cs="Bookman Old Style"/>
          <w:color w:val="231F20"/>
          <w:sz w:val="18"/>
          <w:szCs w:val="18"/>
        </w:rPr>
        <w:softHyphen/>
        <w:t>ственный бюджет с использованием стабилизаторов (налогов, вы</w:t>
      </w:r>
      <w:r w:rsidRPr="00B01894">
        <w:rPr>
          <w:rFonts w:ascii="Bookman Old Style" w:eastAsia="Bookman Old Style" w:hAnsi="Bookman Old Style" w:cs="Bookman Old Style"/>
          <w:color w:val="231F20"/>
          <w:sz w:val="18"/>
          <w:szCs w:val="18"/>
        </w:rPr>
        <w:softHyphen/>
        <w:t>плат на социальное страхование и др.).</w:t>
      </w:r>
    </w:p>
    <w:p w14:paraId="50D4C86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Неоклассический синтез — обобщающая экономическая кон</w:t>
      </w:r>
      <w:r w:rsidRPr="00B01894">
        <w:rPr>
          <w:rFonts w:ascii="Bookman Old Style" w:eastAsia="Bookman Old Style" w:hAnsi="Bookman Old Style" w:cs="Bookman Old Style"/>
          <w:color w:val="231F20"/>
          <w:sz w:val="18"/>
          <w:szCs w:val="18"/>
        </w:rPr>
        <w:softHyphen/>
        <w:t>цепция, в которой объединяются рациональные элементы теории ценообразования и распределения доходов неоклассицизма и кейн</w:t>
      </w:r>
      <w:r w:rsidRPr="00B01894">
        <w:rPr>
          <w:rFonts w:ascii="Bookman Old Style" w:eastAsia="Bookman Old Style" w:hAnsi="Bookman Old Style" w:cs="Bookman Old Style"/>
          <w:color w:val="231F20"/>
          <w:sz w:val="18"/>
          <w:szCs w:val="18"/>
        </w:rPr>
        <w:softHyphen/>
        <w:t>сианской теории роста национального дохода. Согласно этой кон</w:t>
      </w:r>
      <w:r w:rsidRPr="00B01894">
        <w:rPr>
          <w:rFonts w:ascii="Bookman Old Style" w:eastAsia="Bookman Old Style" w:hAnsi="Bookman Old Style" w:cs="Bookman Old Style"/>
          <w:color w:val="231F20"/>
          <w:sz w:val="18"/>
          <w:szCs w:val="18"/>
        </w:rPr>
        <w:softHyphen/>
        <w:t>цепции в зависимости от состояния экономики следует применять либо кейнсианские, либо неоклассические рецепты воздействия на нее, но прежде всего — денежно-кредитные методы, и по мере усложнения экономической системы необходимо всемерно совер</w:t>
      </w:r>
      <w:r w:rsidRPr="00B01894">
        <w:rPr>
          <w:rFonts w:ascii="Bookman Old Style" w:eastAsia="Bookman Old Style" w:hAnsi="Bookman Old Style" w:cs="Bookman Old Style"/>
          <w:color w:val="231F20"/>
          <w:sz w:val="18"/>
          <w:szCs w:val="18"/>
        </w:rPr>
        <w:softHyphen/>
        <w:t>шенствовать методы государственного регулирования экономики.</w:t>
      </w:r>
    </w:p>
    <w:p w14:paraId="0E19A7E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Сторонники неоклассического синтеза рассматривают теорию общего экономического равновесия как идеальную модель функци</w:t>
      </w:r>
      <w:r w:rsidRPr="00B01894">
        <w:rPr>
          <w:rFonts w:ascii="Bookman Old Style" w:eastAsia="Bookman Old Style" w:hAnsi="Bookman Old Style" w:cs="Bookman Old Style"/>
          <w:color w:val="231F20"/>
          <w:sz w:val="18"/>
          <w:szCs w:val="18"/>
        </w:rPr>
        <w:softHyphen/>
        <w:t>онирования экономической системы. Но в отличие от неоклассиков они предлагают использовать различные методы государственного регулирования. Поэтому концепцию неоклассического синтеза еще называют ортодоксальным кейнсианством. Его наиболее известны</w:t>
      </w:r>
      <w:r w:rsidRPr="00B01894">
        <w:rPr>
          <w:rFonts w:ascii="Bookman Old Style" w:eastAsia="Bookman Old Style" w:hAnsi="Bookman Old Style" w:cs="Bookman Old Style"/>
          <w:color w:val="231F20"/>
          <w:sz w:val="18"/>
          <w:szCs w:val="18"/>
        </w:rPr>
        <w:softHyphen/>
        <w:t>ми представителями являются американские экономисты Р. Хансен, П. Самуэльсон, Дж. Хикс, которых считают авторами теории дохо</w:t>
      </w:r>
      <w:r w:rsidRPr="00B01894">
        <w:rPr>
          <w:rFonts w:ascii="Bookman Old Style" w:eastAsia="Bookman Old Style" w:hAnsi="Bookman Old Style" w:cs="Bookman Old Style"/>
          <w:color w:val="231F20"/>
          <w:sz w:val="18"/>
          <w:szCs w:val="18"/>
        </w:rPr>
        <w:softHyphen/>
        <w:t>дов — расходов как ортодоксальной версии кейнсианской доктри</w:t>
      </w:r>
      <w:r w:rsidRPr="00B01894">
        <w:rPr>
          <w:rFonts w:ascii="Bookman Old Style" w:eastAsia="Bookman Old Style" w:hAnsi="Bookman Old Style" w:cs="Bookman Old Style"/>
          <w:color w:val="231F20"/>
          <w:sz w:val="18"/>
          <w:szCs w:val="18"/>
        </w:rPr>
        <w:softHyphen/>
        <w:t>ны. По мнению П. Самуэльсона, решение ключевых проблем де</w:t>
      </w:r>
      <w:r w:rsidRPr="00B01894">
        <w:rPr>
          <w:rFonts w:ascii="Bookman Old Style" w:eastAsia="Bookman Old Style" w:hAnsi="Bookman Old Style" w:cs="Bookman Old Style"/>
          <w:color w:val="231F20"/>
          <w:sz w:val="18"/>
          <w:szCs w:val="18"/>
        </w:rPr>
        <w:softHyphen/>
        <w:t>нежной и финансовой политики с помощью теории дохода придает законную силу классическим истинам.</w:t>
      </w:r>
    </w:p>
    <w:p w14:paraId="094C475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В противовес кейнсианской модели мультипликатора Дж. Хикс предложил модель </w:t>
      </w:r>
      <w:r w:rsidRPr="00B01894">
        <w:rPr>
          <w:rFonts w:ascii="Bookman Old Style" w:eastAsia="Bookman Old Style" w:hAnsi="Bookman Old Style" w:cs="Bookman Old Style"/>
          <w:i/>
          <w:iCs/>
          <w:color w:val="231F20"/>
          <w:sz w:val="18"/>
          <w:szCs w:val="18"/>
          <w:lang w:val="en-US" w:eastAsia="en-US" w:bidi="en-US"/>
        </w:rPr>
        <w:t>IS</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i/>
          <w:iCs/>
          <w:color w:val="231F20"/>
          <w:sz w:val="18"/>
          <w:szCs w:val="18"/>
          <w:lang w:val="en-US" w:eastAsia="en-US" w:bidi="en-US"/>
        </w:rPr>
        <w:t>LM</w:t>
      </w:r>
      <w:r w:rsidRPr="00B01894">
        <w:rPr>
          <w:rFonts w:ascii="Bookman Old Style" w:eastAsia="Bookman Old Style" w:hAnsi="Bookman Old Style" w:cs="Bookman Old Style"/>
          <w:i/>
          <w:iCs/>
          <w:color w:val="231F20"/>
          <w:sz w:val="18"/>
          <w:szCs w:val="18"/>
          <w:lang w:eastAsia="en-US" w:bidi="en-US"/>
        </w:rPr>
        <w:t>,</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показывающую с помощью соответ</w:t>
      </w:r>
      <w:r w:rsidRPr="00B01894">
        <w:rPr>
          <w:rFonts w:ascii="Bookman Old Style" w:eastAsia="Bookman Old Style" w:hAnsi="Bookman Old Style" w:cs="Bookman Old Style"/>
          <w:color w:val="231F20"/>
          <w:sz w:val="18"/>
          <w:szCs w:val="18"/>
        </w:rPr>
        <w:softHyphen/>
        <w:t>ствующего научного аппарата отличие между законом Сэя, соглас</w:t>
      </w:r>
      <w:r w:rsidRPr="00B01894">
        <w:rPr>
          <w:rFonts w:ascii="Bookman Old Style" w:eastAsia="Bookman Old Style" w:hAnsi="Bookman Old Style" w:cs="Bookman Old Style"/>
          <w:color w:val="231F20"/>
          <w:sz w:val="18"/>
          <w:szCs w:val="18"/>
        </w:rPr>
        <w:softHyphen/>
        <w:t>но которому предложение порождает спрос, и законом Вальраса, определяющим, что сумма предложения, т. е. сумма доходов и рас</w:t>
      </w:r>
      <w:r w:rsidRPr="00B01894">
        <w:rPr>
          <w:rFonts w:ascii="Bookman Old Style" w:eastAsia="Bookman Old Style" w:hAnsi="Bookman Old Style" w:cs="Bookman Old Style"/>
          <w:color w:val="231F20"/>
          <w:sz w:val="18"/>
          <w:szCs w:val="18"/>
        </w:rPr>
        <w:softHyphen/>
        <w:t>ходов в обществе, совпадают. При этом в доходы включаются и де</w:t>
      </w:r>
      <w:r w:rsidRPr="00B01894">
        <w:rPr>
          <w:rFonts w:ascii="Bookman Old Style" w:eastAsia="Bookman Old Style" w:hAnsi="Bookman Old Style" w:cs="Bookman Old Style"/>
          <w:color w:val="231F20"/>
          <w:sz w:val="18"/>
          <w:szCs w:val="18"/>
        </w:rPr>
        <w:softHyphen/>
        <w:t>нежные сбережения, их определенный объем находит проявление в спросе и предложении данного товара (т. е. денег), что, в свою очередь, влияет на равновесие экономической системы. Анализ совокупного спроса осуществляется Хиксом в производственном (реальном) и денежном секторах. Главным условием равновесия в первом из них он называет равенство инвестиций и сбережений, во втором — равенство спроса на ликвидность и денежной массы.</w:t>
      </w:r>
    </w:p>
    <w:p w14:paraId="4E5A252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Неолиберализм — это совокупность взглядов, основным содер</w:t>
      </w:r>
      <w:r w:rsidRPr="00B01894">
        <w:rPr>
          <w:rFonts w:ascii="Bookman Old Style" w:eastAsia="Bookman Old Style" w:hAnsi="Bookman Old Style" w:cs="Bookman Old Style"/>
          <w:color w:val="231F20"/>
          <w:sz w:val="18"/>
          <w:szCs w:val="18"/>
        </w:rPr>
        <w:softHyphen/>
        <w:t>жанием которых является отрицание необходимости вмешательства государства в экономическую жизнь и понимание механизма само</w:t>
      </w:r>
      <w:r w:rsidRPr="00B01894">
        <w:rPr>
          <w:rFonts w:ascii="Bookman Old Style" w:eastAsia="Bookman Old Style" w:hAnsi="Bookman Old Style" w:cs="Bookman Old Style"/>
          <w:color w:val="231F20"/>
          <w:sz w:val="18"/>
          <w:szCs w:val="18"/>
        </w:rPr>
        <w:softHyphen/>
        <w:t>регулирующегося рынка как единственного эффективного регуля</w:t>
      </w:r>
      <w:r w:rsidRPr="00B01894">
        <w:rPr>
          <w:rFonts w:ascii="Bookman Old Style" w:eastAsia="Bookman Old Style" w:hAnsi="Bookman Old Style" w:cs="Bookman Old Style"/>
          <w:color w:val="231F20"/>
          <w:sz w:val="18"/>
          <w:szCs w:val="18"/>
        </w:rPr>
        <w:softHyphen/>
        <w:t>тора хозяйственных процессов. За государством остается функция охраны существующей системы. Идеи экономического либерализма основательно разработал А. Смит, выступавший за отмену остатков регламентации промышленности и торговли государством.</w:t>
      </w:r>
    </w:p>
    <w:p w14:paraId="734F503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Положительной стороной либерализма была его направленность против феодальных порядков, чрезмерной цеховой регламентации. Ярче всего идеи экономического либерализма сформулированы Ж. Б. Сэем в законе, гласящем, что предложение порождает соб</w:t>
      </w:r>
      <w:r w:rsidRPr="00B01894">
        <w:rPr>
          <w:rFonts w:ascii="Bookman Old Style" w:eastAsia="Bookman Old Style" w:hAnsi="Bookman Old Style" w:cs="Bookman Old Style"/>
          <w:color w:val="231F20"/>
          <w:sz w:val="18"/>
          <w:szCs w:val="18"/>
        </w:rPr>
        <w:softHyphen/>
        <w:t>ственный спрос, а капитализм способен без вмешательства госу</w:t>
      </w:r>
      <w:r w:rsidRPr="00B01894">
        <w:rPr>
          <w:rFonts w:ascii="Bookman Old Style" w:eastAsia="Bookman Old Style" w:hAnsi="Bookman Old Style" w:cs="Bookman Old Style"/>
          <w:color w:val="231F20"/>
          <w:sz w:val="18"/>
          <w:szCs w:val="18"/>
        </w:rPr>
        <w:softHyphen/>
        <w:t>дарства стихийно и автоматически восстанавливать экономическое равновесие.</w:t>
      </w:r>
    </w:p>
    <w:p w14:paraId="44C5E13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Методологической основой либерализма является принцип ин</w:t>
      </w:r>
      <w:r w:rsidRPr="00B01894">
        <w:rPr>
          <w:rFonts w:ascii="Bookman Old Style" w:eastAsia="Bookman Old Style" w:hAnsi="Bookman Old Style" w:cs="Bookman Old Style"/>
          <w:color w:val="231F20"/>
          <w:sz w:val="18"/>
          <w:szCs w:val="18"/>
        </w:rPr>
        <w:softHyphen/>
        <w:t>дивидуализма, согласно которому в обществе должна существовать естественная свобода человека, его независимость от социума, а отстаивание своих интересов отдельными индивидуумами ве</w:t>
      </w:r>
      <w:r w:rsidRPr="00B01894">
        <w:rPr>
          <w:rFonts w:ascii="Bookman Old Style" w:eastAsia="Bookman Old Style" w:hAnsi="Bookman Old Style" w:cs="Bookman Old Style"/>
          <w:color w:val="231F20"/>
          <w:sz w:val="18"/>
          <w:szCs w:val="18"/>
        </w:rPr>
        <w:softHyphen/>
        <w:t>дет к удовлетворению общественных интересов, к общественному благополучию. Такие взгляды в значительной мере отражали спец</w:t>
      </w:r>
      <w:r w:rsidRPr="00B01894">
        <w:rPr>
          <w:rFonts w:ascii="Bookman Old Style" w:eastAsia="Bookman Old Style" w:hAnsi="Bookman Old Style" w:cs="Bookman Old Style"/>
          <w:color w:val="231F20"/>
          <w:sz w:val="18"/>
          <w:szCs w:val="18"/>
        </w:rPr>
        <w:softHyphen/>
        <w:t>ифику капитализма эпохи свободной конкуренции. Идеи эконо</w:t>
      </w:r>
      <w:r w:rsidRPr="00B01894">
        <w:rPr>
          <w:rFonts w:ascii="Bookman Old Style" w:eastAsia="Bookman Old Style" w:hAnsi="Bookman Old Style" w:cs="Bookman Old Style"/>
          <w:color w:val="231F20"/>
          <w:sz w:val="18"/>
          <w:szCs w:val="18"/>
        </w:rPr>
        <w:softHyphen/>
        <w:t>мического либерализма господствовали до кризиса 1929—1933 гг. На смену им пришли учение Дж. Кейнса и практическое воплоще</w:t>
      </w:r>
      <w:r w:rsidRPr="00B01894">
        <w:rPr>
          <w:rFonts w:ascii="Bookman Old Style" w:eastAsia="Bookman Old Style" w:hAnsi="Bookman Old Style" w:cs="Bookman Old Style"/>
          <w:color w:val="231F20"/>
          <w:sz w:val="18"/>
          <w:szCs w:val="18"/>
        </w:rPr>
        <w:softHyphen/>
        <w:t>ние ряда институциональных идей в экономической политике пре</w:t>
      </w:r>
      <w:r w:rsidRPr="00B01894">
        <w:rPr>
          <w:rFonts w:ascii="Bookman Old Style" w:eastAsia="Bookman Old Style" w:hAnsi="Bookman Old Style" w:cs="Bookman Old Style"/>
          <w:color w:val="231F20"/>
          <w:sz w:val="18"/>
          <w:szCs w:val="18"/>
        </w:rPr>
        <w:softHyphen/>
        <w:t>зидента США Ф. Д. Рузвельта (одно из доверенных лиц последне</w:t>
      </w:r>
      <w:r w:rsidRPr="00B01894">
        <w:rPr>
          <w:rFonts w:ascii="Bookman Old Style" w:eastAsia="Bookman Old Style" w:hAnsi="Bookman Old Style" w:cs="Bookman Old Style"/>
          <w:color w:val="231F20"/>
          <w:sz w:val="18"/>
          <w:szCs w:val="18"/>
        </w:rPr>
        <w:softHyphen/>
        <w:t>го — институционалист У. К. Митчелл).</w:t>
      </w:r>
    </w:p>
    <w:p w14:paraId="765CF51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Современные последователи экономического либерализма — американские ученые-неолибералы Л. Мизес и Ф. Хайек — выступа</w:t>
      </w:r>
      <w:r w:rsidRPr="00B01894">
        <w:rPr>
          <w:rFonts w:ascii="Bookman Old Style" w:eastAsia="Bookman Old Style" w:hAnsi="Bookman Old Style" w:cs="Bookman Old Style"/>
          <w:color w:val="231F20"/>
          <w:sz w:val="18"/>
          <w:szCs w:val="18"/>
        </w:rPr>
        <w:softHyphen/>
        <w:t>ют за минимальное вмешательство государства в экономику, предо</w:t>
      </w:r>
      <w:r w:rsidRPr="00B01894">
        <w:rPr>
          <w:rFonts w:ascii="Bookman Old Style" w:eastAsia="Bookman Old Style" w:hAnsi="Bookman Old Style" w:cs="Bookman Old Style"/>
          <w:color w:val="231F20"/>
          <w:sz w:val="18"/>
          <w:szCs w:val="18"/>
        </w:rPr>
        <w:softHyphen/>
        <w:t>ставление максимальной свободы предпринимателям и торговцам. Л. Мизес абсолютными основами цивилизации называл частную собственность, свободный обмен и разделение труда, на котором основывается такой обмен. Но регулируемую при социализме эко</w:t>
      </w:r>
      <w:r w:rsidRPr="00B01894">
        <w:rPr>
          <w:rFonts w:ascii="Bookman Old Style" w:eastAsia="Bookman Old Style" w:hAnsi="Bookman Old Style" w:cs="Bookman Old Style"/>
          <w:color w:val="231F20"/>
          <w:sz w:val="18"/>
          <w:szCs w:val="18"/>
        </w:rPr>
        <w:softHyphen/>
        <w:t>номику он считал запланированным хаосом, поскольку цены в ней не отражали соотношения спроса и предложения. Ф. Хайек активно отстаивал идею максимальной свободы человека, преимущества рыночной системы над смешанной, считал капитал вечной катего</w:t>
      </w:r>
      <w:r w:rsidRPr="00B01894">
        <w:rPr>
          <w:rFonts w:ascii="Bookman Old Style" w:eastAsia="Bookman Old Style" w:hAnsi="Bookman Old Style" w:cs="Bookman Old Style"/>
          <w:color w:val="231F20"/>
          <w:sz w:val="18"/>
          <w:szCs w:val="18"/>
        </w:rPr>
        <w:softHyphen/>
        <w:t>рией. По его мнению, регулирование хозяйственной деятельности разрушает механизм передачи информации.</w:t>
      </w:r>
    </w:p>
    <w:p w14:paraId="67331020" w14:textId="77777777" w:rsidR="00B01894" w:rsidRPr="00B01894" w:rsidRDefault="00B01894" w:rsidP="00B01894">
      <w:pPr>
        <w:keepNext/>
        <w:keepLines/>
        <w:widowControl w:val="0"/>
        <w:numPr>
          <w:ilvl w:val="0"/>
          <w:numId w:val="10"/>
        </w:numPr>
        <w:tabs>
          <w:tab w:val="left" w:pos="810"/>
        </w:tabs>
        <w:spacing w:after="220" w:line="274" w:lineRule="exact"/>
        <w:ind w:firstLine="320"/>
        <w:jc w:val="left"/>
        <w:outlineLvl w:val="3"/>
        <w:rPr>
          <w:rFonts w:ascii="Arial Narrow" w:eastAsia="Arial Narrow" w:hAnsi="Arial Narrow" w:cs="Arial Narrow"/>
          <w:b/>
          <w:bCs/>
        </w:rPr>
      </w:pPr>
      <w:bookmarkStart w:id="11" w:name="bookmark10"/>
      <w:bookmarkStart w:id="12" w:name="bookmark11"/>
      <w:r w:rsidRPr="00B01894">
        <w:rPr>
          <w:rFonts w:ascii="Arial Narrow" w:eastAsia="Arial Narrow" w:hAnsi="Arial Narrow" w:cs="Arial Narrow"/>
          <w:b/>
          <w:bCs/>
          <w:color w:val="231F20"/>
        </w:rPr>
        <w:t>Принципы и методы государственного регулирования</w:t>
      </w:r>
      <w:bookmarkEnd w:id="11"/>
      <w:bookmarkEnd w:id="12"/>
    </w:p>
    <w:p w14:paraId="2CFE923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Государство представляет собой совокупность всех государ</w:t>
      </w:r>
      <w:r w:rsidRPr="00B01894">
        <w:rPr>
          <w:rFonts w:ascii="Bookman Old Style" w:eastAsia="Bookman Old Style" w:hAnsi="Bookman Old Style" w:cs="Bookman Old Style"/>
          <w:color w:val="231F20"/>
          <w:sz w:val="18"/>
          <w:szCs w:val="18"/>
        </w:rPr>
        <w:softHyphen/>
        <w:t>ственных учреждений и институтов. Государственные институты многообразны как по своему составу и структуре, так и по целям и задачам функционирования. Это не только собственно прави</w:t>
      </w:r>
      <w:r w:rsidRPr="00B01894">
        <w:rPr>
          <w:rFonts w:ascii="Bookman Old Style" w:eastAsia="Bookman Old Style" w:hAnsi="Bookman Old Style" w:cs="Bookman Old Style"/>
          <w:color w:val="231F20"/>
          <w:sz w:val="18"/>
          <w:szCs w:val="18"/>
        </w:rPr>
        <w:softHyphen/>
        <w:t xml:space="preserve">тельственные учреждения, но и различного рода общественные и социальные </w:t>
      </w:r>
      <w:r w:rsidRPr="00B01894">
        <w:rPr>
          <w:rFonts w:ascii="Bookman Old Style" w:eastAsia="Bookman Old Style" w:hAnsi="Bookman Old Style" w:cs="Bookman Old Style"/>
          <w:color w:val="231F20"/>
          <w:sz w:val="18"/>
          <w:szCs w:val="18"/>
        </w:rPr>
        <w:lastRenderedPageBreak/>
        <w:t>институты, которые по роду своей деятельности ре</w:t>
      </w:r>
      <w:r w:rsidRPr="00B01894">
        <w:rPr>
          <w:rFonts w:ascii="Bookman Old Style" w:eastAsia="Bookman Old Style" w:hAnsi="Bookman Old Style" w:cs="Bookman Old Style"/>
          <w:color w:val="231F20"/>
          <w:sz w:val="18"/>
          <w:szCs w:val="18"/>
        </w:rPr>
        <w:softHyphen/>
        <w:t>ализуют общенациональные, т. е. государственные, интересы. Од</w:t>
      </w:r>
      <w:r w:rsidRPr="00B01894">
        <w:rPr>
          <w:rFonts w:ascii="Bookman Old Style" w:eastAsia="Bookman Old Style" w:hAnsi="Bookman Old Style" w:cs="Bookman Old Style"/>
          <w:color w:val="231F20"/>
          <w:sz w:val="18"/>
          <w:szCs w:val="18"/>
        </w:rPr>
        <w:softHyphen/>
        <w:t>нако для целей экономического анализа мы объединяем их в один субъект — государство.</w:t>
      </w:r>
    </w:p>
    <w:p w14:paraId="3D3CF63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Основная задача государства состоит в производстве обществен</w:t>
      </w:r>
      <w:r w:rsidRPr="00B01894">
        <w:rPr>
          <w:rFonts w:ascii="Bookman Old Style" w:eastAsia="Bookman Old Style" w:hAnsi="Bookman Old Style" w:cs="Bookman Old Style"/>
          <w:color w:val="231F20"/>
          <w:sz w:val="18"/>
          <w:szCs w:val="18"/>
        </w:rPr>
        <w:softHyphen/>
        <w:t>ных благ, т. е. таких благ, которые производятся в интересах всего общества и предоставляются гражданам бесплатно. К ним отно</w:t>
      </w:r>
      <w:r w:rsidRPr="00B01894">
        <w:rPr>
          <w:rFonts w:ascii="Bookman Old Style" w:eastAsia="Bookman Old Style" w:hAnsi="Bookman Old Style" w:cs="Bookman Old Style"/>
          <w:color w:val="231F20"/>
          <w:sz w:val="18"/>
          <w:szCs w:val="18"/>
        </w:rPr>
        <w:softHyphen/>
        <w:t>сятся обеспечение безопасности, социальная защита, развитие на</w:t>
      </w:r>
      <w:r w:rsidRPr="00B01894">
        <w:rPr>
          <w:rFonts w:ascii="Bookman Old Style" w:eastAsia="Bookman Old Style" w:hAnsi="Bookman Old Style" w:cs="Bookman Old Style"/>
          <w:color w:val="231F20"/>
          <w:sz w:val="18"/>
          <w:szCs w:val="18"/>
        </w:rPr>
        <w:softHyphen/>
        <w:t>уки и культуры, формирование социальной инфраструктуры и т. п. Деятельность государства не преследует цели извлечения прибыли и направлена на реализацию общенациональных интересов.</w:t>
      </w:r>
    </w:p>
    <w:p w14:paraId="66BF785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обеспечения своей деятельности государство как субъ</w:t>
      </w:r>
      <w:r w:rsidRPr="00B01894">
        <w:rPr>
          <w:rFonts w:ascii="Bookman Old Style" w:eastAsia="Bookman Old Style" w:hAnsi="Bookman Old Style" w:cs="Bookman Old Style"/>
          <w:color w:val="231F20"/>
          <w:sz w:val="18"/>
          <w:szCs w:val="18"/>
        </w:rPr>
        <w:softHyphen/>
        <w:t>ект экономики формирует доходы и расходы. Доходы представля</w:t>
      </w:r>
      <w:r w:rsidRPr="00B01894">
        <w:rPr>
          <w:rFonts w:ascii="Bookman Old Style" w:eastAsia="Bookman Old Style" w:hAnsi="Bookman Old Style" w:cs="Bookman Old Style"/>
          <w:color w:val="231F20"/>
          <w:sz w:val="18"/>
          <w:szCs w:val="18"/>
        </w:rPr>
        <w:softHyphen/>
        <w:t>ют собой налоги и платежи, а также доходы от государственного предпринимательства и продажи государственной собственности (приватизации). Государственные расходы подразделяются на го</w:t>
      </w:r>
      <w:r w:rsidRPr="00B01894">
        <w:rPr>
          <w:rFonts w:ascii="Bookman Old Style" w:eastAsia="Bookman Old Style" w:hAnsi="Bookman Old Style" w:cs="Bookman Old Style"/>
          <w:color w:val="231F20"/>
          <w:sz w:val="18"/>
          <w:szCs w:val="18"/>
        </w:rPr>
        <w:softHyphen/>
        <w:t>сударственные закупки, расходы на государственное управление и содержание государственных учреждений, трансферты и расходы по обслуживанию государственного долга. Важнейшей функцией государства является предложение денег.</w:t>
      </w:r>
    </w:p>
    <w:p w14:paraId="5A77CCC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Экономика как сложная система не может выделить ярко вы</w:t>
      </w:r>
      <w:r w:rsidRPr="00B01894">
        <w:rPr>
          <w:rFonts w:ascii="Bookman Old Style" w:eastAsia="Bookman Old Style" w:hAnsi="Bookman Old Style" w:cs="Bookman Old Style"/>
          <w:color w:val="231F20"/>
          <w:sz w:val="18"/>
          <w:szCs w:val="18"/>
        </w:rPr>
        <w:softHyphen/>
        <w:t>раженную единственную цель функционирования — что хорошо для одних субъектов, может не годиться для других. Таким обра</w:t>
      </w:r>
      <w:r w:rsidRPr="00B01894">
        <w:rPr>
          <w:rFonts w:ascii="Bookman Old Style" w:eastAsia="Bookman Old Style" w:hAnsi="Bookman Old Style" w:cs="Bookman Old Style"/>
          <w:color w:val="231F20"/>
          <w:sz w:val="18"/>
          <w:szCs w:val="18"/>
        </w:rPr>
        <w:softHyphen/>
        <w:t>зом, государство сталкивается с проблемой необходимости дости</w:t>
      </w:r>
      <w:r w:rsidRPr="00B01894">
        <w:rPr>
          <w:rFonts w:ascii="Bookman Old Style" w:eastAsia="Bookman Old Style" w:hAnsi="Bookman Old Style" w:cs="Bookman Old Style"/>
          <w:color w:val="231F20"/>
          <w:sz w:val="18"/>
          <w:szCs w:val="18"/>
        </w:rPr>
        <w:softHyphen/>
        <w:t>жения сразу нескольких целей, при этом необходимо учитывать возможные противоречия между их достижением. Поэтому важ</w:t>
      </w:r>
      <w:r w:rsidRPr="00B01894">
        <w:rPr>
          <w:rFonts w:ascii="Bookman Old Style" w:eastAsia="Bookman Old Style" w:hAnsi="Bookman Old Style" w:cs="Bookman Old Style"/>
          <w:color w:val="231F20"/>
          <w:sz w:val="18"/>
          <w:szCs w:val="18"/>
        </w:rPr>
        <w:softHyphen/>
        <w:t>нейшим вопросом является нахождение оптимального сочетания целей для конкретного периода. Что выбрать: борьбу с безработи</w:t>
      </w:r>
      <w:r w:rsidRPr="00B01894">
        <w:rPr>
          <w:rFonts w:ascii="Bookman Old Style" w:eastAsia="Bookman Old Style" w:hAnsi="Bookman Old Style" w:cs="Bookman Old Style"/>
          <w:color w:val="231F20"/>
          <w:sz w:val="18"/>
          <w:szCs w:val="18"/>
        </w:rPr>
        <w:softHyphen/>
        <w:t>цей или инфляцией, повышение темпов роста или сохранение окру</w:t>
      </w:r>
      <w:r w:rsidRPr="00B01894">
        <w:rPr>
          <w:rFonts w:ascii="Bookman Old Style" w:eastAsia="Bookman Old Style" w:hAnsi="Bookman Old Style" w:cs="Bookman Old Style"/>
          <w:color w:val="231F20"/>
          <w:sz w:val="18"/>
          <w:szCs w:val="18"/>
        </w:rPr>
        <w:softHyphen/>
        <w:t>жающей среды — эти вопросы стоят перед любым правительством.</w:t>
      </w:r>
    </w:p>
    <w:p w14:paraId="40F8238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Цели экономической политики можно разделить на экономиче</w:t>
      </w:r>
      <w:r w:rsidRPr="00B01894">
        <w:rPr>
          <w:rFonts w:ascii="Bookman Old Style" w:eastAsia="Bookman Old Style" w:hAnsi="Bookman Old Style" w:cs="Bookman Old Style"/>
          <w:color w:val="231F20"/>
          <w:sz w:val="18"/>
          <w:szCs w:val="18"/>
        </w:rPr>
        <w:softHyphen/>
        <w:t>ские и социальные.</w:t>
      </w:r>
    </w:p>
    <w:p w14:paraId="0A78744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Экономические цели включают:</w:t>
      </w:r>
    </w:p>
    <w:p w14:paraId="4A106C2E" w14:textId="77777777" w:rsidR="00B01894" w:rsidRPr="00B01894" w:rsidRDefault="00B01894" w:rsidP="00B01894">
      <w:pPr>
        <w:widowControl w:val="0"/>
        <w:numPr>
          <w:ilvl w:val="0"/>
          <w:numId w:val="8"/>
        </w:numPr>
        <w:tabs>
          <w:tab w:val="left" w:pos="625"/>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поддержание темпов экономического роста и роста благосо</w:t>
      </w:r>
      <w:r w:rsidRPr="00B01894">
        <w:rPr>
          <w:rFonts w:ascii="Bookman Old Style" w:eastAsia="Bookman Old Style" w:hAnsi="Bookman Old Style" w:cs="Bookman Old Style"/>
          <w:color w:val="231F20"/>
          <w:sz w:val="18"/>
          <w:szCs w:val="18"/>
        </w:rPr>
        <w:softHyphen/>
        <w:t>стояния;</w:t>
      </w:r>
    </w:p>
    <w:p w14:paraId="7312EBA3" w14:textId="77777777" w:rsidR="00B01894" w:rsidRPr="00B01894" w:rsidRDefault="00B01894" w:rsidP="00B01894">
      <w:pPr>
        <w:widowControl w:val="0"/>
        <w:numPr>
          <w:ilvl w:val="0"/>
          <w:numId w:val="8"/>
        </w:numPr>
        <w:tabs>
          <w:tab w:val="left" w:pos="67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обеспечение полной занятости и борьба с безработицей;</w:t>
      </w:r>
    </w:p>
    <w:p w14:paraId="37E6BEA2"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сдерживание инфляции и обеспечение устойчивости нацио</w:t>
      </w:r>
      <w:r w:rsidRPr="00B01894">
        <w:rPr>
          <w:rFonts w:ascii="Bookman Old Style" w:eastAsia="Bookman Old Style" w:hAnsi="Bookman Old Style" w:cs="Bookman Old Style"/>
          <w:color w:val="231F20"/>
          <w:sz w:val="18"/>
          <w:szCs w:val="18"/>
        </w:rPr>
        <w:softHyphen/>
        <w:t>нальной валюты;</w:t>
      </w:r>
    </w:p>
    <w:p w14:paraId="2A2C0E6A" w14:textId="77777777" w:rsidR="00B01894" w:rsidRPr="00B01894" w:rsidRDefault="00B01894" w:rsidP="00B01894">
      <w:pPr>
        <w:widowControl w:val="0"/>
        <w:numPr>
          <w:ilvl w:val="0"/>
          <w:numId w:val="8"/>
        </w:numPr>
        <w:tabs>
          <w:tab w:val="left" w:pos="67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поддержание положительного сальдо платежного баланса.</w:t>
      </w:r>
    </w:p>
    <w:p w14:paraId="7731CFD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 основным социальным целям относятся:</w:t>
      </w:r>
    </w:p>
    <w:p w14:paraId="4D009645" w14:textId="77777777" w:rsidR="00B01894" w:rsidRPr="00B01894" w:rsidRDefault="00B01894" w:rsidP="00B01894">
      <w:pPr>
        <w:widowControl w:val="0"/>
        <w:numPr>
          <w:ilvl w:val="0"/>
          <w:numId w:val="8"/>
        </w:numPr>
        <w:tabs>
          <w:tab w:val="left" w:pos="625"/>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обеспечение социального равенства, преодоление неравно</w:t>
      </w:r>
      <w:r w:rsidRPr="00B01894">
        <w:rPr>
          <w:rFonts w:ascii="Bookman Old Style" w:eastAsia="Bookman Old Style" w:hAnsi="Bookman Old Style" w:cs="Bookman Old Style"/>
          <w:color w:val="231F20"/>
          <w:sz w:val="18"/>
          <w:szCs w:val="18"/>
        </w:rPr>
        <w:softHyphen/>
        <w:t>мерности распределения доходов;</w:t>
      </w:r>
    </w:p>
    <w:p w14:paraId="2A91C370" w14:textId="77777777" w:rsidR="00B01894" w:rsidRPr="00B01894" w:rsidRDefault="00B01894" w:rsidP="00B01894">
      <w:pPr>
        <w:widowControl w:val="0"/>
        <w:numPr>
          <w:ilvl w:val="0"/>
          <w:numId w:val="8"/>
        </w:numPr>
        <w:tabs>
          <w:tab w:val="left" w:pos="634"/>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обеспечение бесплатного образования и медицинского обслу</w:t>
      </w:r>
      <w:r w:rsidRPr="00B01894">
        <w:rPr>
          <w:rFonts w:ascii="Bookman Old Style" w:eastAsia="Bookman Old Style" w:hAnsi="Bookman Old Style" w:cs="Bookman Old Style"/>
          <w:color w:val="231F20"/>
          <w:sz w:val="18"/>
          <w:szCs w:val="18"/>
        </w:rPr>
        <w:softHyphen/>
        <w:t>живания;</w:t>
      </w:r>
    </w:p>
    <w:p w14:paraId="35036885" w14:textId="77777777" w:rsidR="00B01894" w:rsidRPr="00B01894" w:rsidRDefault="00B01894" w:rsidP="00B01894">
      <w:pPr>
        <w:widowControl w:val="0"/>
        <w:numPr>
          <w:ilvl w:val="0"/>
          <w:numId w:val="8"/>
        </w:numPr>
        <w:tabs>
          <w:tab w:val="left" w:pos="634"/>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налаживание системы пенсионного обеспечения, охраны тру</w:t>
      </w:r>
      <w:r w:rsidRPr="00B01894">
        <w:rPr>
          <w:rFonts w:ascii="Bookman Old Style" w:eastAsia="Bookman Old Style" w:hAnsi="Bookman Old Style" w:cs="Bookman Old Style"/>
          <w:color w:val="231F20"/>
          <w:sz w:val="18"/>
          <w:szCs w:val="18"/>
        </w:rPr>
        <w:softHyphen/>
        <w:t>да и здоровья граждан;</w:t>
      </w:r>
    </w:p>
    <w:p w14:paraId="5ECD7F12" w14:textId="77777777" w:rsidR="00B01894" w:rsidRPr="00B01894" w:rsidRDefault="00B01894" w:rsidP="00B01894">
      <w:pPr>
        <w:widowControl w:val="0"/>
        <w:numPr>
          <w:ilvl w:val="0"/>
          <w:numId w:val="8"/>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формирование благоприятной окружающей среды и улучше</w:t>
      </w:r>
      <w:r w:rsidRPr="00B01894">
        <w:rPr>
          <w:rFonts w:ascii="Bookman Old Style" w:eastAsia="Bookman Old Style" w:hAnsi="Bookman Old Style" w:cs="Bookman Old Style"/>
          <w:color w:val="231F20"/>
          <w:sz w:val="18"/>
          <w:szCs w:val="18"/>
        </w:rPr>
        <w:softHyphen/>
        <w:t>ние экологической ситуации.</w:t>
      </w:r>
    </w:p>
    <w:p w14:paraId="0C90BDB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Социальные цели могут меняться, дополняться и уточняться в за</w:t>
      </w:r>
      <w:r w:rsidRPr="00B01894">
        <w:rPr>
          <w:rFonts w:ascii="Bookman Old Style" w:eastAsia="Bookman Old Style" w:hAnsi="Bookman Old Style" w:cs="Bookman Old Style"/>
          <w:color w:val="231F20"/>
          <w:sz w:val="18"/>
          <w:szCs w:val="18"/>
        </w:rPr>
        <w:softHyphen/>
        <w:t>висимости от состояния экономики и запроса общества на социаль</w:t>
      </w:r>
      <w:r w:rsidRPr="00B01894">
        <w:rPr>
          <w:rFonts w:ascii="Bookman Old Style" w:eastAsia="Bookman Old Style" w:hAnsi="Bookman Old Style" w:cs="Bookman Old Style"/>
          <w:color w:val="231F20"/>
          <w:sz w:val="18"/>
          <w:szCs w:val="18"/>
        </w:rPr>
        <w:softHyphen/>
        <w:t>ные услуги государства.</w:t>
      </w:r>
    </w:p>
    <w:p w14:paraId="27C9F53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Экономические цели достигаются путем формирования налого</w:t>
      </w:r>
      <w:r w:rsidRPr="00B01894">
        <w:rPr>
          <w:rFonts w:ascii="Bookman Old Style" w:eastAsia="Bookman Old Style" w:hAnsi="Bookman Old Style" w:cs="Bookman Old Style"/>
          <w:color w:val="231F20"/>
          <w:sz w:val="18"/>
          <w:szCs w:val="18"/>
        </w:rPr>
        <w:softHyphen/>
        <w:t>вой политики и осуществления государственных закупок. Объем и структура государственных закупок отражают приоритеты эконо</w:t>
      </w:r>
      <w:r w:rsidRPr="00B01894">
        <w:rPr>
          <w:rFonts w:ascii="Bookman Old Style" w:eastAsia="Bookman Old Style" w:hAnsi="Bookman Old Style" w:cs="Bookman Old Style"/>
          <w:color w:val="231F20"/>
          <w:sz w:val="18"/>
          <w:szCs w:val="18"/>
        </w:rPr>
        <w:softHyphen/>
        <w:t>мической политики государства.</w:t>
      </w:r>
    </w:p>
    <w:p w14:paraId="09D0DE2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Социальные цели достигаются как с помощью государственных закупок, так и путем предоставления трансфертов.</w:t>
      </w:r>
    </w:p>
    <w:p w14:paraId="2CE7473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Трансферты можно разделить на трансферты гражданам, транс</w:t>
      </w:r>
      <w:r w:rsidRPr="00B01894">
        <w:rPr>
          <w:rFonts w:ascii="Bookman Old Style" w:eastAsia="Bookman Old Style" w:hAnsi="Bookman Old Style" w:cs="Bookman Old Style"/>
          <w:color w:val="231F20"/>
          <w:sz w:val="18"/>
          <w:szCs w:val="18"/>
        </w:rPr>
        <w:softHyphen/>
        <w:t>ферты фирмам и трансферты территориям.</w:t>
      </w:r>
    </w:p>
    <w:p w14:paraId="3FA4335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Трансферты гражданам представляют собой систему социальных пособий — по безработице, малоимущим, пособия по поддержанию материнства и детства и др.</w:t>
      </w:r>
    </w:p>
    <w:p w14:paraId="195378F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Трансферты фирмам выделяются в форме субсидий на производ</w:t>
      </w:r>
      <w:r w:rsidRPr="00B01894">
        <w:rPr>
          <w:rFonts w:ascii="Bookman Old Style" w:eastAsia="Bookman Old Style" w:hAnsi="Bookman Old Style" w:cs="Bookman Old Style"/>
          <w:color w:val="231F20"/>
          <w:sz w:val="18"/>
          <w:szCs w:val="18"/>
        </w:rPr>
        <w:softHyphen/>
        <w:t>ство социально значимых товаров, в целях поддержки значимых от</w:t>
      </w:r>
      <w:r w:rsidRPr="00B01894">
        <w:rPr>
          <w:rFonts w:ascii="Bookman Old Style" w:eastAsia="Bookman Old Style" w:hAnsi="Bookman Old Style" w:cs="Bookman Old Style"/>
          <w:color w:val="231F20"/>
          <w:sz w:val="18"/>
          <w:szCs w:val="18"/>
        </w:rPr>
        <w:softHyphen/>
        <w:t>раслей экономики и национального производителя.</w:t>
      </w:r>
    </w:p>
    <w:p w14:paraId="3253563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Кроме того, государство ставит задачу формирования благоприят</w:t>
      </w:r>
      <w:r w:rsidRPr="00B01894">
        <w:rPr>
          <w:rFonts w:ascii="Bookman Old Style" w:eastAsia="Bookman Old Style" w:hAnsi="Bookman Old Style" w:cs="Bookman Old Style"/>
          <w:color w:val="231F20"/>
          <w:sz w:val="18"/>
          <w:szCs w:val="18"/>
        </w:rPr>
        <w:softHyphen/>
        <w:t>ных условий для развития бизнеса, формирует институты для его функ</w:t>
      </w:r>
      <w:r w:rsidRPr="00B01894">
        <w:rPr>
          <w:rFonts w:ascii="Bookman Old Style" w:eastAsia="Bookman Old Style" w:hAnsi="Bookman Old Style" w:cs="Bookman Old Style"/>
          <w:color w:val="231F20"/>
          <w:sz w:val="18"/>
          <w:szCs w:val="18"/>
        </w:rPr>
        <w:softHyphen/>
        <w:t>ционирования, обеспечивает развитие инфраструктуры экономики.</w:t>
      </w:r>
    </w:p>
    <w:p w14:paraId="421F83A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реализации целей государственного регулирования исполь</w:t>
      </w:r>
      <w:r w:rsidRPr="00B01894">
        <w:rPr>
          <w:rFonts w:ascii="Bookman Old Style" w:eastAsia="Bookman Old Style" w:hAnsi="Bookman Old Style" w:cs="Bookman Old Style"/>
          <w:color w:val="231F20"/>
          <w:sz w:val="18"/>
          <w:szCs w:val="18"/>
        </w:rPr>
        <w:softHyphen/>
        <w:t>зуются различные инструменты. Инструменты государственного воздействия можно разделить на две группы — административные методы прямого воздействия и меры экономического воздействия в целях стимулирования экономики.</w:t>
      </w:r>
    </w:p>
    <w:p w14:paraId="4E0B5BD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Административные методы — это антимонопольное регулиро</w:t>
      </w:r>
      <w:r w:rsidRPr="00B01894">
        <w:rPr>
          <w:rFonts w:ascii="Bookman Old Style" w:eastAsia="Bookman Old Style" w:hAnsi="Bookman Old Style" w:cs="Bookman Old Style"/>
          <w:color w:val="231F20"/>
          <w:sz w:val="18"/>
          <w:szCs w:val="18"/>
        </w:rPr>
        <w:softHyphen/>
        <w:t>вание, регулирование ценообразования, администрирование пу</w:t>
      </w:r>
      <w:r w:rsidRPr="00B01894">
        <w:rPr>
          <w:rFonts w:ascii="Bookman Old Style" w:eastAsia="Bookman Old Style" w:hAnsi="Bookman Old Style" w:cs="Bookman Old Style"/>
          <w:color w:val="231F20"/>
          <w:sz w:val="18"/>
          <w:szCs w:val="18"/>
        </w:rPr>
        <w:softHyphen/>
        <w:t>тем издания циркуляров, протекционизм и др. Все они базируются на силе государственной власти и включают в себя меры запрета, разрешения или принуждения.</w:t>
      </w:r>
    </w:p>
    <w:p w14:paraId="24CE1DD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Экономические методы можно разделить на фискальные и моне</w:t>
      </w:r>
      <w:r w:rsidRPr="00B01894">
        <w:rPr>
          <w:rFonts w:ascii="Bookman Old Style" w:eastAsia="Bookman Old Style" w:hAnsi="Bookman Old Style" w:cs="Bookman Old Style"/>
          <w:color w:val="231F20"/>
          <w:sz w:val="18"/>
          <w:szCs w:val="18"/>
        </w:rPr>
        <w:softHyphen/>
        <w:t>тарные, соответственно, можно выделить фискальную и монетар</w:t>
      </w:r>
      <w:r w:rsidRPr="00B01894">
        <w:rPr>
          <w:rFonts w:ascii="Bookman Old Style" w:eastAsia="Bookman Old Style" w:hAnsi="Bookman Old Style" w:cs="Bookman Old Style"/>
          <w:color w:val="231F20"/>
          <w:sz w:val="18"/>
          <w:szCs w:val="18"/>
        </w:rPr>
        <w:softHyphen/>
        <w:t>ную политику.</w:t>
      </w:r>
    </w:p>
    <w:p w14:paraId="125BB4C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Фискальная политика представляет собой воздействие государ</w:t>
      </w:r>
      <w:r w:rsidRPr="00B01894">
        <w:rPr>
          <w:rFonts w:ascii="Bookman Old Style" w:eastAsia="Bookman Old Style" w:hAnsi="Bookman Old Style" w:cs="Bookman Old Style"/>
          <w:color w:val="231F20"/>
          <w:sz w:val="18"/>
          <w:szCs w:val="18"/>
        </w:rPr>
        <w:softHyphen/>
        <w:t>ства на экономику посредством формирования и изменения вели</w:t>
      </w:r>
      <w:r w:rsidRPr="00B01894">
        <w:rPr>
          <w:rFonts w:ascii="Bookman Old Style" w:eastAsia="Bookman Old Style" w:hAnsi="Bookman Old Style" w:cs="Bookman Old Style"/>
          <w:color w:val="231F20"/>
          <w:sz w:val="18"/>
          <w:szCs w:val="18"/>
        </w:rPr>
        <w:softHyphen/>
        <w:t>чины и структуры государственных расходов, объема трансферт</w:t>
      </w:r>
      <w:r w:rsidRPr="00B01894">
        <w:rPr>
          <w:rFonts w:ascii="Bookman Old Style" w:eastAsia="Bookman Old Style" w:hAnsi="Bookman Old Style" w:cs="Bookman Old Style"/>
          <w:color w:val="231F20"/>
          <w:sz w:val="18"/>
          <w:szCs w:val="18"/>
        </w:rPr>
        <w:softHyphen/>
        <w:t>ных выплат и системы налогообложения. Государственные расходы представляют собой закупки государством товаров и услуг в целях выполнения государственных программ, включая оплату труда гос</w:t>
      </w:r>
      <w:r w:rsidRPr="00B01894">
        <w:rPr>
          <w:rFonts w:ascii="Bookman Old Style" w:eastAsia="Bookman Old Style" w:hAnsi="Bookman Old Style" w:cs="Bookman Old Style"/>
          <w:color w:val="231F20"/>
          <w:sz w:val="18"/>
          <w:szCs w:val="18"/>
        </w:rPr>
        <w:softHyphen/>
        <w:t>служащих. Трансферты — это адресные, целевые выплаты домохо</w:t>
      </w:r>
      <w:r w:rsidRPr="00B01894">
        <w:rPr>
          <w:rFonts w:ascii="Bookman Old Style" w:eastAsia="Bookman Old Style" w:hAnsi="Bookman Old Style" w:cs="Bookman Old Style"/>
          <w:color w:val="231F20"/>
          <w:sz w:val="18"/>
          <w:szCs w:val="18"/>
        </w:rPr>
        <w:softHyphen/>
        <w:t>зяйствам (гражданам) без предоставления со стороны последних каких-либо товаров или услуг. В целях упрощения в дальнейшем при анализе фискальной политики мы будем подразумевать под государственными расходами как собственно государственные рас</w:t>
      </w:r>
      <w:r w:rsidRPr="00B01894">
        <w:rPr>
          <w:rFonts w:ascii="Bookman Old Style" w:eastAsia="Bookman Old Style" w:hAnsi="Bookman Old Style" w:cs="Bookman Old Style"/>
          <w:color w:val="231F20"/>
          <w:sz w:val="18"/>
          <w:szCs w:val="18"/>
        </w:rPr>
        <w:softHyphen/>
        <w:t xml:space="preserve">ходы, так и трансферты, </w:t>
      </w:r>
      <w:r w:rsidRPr="00B01894">
        <w:rPr>
          <w:rFonts w:ascii="Bookman Old Style" w:eastAsia="Bookman Old Style" w:hAnsi="Bookman Old Style" w:cs="Bookman Old Style"/>
          <w:color w:val="231F20"/>
          <w:sz w:val="18"/>
          <w:szCs w:val="18"/>
        </w:rPr>
        <w:lastRenderedPageBreak/>
        <w:t>если специально не оговорено иное.</w:t>
      </w:r>
    </w:p>
    <w:p w14:paraId="6333BAF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 существу, фискальная политика сводится к формированию и расходованию средств государственного бюджета, так как налоги представляют собой основные доходы государственного бюджета, а государственные закупки и трансферты — его расходы. Поэтому фискальную политику можно интерпретировать также и как нало</w:t>
      </w:r>
      <w:r w:rsidRPr="00B01894">
        <w:rPr>
          <w:rFonts w:ascii="Bookman Old Style" w:eastAsia="Bookman Old Style" w:hAnsi="Bookman Old Style" w:cs="Bookman Old Style"/>
          <w:color w:val="231F20"/>
          <w:sz w:val="18"/>
          <w:szCs w:val="18"/>
        </w:rPr>
        <w:softHyphen/>
        <w:t>гово-бюджетную политику.</w:t>
      </w:r>
    </w:p>
    <w:p w14:paraId="5298932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Анализ фискальной политики предполагает получение ответов на следующие вопросы.</w:t>
      </w:r>
    </w:p>
    <w:p w14:paraId="4252684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Во-первых, насколько широка степень государственного влияния в современной экономике, а именно: какая доля национального до</w:t>
      </w:r>
      <w:r w:rsidRPr="00B01894">
        <w:rPr>
          <w:rFonts w:ascii="Bookman Old Style" w:eastAsia="Bookman Old Style" w:hAnsi="Bookman Old Style" w:cs="Bookman Old Style"/>
          <w:color w:val="231F20"/>
          <w:sz w:val="18"/>
          <w:szCs w:val="18"/>
        </w:rPr>
        <w:softHyphen/>
        <w:t>хода перераспределяется через государственный бюджет, каковы степень централизации финансовых потоков и оптимальная бюд</w:t>
      </w:r>
      <w:r w:rsidRPr="00B01894">
        <w:rPr>
          <w:rFonts w:ascii="Bookman Old Style" w:eastAsia="Bookman Old Style" w:hAnsi="Bookman Old Style" w:cs="Bookman Old Style"/>
          <w:color w:val="231F20"/>
          <w:sz w:val="18"/>
          <w:szCs w:val="18"/>
        </w:rPr>
        <w:softHyphen/>
        <w:t>жетная нагрузка для экономических субъектов?</w:t>
      </w:r>
    </w:p>
    <w:p w14:paraId="6E776A9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Во-вторых, каким образом изменение величины государствен</w:t>
      </w:r>
      <w:r w:rsidRPr="00B01894">
        <w:rPr>
          <w:rFonts w:ascii="Bookman Old Style" w:eastAsia="Bookman Old Style" w:hAnsi="Bookman Old Style" w:cs="Bookman Old Style"/>
          <w:color w:val="231F20"/>
          <w:sz w:val="18"/>
          <w:szCs w:val="18"/>
        </w:rPr>
        <w:softHyphen/>
        <w:t>ных расходов и объема налогов влияет на экономическую конъюн</w:t>
      </w:r>
      <w:r w:rsidRPr="00B01894">
        <w:rPr>
          <w:rFonts w:ascii="Bookman Old Style" w:eastAsia="Bookman Old Style" w:hAnsi="Bookman Old Style" w:cs="Bookman Old Style"/>
          <w:color w:val="231F20"/>
          <w:sz w:val="18"/>
          <w:szCs w:val="18"/>
        </w:rPr>
        <w:softHyphen/>
        <w:t>ктуру?</w:t>
      </w:r>
    </w:p>
    <w:p w14:paraId="764049C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В-третьих, каковы принципы собственно бюджетной политики: должен ли бюджет быть сбалансированным либо может исполнять</w:t>
      </w:r>
      <w:r w:rsidRPr="00B01894">
        <w:rPr>
          <w:rFonts w:ascii="Bookman Old Style" w:eastAsia="Bookman Old Style" w:hAnsi="Bookman Old Style" w:cs="Bookman Old Style"/>
          <w:color w:val="231F20"/>
          <w:sz w:val="18"/>
          <w:szCs w:val="18"/>
        </w:rPr>
        <w:softHyphen/>
        <w:t>ся с дефицитом или избытком?</w:t>
      </w:r>
    </w:p>
    <w:p w14:paraId="1B5ABF3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Степень государственного влияния в экономике непосредственно связана с целями общественного развития и функциями, исполнение которых берет на себя государство. Так, для стран с планово-цен</w:t>
      </w:r>
      <w:r w:rsidRPr="00B01894">
        <w:rPr>
          <w:rFonts w:ascii="Bookman Old Style" w:eastAsia="Bookman Old Style" w:hAnsi="Bookman Old Style" w:cs="Bookman Old Style"/>
          <w:color w:val="231F20"/>
          <w:sz w:val="18"/>
          <w:szCs w:val="18"/>
        </w:rPr>
        <w:softHyphen/>
        <w:t>трализованной экономикой характерен широкий диапазон испол</w:t>
      </w:r>
      <w:r w:rsidRPr="00B01894">
        <w:rPr>
          <w:rFonts w:ascii="Bookman Old Style" w:eastAsia="Bookman Old Style" w:hAnsi="Bookman Old Style" w:cs="Bookman Old Style"/>
          <w:color w:val="231F20"/>
          <w:sz w:val="18"/>
          <w:szCs w:val="18"/>
        </w:rPr>
        <w:softHyphen/>
        <w:t>няемых государством функций — от государственного управления до освоения капитальных вложений, и доля национального дохода, перераспределяемого через государственный бюджет, достигает 75 %. В рыночной экономике степень государственного вмешатель</w:t>
      </w:r>
      <w:r w:rsidRPr="00B01894">
        <w:rPr>
          <w:rFonts w:ascii="Bookman Old Style" w:eastAsia="Bookman Old Style" w:hAnsi="Bookman Old Style" w:cs="Bookman Old Style"/>
          <w:color w:val="231F20"/>
          <w:sz w:val="18"/>
          <w:szCs w:val="18"/>
        </w:rPr>
        <w:softHyphen/>
        <w:t>ства значительно ниже, соответственно, примерно в два раза ниже и доля централизованно распределяемого национального дохода.</w:t>
      </w:r>
    </w:p>
    <w:p w14:paraId="03677BA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то же время в последнее столетие наблюдается ярко выражен</w:t>
      </w:r>
      <w:r w:rsidRPr="00B01894">
        <w:rPr>
          <w:rFonts w:ascii="Bookman Old Style" w:eastAsia="Bookman Old Style" w:hAnsi="Bookman Old Style" w:cs="Bookman Old Style"/>
          <w:color w:val="231F20"/>
          <w:sz w:val="18"/>
          <w:szCs w:val="18"/>
        </w:rPr>
        <w:softHyphen/>
        <w:t>ная тенденция к усилению роли государства. Если в начале XX в. го</w:t>
      </w:r>
      <w:r w:rsidRPr="00B01894">
        <w:rPr>
          <w:rFonts w:ascii="Bookman Old Style" w:eastAsia="Bookman Old Style" w:hAnsi="Bookman Old Style" w:cs="Bookman Old Style"/>
          <w:color w:val="231F20"/>
          <w:sz w:val="18"/>
          <w:szCs w:val="18"/>
        </w:rPr>
        <w:softHyphen/>
        <w:t>сударство фактически исполняло лишь функции управления и обе</w:t>
      </w:r>
      <w:r w:rsidRPr="00B01894">
        <w:rPr>
          <w:rFonts w:ascii="Bookman Old Style" w:eastAsia="Bookman Old Style" w:hAnsi="Bookman Old Style" w:cs="Bookman Old Style"/>
          <w:color w:val="231F20"/>
          <w:sz w:val="18"/>
          <w:szCs w:val="18"/>
        </w:rPr>
        <w:softHyphen/>
        <w:t>спечения безопасности, и доля централизованно распределяемого национального дохода не превышала 10 %, то сейчас в большин</w:t>
      </w:r>
      <w:r w:rsidRPr="00B01894">
        <w:rPr>
          <w:rFonts w:ascii="Bookman Old Style" w:eastAsia="Bookman Old Style" w:hAnsi="Bookman Old Style" w:cs="Bookman Old Style"/>
          <w:color w:val="231F20"/>
          <w:sz w:val="18"/>
          <w:szCs w:val="18"/>
        </w:rPr>
        <w:softHyphen/>
        <w:t>стве развитых стран государство все в возрастающей степени берет на себя исполнение социальных программ, соответственно, растет и степень государственного влияния в экономике. Данная тенден</w:t>
      </w:r>
      <w:r w:rsidRPr="00B01894">
        <w:rPr>
          <w:rFonts w:ascii="Bookman Old Style" w:eastAsia="Bookman Old Style" w:hAnsi="Bookman Old Style" w:cs="Bookman Old Style"/>
          <w:color w:val="231F20"/>
          <w:sz w:val="18"/>
          <w:szCs w:val="18"/>
        </w:rPr>
        <w:softHyphen/>
        <w:t>ция, с одной стороны, отражает возрастание социальной ориента</w:t>
      </w:r>
      <w:r w:rsidRPr="00B01894">
        <w:rPr>
          <w:rFonts w:ascii="Bookman Old Style" w:eastAsia="Bookman Old Style" w:hAnsi="Bookman Old Style" w:cs="Bookman Old Style"/>
          <w:color w:val="231F20"/>
          <w:sz w:val="18"/>
          <w:szCs w:val="18"/>
        </w:rPr>
        <w:softHyphen/>
        <w:t>ции развития рыночных процессов, с другой — порождает проблему «инвестиционного голода» в результате перераспределения средств из частного сектора в государственный.</w:t>
      </w:r>
    </w:p>
    <w:p w14:paraId="340060A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Второй и третий вопросы тесно взаимосвязаны. Уже сама по себе тенденция к усилению роли государства придает особое значение проблеме формирования спроса государства как составной части совокупного спроса. Однако финансовую политику необходимо рас</w:t>
      </w:r>
      <w:r w:rsidRPr="00B01894">
        <w:rPr>
          <w:rFonts w:ascii="Bookman Old Style" w:eastAsia="Bookman Old Style" w:hAnsi="Bookman Old Style" w:cs="Bookman Old Style"/>
          <w:color w:val="231F20"/>
          <w:sz w:val="18"/>
          <w:szCs w:val="18"/>
        </w:rPr>
        <w:softHyphen/>
      </w:r>
      <w:r w:rsidRPr="00B01894">
        <w:rPr>
          <w:rFonts w:ascii="Bookman Old Style" w:eastAsia="Bookman Old Style" w:hAnsi="Bookman Old Style" w:cs="Bookman Old Style"/>
          <w:color w:val="231F20"/>
          <w:sz w:val="18"/>
          <w:szCs w:val="18"/>
        </w:rPr>
        <w:lastRenderedPageBreak/>
        <w:t>сматривать не только исходя из задач финансового обеспечения те</w:t>
      </w:r>
      <w:r w:rsidRPr="00B01894">
        <w:rPr>
          <w:rFonts w:ascii="Bookman Old Style" w:eastAsia="Bookman Old Style" w:hAnsi="Bookman Old Style" w:cs="Bookman Old Style"/>
          <w:color w:val="231F20"/>
          <w:sz w:val="18"/>
          <w:szCs w:val="18"/>
        </w:rPr>
        <w:softHyphen/>
        <w:t>кущей деятельности государства, но и как важнейший инструмент стабилизации экономического развития.</w:t>
      </w:r>
    </w:p>
    <w:p w14:paraId="0D87F6F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Общее правило таково: государство стимулирует совокупный спрос, увеличивая госрасходы и (или) снижая налоги в периоды спада, и сдерживает спрос в периоды подъема, тем самым сглажи</w:t>
      </w:r>
      <w:r w:rsidRPr="00B01894">
        <w:rPr>
          <w:rFonts w:ascii="Bookman Old Style" w:eastAsia="Bookman Old Style" w:hAnsi="Bookman Old Style" w:cs="Bookman Old Style"/>
          <w:color w:val="231F20"/>
          <w:sz w:val="18"/>
          <w:szCs w:val="18"/>
        </w:rPr>
        <w:softHyphen/>
        <w:t xml:space="preserve">вая колебания экономического цикла. Соответственно, различается </w:t>
      </w:r>
      <w:r w:rsidRPr="00B01894">
        <w:rPr>
          <w:rFonts w:ascii="Bookman Old Style" w:eastAsia="Bookman Old Style" w:hAnsi="Bookman Old Style" w:cs="Bookman Old Style"/>
          <w:i/>
          <w:iCs/>
          <w:color w:val="231F20"/>
          <w:sz w:val="18"/>
          <w:szCs w:val="18"/>
        </w:rPr>
        <w:t>экспансионистская,</w:t>
      </w:r>
      <w:r w:rsidRPr="00B01894">
        <w:rPr>
          <w:rFonts w:ascii="Bookman Old Style" w:eastAsia="Bookman Old Style" w:hAnsi="Bookman Old Style" w:cs="Bookman Old Style"/>
          <w:color w:val="231F20"/>
          <w:sz w:val="18"/>
          <w:szCs w:val="18"/>
        </w:rPr>
        <w:t xml:space="preserve"> т. е. стимулирующая, и </w:t>
      </w:r>
      <w:r w:rsidRPr="00B01894">
        <w:rPr>
          <w:rFonts w:ascii="Bookman Old Style" w:eastAsia="Bookman Old Style" w:hAnsi="Bookman Old Style" w:cs="Bookman Old Style"/>
          <w:i/>
          <w:iCs/>
          <w:color w:val="231F20"/>
          <w:sz w:val="18"/>
          <w:szCs w:val="18"/>
        </w:rPr>
        <w:t>контрактивная,</w:t>
      </w:r>
      <w:r w:rsidRPr="00B01894">
        <w:rPr>
          <w:rFonts w:ascii="Bookman Old Style" w:eastAsia="Bookman Old Style" w:hAnsi="Bookman Old Style" w:cs="Bookman Old Style"/>
          <w:color w:val="231F20"/>
          <w:sz w:val="18"/>
          <w:szCs w:val="18"/>
        </w:rPr>
        <w:t xml:space="preserve"> или </w:t>
      </w:r>
      <w:r w:rsidRPr="00B01894">
        <w:rPr>
          <w:rFonts w:ascii="Bookman Old Style" w:eastAsia="Bookman Old Style" w:hAnsi="Bookman Old Style" w:cs="Bookman Old Style"/>
          <w:i/>
          <w:iCs/>
          <w:color w:val="231F20"/>
          <w:sz w:val="18"/>
          <w:szCs w:val="18"/>
        </w:rPr>
        <w:t>ре</w:t>
      </w:r>
      <w:r w:rsidRPr="00B01894">
        <w:rPr>
          <w:rFonts w:ascii="Bookman Old Style" w:eastAsia="Bookman Old Style" w:hAnsi="Bookman Old Style" w:cs="Bookman Old Style"/>
          <w:i/>
          <w:iCs/>
          <w:color w:val="231F20"/>
          <w:sz w:val="18"/>
          <w:szCs w:val="18"/>
        </w:rPr>
        <w:softHyphen/>
        <w:t>стриктивная</w:t>
      </w:r>
      <w:r w:rsidRPr="00B01894">
        <w:rPr>
          <w:rFonts w:ascii="Bookman Old Style" w:eastAsia="Bookman Old Style" w:hAnsi="Bookman Old Style" w:cs="Bookman Old Style"/>
          <w:color w:val="231F20"/>
          <w:sz w:val="18"/>
          <w:szCs w:val="18"/>
        </w:rPr>
        <w:t xml:space="preserve"> (сдерживающая), фискальная политика. Особенно широкое распространение использования фискальной политики в качестве инструмента стабилизации наблюдалось во второй поло</w:t>
      </w:r>
      <w:r w:rsidRPr="00B01894">
        <w:rPr>
          <w:rFonts w:ascii="Bookman Old Style" w:eastAsia="Bookman Old Style" w:hAnsi="Bookman Old Style" w:cs="Bookman Old Style"/>
          <w:color w:val="231F20"/>
          <w:sz w:val="18"/>
          <w:szCs w:val="18"/>
        </w:rPr>
        <w:softHyphen/>
        <w:t xml:space="preserve">вине </w:t>
      </w:r>
      <w:r w:rsidRPr="00B01894">
        <w:rPr>
          <w:rFonts w:ascii="Bookman Old Style" w:eastAsia="Bookman Old Style" w:hAnsi="Bookman Old Style" w:cs="Bookman Old Style"/>
          <w:color w:val="231F20"/>
          <w:sz w:val="18"/>
          <w:szCs w:val="18"/>
          <w:lang w:val="en-US" w:eastAsia="en-US" w:bidi="en-US"/>
        </w:rPr>
        <w:t>XX</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столетия, когда оно получило теоретическое обоснование в рамках кейнсианской экономической доктрины.</w:t>
      </w:r>
    </w:p>
    <w:p w14:paraId="3419A8C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Различают дискреционную и автоматическую фискальную по</w:t>
      </w:r>
      <w:r w:rsidRPr="00B01894">
        <w:rPr>
          <w:rFonts w:ascii="Bookman Old Style" w:eastAsia="Bookman Old Style" w:hAnsi="Bookman Old Style" w:cs="Bookman Old Style"/>
          <w:color w:val="231F20"/>
          <w:sz w:val="18"/>
          <w:szCs w:val="18"/>
        </w:rPr>
        <w:softHyphen/>
        <w:t>литику.</w:t>
      </w:r>
    </w:p>
    <w:p w14:paraId="576CFF0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i/>
          <w:iCs/>
          <w:color w:val="231F20"/>
          <w:sz w:val="18"/>
          <w:szCs w:val="18"/>
        </w:rPr>
        <w:t>Дискреционная</w:t>
      </w:r>
      <w:r w:rsidRPr="00B01894">
        <w:rPr>
          <w:rFonts w:ascii="Bookman Old Style" w:eastAsia="Bookman Old Style" w:hAnsi="Bookman Old Style" w:cs="Bookman Old Style"/>
          <w:color w:val="231F20"/>
          <w:sz w:val="18"/>
          <w:szCs w:val="18"/>
        </w:rPr>
        <w:t xml:space="preserve"> фискальная политика основана на сознательном вмешательстве в налоговую систему и изменении объема государ</w:t>
      </w:r>
      <w:r w:rsidRPr="00B01894">
        <w:rPr>
          <w:rFonts w:ascii="Bookman Old Style" w:eastAsia="Bookman Old Style" w:hAnsi="Bookman Old Style" w:cs="Bookman Old Style"/>
          <w:color w:val="231F20"/>
          <w:sz w:val="18"/>
          <w:szCs w:val="18"/>
        </w:rPr>
        <w:softHyphen/>
        <w:t>ственных расходов с целью воздействия на экономический рост, безработицу и инфляцию. Примеры дискреционного вмешатель</w:t>
      </w:r>
      <w:r w:rsidRPr="00B01894">
        <w:rPr>
          <w:rFonts w:ascii="Bookman Old Style" w:eastAsia="Bookman Old Style" w:hAnsi="Bookman Old Style" w:cs="Bookman Old Style"/>
          <w:color w:val="231F20"/>
          <w:sz w:val="18"/>
          <w:szCs w:val="18"/>
        </w:rPr>
        <w:softHyphen/>
        <w:t>ства можно найти в практике любого правительства.</w:t>
      </w:r>
    </w:p>
    <w:p w14:paraId="0B81CCB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i/>
          <w:iCs/>
          <w:color w:val="231F20"/>
          <w:sz w:val="18"/>
          <w:szCs w:val="18"/>
        </w:rPr>
        <w:t>Автоматическая</w:t>
      </w:r>
      <w:r w:rsidRPr="00B01894">
        <w:rPr>
          <w:rFonts w:ascii="Bookman Old Style" w:eastAsia="Bookman Old Style" w:hAnsi="Bookman Old Style" w:cs="Bookman Old Style"/>
          <w:color w:val="231F20"/>
          <w:sz w:val="18"/>
          <w:szCs w:val="18"/>
        </w:rPr>
        <w:t xml:space="preserve"> фискальная политика основана на действии встроенных стабилизаторов, обеспечивающих естественное при</w:t>
      </w:r>
      <w:r w:rsidRPr="00B01894">
        <w:rPr>
          <w:rFonts w:ascii="Bookman Old Style" w:eastAsia="Bookman Old Style" w:hAnsi="Bookman Old Style" w:cs="Bookman Old Style"/>
          <w:color w:val="231F20"/>
          <w:sz w:val="18"/>
          <w:szCs w:val="18"/>
        </w:rPr>
        <w:softHyphen/>
        <w:t>способление экономики к фазам деловой конъюнктуры.</w:t>
      </w:r>
    </w:p>
    <w:p w14:paraId="0D96B83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Наиболее известными встроенными стабилизаторами являют</w:t>
      </w:r>
      <w:r w:rsidRPr="00B01894">
        <w:rPr>
          <w:rFonts w:ascii="Bookman Old Style" w:eastAsia="Bookman Old Style" w:hAnsi="Bookman Old Style" w:cs="Bookman Old Style"/>
          <w:color w:val="231F20"/>
          <w:sz w:val="18"/>
          <w:szCs w:val="18"/>
        </w:rPr>
        <w:softHyphen/>
        <w:t>ся прогрессивная система налогообложения и система социаль</w:t>
      </w:r>
      <w:r w:rsidRPr="00B01894">
        <w:rPr>
          <w:rFonts w:ascii="Bookman Old Style" w:eastAsia="Bookman Old Style" w:hAnsi="Bookman Old Style" w:cs="Bookman Old Style"/>
          <w:color w:val="231F20"/>
          <w:sz w:val="18"/>
          <w:szCs w:val="18"/>
        </w:rPr>
        <w:softHyphen/>
        <w:t>ных пособий. В период подъема вследствие роста доходов налоги начинают взиматься по более высоким ставкам, вследствие чего темп роста располагаемого дохода начинает отставать от темпа ро</w:t>
      </w:r>
      <w:r w:rsidRPr="00B01894">
        <w:rPr>
          <w:rFonts w:ascii="Bookman Old Style" w:eastAsia="Bookman Old Style" w:hAnsi="Bookman Old Style" w:cs="Bookman Old Style"/>
          <w:color w:val="231F20"/>
          <w:sz w:val="18"/>
          <w:szCs w:val="18"/>
        </w:rPr>
        <w:softHyphen/>
        <w:t>ста национального дохода, что сдерживает рост потребительского спроса. Кроме того, в результате роста доходов снижаются затраты государства на социальные пособия. В результате рост совокупного спроса сдерживается. В период спада, наоборот, совокупный спрос стимулируется. Встроенными стабилизаторами могут также высту</w:t>
      </w:r>
      <w:r w:rsidRPr="00B01894">
        <w:rPr>
          <w:rFonts w:ascii="Bookman Old Style" w:eastAsia="Bookman Old Style" w:hAnsi="Bookman Old Style" w:cs="Bookman Old Style"/>
          <w:color w:val="231F20"/>
          <w:sz w:val="18"/>
          <w:szCs w:val="18"/>
        </w:rPr>
        <w:softHyphen/>
        <w:t>пать гибкие цены, гибкая ставка номинальной заработной платы и гибкая ставка процента.</w:t>
      </w:r>
    </w:p>
    <w:p w14:paraId="6A269B07"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bookmarkStart w:id="13" w:name="bookmark12"/>
      <w:r w:rsidRPr="00B01894">
        <w:rPr>
          <w:rFonts w:ascii="Bookman Old Style" w:eastAsia="Bookman Old Style" w:hAnsi="Bookman Old Style" w:cs="Bookman Old Style"/>
          <w:color w:val="231F20"/>
          <w:sz w:val="18"/>
          <w:szCs w:val="18"/>
        </w:rPr>
        <w:t>Монетарная политика представляет собой оказание влияния на экономику путем изменения предложения денег и параметров конъюнктуры денежного рынка.</w:t>
      </w:r>
      <w:bookmarkEnd w:id="13"/>
    </w:p>
    <w:p w14:paraId="66165573"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Предложение денег является важнейшей функцией государ</w:t>
      </w:r>
      <w:r w:rsidRPr="00B01894">
        <w:rPr>
          <w:rFonts w:ascii="Bookman Old Style" w:eastAsia="Bookman Old Style" w:hAnsi="Bookman Old Style" w:cs="Bookman Old Style"/>
          <w:color w:val="231F20"/>
          <w:sz w:val="18"/>
          <w:szCs w:val="18"/>
        </w:rPr>
        <w:softHyphen/>
        <w:t>ства, а органом, реализующим эту функцию, является центральный банк</w:t>
      </w:r>
      <w:r w:rsidRPr="00B01894">
        <w:rPr>
          <w:rFonts w:ascii="Bookman Old Style" w:eastAsia="Bookman Old Style" w:hAnsi="Bookman Old Style" w:cs="Bookman Old Style"/>
          <w:color w:val="231F20"/>
          <w:sz w:val="18"/>
          <w:szCs w:val="18"/>
          <w:vertAlign w:val="superscript"/>
        </w:rPr>
        <w:footnoteReference w:id="2"/>
      </w:r>
      <w:r w:rsidRPr="00B01894">
        <w:rPr>
          <w:rFonts w:ascii="Bookman Old Style" w:eastAsia="Bookman Old Style" w:hAnsi="Bookman Old Style" w:cs="Bookman Old Style"/>
          <w:color w:val="231F20"/>
          <w:sz w:val="18"/>
          <w:szCs w:val="18"/>
        </w:rPr>
        <w:t>. Цели и средства, которыми государство осуществляет денеж</w:t>
      </w:r>
      <w:r w:rsidRPr="00B01894">
        <w:rPr>
          <w:rFonts w:ascii="Bookman Old Style" w:eastAsia="Bookman Old Style" w:hAnsi="Bookman Old Style" w:cs="Bookman Old Style"/>
          <w:color w:val="231F20"/>
          <w:sz w:val="18"/>
          <w:szCs w:val="18"/>
        </w:rPr>
        <w:softHyphen/>
        <w:t>ное предложение и регулирование денежной массы, составляют со</w:t>
      </w:r>
      <w:r w:rsidRPr="00B01894">
        <w:rPr>
          <w:rFonts w:ascii="Bookman Old Style" w:eastAsia="Bookman Old Style" w:hAnsi="Bookman Old Style" w:cs="Bookman Old Style"/>
          <w:color w:val="231F20"/>
          <w:sz w:val="18"/>
          <w:szCs w:val="18"/>
        </w:rPr>
        <w:softHyphen/>
        <w:t>держание денежно-</w:t>
      </w:r>
      <w:r w:rsidRPr="00B01894">
        <w:rPr>
          <w:rFonts w:ascii="Bookman Old Style" w:eastAsia="Bookman Old Style" w:hAnsi="Bookman Old Style" w:cs="Bookman Old Style"/>
          <w:color w:val="231F20"/>
          <w:sz w:val="18"/>
          <w:szCs w:val="18"/>
        </w:rPr>
        <w:lastRenderedPageBreak/>
        <w:t>кредитной (монетарной) политики.</w:t>
      </w:r>
    </w:p>
    <w:p w14:paraId="01D90AED"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Основными задачами денежно-кредитной политики являются:</w:t>
      </w:r>
    </w:p>
    <w:p w14:paraId="7E84DA05" w14:textId="77777777" w:rsidR="00B01894" w:rsidRPr="00B01894" w:rsidRDefault="00B01894" w:rsidP="00B01894">
      <w:pPr>
        <w:widowControl w:val="0"/>
        <w:numPr>
          <w:ilvl w:val="0"/>
          <w:numId w:val="11"/>
        </w:numPr>
        <w:tabs>
          <w:tab w:val="left" w:pos="533"/>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обеспечение устойчивости национальной валюты в целях эф</w:t>
      </w:r>
      <w:r w:rsidRPr="00B01894">
        <w:rPr>
          <w:rFonts w:ascii="Bookman Old Style" w:eastAsia="Bookman Old Style" w:hAnsi="Bookman Old Style" w:cs="Bookman Old Style"/>
          <w:color w:val="231F20"/>
          <w:sz w:val="18"/>
          <w:szCs w:val="18"/>
        </w:rPr>
        <w:softHyphen/>
        <w:t>фективного осуществления платежей и расчетов;</w:t>
      </w:r>
    </w:p>
    <w:p w14:paraId="49ACED4D" w14:textId="77777777" w:rsidR="00B01894" w:rsidRPr="00B01894" w:rsidRDefault="00B01894" w:rsidP="00B01894">
      <w:pPr>
        <w:widowControl w:val="0"/>
        <w:numPr>
          <w:ilvl w:val="0"/>
          <w:numId w:val="11"/>
        </w:numPr>
        <w:tabs>
          <w:tab w:val="left" w:pos="533"/>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выработка правил денежного обращения, их регулирование и контроль за их выполнением;</w:t>
      </w:r>
    </w:p>
    <w:p w14:paraId="0A187AB8" w14:textId="77777777" w:rsidR="00B01894" w:rsidRPr="00B01894" w:rsidRDefault="00B01894" w:rsidP="00B01894">
      <w:pPr>
        <w:widowControl w:val="0"/>
        <w:numPr>
          <w:ilvl w:val="0"/>
          <w:numId w:val="11"/>
        </w:numPr>
        <w:tabs>
          <w:tab w:val="left" w:pos="533"/>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воздействие на экономическую конъюнктуру путем измене</w:t>
      </w:r>
      <w:r w:rsidRPr="00B01894">
        <w:rPr>
          <w:rFonts w:ascii="Bookman Old Style" w:eastAsia="Bookman Old Style" w:hAnsi="Bookman Old Style" w:cs="Bookman Old Style"/>
          <w:color w:val="231F20"/>
          <w:sz w:val="18"/>
          <w:szCs w:val="18"/>
        </w:rPr>
        <w:softHyphen/>
        <w:t>ния находящихся в обращении денег.</w:t>
      </w:r>
    </w:p>
    <w:p w14:paraId="68288CDA"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реализации этих задач центральный банк использует опре</w:t>
      </w:r>
      <w:r w:rsidRPr="00B01894">
        <w:rPr>
          <w:rFonts w:ascii="Bookman Old Style" w:eastAsia="Bookman Old Style" w:hAnsi="Bookman Old Style" w:cs="Bookman Old Style"/>
          <w:color w:val="231F20"/>
          <w:sz w:val="18"/>
          <w:szCs w:val="18"/>
        </w:rPr>
        <w:softHyphen/>
        <w:t>деленный набор инструментов. Только центральный банк может осуществлять денежную эмиссию, имея исключительное право на печатание банкнот.</w:t>
      </w:r>
    </w:p>
    <w:p w14:paraId="76B0873F"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Кроме того, в целях регулирования величины и (или) структу</w:t>
      </w:r>
      <w:r w:rsidRPr="00B01894">
        <w:rPr>
          <w:rFonts w:ascii="Bookman Old Style" w:eastAsia="Bookman Old Style" w:hAnsi="Bookman Old Style" w:cs="Bookman Old Style"/>
          <w:color w:val="231F20"/>
          <w:sz w:val="18"/>
          <w:szCs w:val="18"/>
        </w:rPr>
        <w:softHyphen/>
        <w:t>ры денежной массы центральный банк применяет специфические инструменты денежно-кредитной политики, важнейшими из кото</w:t>
      </w:r>
      <w:r w:rsidRPr="00B01894">
        <w:rPr>
          <w:rFonts w:ascii="Bookman Old Style" w:eastAsia="Bookman Old Style" w:hAnsi="Bookman Old Style" w:cs="Bookman Old Style"/>
          <w:color w:val="231F20"/>
          <w:sz w:val="18"/>
          <w:szCs w:val="18"/>
        </w:rPr>
        <w:softHyphen/>
        <w:t>рых являются:</w:t>
      </w:r>
    </w:p>
    <w:p w14:paraId="6D4165FC" w14:textId="77777777" w:rsidR="00B01894" w:rsidRPr="00B01894" w:rsidRDefault="00B01894" w:rsidP="00B01894">
      <w:pPr>
        <w:widowControl w:val="0"/>
        <w:numPr>
          <w:ilvl w:val="0"/>
          <w:numId w:val="11"/>
        </w:numPr>
        <w:tabs>
          <w:tab w:val="left" w:pos="542"/>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валютная политика;</w:t>
      </w:r>
    </w:p>
    <w:p w14:paraId="00F2562F" w14:textId="77777777" w:rsidR="00B01894" w:rsidRPr="00B01894" w:rsidRDefault="00B01894" w:rsidP="00B01894">
      <w:pPr>
        <w:widowControl w:val="0"/>
        <w:numPr>
          <w:ilvl w:val="0"/>
          <w:numId w:val="11"/>
        </w:numPr>
        <w:tabs>
          <w:tab w:val="left" w:pos="542"/>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учетная политика;</w:t>
      </w:r>
    </w:p>
    <w:p w14:paraId="6BE0F042" w14:textId="77777777" w:rsidR="00B01894" w:rsidRPr="00B01894" w:rsidRDefault="00B01894" w:rsidP="00B01894">
      <w:pPr>
        <w:widowControl w:val="0"/>
        <w:numPr>
          <w:ilvl w:val="0"/>
          <w:numId w:val="11"/>
        </w:numPr>
        <w:tabs>
          <w:tab w:val="left" w:pos="542"/>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политика открытого рынка;</w:t>
      </w:r>
    </w:p>
    <w:p w14:paraId="2F6E141B" w14:textId="77777777" w:rsidR="00B01894" w:rsidRPr="00B01894" w:rsidRDefault="00B01894" w:rsidP="00B01894">
      <w:pPr>
        <w:widowControl w:val="0"/>
        <w:numPr>
          <w:ilvl w:val="0"/>
          <w:numId w:val="11"/>
        </w:numPr>
        <w:tabs>
          <w:tab w:val="left" w:pos="542"/>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резервная политика.</w:t>
      </w:r>
    </w:p>
    <w:p w14:paraId="2D06260D" w14:textId="77777777" w:rsidR="00B01894" w:rsidRPr="00B01894" w:rsidRDefault="00B01894" w:rsidP="00B01894">
      <w:pPr>
        <w:widowControl w:val="0"/>
        <w:spacing w:after="401"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 проведении своей политики центральный банк исходит из стратегических задач развития экономики страны и одновремен</w:t>
      </w:r>
      <w:r w:rsidRPr="00B01894">
        <w:rPr>
          <w:rFonts w:ascii="Bookman Old Style" w:eastAsia="Bookman Old Style" w:hAnsi="Bookman Old Style" w:cs="Bookman Old Style"/>
          <w:color w:val="231F20"/>
          <w:sz w:val="18"/>
          <w:szCs w:val="18"/>
        </w:rPr>
        <w:softHyphen/>
        <w:t>но преследует частные тактические цели краткосрочного характера. При этом он может как проводить самостоятельную политику, так и идти в фарватере политики правительства.</w:t>
      </w:r>
    </w:p>
    <w:p w14:paraId="5FEE9D2F" w14:textId="77777777" w:rsidR="00B01894" w:rsidRPr="00B01894" w:rsidRDefault="00B01894" w:rsidP="00B01894">
      <w:pPr>
        <w:keepNext/>
        <w:keepLines/>
        <w:widowControl w:val="0"/>
        <w:numPr>
          <w:ilvl w:val="0"/>
          <w:numId w:val="12"/>
        </w:numPr>
        <w:tabs>
          <w:tab w:val="left" w:pos="1470"/>
        </w:tabs>
        <w:spacing w:after="220" w:line="274" w:lineRule="exact"/>
        <w:ind w:left="981" w:firstLine="0"/>
        <w:jc w:val="left"/>
        <w:outlineLvl w:val="3"/>
        <w:rPr>
          <w:rFonts w:ascii="Arial Narrow" w:eastAsia="Arial Narrow" w:hAnsi="Arial Narrow" w:cs="Arial Narrow"/>
          <w:b/>
          <w:bCs/>
        </w:rPr>
      </w:pPr>
      <w:bookmarkStart w:id="14" w:name="bookmark13"/>
      <w:r w:rsidRPr="00B01894">
        <w:rPr>
          <w:rFonts w:ascii="Arial Narrow" w:eastAsia="Arial Narrow" w:hAnsi="Arial Narrow" w:cs="Arial Narrow"/>
          <w:b/>
          <w:bCs/>
          <w:color w:val="231F20"/>
        </w:rPr>
        <w:t>Модели государственного регулирования</w:t>
      </w:r>
      <w:bookmarkEnd w:id="14"/>
    </w:p>
    <w:p w14:paraId="6010F375"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разных странах используется различный набор средств государ</w:t>
      </w:r>
      <w:r w:rsidRPr="00B01894">
        <w:rPr>
          <w:rFonts w:ascii="Bookman Old Style" w:eastAsia="Bookman Old Style" w:hAnsi="Bookman Old Style" w:cs="Bookman Old Style"/>
          <w:color w:val="231F20"/>
          <w:sz w:val="18"/>
          <w:szCs w:val="18"/>
        </w:rPr>
        <w:softHyphen/>
        <w:t>ственного регулирования, причем и успехи, и неудачи в социально</w:t>
      </w:r>
      <w:r w:rsidRPr="00B01894">
        <w:rPr>
          <w:rFonts w:ascii="Bookman Old Style" w:eastAsia="Bookman Old Style" w:hAnsi="Bookman Old Style" w:cs="Bookman Old Style"/>
          <w:color w:val="231F20"/>
          <w:sz w:val="18"/>
          <w:szCs w:val="18"/>
        </w:rPr>
        <w:softHyphen/>
        <w:t>экономическом развитии в равной степени имеют место в странах как с высоким, так и с низким уровнем участия государства в эко</w:t>
      </w:r>
      <w:r w:rsidRPr="00B01894">
        <w:rPr>
          <w:rFonts w:ascii="Bookman Old Style" w:eastAsia="Bookman Old Style" w:hAnsi="Bookman Old Style" w:cs="Bookman Old Style"/>
          <w:color w:val="231F20"/>
          <w:sz w:val="18"/>
          <w:szCs w:val="18"/>
        </w:rPr>
        <w:softHyphen/>
        <w:t>номике. Практика показывает, что не существует универсальных рецептов государственного регулирования, в каждой стране можно наблюдать и общие черты, и индивидуальные особенности.</w:t>
      </w:r>
    </w:p>
    <w:p w14:paraId="0558B21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Однако некоторые страны в течение длительного времени исполь</w:t>
      </w:r>
      <w:r w:rsidRPr="00B01894">
        <w:rPr>
          <w:rFonts w:ascii="Bookman Old Style" w:eastAsia="Bookman Old Style" w:hAnsi="Bookman Old Style" w:cs="Bookman Old Style"/>
          <w:color w:val="231F20"/>
          <w:sz w:val="18"/>
          <w:szCs w:val="18"/>
        </w:rPr>
        <w:softHyphen/>
        <w:t>зуют преимущественно один и тот же набор методов и инструмен</w:t>
      </w:r>
      <w:r w:rsidRPr="00B01894">
        <w:rPr>
          <w:rFonts w:ascii="Bookman Old Style" w:eastAsia="Bookman Old Style" w:hAnsi="Bookman Old Style" w:cs="Bookman Old Style"/>
          <w:color w:val="231F20"/>
          <w:sz w:val="18"/>
          <w:szCs w:val="18"/>
        </w:rPr>
        <w:softHyphen/>
        <w:t>тов, характерных именно для данной страны, и поэтому с неко</w:t>
      </w:r>
      <w:r w:rsidRPr="00B01894">
        <w:rPr>
          <w:rFonts w:ascii="Bookman Old Style" w:eastAsia="Bookman Old Style" w:hAnsi="Bookman Old Style" w:cs="Bookman Old Style"/>
          <w:color w:val="231F20"/>
          <w:sz w:val="18"/>
          <w:szCs w:val="18"/>
        </w:rPr>
        <w:softHyphen/>
        <w:t>торой долей условности можно выделить ряд типичных моделей государственного регулирования по признаку принадлежности к той или иной стране или группе стран. Сегодня уже хрестоматий</w:t>
      </w:r>
      <w:r w:rsidRPr="00B01894">
        <w:rPr>
          <w:rFonts w:ascii="Bookman Old Style" w:eastAsia="Bookman Old Style" w:hAnsi="Bookman Old Style" w:cs="Bookman Old Style"/>
          <w:color w:val="231F20"/>
          <w:sz w:val="18"/>
          <w:szCs w:val="18"/>
        </w:rPr>
        <w:softHyphen/>
        <w:t>ным стало упоминание американской, скандинавской (шведской), западноевропейской, восточно-азиатской и некоторых других моделей. Рассмотрим основные черты и характеристики каждой из них.</w:t>
      </w:r>
    </w:p>
    <w:p w14:paraId="36B5B78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Американская модель олицетворяет собой торжество принци</w:t>
      </w:r>
      <w:r w:rsidRPr="00B01894">
        <w:rPr>
          <w:rFonts w:ascii="Bookman Old Style" w:eastAsia="Bookman Old Style" w:hAnsi="Bookman Old Style" w:cs="Bookman Old Style"/>
          <w:color w:val="231F20"/>
          <w:sz w:val="18"/>
          <w:szCs w:val="18"/>
        </w:rPr>
        <w:softHyphen/>
        <w:t xml:space="preserve">пов </w:t>
      </w:r>
      <w:r w:rsidRPr="00B01894">
        <w:rPr>
          <w:rFonts w:ascii="Bookman Old Style" w:eastAsia="Bookman Old Style" w:hAnsi="Bookman Old Style" w:cs="Bookman Old Style"/>
          <w:color w:val="231F20"/>
          <w:sz w:val="18"/>
          <w:szCs w:val="18"/>
        </w:rPr>
        <w:lastRenderedPageBreak/>
        <w:t>неоклассиков и представителей либеральной экономической школы. США были созданы и развивались как воплощение духа свободного предпринимательства и института частной собствен</w:t>
      </w:r>
      <w:r w:rsidRPr="00B01894">
        <w:rPr>
          <w:rFonts w:ascii="Bookman Old Style" w:eastAsia="Bookman Old Style" w:hAnsi="Bookman Old Style" w:cs="Bookman Old Style"/>
          <w:color w:val="231F20"/>
          <w:sz w:val="18"/>
          <w:szCs w:val="18"/>
        </w:rPr>
        <w:softHyphen/>
        <w:t>ности. И достижения американской экономики немалые: уровень ВВП на душу населения — один из самых высоких в мире; многое из того, что сейчас наблюдается во многих странах, сформировано именно в США, например двухуровневая банковская система, кон</w:t>
      </w:r>
      <w:r w:rsidRPr="00B01894">
        <w:rPr>
          <w:rFonts w:ascii="Bookman Old Style" w:eastAsia="Bookman Old Style" w:hAnsi="Bookman Old Style" w:cs="Bookman Old Style"/>
          <w:color w:val="231F20"/>
          <w:sz w:val="18"/>
          <w:szCs w:val="18"/>
        </w:rPr>
        <w:softHyphen/>
        <w:t>вейерное производство, патентная система, система прозрачной статистики и др. Американская экономика характеризуется высо</w:t>
      </w:r>
      <w:r w:rsidRPr="00B01894">
        <w:rPr>
          <w:rFonts w:ascii="Bookman Old Style" w:eastAsia="Bookman Old Style" w:hAnsi="Bookman Old Style" w:cs="Bookman Old Style"/>
          <w:color w:val="231F20"/>
          <w:sz w:val="18"/>
          <w:szCs w:val="18"/>
        </w:rPr>
        <w:softHyphen/>
        <w:t>ким уровнем производительности и эффективности производства.</w:t>
      </w:r>
    </w:p>
    <w:p w14:paraId="744DE02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американской экономики типичны низкая доля государ</w:t>
      </w:r>
      <w:r w:rsidRPr="00B01894">
        <w:rPr>
          <w:rFonts w:ascii="Bookman Old Style" w:eastAsia="Bookman Old Style" w:hAnsi="Bookman Old Style" w:cs="Bookman Old Style"/>
          <w:color w:val="231F20"/>
          <w:sz w:val="18"/>
          <w:szCs w:val="18"/>
        </w:rPr>
        <w:softHyphen/>
        <w:t>ственной собственности и невмешательство государства в сферу производства товаров и услуг с одновременным поощрением част</w:t>
      </w:r>
      <w:r w:rsidRPr="00B01894">
        <w:rPr>
          <w:rFonts w:ascii="Bookman Old Style" w:eastAsia="Bookman Old Style" w:hAnsi="Bookman Old Style" w:cs="Bookman Old Style"/>
          <w:color w:val="231F20"/>
          <w:sz w:val="18"/>
          <w:szCs w:val="18"/>
        </w:rPr>
        <w:softHyphen/>
        <w:t>ной инициативы. Открыть бизнес в США достаточно просто с точ</w:t>
      </w:r>
      <w:r w:rsidRPr="00B01894">
        <w:rPr>
          <w:rFonts w:ascii="Bookman Old Style" w:eastAsia="Bookman Old Style" w:hAnsi="Bookman Old Style" w:cs="Bookman Old Style"/>
          <w:color w:val="231F20"/>
          <w:sz w:val="18"/>
          <w:szCs w:val="18"/>
        </w:rPr>
        <w:softHyphen/>
        <w:t>ки зрения формальной организации, более того, государство будет всячески защищать интересы собственника. Свою основную задачу в производственной сфере государство видит в создании условий для бизнеса и ограничении уровня монополизации.</w:t>
      </w:r>
    </w:p>
    <w:p w14:paraId="6A9DF20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Высокий уровень эффективности и производительности труда сочетается с отсутствием политики социального равенства, харак</w:t>
      </w:r>
      <w:r w:rsidRPr="00B01894">
        <w:rPr>
          <w:rFonts w:ascii="Bookman Old Style" w:eastAsia="Bookman Old Style" w:hAnsi="Bookman Old Style" w:cs="Bookman Old Style"/>
          <w:color w:val="231F20"/>
          <w:sz w:val="18"/>
          <w:szCs w:val="18"/>
        </w:rPr>
        <w:softHyphen/>
        <w:t>терной для многих европейских стран. Уровень социальной диффе</w:t>
      </w:r>
      <w:r w:rsidRPr="00B01894">
        <w:rPr>
          <w:rFonts w:ascii="Bookman Old Style" w:eastAsia="Bookman Old Style" w:hAnsi="Bookman Old Style" w:cs="Bookman Old Style"/>
          <w:color w:val="231F20"/>
          <w:sz w:val="18"/>
          <w:szCs w:val="18"/>
        </w:rPr>
        <w:softHyphen/>
        <w:t>ренциации в США традиционно высок, однако система социального обеспечения позволяет поддерживать относительно приемлемый уровень жизни и социальным группам с невысоким уровнем дохода, для чего используются разнообразные виды пособий и льгот.</w:t>
      </w:r>
    </w:p>
    <w:p w14:paraId="485B65C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американского государства характерен высокий уровень доверия к институтам власти, особенно к независимой судебной системе. Субъекты экономической деятельности вправе рассчиты</w:t>
      </w:r>
      <w:r w:rsidRPr="00B01894">
        <w:rPr>
          <w:rFonts w:ascii="Bookman Old Style" w:eastAsia="Bookman Old Style" w:hAnsi="Bookman Old Style" w:cs="Bookman Old Style"/>
          <w:color w:val="231F20"/>
          <w:sz w:val="18"/>
          <w:szCs w:val="18"/>
        </w:rPr>
        <w:softHyphen/>
        <w:t>вать, что в экономических спорах государство не будет заведомо принимать чью-то сторону и все вопросы можно разрешить в су</w:t>
      </w:r>
      <w:r w:rsidRPr="00B01894">
        <w:rPr>
          <w:rFonts w:ascii="Bookman Old Style" w:eastAsia="Bookman Old Style" w:hAnsi="Bookman Old Style" w:cs="Bookman Old Style"/>
          <w:color w:val="231F20"/>
          <w:sz w:val="18"/>
          <w:szCs w:val="18"/>
        </w:rPr>
        <w:softHyphen/>
        <w:t>дебном порядке.</w:t>
      </w:r>
    </w:p>
    <w:p w14:paraId="755CCF6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Методы государственного регулирования в США носят преиму</w:t>
      </w:r>
      <w:r w:rsidRPr="00B01894">
        <w:rPr>
          <w:rFonts w:ascii="Bookman Old Style" w:eastAsia="Bookman Old Style" w:hAnsi="Bookman Old Style" w:cs="Bookman Old Style"/>
          <w:color w:val="231F20"/>
          <w:sz w:val="18"/>
          <w:szCs w:val="18"/>
        </w:rPr>
        <w:softHyphen/>
        <w:t>щественно экономический характер, что, правда, не исключает в отдельных случаях и прямого администрирования.</w:t>
      </w:r>
    </w:p>
    <w:p w14:paraId="048D4DC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Фискальная политика характеризуется в настоящее время вы</w:t>
      </w:r>
      <w:r w:rsidRPr="00B01894">
        <w:rPr>
          <w:rFonts w:ascii="Bookman Old Style" w:eastAsia="Bookman Old Style" w:hAnsi="Bookman Old Style" w:cs="Bookman Old Style"/>
          <w:color w:val="231F20"/>
          <w:sz w:val="18"/>
          <w:szCs w:val="18"/>
        </w:rPr>
        <w:softHyphen/>
        <w:t>сокой степенью прозрачности и сравнительно невысокой долей государственных расходов в ВВП (чуть более трети), а также сба</w:t>
      </w:r>
      <w:r w:rsidRPr="00B01894">
        <w:rPr>
          <w:rFonts w:ascii="Bookman Old Style" w:eastAsia="Bookman Old Style" w:hAnsi="Bookman Old Style" w:cs="Bookman Old Style"/>
          <w:color w:val="231F20"/>
          <w:sz w:val="18"/>
          <w:szCs w:val="18"/>
        </w:rPr>
        <w:softHyphen/>
        <w:t>лансированной структурой расходов. Структура же доходов являет собой образец экономической политики стимулирования бизнеса: на долю корпораций приходится относительно небольшая часть, налоги на доходы граждан составляют примерно половину всех до</w:t>
      </w:r>
      <w:r w:rsidRPr="00B01894">
        <w:rPr>
          <w:rFonts w:ascii="Bookman Old Style" w:eastAsia="Bookman Old Style" w:hAnsi="Bookman Old Style" w:cs="Bookman Old Style"/>
          <w:color w:val="231F20"/>
          <w:sz w:val="18"/>
          <w:szCs w:val="18"/>
        </w:rPr>
        <w:softHyphen/>
        <w:t>ходов как федерального, так и консолидированного бюджета.</w:t>
      </w:r>
    </w:p>
    <w:p w14:paraId="3BEE91E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 этом в США действует прогрессивная система налогообло</w:t>
      </w:r>
      <w:r w:rsidRPr="00B01894">
        <w:rPr>
          <w:rFonts w:ascii="Bookman Old Style" w:eastAsia="Bookman Old Style" w:hAnsi="Bookman Old Style" w:cs="Bookman Old Style"/>
          <w:color w:val="231F20"/>
          <w:sz w:val="18"/>
          <w:szCs w:val="18"/>
        </w:rPr>
        <w:softHyphen/>
        <w:t>жения доходов, что позволяет ей выступать достаточно мощным стабилизационным инструментом сглаживания циклических коле</w:t>
      </w:r>
      <w:r w:rsidRPr="00B01894">
        <w:rPr>
          <w:rFonts w:ascii="Bookman Old Style" w:eastAsia="Bookman Old Style" w:hAnsi="Bookman Old Style" w:cs="Bookman Old Style"/>
          <w:color w:val="231F20"/>
          <w:sz w:val="18"/>
          <w:szCs w:val="18"/>
        </w:rPr>
        <w:softHyphen/>
        <w:t>баний.</w:t>
      </w:r>
    </w:p>
    <w:p w14:paraId="4A60425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то же время в стране наблюдается высокий уровень накоплен</w:t>
      </w:r>
      <w:r w:rsidRPr="00B01894">
        <w:rPr>
          <w:rFonts w:ascii="Bookman Old Style" w:eastAsia="Bookman Old Style" w:hAnsi="Bookman Old Style" w:cs="Bookman Old Style"/>
          <w:color w:val="231F20"/>
          <w:sz w:val="18"/>
          <w:szCs w:val="18"/>
        </w:rPr>
        <w:softHyphen/>
        <w:t>ного государственного долга, который в настоящее время сравнял</w:t>
      </w:r>
      <w:r w:rsidRPr="00B01894">
        <w:rPr>
          <w:rFonts w:ascii="Bookman Old Style" w:eastAsia="Bookman Old Style" w:hAnsi="Bookman Old Style" w:cs="Bookman Old Style"/>
          <w:color w:val="231F20"/>
          <w:sz w:val="18"/>
          <w:szCs w:val="18"/>
        </w:rPr>
        <w:softHyphen/>
        <w:t xml:space="preserve">ся с </w:t>
      </w:r>
      <w:r w:rsidRPr="00B01894">
        <w:rPr>
          <w:rFonts w:ascii="Bookman Old Style" w:eastAsia="Bookman Old Style" w:hAnsi="Bookman Old Style" w:cs="Bookman Old Style"/>
          <w:color w:val="231F20"/>
          <w:sz w:val="18"/>
          <w:szCs w:val="18"/>
        </w:rPr>
        <w:lastRenderedPageBreak/>
        <w:t>величиной ВВП, что считается близкой к критической величи</w:t>
      </w:r>
      <w:r w:rsidRPr="00B01894">
        <w:rPr>
          <w:rFonts w:ascii="Bookman Old Style" w:eastAsia="Bookman Old Style" w:hAnsi="Bookman Old Style" w:cs="Bookman Old Style"/>
          <w:color w:val="231F20"/>
          <w:sz w:val="18"/>
          <w:szCs w:val="18"/>
        </w:rPr>
        <w:softHyphen/>
        <w:t xml:space="preserve">не. Однако структура государственного долга такова, что расходы на его обслуживание не являются бременем для американского бюджета, а уровень бюджетного дефицита редко приближается к 10 % ВВП. Кроме того, американские государственные облигации выполняют функцию основного актива для обеспечения денежной массы, а американский доллар является мировой валютой. Данное обстоятельство учитывают все международные инвесторы и «тре- жэрис» </w:t>
      </w:r>
      <w:r w:rsidRPr="00B01894">
        <w:rPr>
          <w:rFonts w:ascii="Bookman Old Style" w:eastAsia="Bookman Old Style" w:hAnsi="Bookman Old Style" w:cs="Bookman Old Style"/>
          <w:i/>
          <w:iCs/>
          <w:color w:val="231F20"/>
          <w:sz w:val="18"/>
          <w:szCs w:val="18"/>
          <w:lang w:eastAsia="en-US" w:bidi="en-US"/>
        </w:rPr>
        <w:t>(</w:t>
      </w:r>
      <w:r w:rsidRPr="00B01894">
        <w:rPr>
          <w:rFonts w:ascii="Bookman Old Style" w:eastAsia="Bookman Old Style" w:hAnsi="Bookman Old Style" w:cs="Bookman Old Style"/>
          <w:i/>
          <w:iCs/>
          <w:color w:val="231F20"/>
          <w:sz w:val="18"/>
          <w:szCs w:val="18"/>
          <w:lang w:val="en-US" w:eastAsia="en-US" w:bidi="en-US"/>
        </w:rPr>
        <w:t>treasuries</w:t>
      </w:r>
      <w:r w:rsidRPr="00B01894">
        <w:rPr>
          <w:rFonts w:ascii="Bookman Old Style" w:eastAsia="Bookman Old Style" w:hAnsi="Bookman Old Style" w:cs="Bookman Old Style"/>
          <w:i/>
          <w:iCs/>
          <w:color w:val="231F20"/>
          <w:sz w:val="18"/>
          <w:szCs w:val="18"/>
          <w:lang w:eastAsia="en-US" w:bidi="en-US"/>
        </w:rPr>
        <w:t>)</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как называют ценные бумаги американского казначейства — имеют высокий уровень доверия среди инвесторов на мировых финансовых рынках.</w:t>
      </w:r>
    </w:p>
    <w:p w14:paraId="69DE651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Денежно-кредитная политика Федеральной резервной системы США (ФРС) является важным звеном в системе государственного регулирования экономики и проявляет свою эффективность в ос</w:t>
      </w:r>
      <w:r w:rsidRPr="00B01894">
        <w:rPr>
          <w:rFonts w:ascii="Bookman Old Style" w:eastAsia="Bookman Old Style" w:hAnsi="Bookman Old Style" w:cs="Bookman Old Style"/>
          <w:color w:val="231F20"/>
          <w:sz w:val="18"/>
          <w:szCs w:val="18"/>
        </w:rPr>
        <w:softHyphen/>
        <w:t>новном за счет предсказуемости. В целом политика правительства направлена стимулирование деловой активности, экономический рост и уменьшение уровня безработицы.</w:t>
      </w:r>
    </w:p>
    <w:p w14:paraId="13D8060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Административное регулирование в настоящее время прояв</w:t>
      </w:r>
      <w:r w:rsidRPr="00B01894">
        <w:rPr>
          <w:rFonts w:ascii="Bookman Old Style" w:eastAsia="Bookman Old Style" w:hAnsi="Bookman Old Style" w:cs="Bookman Old Style"/>
          <w:color w:val="231F20"/>
          <w:sz w:val="18"/>
          <w:szCs w:val="18"/>
        </w:rPr>
        <w:softHyphen/>
        <w:t>ляется в предотвращении проявлений монополизма и контроле за особыми видами бизнеса, например игорным или военным про</w:t>
      </w:r>
      <w:r w:rsidRPr="00B01894">
        <w:rPr>
          <w:rFonts w:ascii="Bookman Old Style" w:eastAsia="Bookman Old Style" w:hAnsi="Bookman Old Style" w:cs="Bookman Old Style"/>
          <w:color w:val="231F20"/>
          <w:sz w:val="18"/>
          <w:szCs w:val="18"/>
        </w:rPr>
        <w:softHyphen/>
        <w:t>изводством. Кроме того, для американской системы всегда был ха</w:t>
      </w:r>
      <w:r w:rsidRPr="00B01894">
        <w:rPr>
          <w:rFonts w:ascii="Bookman Old Style" w:eastAsia="Bookman Old Style" w:hAnsi="Bookman Old Style" w:cs="Bookman Old Style"/>
          <w:color w:val="231F20"/>
          <w:sz w:val="18"/>
          <w:szCs w:val="18"/>
        </w:rPr>
        <w:softHyphen/>
        <w:t>рактерен высокий уровень протекционизма. Если в XIX в. он про</w:t>
      </w:r>
      <w:r w:rsidRPr="00B01894">
        <w:rPr>
          <w:rFonts w:ascii="Bookman Old Style" w:eastAsia="Bookman Old Style" w:hAnsi="Bookman Old Style" w:cs="Bookman Old Style"/>
          <w:color w:val="231F20"/>
          <w:sz w:val="18"/>
          <w:szCs w:val="18"/>
        </w:rPr>
        <w:softHyphen/>
        <w:t xml:space="preserve">являлся преимущественно в установлении заградительных пошлин для иностранных товаров, в </w:t>
      </w:r>
      <w:r w:rsidRPr="00B01894">
        <w:rPr>
          <w:rFonts w:ascii="Bookman Old Style" w:eastAsia="Bookman Old Style" w:hAnsi="Bookman Old Style" w:cs="Bookman Old Style"/>
          <w:color w:val="231F20"/>
          <w:sz w:val="18"/>
          <w:szCs w:val="18"/>
          <w:lang w:val="en-US" w:eastAsia="en-US" w:bidi="en-US"/>
        </w:rPr>
        <w:t>XX</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в. основные усилия были направле</w:t>
      </w:r>
      <w:r w:rsidRPr="00B01894">
        <w:rPr>
          <w:rFonts w:ascii="Bookman Old Style" w:eastAsia="Bookman Old Style" w:hAnsi="Bookman Old Style" w:cs="Bookman Old Style"/>
          <w:color w:val="231F20"/>
          <w:sz w:val="18"/>
          <w:szCs w:val="18"/>
        </w:rPr>
        <w:softHyphen/>
        <w:t>ны на формирование международной экономической среды, спо</w:t>
      </w:r>
      <w:r w:rsidRPr="00B01894">
        <w:rPr>
          <w:rFonts w:ascii="Bookman Old Style" w:eastAsia="Bookman Old Style" w:hAnsi="Bookman Old Style" w:cs="Bookman Old Style"/>
          <w:color w:val="231F20"/>
          <w:sz w:val="18"/>
          <w:szCs w:val="18"/>
        </w:rPr>
        <w:softHyphen/>
        <w:t>собствующей вывозу капитала, то в настоящее время используются методы тарифного регулирования путем создания экономических блоков в обход систем международной торговли.</w:t>
      </w:r>
    </w:p>
    <w:p w14:paraId="616B437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 основным достоинствам американской модели можно отнести гибкость экономического механизма, способного улавливать из</w:t>
      </w:r>
      <w:r w:rsidRPr="00B01894">
        <w:rPr>
          <w:rFonts w:ascii="Bookman Old Style" w:eastAsia="Bookman Old Style" w:hAnsi="Bookman Old Style" w:cs="Bookman Old Style"/>
          <w:color w:val="231F20"/>
          <w:sz w:val="18"/>
          <w:szCs w:val="18"/>
        </w:rPr>
        <w:softHyphen/>
        <w:t>менения конъюнктуры рынка и ориентацию американской эконо</w:t>
      </w:r>
      <w:r w:rsidRPr="00B01894">
        <w:rPr>
          <w:rFonts w:ascii="Bookman Old Style" w:eastAsia="Bookman Old Style" w:hAnsi="Bookman Old Style" w:cs="Bookman Old Style"/>
          <w:color w:val="231F20"/>
          <w:sz w:val="18"/>
          <w:szCs w:val="18"/>
        </w:rPr>
        <w:softHyphen/>
        <w:t>мики на инновации. Американская модель показывает, насколько эффективен частный бизнес в большинстве отраслей экономики, а уменьшение масштабов вмешательства правительства позволяет снизить расходы бюджета при относительно комфортной системе налогообложения.</w:t>
      </w:r>
    </w:p>
    <w:p w14:paraId="6B08ADD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Японская модель экономики характеризуется высоким уровнем производительности и качества производимой продукции, что де</w:t>
      </w:r>
      <w:r w:rsidRPr="00B01894">
        <w:rPr>
          <w:rFonts w:ascii="Bookman Old Style" w:eastAsia="Bookman Old Style" w:hAnsi="Bookman Old Style" w:cs="Bookman Old Style"/>
          <w:color w:val="231F20"/>
          <w:sz w:val="18"/>
          <w:szCs w:val="18"/>
        </w:rPr>
        <w:softHyphen/>
        <w:t>лает ее одной их ведущих экономик мира. Быстрое послевоенное развитие практически разрушенной экономики получило название «японского чуда», и во многом это является результатом грамотной экономической политики государства. Характерной особенностью взаимоотношений государства и бизнеса в Японии является тесное сотрудничество при решении экономических проблем, основанное не столько на силе закона, сколько на безусловном доверии и вза</w:t>
      </w:r>
      <w:r w:rsidRPr="00B01894">
        <w:rPr>
          <w:rFonts w:ascii="Bookman Old Style" w:eastAsia="Bookman Old Style" w:hAnsi="Bookman Old Style" w:cs="Bookman Old Style"/>
          <w:color w:val="231F20"/>
          <w:sz w:val="18"/>
          <w:szCs w:val="18"/>
        </w:rPr>
        <w:softHyphen/>
        <w:t>имном уважении.</w:t>
      </w:r>
    </w:p>
    <w:p w14:paraId="4701B0A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Японии на правительственном уровне создана система взаи</w:t>
      </w:r>
      <w:r w:rsidRPr="00B01894">
        <w:rPr>
          <w:rFonts w:ascii="Bookman Old Style" w:eastAsia="Bookman Old Style" w:hAnsi="Bookman Old Style" w:cs="Bookman Old Style"/>
          <w:color w:val="231F20"/>
          <w:sz w:val="18"/>
          <w:szCs w:val="18"/>
        </w:rPr>
        <w:softHyphen/>
        <w:t xml:space="preserve">мосвязей между правительством и частным бизнесом, состоящая из </w:t>
      </w:r>
      <w:r w:rsidRPr="00B01894">
        <w:rPr>
          <w:rFonts w:ascii="Bookman Old Style" w:eastAsia="Bookman Old Style" w:hAnsi="Bookman Old Style" w:cs="Bookman Old Style"/>
          <w:color w:val="231F20"/>
          <w:sz w:val="18"/>
          <w:szCs w:val="18"/>
        </w:rPr>
        <w:lastRenderedPageBreak/>
        <w:t>организаций и институтов, координирующих действия компа</w:t>
      </w:r>
      <w:r w:rsidRPr="00B01894">
        <w:rPr>
          <w:rFonts w:ascii="Bookman Old Style" w:eastAsia="Bookman Old Style" w:hAnsi="Bookman Old Style" w:cs="Bookman Old Style"/>
          <w:color w:val="231F20"/>
          <w:sz w:val="18"/>
          <w:szCs w:val="18"/>
        </w:rPr>
        <w:softHyphen/>
        <w:t>ний в различных сферах — промышленности, торговле, банковской сфере, страховой деятельности и т. д.</w:t>
      </w:r>
    </w:p>
    <w:p w14:paraId="26E2BC4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Бизнес в Японии опирается не столько на предписания эконо</w:t>
      </w:r>
      <w:r w:rsidRPr="00B01894">
        <w:rPr>
          <w:rFonts w:ascii="Bookman Old Style" w:eastAsia="Bookman Old Style" w:hAnsi="Bookman Old Style" w:cs="Bookman Old Style"/>
          <w:color w:val="231F20"/>
          <w:sz w:val="18"/>
          <w:szCs w:val="18"/>
        </w:rPr>
        <w:softHyphen/>
        <w:t>мических теоретиков и опыт других стран, сколько на сложивши</w:t>
      </w:r>
      <w:r w:rsidRPr="00B01894">
        <w:rPr>
          <w:rFonts w:ascii="Bookman Old Style" w:eastAsia="Bookman Old Style" w:hAnsi="Bookman Old Style" w:cs="Bookman Old Style"/>
          <w:color w:val="231F20"/>
          <w:sz w:val="18"/>
          <w:szCs w:val="18"/>
        </w:rPr>
        <w:softHyphen/>
        <w:t>еся традиции японского общества. Некоторые вещи, невозмож</w:t>
      </w:r>
      <w:r w:rsidRPr="00B01894">
        <w:rPr>
          <w:rFonts w:ascii="Bookman Old Style" w:eastAsia="Bookman Old Style" w:hAnsi="Bookman Old Style" w:cs="Bookman Old Style"/>
          <w:color w:val="231F20"/>
          <w:sz w:val="18"/>
          <w:szCs w:val="18"/>
        </w:rPr>
        <w:softHyphen/>
        <w:t>ные в других странах и не вписывающиеся в систему рыночных инструментов, с успехом применяются в Японии. В основе японской модели экономического поведения субъектов исторически заложен принцип коллективизма — в противовес принципу индивидуализ</w:t>
      </w:r>
      <w:r w:rsidRPr="00B01894">
        <w:rPr>
          <w:rFonts w:ascii="Bookman Old Style" w:eastAsia="Bookman Old Style" w:hAnsi="Bookman Old Style" w:cs="Bookman Old Style"/>
          <w:color w:val="231F20"/>
          <w:sz w:val="18"/>
          <w:szCs w:val="18"/>
        </w:rPr>
        <w:softHyphen/>
        <w:t>ма, свойственному субъектам западной рыночной экономики. На</w:t>
      </w:r>
      <w:r w:rsidRPr="00B01894">
        <w:rPr>
          <w:rFonts w:ascii="Bookman Old Style" w:eastAsia="Bookman Old Style" w:hAnsi="Bookman Old Style" w:cs="Bookman Old Style"/>
          <w:color w:val="231F20"/>
          <w:sz w:val="18"/>
          <w:szCs w:val="18"/>
        </w:rPr>
        <w:softHyphen/>
        <w:t>пример, для рынка труда характерна система пожизненного найма, применяемая на крупных корпорациях. Более того, если в западной экономике это рассматривалось бы как фактор, сдерживающий раз</w:t>
      </w:r>
      <w:r w:rsidRPr="00B01894">
        <w:rPr>
          <w:rFonts w:ascii="Bookman Old Style" w:eastAsia="Bookman Old Style" w:hAnsi="Bookman Old Style" w:cs="Bookman Old Style"/>
          <w:color w:val="231F20"/>
          <w:sz w:val="18"/>
          <w:szCs w:val="18"/>
        </w:rPr>
        <w:softHyphen/>
        <w:t>витие рынка, то в японской экономике данный институт способ</w:t>
      </w:r>
      <w:r w:rsidRPr="00B01894">
        <w:rPr>
          <w:rFonts w:ascii="Bookman Old Style" w:eastAsia="Bookman Old Style" w:hAnsi="Bookman Old Style" w:cs="Bookman Old Style"/>
          <w:color w:val="231F20"/>
          <w:sz w:val="18"/>
          <w:szCs w:val="18"/>
        </w:rPr>
        <w:softHyphen/>
        <w:t>ствует росту производительности труда и имеет статус привилеги</w:t>
      </w:r>
      <w:r w:rsidRPr="00B01894">
        <w:rPr>
          <w:rFonts w:ascii="Bookman Old Style" w:eastAsia="Bookman Old Style" w:hAnsi="Bookman Old Style" w:cs="Bookman Old Style"/>
          <w:color w:val="231F20"/>
          <w:sz w:val="18"/>
          <w:szCs w:val="18"/>
        </w:rPr>
        <w:softHyphen/>
        <w:t>рованного.</w:t>
      </w:r>
    </w:p>
    <w:p w14:paraId="635DBFD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целом для японской экономики характерна такая форма ор</w:t>
      </w:r>
      <w:r w:rsidRPr="00B01894">
        <w:rPr>
          <w:rFonts w:ascii="Bookman Old Style" w:eastAsia="Bookman Old Style" w:hAnsi="Bookman Old Style" w:cs="Bookman Old Style"/>
          <w:color w:val="231F20"/>
          <w:sz w:val="18"/>
          <w:szCs w:val="18"/>
        </w:rPr>
        <w:softHyphen/>
        <w:t>ганизации бизнеса, как «кэйрэцу» (группирование), при которой различные субъекты экономики, связанные только технологически</w:t>
      </w:r>
      <w:r w:rsidRPr="00B01894">
        <w:rPr>
          <w:rFonts w:ascii="Bookman Old Style" w:eastAsia="Bookman Old Style" w:hAnsi="Bookman Old Style" w:cs="Bookman Old Style"/>
          <w:color w:val="231F20"/>
          <w:sz w:val="18"/>
          <w:szCs w:val="18"/>
        </w:rPr>
        <w:softHyphen/>
        <w:t>ми или маркетинговыми цепочками, координируют свои действия таким образом, как если бы они работали в единой корпорации, и в основе такой организации лежит не договор, а взаимное дове</w:t>
      </w:r>
      <w:r w:rsidRPr="00B01894">
        <w:rPr>
          <w:rFonts w:ascii="Bookman Old Style" w:eastAsia="Bookman Old Style" w:hAnsi="Bookman Old Style" w:cs="Bookman Old Style"/>
          <w:color w:val="231F20"/>
          <w:sz w:val="18"/>
          <w:szCs w:val="18"/>
        </w:rPr>
        <w:softHyphen/>
        <w:t>рие. Это приводит к возникновению долгосрочного экономического сотрудничества, при котором снижается уровень неопределенности и риска ведения бизнеса, уменьшаются трансакционные издержки и создаются стабильные экономические связи.</w:t>
      </w:r>
    </w:p>
    <w:p w14:paraId="1E948E7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Участие государства в японской экономике велико. Государство принимает на себя ответственность за долгосрочное и среднесроч</w:t>
      </w:r>
      <w:r w:rsidRPr="00B01894">
        <w:rPr>
          <w:rFonts w:ascii="Bookman Old Style" w:eastAsia="Bookman Old Style" w:hAnsi="Bookman Old Style" w:cs="Bookman Old Style"/>
          <w:color w:val="231F20"/>
          <w:sz w:val="18"/>
          <w:szCs w:val="18"/>
        </w:rPr>
        <w:softHyphen/>
        <w:t>ное развитие. Это реализуется через систему индикативного плани</w:t>
      </w:r>
      <w:r w:rsidRPr="00B01894">
        <w:rPr>
          <w:rFonts w:ascii="Bookman Old Style" w:eastAsia="Bookman Old Style" w:hAnsi="Bookman Old Style" w:cs="Bookman Old Style"/>
          <w:color w:val="231F20"/>
          <w:sz w:val="18"/>
          <w:szCs w:val="18"/>
        </w:rPr>
        <w:softHyphen/>
        <w:t>рования — правительство доводит до участников рынка основные ожидаемые параметры из пяти групп планов — экономического и социального развития, развития и использования земель, рацио</w:t>
      </w:r>
      <w:r w:rsidRPr="00B01894">
        <w:rPr>
          <w:rFonts w:ascii="Bookman Old Style" w:eastAsia="Bookman Old Style" w:hAnsi="Bookman Old Style" w:cs="Bookman Old Style"/>
          <w:color w:val="231F20"/>
          <w:sz w:val="18"/>
          <w:szCs w:val="18"/>
        </w:rPr>
        <w:softHyphen/>
        <w:t>нального размещения производительных сил, планов по отраслям и регионам.</w:t>
      </w:r>
    </w:p>
    <w:p w14:paraId="442A476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Налоговые рычаги воздействия на экономику сводятся к предо</w:t>
      </w:r>
      <w:r w:rsidRPr="00B01894">
        <w:rPr>
          <w:rFonts w:ascii="Bookman Old Style" w:eastAsia="Bookman Old Style" w:hAnsi="Bookman Old Style" w:cs="Bookman Old Style"/>
          <w:color w:val="231F20"/>
          <w:sz w:val="18"/>
          <w:szCs w:val="18"/>
        </w:rPr>
        <w:softHyphen/>
        <w:t>ставлению налоговых льгот и государственному инвестиционному кредитованию. Особое внимание уделяется ускоренной амортиза</w:t>
      </w:r>
      <w:r w:rsidRPr="00B01894">
        <w:rPr>
          <w:rFonts w:ascii="Bookman Old Style" w:eastAsia="Bookman Old Style" w:hAnsi="Bookman Old Style" w:cs="Bookman Old Style"/>
          <w:color w:val="231F20"/>
          <w:sz w:val="18"/>
          <w:szCs w:val="18"/>
        </w:rPr>
        <w:softHyphen/>
        <w:t>ции, способствующей быстрому обновлению основного капитала. Государственная программа инвестиционного кредитования за</w:t>
      </w:r>
      <w:r w:rsidRPr="00B01894">
        <w:rPr>
          <w:rFonts w:ascii="Bookman Old Style" w:eastAsia="Bookman Old Style" w:hAnsi="Bookman Old Style" w:cs="Bookman Old Style"/>
          <w:color w:val="231F20"/>
          <w:sz w:val="18"/>
          <w:szCs w:val="18"/>
        </w:rPr>
        <w:softHyphen/>
        <w:t>ключается в предоставлении правительством низкопроцентных кредитов из средств, аккумулированных в системе почтовых сбере</w:t>
      </w:r>
      <w:r w:rsidRPr="00B01894">
        <w:rPr>
          <w:rFonts w:ascii="Bookman Old Style" w:eastAsia="Bookman Old Style" w:hAnsi="Bookman Old Style" w:cs="Bookman Old Style"/>
          <w:color w:val="231F20"/>
          <w:sz w:val="18"/>
          <w:szCs w:val="18"/>
        </w:rPr>
        <w:softHyphen/>
        <w:t>гательных касс, пенсионных фондах и фондах медицинского и со</w:t>
      </w:r>
      <w:r w:rsidRPr="00B01894">
        <w:rPr>
          <w:rFonts w:ascii="Bookman Old Style" w:eastAsia="Bookman Old Style" w:hAnsi="Bookman Old Style" w:cs="Bookman Old Style"/>
          <w:color w:val="231F20"/>
          <w:sz w:val="18"/>
          <w:szCs w:val="18"/>
        </w:rPr>
        <w:softHyphen/>
        <w:t>циального страхования.</w:t>
      </w:r>
    </w:p>
    <w:p w14:paraId="2501B13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Правительство определяет приоритетные отрасли для ускорения экономического роста. Подчеркивая важность той или иной отрас</w:t>
      </w:r>
      <w:r w:rsidRPr="00B01894">
        <w:rPr>
          <w:rFonts w:ascii="Bookman Old Style" w:eastAsia="Bookman Old Style" w:hAnsi="Bookman Old Style" w:cs="Bookman Old Style"/>
          <w:color w:val="231F20"/>
          <w:sz w:val="18"/>
          <w:szCs w:val="18"/>
        </w:rPr>
        <w:softHyphen/>
        <w:t>ли, государство влияет на частные инвестиции, способствуя их раз</w:t>
      </w:r>
      <w:r w:rsidRPr="00B01894">
        <w:rPr>
          <w:rFonts w:ascii="Bookman Old Style" w:eastAsia="Bookman Old Style" w:hAnsi="Bookman Old Style" w:cs="Bookman Old Style"/>
          <w:color w:val="231F20"/>
          <w:sz w:val="18"/>
          <w:szCs w:val="18"/>
        </w:rPr>
        <w:softHyphen/>
        <w:t>витию без прямых субсидий и налоговых льгот.</w:t>
      </w:r>
    </w:p>
    <w:p w14:paraId="4CF7E49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Японское правительство активно использует протекционистские методы как для защиты внутреннего рынка, так и для продвижения японских товаров и капитала на внешние рынки. В этих целях в раз</w:t>
      </w:r>
      <w:r w:rsidRPr="00B01894">
        <w:rPr>
          <w:rFonts w:ascii="Bookman Old Style" w:eastAsia="Bookman Old Style" w:hAnsi="Bookman Old Style" w:cs="Bookman Old Style"/>
          <w:color w:val="231F20"/>
          <w:sz w:val="18"/>
          <w:szCs w:val="18"/>
        </w:rPr>
        <w:softHyphen/>
        <w:t>личное время активно использовались тарифные барьеры, пошли</w:t>
      </w:r>
      <w:r w:rsidRPr="00B01894">
        <w:rPr>
          <w:rFonts w:ascii="Bookman Old Style" w:eastAsia="Bookman Old Style" w:hAnsi="Bookman Old Style" w:cs="Bookman Old Style"/>
          <w:color w:val="231F20"/>
          <w:sz w:val="18"/>
          <w:szCs w:val="18"/>
        </w:rPr>
        <w:softHyphen/>
        <w:t>ны, система стандартов и ограничение притока иностранного ка</w:t>
      </w:r>
      <w:r w:rsidRPr="00B01894">
        <w:rPr>
          <w:rFonts w:ascii="Bookman Old Style" w:eastAsia="Bookman Old Style" w:hAnsi="Bookman Old Style" w:cs="Bookman Old Style"/>
          <w:color w:val="231F20"/>
          <w:sz w:val="18"/>
          <w:szCs w:val="18"/>
        </w:rPr>
        <w:softHyphen/>
        <w:t>питала. В то же время экспортно ориентированным предприятиям и отраслям предоставляются налоговые льготы и дешевые кредиты.</w:t>
      </w:r>
    </w:p>
    <w:p w14:paraId="5D0A5B3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Антимонопольное законодательство Японии достаточно мягкое, более того, государство не только не пресекало, а поддерживало образование монополий в целых отраслях, которые могли сфор</w:t>
      </w:r>
      <w:r w:rsidRPr="00B01894">
        <w:rPr>
          <w:rFonts w:ascii="Bookman Old Style" w:eastAsia="Bookman Old Style" w:hAnsi="Bookman Old Style" w:cs="Bookman Old Style"/>
          <w:color w:val="231F20"/>
          <w:sz w:val="18"/>
          <w:szCs w:val="18"/>
        </w:rPr>
        <w:softHyphen/>
        <w:t>мировать экспортный потенциал японской экономики. Правда, в последние годы под активным давлением США и международных экономических институтов антимонопольное законодательство Японии стало несколько ужесточаться, что привело к усилению кон</w:t>
      </w:r>
      <w:r w:rsidRPr="00B01894">
        <w:rPr>
          <w:rFonts w:ascii="Bookman Old Style" w:eastAsia="Bookman Old Style" w:hAnsi="Bookman Old Style" w:cs="Bookman Old Style"/>
          <w:color w:val="231F20"/>
          <w:sz w:val="18"/>
          <w:szCs w:val="18"/>
        </w:rPr>
        <w:softHyphen/>
        <w:t>куренции.</w:t>
      </w:r>
    </w:p>
    <w:p w14:paraId="715B04D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финансовой политики государства характерно жесткое ре</w:t>
      </w:r>
      <w:r w:rsidRPr="00B01894">
        <w:rPr>
          <w:rFonts w:ascii="Bookman Old Style" w:eastAsia="Bookman Old Style" w:hAnsi="Bookman Old Style" w:cs="Bookman Old Style"/>
          <w:color w:val="231F20"/>
          <w:sz w:val="18"/>
          <w:szCs w:val="18"/>
        </w:rPr>
        <w:softHyphen/>
        <w:t>гулирование финансовых рынков, что позволяло аккумулировать ресурсы на развитие приоритетных отраслей. С одной стороны, правительство поддерживало низкие процентные ставки, поощряя развитие капиталоемких производств, с другой — жестко регули</w:t>
      </w:r>
      <w:r w:rsidRPr="00B01894">
        <w:rPr>
          <w:rFonts w:ascii="Bookman Old Style" w:eastAsia="Bookman Old Style" w:hAnsi="Bookman Old Style" w:cs="Bookman Old Style"/>
          <w:color w:val="231F20"/>
          <w:sz w:val="18"/>
          <w:szCs w:val="18"/>
        </w:rPr>
        <w:softHyphen/>
        <w:t>ровало финансовые потоки. Достаточно сильно регламентирован рынок ценных бумаг, где государство выступило основным мегаре</w:t>
      </w:r>
      <w:r w:rsidRPr="00B01894">
        <w:rPr>
          <w:rFonts w:ascii="Bookman Old Style" w:eastAsia="Bookman Old Style" w:hAnsi="Bookman Old Style" w:cs="Bookman Old Style"/>
          <w:color w:val="231F20"/>
          <w:sz w:val="18"/>
          <w:szCs w:val="18"/>
        </w:rPr>
        <w:softHyphen/>
        <w:t>гулятором, устанавливая правила обращения и жестко контролируя финансовую информацию. Прямое участие государство принимает в организации и финансировании совместных с бизнесом НИОКР, что позволяет сократить расходы на дублирующие друг друга про</w:t>
      </w:r>
      <w:r w:rsidRPr="00B01894">
        <w:rPr>
          <w:rFonts w:ascii="Bookman Old Style" w:eastAsia="Bookman Old Style" w:hAnsi="Bookman Old Style" w:cs="Bookman Old Style"/>
          <w:color w:val="231F20"/>
          <w:sz w:val="18"/>
          <w:szCs w:val="18"/>
        </w:rPr>
        <w:softHyphen/>
        <w:t>екты.</w:t>
      </w:r>
    </w:p>
    <w:p w14:paraId="4BD538C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целом правительство проводит ясную и предсказуемую эко</w:t>
      </w:r>
      <w:r w:rsidRPr="00B01894">
        <w:rPr>
          <w:rFonts w:ascii="Bookman Old Style" w:eastAsia="Bookman Old Style" w:hAnsi="Bookman Old Style" w:cs="Bookman Old Style"/>
          <w:color w:val="231F20"/>
          <w:sz w:val="18"/>
          <w:szCs w:val="18"/>
        </w:rPr>
        <w:softHyphen/>
        <w:t>номическую политику. Данная модель государственного регулиро</w:t>
      </w:r>
      <w:r w:rsidRPr="00B01894">
        <w:rPr>
          <w:rFonts w:ascii="Bookman Old Style" w:eastAsia="Bookman Old Style" w:hAnsi="Bookman Old Style" w:cs="Bookman Old Style"/>
          <w:color w:val="231F20"/>
          <w:sz w:val="18"/>
          <w:szCs w:val="18"/>
        </w:rPr>
        <w:softHyphen/>
        <w:t>вания позволила Японии стать одной из ведущих экономик мира. Многие страны перенимают японский опыт и используют такие же методы во взаимоотношениях с бизнесом. Можно сказать, что япон</w:t>
      </w:r>
      <w:r w:rsidRPr="00B01894">
        <w:rPr>
          <w:rFonts w:ascii="Bookman Old Style" w:eastAsia="Bookman Old Style" w:hAnsi="Bookman Old Style" w:cs="Bookman Old Style"/>
          <w:color w:val="231F20"/>
          <w:sz w:val="18"/>
          <w:szCs w:val="18"/>
        </w:rPr>
        <w:softHyphen/>
        <w:t>ская модель легла в основу формирования восточно-азиатской мо</w:t>
      </w:r>
      <w:r w:rsidRPr="00B01894">
        <w:rPr>
          <w:rFonts w:ascii="Bookman Old Style" w:eastAsia="Bookman Old Style" w:hAnsi="Bookman Old Style" w:cs="Bookman Old Style"/>
          <w:color w:val="231F20"/>
          <w:sz w:val="18"/>
          <w:szCs w:val="18"/>
        </w:rPr>
        <w:softHyphen/>
        <w:t>дели, используемой рядом стран этого региона, что позволило про</w:t>
      </w:r>
      <w:r w:rsidRPr="00B01894">
        <w:rPr>
          <w:rFonts w:ascii="Bookman Old Style" w:eastAsia="Bookman Old Style" w:hAnsi="Bookman Old Style" w:cs="Bookman Old Style"/>
          <w:color w:val="231F20"/>
          <w:sz w:val="18"/>
          <w:szCs w:val="18"/>
        </w:rPr>
        <w:softHyphen/>
        <w:t>вести так называемую ускоренную модернизацию экономики.</w:t>
      </w:r>
    </w:p>
    <w:p w14:paraId="4DEFABD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Модель социальной рыночной экономики характерна для го</w:t>
      </w:r>
      <w:r w:rsidRPr="00B01894">
        <w:rPr>
          <w:rFonts w:ascii="Bookman Old Style" w:eastAsia="Bookman Old Style" w:hAnsi="Bookman Old Style" w:cs="Bookman Old Style"/>
          <w:color w:val="231F20"/>
          <w:sz w:val="18"/>
          <w:szCs w:val="18"/>
        </w:rPr>
        <w:softHyphen/>
        <w:t>сударств Северной Европы, в первую очередь скандинавских стран и Германии. Для данной модели характерна высокая степень влия</w:t>
      </w:r>
      <w:r w:rsidRPr="00B01894">
        <w:rPr>
          <w:rFonts w:ascii="Bookman Old Style" w:eastAsia="Bookman Old Style" w:hAnsi="Bookman Old Style" w:cs="Bookman Old Style"/>
          <w:color w:val="231F20"/>
          <w:sz w:val="18"/>
          <w:szCs w:val="18"/>
        </w:rPr>
        <w:softHyphen/>
        <w:t>ния государства на экономику, что выражается в активном регули</w:t>
      </w:r>
      <w:r w:rsidRPr="00B01894">
        <w:rPr>
          <w:rFonts w:ascii="Bookman Old Style" w:eastAsia="Bookman Old Style" w:hAnsi="Bookman Old Style" w:cs="Bookman Old Style"/>
          <w:color w:val="231F20"/>
          <w:sz w:val="18"/>
          <w:szCs w:val="18"/>
        </w:rPr>
        <w:softHyphen/>
        <w:t>ровании бизнеса, высоком уровне государственных расходов и пря</w:t>
      </w:r>
      <w:r w:rsidRPr="00B01894">
        <w:rPr>
          <w:rFonts w:ascii="Bookman Old Style" w:eastAsia="Bookman Old Style" w:hAnsi="Bookman Old Style" w:cs="Bookman Old Style"/>
          <w:color w:val="231F20"/>
          <w:sz w:val="18"/>
          <w:szCs w:val="18"/>
        </w:rPr>
        <w:softHyphen/>
        <w:t>мом участии государства в экономической деятельности.</w:t>
      </w:r>
    </w:p>
    <w:p w14:paraId="7EA1365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Германская экономическая модель в полной мере реализует задачи социальной рыночной экономики, совмещенные с принци</w:t>
      </w:r>
      <w:r w:rsidRPr="00B01894">
        <w:rPr>
          <w:rFonts w:ascii="Bookman Old Style" w:eastAsia="Bookman Old Style" w:hAnsi="Bookman Old Style" w:cs="Bookman Old Style"/>
          <w:color w:val="231F20"/>
          <w:sz w:val="18"/>
          <w:szCs w:val="18"/>
        </w:rPr>
        <w:softHyphen/>
        <w:t>пами свободного рынка и охраны частной собственности. Для эко</w:t>
      </w:r>
      <w:r w:rsidRPr="00B01894">
        <w:rPr>
          <w:rFonts w:ascii="Bookman Old Style" w:eastAsia="Bookman Old Style" w:hAnsi="Bookman Old Style" w:cs="Bookman Old Style"/>
          <w:color w:val="231F20"/>
          <w:sz w:val="18"/>
          <w:szCs w:val="18"/>
        </w:rPr>
        <w:softHyphen/>
        <w:t>номики Германии характерна высокая степень свободы предпри</w:t>
      </w:r>
      <w:r w:rsidRPr="00B01894">
        <w:rPr>
          <w:rFonts w:ascii="Bookman Old Style" w:eastAsia="Bookman Old Style" w:hAnsi="Bookman Old Style" w:cs="Bookman Old Style"/>
          <w:color w:val="231F20"/>
          <w:sz w:val="18"/>
          <w:szCs w:val="18"/>
        </w:rPr>
        <w:softHyphen/>
        <w:t>нимательства и мобильности труда и капитала, что создает условия для эффективного производства и делает немецкую экономику вы</w:t>
      </w:r>
      <w:r w:rsidRPr="00B01894">
        <w:rPr>
          <w:rFonts w:ascii="Bookman Old Style" w:eastAsia="Bookman Old Style" w:hAnsi="Bookman Old Style" w:cs="Bookman Old Style"/>
          <w:color w:val="231F20"/>
          <w:sz w:val="18"/>
          <w:szCs w:val="18"/>
        </w:rPr>
        <w:softHyphen/>
        <w:t>сокопроизводительной и конкурентоспособной.</w:t>
      </w:r>
    </w:p>
    <w:p w14:paraId="09AFA25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Государство при этом непосредственно не вмешивается в эконо</w:t>
      </w:r>
      <w:r w:rsidRPr="00B01894">
        <w:rPr>
          <w:rFonts w:ascii="Bookman Old Style" w:eastAsia="Bookman Old Style" w:hAnsi="Bookman Old Style" w:cs="Bookman Old Style"/>
          <w:color w:val="231F20"/>
          <w:sz w:val="18"/>
          <w:szCs w:val="18"/>
        </w:rPr>
        <w:softHyphen/>
        <w:t>мическую жизнь, однако создает общие условия хозяйствования. Предпринимательская деятельность достаточно четко регламенти</w:t>
      </w:r>
      <w:r w:rsidRPr="00B01894">
        <w:rPr>
          <w:rFonts w:ascii="Bookman Old Style" w:eastAsia="Bookman Old Style" w:hAnsi="Bookman Old Style" w:cs="Bookman Old Style"/>
          <w:color w:val="231F20"/>
          <w:sz w:val="18"/>
          <w:szCs w:val="18"/>
        </w:rPr>
        <w:softHyphen/>
        <w:t>рована законом, обеспечивающим устранение конфликтов интере</w:t>
      </w:r>
      <w:r w:rsidRPr="00B01894">
        <w:rPr>
          <w:rFonts w:ascii="Bookman Old Style" w:eastAsia="Bookman Old Style" w:hAnsi="Bookman Old Style" w:cs="Bookman Old Style"/>
          <w:color w:val="231F20"/>
          <w:sz w:val="18"/>
          <w:szCs w:val="18"/>
        </w:rPr>
        <w:softHyphen/>
        <w:t>сов и равные возможности субъектов хозяйствования. В Германии отдельно регулируется гражданское и хозяйственное право, что по</w:t>
      </w:r>
      <w:r w:rsidRPr="00B01894">
        <w:rPr>
          <w:rFonts w:ascii="Bookman Old Style" w:eastAsia="Bookman Old Style" w:hAnsi="Bookman Old Style" w:cs="Bookman Old Style"/>
          <w:color w:val="231F20"/>
          <w:sz w:val="18"/>
          <w:szCs w:val="18"/>
        </w:rPr>
        <w:softHyphen/>
        <w:t>зволяет отделить интересы предпринимателей от интересов осталь</w:t>
      </w:r>
      <w:r w:rsidRPr="00B01894">
        <w:rPr>
          <w:rFonts w:ascii="Bookman Old Style" w:eastAsia="Bookman Old Style" w:hAnsi="Bookman Old Style" w:cs="Bookman Old Style"/>
          <w:color w:val="231F20"/>
          <w:sz w:val="18"/>
          <w:szCs w:val="18"/>
        </w:rPr>
        <w:softHyphen/>
        <w:t>ных членов общества и обеспечить каждому защиту.</w:t>
      </w:r>
    </w:p>
    <w:p w14:paraId="31F4D17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германской экономической системе создан определенный ба</w:t>
      </w:r>
      <w:r w:rsidRPr="00B01894">
        <w:rPr>
          <w:rFonts w:ascii="Bookman Old Style" w:eastAsia="Bookman Old Style" w:hAnsi="Bookman Old Style" w:cs="Bookman Old Style"/>
          <w:color w:val="231F20"/>
          <w:sz w:val="18"/>
          <w:szCs w:val="18"/>
        </w:rPr>
        <w:softHyphen/>
        <w:t>ланс между рыночной эффективностью, которая обеспечивается не</w:t>
      </w:r>
      <w:r w:rsidRPr="00B01894">
        <w:rPr>
          <w:rFonts w:ascii="Bookman Old Style" w:eastAsia="Bookman Old Style" w:hAnsi="Bookman Old Style" w:cs="Bookman Old Style"/>
          <w:color w:val="231F20"/>
          <w:sz w:val="18"/>
          <w:szCs w:val="18"/>
        </w:rPr>
        <w:softHyphen/>
        <w:t>вмешательством государства в действия предпринимателей и фирм, и социальной справедливостью, обеспеченной высоким уровнем го</w:t>
      </w:r>
      <w:r w:rsidRPr="00B01894">
        <w:rPr>
          <w:rFonts w:ascii="Bookman Old Style" w:eastAsia="Bookman Old Style" w:hAnsi="Bookman Old Style" w:cs="Bookman Old Style"/>
          <w:color w:val="231F20"/>
          <w:sz w:val="18"/>
          <w:szCs w:val="18"/>
        </w:rPr>
        <w:softHyphen/>
        <w:t>сударственных расходов. Уровень государственных расходов в Гер</w:t>
      </w:r>
      <w:r w:rsidRPr="00B01894">
        <w:rPr>
          <w:rFonts w:ascii="Bookman Old Style" w:eastAsia="Bookman Old Style" w:hAnsi="Bookman Old Style" w:cs="Bookman Old Style"/>
          <w:color w:val="231F20"/>
          <w:sz w:val="18"/>
          <w:szCs w:val="18"/>
        </w:rPr>
        <w:softHyphen/>
        <w:t>мании один из самых высоких в мире, что дает возможность обе</w:t>
      </w:r>
      <w:r w:rsidRPr="00B01894">
        <w:rPr>
          <w:rFonts w:ascii="Bookman Old Style" w:eastAsia="Bookman Old Style" w:hAnsi="Bookman Old Style" w:cs="Bookman Old Style"/>
          <w:color w:val="231F20"/>
          <w:sz w:val="18"/>
          <w:szCs w:val="18"/>
        </w:rPr>
        <w:softHyphen/>
        <w:t>спечить финансирование многих социальных программ, а также развитие инфраструктуры. В то же время налоговая система, хотя и отличается высокой степенью налоговой нагрузки, предсказуема и содержит систему льгот различного характера, например в целях стимулирования НИОКР и инноваций.</w:t>
      </w:r>
    </w:p>
    <w:p w14:paraId="181533A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Денежно-кредитная политика отличается высокой степенью предсказуемости и четкими правилами. Центральный банк Гер</w:t>
      </w:r>
      <w:r w:rsidRPr="00B01894">
        <w:rPr>
          <w:rFonts w:ascii="Bookman Old Style" w:eastAsia="Bookman Old Style" w:hAnsi="Bookman Old Style" w:cs="Bookman Old Style"/>
          <w:color w:val="231F20"/>
          <w:sz w:val="18"/>
          <w:szCs w:val="18"/>
        </w:rPr>
        <w:softHyphen/>
        <w:t>мании, хотя и является государственным банком, имеет высокую степень независимости, проводя полностью самостоятельную поли</w:t>
      </w:r>
      <w:r w:rsidRPr="00B01894">
        <w:rPr>
          <w:rFonts w:ascii="Bookman Old Style" w:eastAsia="Bookman Old Style" w:hAnsi="Bookman Old Style" w:cs="Bookman Old Style"/>
          <w:color w:val="231F20"/>
          <w:sz w:val="18"/>
          <w:szCs w:val="18"/>
        </w:rPr>
        <w:softHyphen/>
        <w:t>тику. В целом же банковская система Германии имеет ряд особен</w:t>
      </w:r>
      <w:r w:rsidRPr="00B01894">
        <w:rPr>
          <w:rFonts w:ascii="Bookman Old Style" w:eastAsia="Bookman Old Style" w:hAnsi="Bookman Old Style" w:cs="Bookman Old Style"/>
          <w:color w:val="231F20"/>
          <w:sz w:val="18"/>
          <w:szCs w:val="18"/>
        </w:rPr>
        <w:softHyphen/>
        <w:t>ностей. В частности, банки зачастую являются крупными акционе</w:t>
      </w:r>
      <w:r w:rsidRPr="00B01894">
        <w:rPr>
          <w:rFonts w:ascii="Bookman Old Style" w:eastAsia="Bookman Old Style" w:hAnsi="Bookman Old Style" w:cs="Bookman Old Style"/>
          <w:color w:val="231F20"/>
          <w:sz w:val="18"/>
          <w:szCs w:val="18"/>
        </w:rPr>
        <w:softHyphen/>
        <w:t>рами компаний и активно участвуют в процессе принятия решений.</w:t>
      </w:r>
    </w:p>
    <w:p w14:paraId="006B4A9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Система участия характерна и для немецкого бизнеса в целом. Большинство немецких предприятий представляют собой закрытые акционерные общества, что предопределяет некоторый внутренний характер систем управления ими. При этом все причастные к биз</w:t>
      </w:r>
      <w:r w:rsidRPr="00B01894">
        <w:rPr>
          <w:rFonts w:ascii="Bookman Old Style" w:eastAsia="Bookman Old Style" w:hAnsi="Bookman Old Style" w:cs="Bookman Old Style"/>
          <w:color w:val="231F20"/>
          <w:sz w:val="18"/>
          <w:szCs w:val="18"/>
        </w:rPr>
        <w:softHyphen/>
        <w:t>несу лица имеют возможности оказывать влияние на принятие ре</w:t>
      </w:r>
      <w:r w:rsidRPr="00B01894">
        <w:rPr>
          <w:rFonts w:ascii="Bookman Old Style" w:eastAsia="Bookman Old Style" w:hAnsi="Bookman Old Style" w:cs="Bookman Old Style"/>
          <w:color w:val="231F20"/>
          <w:sz w:val="18"/>
          <w:szCs w:val="18"/>
        </w:rPr>
        <w:softHyphen/>
        <w:t>шений. И акционеры, и менеджеры, и наемные работники, и арен</w:t>
      </w:r>
      <w:r w:rsidRPr="00B01894">
        <w:rPr>
          <w:rFonts w:ascii="Bookman Old Style" w:eastAsia="Bookman Old Style" w:hAnsi="Bookman Old Style" w:cs="Bookman Old Style"/>
          <w:color w:val="231F20"/>
          <w:sz w:val="18"/>
          <w:szCs w:val="18"/>
        </w:rPr>
        <w:softHyphen/>
        <w:t>даторы, и даже поставщики и потребители — все они способны оказывать влияние на деятельность компании через специальные органы, например через наблюдательные и производственные со</w:t>
      </w:r>
      <w:r w:rsidRPr="00B01894">
        <w:rPr>
          <w:rFonts w:ascii="Bookman Old Style" w:eastAsia="Bookman Old Style" w:hAnsi="Bookman Old Style" w:cs="Bookman Old Style"/>
          <w:color w:val="231F20"/>
          <w:sz w:val="18"/>
          <w:szCs w:val="18"/>
        </w:rPr>
        <w:softHyphen/>
        <w:t>веты. В этом состоит серьезное отличие немецкой модели бизнеса от американской, где основное право принятия решений закрепле</w:t>
      </w:r>
      <w:r w:rsidRPr="00B01894">
        <w:rPr>
          <w:rFonts w:ascii="Bookman Old Style" w:eastAsia="Bookman Old Style" w:hAnsi="Bookman Old Style" w:cs="Bookman Old Style"/>
          <w:color w:val="231F20"/>
          <w:sz w:val="18"/>
          <w:szCs w:val="18"/>
        </w:rPr>
        <w:softHyphen/>
        <w:t>но за менеджментом высшего звена.</w:t>
      </w:r>
    </w:p>
    <w:p w14:paraId="2F1929D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Кроме того, для Германии характерно общенациональное регу</w:t>
      </w:r>
      <w:r w:rsidRPr="00B01894">
        <w:rPr>
          <w:rFonts w:ascii="Bookman Old Style" w:eastAsia="Bookman Old Style" w:hAnsi="Bookman Old Style" w:cs="Bookman Old Style"/>
          <w:color w:val="231F20"/>
          <w:sz w:val="18"/>
          <w:szCs w:val="18"/>
        </w:rPr>
        <w:softHyphen/>
        <w:t>лирование рынка труда. Трудовые соглашения заключаются между отраслевыми организациями предпринимателей и профсоюзов, а различия в уровне заработной платы в разных отраслях и секторах экономики незначительны. Такая система способствует социально</w:t>
      </w:r>
      <w:r w:rsidRPr="00B01894">
        <w:rPr>
          <w:rFonts w:ascii="Bookman Old Style" w:eastAsia="Bookman Old Style" w:hAnsi="Bookman Old Style" w:cs="Bookman Old Style"/>
          <w:color w:val="231F20"/>
          <w:sz w:val="18"/>
          <w:szCs w:val="18"/>
        </w:rPr>
        <w:softHyphen/>
        <w:t>му выравниванию общества и обеспечивает стабильность функци</w:t>
      </w:r>
      <w:r w:rsidRPr="00B01894">
        <w:rPr>
          <w:rFonts w:ascii="Bookman Old Style" w:eastAsia="Bookman Old Style" w:hAnsi="Bookman Old Style" w:cs="Bookman Old Style"/>
          <w:color w:val="231F20"/>
          <w:sz w:val="18"/>
          <w:szCs w:val="18"/>
        </w:rPr>
        <w:softHyphen/>
        <w:t>онирования рынка труда.</w:t>
      </w:r>
    </w:p>
    <w:p w14:paraId="7366222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области административного регулирования государство сосре</w:t>
      </w:r>
      <w:r w:rsidRPr="00B01894">
        <w:rPr>
          <w:rFonts w:ascii="Bookman Old Style" w:eastAsia="Bookman Old Style" w:hAnsi="Bookman Old Style" w:cs="Bookman Old Style"/>
          <w:color w:val="231F20"/>
          <w:sz w:val="18"/>
          <w:szCs w:val="18"/>
        </w:rPr>
        <w:softHyphen/>
      </w:r>
      <w:r w:rsidRPr="00B01894">
        <w:rPr>
          <w:rFonts w:ascii="Bookman Old Style" w:eastAsia="Bookman Old Style" w:hAnsi="Bookman Old Style" w:cs="Bookman Old Style"/>
          <w:color w:val="231F20"/>
          <w:sz w:val="18"/>
          <w:szCs w:val="18"/>
        </w:rPr>
        <w:lastRenderedPageBreak/>
        <w:t>доточивает усилия на формировании институтов рынка, антимоно</w:t>
      </w:r>
      <w:r w:rsidRPr="00B01894">
        <w:rPr>
          <w:rFonts w:ascii="Bookman Old Style" w:eastAsia="Bookman Old Style" w:hAnsi="Bookman Old Style" w:cs="Bookman Old Style"/>
          <w:color w:val="231F20"/>
          <w:sz w:val="18"/>
          <w:szCs w:val="18"/>
        </w:rPr>
        <w:softHyphen/>
        <w:t>польном регулировании, развитии социальной инфраструктуры, стимулировании государством научно-технических, технологиче</w:t>
      </w:r>
      <w:r w:rsidRPr="00B01894">
        <w:rPr>
          <w:rFonts w:ascii="Bookman Old Style" w:eastAsia="Bookman Old Style" w:hAnsi="Bookman Old Style" w:cs="Bookman Old Style"/>
          <w:color w:val="231F20"/>
          <w:sz w:val="18"/>
          <w:szCs w:val="18"/>
        </w:rPr>
        <w:softHyphen/>
        <w:t>ских и организационных инноваций. Государство играет важную роль в финансировании НИОКР и фундаментальных исследований.</w:t>
      </w:r>
    </w:p>
    <w:p w14:paraId="3038EE6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целом германская модель не только доказала свою жизнеспо</w:t>
      </w:r>
      <w:r w:rsidRPr="00B01894">
        <w:rPr>
          <w:rFonts w:ascii="Bookman Old Style" w:eastAsia="Bookman Old Style" w:hAnsi="Bookman Old Style" w:cs="Bookman Old Style"/>
          <w:color w:val="231F20"/>
          <w:sz w:val="18"/>
          <w:szCs w:val="18"/>
        </w:rPr>
        <w:softHyphen/>
        <w:t>собность, но и показывает пример устойчивого развития, являясь фактическим локомотивом всей европейской экономики.</w:t>
      </w:r>
    </w:p>
    <w:p w14:paraId="131D9D9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Шведская экономическая модель в значительной степени по</w:t>
      </w:r>
      <w:r w:rsidRPr="00B01894">
        <w:rPr>
          <w:rFonts w:ascii="Bookman Old Style" w:eastAsia="Bookman Old Style" w:hAnsi="Bookman Old Style" w:cs="Bookman Old Style"/>
          <w:color w:val="231F20"/>
          <w:sz w:val="18"/>
          <w:szCs w:val="18"/>
        </w:rPr>
        <w:softHyphen/>
        <w:t>хожа на немецкую, но с еще более сильным влиянием государства, в первую очередь в части перераспределения доходов. Выравнива</w:t>
      </w:r>
      <w:r w:rsidRPr="00B01894">
        <w:rPr>
          <w:rFonts w:ascii="Bookman Old Style" w:eastAsia="Bookman Old Style" w:hAnsi="Bookman Old Style" w:cs="Bookman Old Style"/>
          <w:color w:val="231F20"/>
          <w:sz w:val="18"/>
          <w:szCs w:val="18"/>
        </w:rPr>
        <w:softHyphen/>
        <w:t>ние доходов и преодоление имущественного неравенства является одной из главных целей экономической политики правительства. Другая важнейшая цель социальной политики — достижение пол</w:t>
      </w:r>
      <w:r w:rsidRPr="00B01894">
        <w:rPr>
          <w:rFonts w:ascii="Bookman Old Style" w:eastAsia="Bookman Old Style" w:hAnsi="Bookman Old Style" w:cs="Bookman Old Style"/>
          <w:color w:val="231F20"/>
          <w:sz w:val="18"/>
          <w:szCs w:val="18"/>
        </w:rPr>
        <w:softHyphen/>
        <w:t>ной занятости.</w:t>
      </w:r>
    </w:p>
    <w:p w14:paraId="72334C9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Выравнивание доходов осуществляется за счет высоких ставок налогов. Причем налоговая система предполагает высокие ставки налогообложения доходов по прогрессивной шкале, но с низким </w:t>
      </w:r>
      <w:bookmarkStart w:id="15" w:name="bookmark14"/>
      <w:r w:rsidRPr="00B01894">
        <w:rPr>
          <w:rFonts w:ascii="Bookman Old Style" w:eastAsia="Bookman Old Style" w:hAnsi="Bookman Old Style" w:cs="Bookman Old Style"/>
          <w:color w:val="231F20"/>
          <w:sz w:val="18"/>
          <w:szCs w:val="18"/>
        </w:rPr>
        <w:t>уровнем величины дохода, при котором ставки налога минималь</w:t>
      </w:r>
      <w:r w:rsidRPr="00B01894">
        <w:rPr>
          <w:rFonts w:ascii="Bookman Old Style" w:eastAsia="Bookman Old Style" w:hAnsi="Bookman Old Style" w:cs="Bookman Old Style"/>
          <w:color w:val="231F20"/>
          <w:sz w:val="18"/>
          <w:szCs w:val="18"/>
        </w:rPr>
        <w:softHyphen/>
        <w:t>ны. Кроме того, в Швеции используются разнообразные имуще</w:t>
      </w:r>
      <w:r w:rsidRPr="00B01894">
        <w:rPr>
          <w:rFonts w:ascii="Bookman Old Style" w:eastAsia="Bookman Old Style" w:hAnsi="Bookman Old Style" w:cs="Bookman Old Style"/>
          <w:color w:val="231F20"/>
          <w:sz w:val="18"/>
          <w:szCs w:val="18"/>
        </w:rPr>
        <w:softHyphen/>
        <w:t>ственные налоги, что приводит к отсутствию в стране «сверхбога</w:t>
      </w:r>
      <w:r w:rsidRPr="00B01894">
        <w:rPr>
          <w:rFonts w:ascii="Bookman Old Style" w:eastAsia="Bookman Old Style" w:hAnsi="Bookman Old Style" w:cs="Bookman Old Style"/>
          <w:color w:val="231F20"/>
          <w:sz w:val="18"/>
          <w:szCs w:val="18"/>
        </w:rPr>
        <w:softHyphen/>
        <w:t>тых» людей, но дает возможность для наполнения доходной части бюджета. В рамках политики социального выравнивания большая часть доходов перераспределяется в пользу малоимущих слоев на</w:t>
      </w:r>
      <w:r w:rsidRPr="00B01894">
        <w:rPr>
          <w:rFonts w:ascii="Bookman Old Style" w:eastAsia="Bookman Old Style" w:hAnsi="Bookman Old Style" w:cs="Bookman Old Style"/>
          <w:color w:val="231F20"/>
          <w:sz w:val="18"/>
          <w:szCs w:val="18"/>
        </w:rPr>
        <w:softHyphen/>
        <w:t>селения.</w:t>
      </w:r>
      <w:bookmarkEnd w:id="15"/>
    </w:p>
    <w:p w14:paraId="350F546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Такую политику обеспечивает высокая доля государственных расходов в ВВП, которая является одной из самых высоких в мире — более 50 %. И большая часть этих расходов направляется на соци</w:t>
      </w:r>
      <w:r w:rsidRPr="00B01894">
        <w:rPr>
          <w:rFonts w:ascii="Bookman Old Style" w:eastAsia="Bookman Old Style" w:hAnsi="Bookman Old Style" w:cs="Bookman Old Style"/>
          <w:color w:val="231F20"/>
          <w:sz w:val="18"/>
          <w:szCs w:val="18"/>
        </w:rPr>
        <w:softHyphen/>
        <w:t>альные нужды.</w:t>
      </w:r>
    </w:p>
    <w:p w14:paraId="28255812"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Вместе с тем для шведской модели характерно практически полное отсутствие вмешательства государства в дела бизнеса. Го</w:t>
      </w:r>
      <w:r w:rsidRPr="00B01894">
        <w:rPr>
          <w:rFonts w:ascii="Bookman Old Style" w:eastAsia="Bookman Old Style" w:hAnsi="Bookman Old Style" w:cs="Bookman Old Style"/>
          <w:color w:val="231F20"/>
          <w:sz w:val="18"/>
          <w:szCs w:val="18"/>
        </w:rPr>
        <w:softHyphen/>
        <w:t>сударство ограничивается преимущественно законодательным регулированием, устанавливая «правила игры», а частный бизнес функционирует фактически в полностью рыночной конкурентной среде. Децентрализованная рыночная система, сложившаяся в швед</w:t>
      </w:r>
      <w:r w:rsidRPr="00B01894">
        <w:rPr>
          <w:rFonts w:ascii="Bookman Old Style" w:eastAsia="Bookman Old Style" w:hAnsi="Bookman Old Style" w:cs="Bookman Old Style"/>
          <w:color w:val="231F20"/>
          <w:sz w:val="18"/>
          <w:szCs w:val="18"/>
        </w:rPr>
        <w:softHyphen/>
        <w:t>ской экономике, показала свою жизнеспособность и эффективность.</w:t>
      </w:r>
    </w:p>
    <w:p w14:paraId="3BB078EA" w14:textId="77777777" w:rsidR="00B01894" w:rsidRPr="00B01894" w:rsidRDefault="00B01894" w:rsidP="00B01894">
      <w:pPr>
        <w:widowControl w:val="0"/>
        <w:spacing w:after="341" w:line="250" w:lineRule="exact"/>
        <w:rPr>
          <w:rFonts w:ascii="Bookman Old Style" w:eastAsia="Bookman Old Style" w:hAnsi="Bookman Old Style" w:cs="Bookman Old Style"/>
          <w:color w:val="231F20"/>
          <w:sz w:val="18"/>
          <w:szCs w:val="18"/>
        </w:rPr>
      </w:pPr>
      <w:r w:rsidRPr="00B01894">
        <w:rPr>
          <w:rFonts w:ascii="Bookman Old Style" w:eastAsia="Bookman Old Style" w:hAnsi="Bookman Old Style" w:cs="Bookman Old Style"/>
          <w:color w:val="231F20"/>
          <w:sz w:val="18"/>
          <w:szCs w:val="18"/>
        </w:rPr>
        <w:t>Помимо решения социальных задач государство участвует в фор</w:t>
      </w:r>
      <w:r w:rsidRPr="00B01894">
        <w:rPr>
          <w:rFonts w:ascii="Bookman Old Style" w:eastAsia="Bookman Old Style" w:hAnsi="Bookman Old Style" w:cs="Bookman Old Style"/>
          <w:color w:val="231F20"/>
          <w:sz w:val="18"/>
          <w:szCs w:val="18"/>
        </w:rPr>
        <w:softHyphen/>
        <w:t>мировании промышленной и социальной инфраструктуры, а также в организации и финансировании НИОКР и, кроме того, регулирует отношения между предпринимателями и работниками. Для этих це</w:t>
      </w:r>
      <w:r w:rsidRPr="00B01894">
        <w:rPr>
          <w:rFonts w:ascii="Bookman Old Style" w:eastAsia="Bookman Old Style" w:hAnsi="Bookman Old Style" w:cs="Bookman Old Style"/>
          <w:color w:val="231F20"/>
          <w:sz w:val="18"/>
          <w:szCs w:val="18"/>
        </w:rPr>
        <w:softHyphen/>
        <w:t>лей на рынке труда создана система централизованных переговоров о заключении коллективных договоров о заработной плате с уча</w:t>
      </w:r>
      <w:r w:rsidRPr="00B01894">
        <w:rPr>
          <w:rFonts w:ascii="Bookman Old Style" w:eastAsia="Bookman Old Style" w:hAnsi="Bookman Old Style" w:cs="Bookman Old Style"/>
          <w:color w:val="231F20"/>
          <w:sz w:val="18"/>
          <w:szCs w:val="18"/>
        </w:rPr>
        <w:softHyphen/>
        <w:t>стием профсоюзов, предпринимателей и государства.</w:t>
      </w:r>
    </w:p>
    <w:p w14:paraId="7C1B82B2" w14:textId="77777777" w:rsidR="00B01894" w:rsidRPr="00B01894" w:rsidRDefault="00B01894" w:rsidP="00B01894">
      <w:pPr>
        <w:keepNext/>
        <w:keepLines/>
        <w:widowControl w:val="0"/>
        <w:numPr>
          <w:ilvl w:val="1"/>
          <w:numId w:val="178"/>
        </w:numPr>
        <w:shd w:val="clear" w:color="auto" w:fill="FFFFFF"/>
        <w:spacing w:after="220" w:line="274" w:lineRule="exact"/>
        <w:ind w:left="981" w:firstLine="0"/>
        <w:jc w:val="left"/>
        <w:outlineLvl w:val="3"/>
        <w:rPr>
          <w:rFonts w:ascii="Arial Narrow" w:eastAsia="Bookman Old Style" w:hAnsi="Arial Narrow" w:cs="Arial Narrow"/>
          <w:b/>
          <w:bCs/>
          <w:color w:val="231F20"/>
          <w:highlight w:val="green"/>
        </w:rPr>
      </w:pPr>
      <w:r w:rsidRPr="00B01894">
        <w:rPr>
          <w:rFonts w:ascii="Arial Narrow" w:eastAsia="Bookman Old Style" w:hAnsi="Arial Narrow" w:cs="Arial Narrow"/>
          <w:b/>
          <w:bCs/>
          <w:color w:val="231F20"/>
          <w:highlight w:val="green"/>
        </w:rPr>
        <w:t>Методы регулирования в чрезвычайных ситуациях</w:t>
      </w:r>
    </w:p>
    <w:p w14:paraId="4671D0C3"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xml:space="preserve">Чрезвычайные ситуации в экономики могут возникать по разным </w:t>
      </w:r>
      <w:r w:rsidRPr="00B01894">
        <w:rPr>
          <w:rFonts w:ascii="Bookman Old Style" w:eastAsia="Bookman Old Style" w:hAnsi="Bookman Old Style" w:cs="Bookman Old Style"/>
          <w:sz w:val="18"/>
          <w:szCs w:val="18"/>
          <w:highlight w:val="green"/>
        </w:rPr>
        <w:lastRenderedPageBreak/>
        <w:t xml:space="preserve">причинам, как вследствие резкого ухудшения экономической ситуации (кризиса) так и под влиянием внешних факторов. </w:t>
      </w:r>
    </w:p>
    <w:p w14:paraId="1762AA79"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Так, кризис 1929-1933 годов, известный как Великая депрессия, можно охарактеризовать как чрезвычайную ситуацию в экономике, которая потребовала неординарных для своего времени экономических решений. С тех пор государство выработало набор мер по предотвращению, сглаживанию и преодолению последствий экономических кризисов, используя инструменты фискальной и монетарной политики.</w:t>
      </w:r>
    </w:p>
    <w:p w14:paraId="3F32B16F"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К внешним факторам, требующих активного государственного вмешательства следует отнести чрезвычайные ситуации и военные конфликты.</w:t>
      </w:r>
    </w:p>
    <w:p w14:paraId="16CDC21F"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Экономику в период военных конфликтов (военную экономику) мы в настоящем учебнике не рассматриваем, подчеркнем лишь, что военно-промышленный комплекс играет важную роль в экономике, обеспечивая существенный объем государственных расходов (и совокупного спроса), кроме того, зачастую научно-технические достижения, разрабатываемые в военно-промышленном комплексе, могут иметь и общегражданское значение (spin-off effect) и быть использованы в различных отраслях и сферах деятельности.</w:t>
      </w:r>
    </w:p>
    <w:p w14:paraId="6E9CEE15"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К чрезвычайным ситуациям следует отнести явления (события), вызывающие угрозу сложившемуся социально-экономическому кладу жизни, а также жизни и здоровью людей. В зависимости от причин, сферы возникновения, масштабов и степени угрозы чрезвычайные ситуации можно разделить на техногенные аварии, природные катастрофы, стихийные бедствия, эпидемии и другие неблагоприятные явления. Чрезвычайные ситуации могут быть локального характера, межрегионального и всеобщие.</w:t>
      </w:r>
    </w:p>
    <w:p w14:paraId="15669F22"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В 2019 году мировая экономика столкнулась с серьезным вызовом – ограничениями, налагаемыми пандемией ковид-19 – явления, поставившего под угрозу не только нормальную экономическую жизнь, но и жизни и здоровье людей.</w:t>
      </w:r>
    </w:p>
    <w:p w14:paraId="1CF38670"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Пандемия ковид-19 вызвала необходимость ограничительных мер по передвижению и контактам людей, что естественно затронуло сферу занятости – многие вынуждены были либо (временно) прекратить работу либо перейти в дистанционный формат. Это в свою очередь вызвало снижение как объемов производства, так и доходов. Снижение доходов сказалось на падении спроса, и соответственно - темпов экономического роста, а то и просто снижения объемов экономики.</w:t>
      </w:r>
    </w:p>
    <w:p w14:paraId="45793B2C"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xml:space="preserve">В первую очередь пострадали сектора, связанные с обслуживанием населения – торговля, общественное питание, туризм, а это в основном малый и средний бизнес, в котором занято значительная часть трудовых ресурсов. Кроме того, под угрозой оказалось нормальное (бесперебойное) функционирование предприятий, относящихся к стратегическим отраслям и объектам жизнеобеспечения. </w:t>
      </w:r>
    </w:p>
    <w:p w14:paraId="56DFE192"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xml:space="preserve">В этих условиях государство вынужденно было прибегнуть к мерам </w:t>
      </w:r>
      <w:r w:rsidRPr="00B01894">
        <w:rPr>
          <w:rFonts w:ascii="Bookman Old Style" w:eastAsia="Bookman Old Style" w:hAnsi="Bookman Old Style" w:cs="Bookman Old Style"/>
          <w:sz w:val="18"/>
          <w:szCs w:val="18"/>
          <w:highlight w:val="green"/>
        </w:rPr>
        <w:lastRenderedPageBreak/>
        <w:t>чрезвычайного регулирования оперативного характера. В разных странах правительство по-разному реагировало на возникшие в связи с пандемией проблемы, в соответствии с оценками ситуации и своими бюджетными возможностями. В одних странах упор делался на помощь бизнесу, в других населению, в третьих применялся комплексный подход.</w:t>
      </w:r>
    </w:p>
    <w:p w14:paraId="65DD8F07"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В тоже время можно отметить и ряд общих черт, так в большинстве стран в первую очередь была оказана поддержка банковской сфере, а также предприятиям стратегических отраслей и объектов жизнеобеспечения. Во вторую очередь – малому и среднему бизнесу, особенно в сферах торговли, общественного питания и обслуживания населения, В третью очередь – помощь населению, особенно его незащищенных слоев. Иногда эта очередность была достаточно выражена, иногда более сглажена во времени, но как тенденция она прослеживалась достаточно явно.</w:t>
      </w:r>
    </w:p>
    <w:p w14:paraId="7FC4FC72"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Наиболее популярными и востребованными мерами оказались.</w:t>
      </w:r>
    </w:p>
    <w:p w14:paraId="431599C0"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Меры монетарной политики.</w:t>
      </w:r>
    </w:p>
    <w:p w14:paraId="2EB829CD"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1. Обеспечение и поддержание ликвидности банков со стороны Центрального банка. Данная мера позволила стабилизировать банковский сектор в целом, в частности для расширения практики льготного кредитования на пополнение оборотных средств преджприятиями.</w:t>
      </w:r>
    </w:p>
    <w:p w14:paraId="6A286926"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2. Возмещение кредитным и иным организациям недополученных доходов по ипотечным кредитам и долгосрочным займам целевого характера. Данная мера позволила минимизировать риски кредитного рынка.</w:t>
      </w:r>
    </w:p>
    <w:p w14:paraId="2B56C22E"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3. Снижение ряда требований к банкам - требований к оценке кредитного риска, финансовых нормативов, размера резервного фонда.</w:t>
      </w:r>
    </w:p>
    <w:p w14:paraId="3A641D5A"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4. Поддержка рынка коллективных инвестиций. Данная мера является не только мерой оперативного реагирования, но и имеет долгосрочный позитивный эффект для развития системы проектного финансирования.</w:t>
      </w:r>
    </w:p>
    <w:p w14:paraId="2DC6D9D7"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5. Государственные гарантии по кредитам, выдаваемым системообразующим организациям.</w:t>
      </w:r>
    </w:p>
    <w:p w14:paraId="409FE645"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6. Программы реструктуризация или рефинансирование кредита кредитной организации.</w:t>
      </w:r>
    </w:p>
    <w:p w14:paraId="5151C4C0"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7. Кредитные каникулы для малого и среднего бизнеса (в РФ - на срок до 6 мес. и снижение платежей по кредиту после окончания льготного период).</w:t>
      </w:r>
    </w:p>
    <w:p w14:paraId="48F5D1DE"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9. Другие методы поддержки от Центрального банка или государственные гарантии в денежно-кредитной сфере.</w:t>
      </w:r>
    </w:p>
    <w:p w14:paraId="1980FC81"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Безусловно, методы монетарной поддержки бизнеса и граждан повлияли на темпы инфляции в сторону повышения, но в целом это повышение оказалось не столь значительным.</w:t>
      </w:r>
    </w:p>
    <w:p w14:paraId="0463A5F3"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Методы фискальной политики.</w:t>
      </w:r>
    </w:p>
    <w:p w14:paraId="7DE220E2"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xml:space="preserve">1. Меры, направленные на компенсацию расходов компаний. К ним </w:t>
      </w:r>
      <w:r w:rsidRPr="00B01894">
        <w:rPr>
          <w:rFonts w:ascii="Bookman Old Style" w:eastAsia="Bookman Old Style" w:hAnsi="Bookman Old Style" w:cs="Bookman Old Style"/>
          <w:sz w:val="18"/>
          <w:szCs w:val="18"/>
          <w:highlight w:val="green"/>
        </w:rPr>
        <w:lastRenderedPageBreak/>
        <w:t>следует отнести:</w:t>
      </w:r>
    </w:p>
    <w:p w14:paraId="6714747C"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отсрочка по уплате арендных платежей, в первую очередь для малого и среднего бизнеса, а также освобождение от ряда имущественных налогов и платежей, а также снижение суммы арендных;</w:t>
      </w:r>
    </w:p>
    <w:p w14:paraId="16C5B8F4"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отсрочка по уплате некоторых налогов, а также снижение налоговых ставок;</w:t>
      </w:r>
    </w:p>
    <w:p w14:paraId="3A551E71"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прямые субсидии - транспортная субсидия экспортерам, предоставление средств из ФНБ на реализацию важнейших инфраструктурных проектов, субсидия на возмещение недополученных доходов для исключения банкротства предприятия.</w:t>
      </w:r>
    </w:p>
    <w:p w14:paraId="6E7D988F"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2. Меры, направленные на сохранение рабочих мест. К ним следует отнести:</w:t>
      </w:r>
    </w:p>
    <w:p w14:paraId="6352990A"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субсидии на сохранение штатной численности работников ( в РФ в размере МРОТ на 1 сотрудника;.</w:t>
      </w:r>
    </w:p>
    <w:p w14:paraId="72C5EE78"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беспроцентный кредит на выплату зарплат (в РФ - для финансирования заработных плат в размере, равном произведению численности работников и суммы МРОТ);</w:t>
      </w:r>
    </w:p>
    <w:p w14:paraId="2E5A69A1"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 кредит на зарплату при возобновлении деятельности (в РФ - по ставке 2% с возможностью списания).</w:t>
      </w:r>
    </w:p>
    <w:p w14:paraId="5D931F07"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3. Меры, направленные на снижение или компенсацию расходов компаний из конкретных отраслей.</w:t>
      </w:r>
    </w:p>
    <w:p w14:paraId="701A2BB4"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К данным мерам следует отнести поддержку таких отраслей, как туризм, автомобильная промышленность, транспорт, торговля и некоторых других. Основные меры, применяемые для поддержки данных отраслей – субсидии на компенсацию убытков и возмещение расходов предприятиям, а также стимулирование спроса путем выдачи гарантий на льготное кредитование.</w:t>
      </w:r>
    </w:p>
    <w:p w14:paraId="370B8244"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Кроме того, следует отметить, что в условиях пандемии применялись и методы нормативно правового регулирования, например отмена некоторых процедур и правил, введение упрощенного режима взаимоотношений с налоговыми органами, разрешение на дистанционное открытие счетов и переход на дистанционное управление счетами и т.д.</w:t>
      </w:r>
    </w:p>
    <w:p w14:paraId="4F913781" w14:textId="77777777" w:rsidR="00B01894" w:rsidRPr="00B01894" w:rsidRDefault="00B01894" w:rsidP="00B01894">
      <w:pPr>
        <w:widowControl w:val="0"/>
        <w:spacing w:line="250" w:lineRule="exac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sz w:val="18"/>
          <w:szCs w:val="18"/>
          <w:highlight w:val="green"/>
        </w:rPr>
        <w:t>Меры, направленные на поддержку населения – прямые разовые и периодические выплаты, особенно незащищенным слоям населения, льготы и гарантии позволили поддержать потребительский спрос населения, что позитивно сказалось и на бизнесе.</w:t>
      </w:r>
    </w:p>
    <w:p w14:paraId="110B30AC" w14:textId="77777777" w:rsidR="00B01894" w:rsidRPr="00B01894" w:rsidRDefault="00B01894" w:rsidP="00B01894">
      <w:pPr>
        <w:widowControl w:val="0"/>
        <w:shd w:val="clear" w:color="auto" w:fill="FFFFFF"/>
        <w:spacing w:line="250" w:lineRule="exact"/>
        <w:rPr>
          <w:rFonts w:ascii="Bookman Old Style" w:eastAsia="Bookman Old Style" w:hAnsi="Bookman Old Style" w:cs="Bookman Old Style"/>
          <w:sz w:val="18"/>
          <w:szCs w:val="18"/>
        </w:rPr>
      </w:pPr>
      <w:r w:rsidRPr="00B01894">
        <w:rPr>
          <w:rFonts w:ascii="Bookman Old Style" w:eastAsia="Bookman Old Style" w:hAnsi="Bookman Old Style" w:cs="Bookman Old Style"/>
          <w:sz w:val="18"/>
          <w:szCs w:val="18"/>
          <w:highlight w:val="green"/>
        </w:rPr>
        <w:t>В целом, методы государственной поддержки бизнеса в период пандемии ковид-19 и оказались достаточно эффективными и позволили избежать глубокого экономического кризиса.</w:t>
      </w:r>
    </w:p>
    <w:p w14:paraId="75570408" w14:textId="77777777" w:rsidR="00B01894" w:rsidRPr="00B01894" w:rsidRDefault="00B01894" w:rsidP="00B01894">
      <w:pPr>
        <w:keepNext/>
        <w:keepLines/>
        <w:widowControl w:val="0"/>
        <w:spacing w:before="120" w:after="180" w:line="274" w:lineRule="exact"/>
        <w:ind w:firstLine="0"/>
        <w:jc w:val="center"/>
        <w:outlineLvl w:val="3"/>
        <w:rPr>
          <w:rFonts w:ascii="Arial Narrow" w:eastAsia="Arial Narrow" w:hAnsi="Arial Narrow" w:cs="Arial Narrow"/>
          <w:b/>
          <w:bCs/>
        </w:rPr>
      </w:pPr>
      <w:r w:rsidRPr="00B01894">
        <w:rPr>
          <w:rFonts w:ascii="Arial Narrow" w:eastAsia="Arial Narrow" w:hAnsi="Arial Narrow" w:cs="Arial Narrow"/>
          <w:b/>
          <w:bCs/>
          <w:color w:val="231F20"/>
        </w:rPr>
        <w:t>Выводы</w:t>
      </w:r>
    </w:p>
    <w:p w14:paraId="2642A709" w14:textId="77777777" w:rsidR="00B01894" w:rsidRPr="00B01894" w:rsidRDefault="00B01894" w:rsidP="00B01894">
      <w:pPr>
        <w:widowControl w:val="0"/>
        <w:numPr>
          <w:ilvl w:val="0"/>
          <w:numId w:val="13"/>
        </w:numPr>
        <w:tabs>
          <w:tab w:val="left" w:pos="577"/>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Основными научными школами, которые сформулировали принципы взаимодействия государства и других субъектов эконо</w:t>
      </w:r>
      <w:r w:rsidRPr="00B01894">
        <w:rPr>
          <w:rFonts w:ascii="Bookman Old Style" w:eastAsia="Bookman Old Style" w:hAnsi="Bookman Old Style" w:cs="Bookman Old Style"/>
          <w:color w:val="231F20"/>
          <w:sz w:val="18"/>
          <w:szCs w:val="18"/>
        </w:rPr>
        <w:softHyphen/>
        <w:t>мики, были меркантилизм, физиократия, классическая и неоклас</w:t>
      </w:r>
      <w:r w:rsidRPr="00B01894">
        <w:rPr>
          <w:rFonts w:ascii="Bookman Old Style" w:eastAsia="Bookman Old Style" w:hAnsi="Bookman Old Style" w:cs="Bookman Old Style"/>
          <w:color w:val="231F20"/>
          <w:sz w:val="18"/>
          <w:szCs w:val="18"/>
        </w:rPr>
        <w:softHyphen/>
        <w:t xml:space="preserve">сическая </w:t>
      </w:r>
      <w:r w:rsidRPr="00B01894">
        <w:rPr>
          <w:rFonts w:ascii="Bookman Old Style" w:eastAsia="Bookman Old Style" w:hAnsi="Bookman Old Style" w:cs="Bookman Old Style"/>
          <w:color w:val="231F20"/>
          <w:sz w:val="18"/>
          <w:szCs w:val="18"/>
        </w:rPr>
        <w:lastRenderedPageBreak/>
        <w:t>школы, кейнсианство, монетаризм и неолиберализм.</w:t>
      </w:r>
    </w:p>
    <w:p w14:paraId="660ECF1F" w14:textId="77777777" w:rsidR="00B01894" w:rsidRPr="00B01894" w:rsidRDefault="00B01894" w:rsidP="00B01894">
      <w:pPr>
        <w:widowControl w:val="0"/>
        <w:numPr>
          <w:ilvl w:val="0"/>
          <w:numId w:val="13"/>
        </w:numPr>
        <w:tabs>
          <w:tab w:val="left" w:pos="582"/>
        </w:tabs>
        <w:spacing w:line="250"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реализации целей государственного регулирования ис</w:t>
      </w:r>
      <w:r w:rsidRPr="00B01894">
        <w:rPr>
          <w:rFonts w:ascii="Bookman Old Style" w:eastAsia="Bookman Old Style" w:hAnsi="Bookman Old Style" w:cs="Bookman Old Style"/>
          <w:color w:val="231F20"/>
          <w:sz w:val="18"/>
          <w:szCs w:val="18"/>
        </w:rPr>
        <w:softHyphen/>
        <w:t>пользуются различные инструменты, которые можно разделить на две группы — административные методы прямого воздействия и меры экономического воздействия в целях стимулирования эко</w:t>
      </w:r>
      <w:r w:rsidRPr="00B01894">
        <w:rPr>
          <w:rFonts w:ascii="Bookman Old Style" w:eastAsia="Bookman Old Style" w:hAnsi="Bookman Old Style" w:cs="Bookman Old Style"/>
          <w:color w:val="231F20"/>
          <w:sz w:val="18"/>
          <w:szCs w:val="18"/>
        </w:rPr>
        <w:softHyphen/>
        <w:t>номики.</w:t>
      </w:r>
    </w:p>
    <w:p w14:paraId="612CC3B5" w14:textId="77777777" w:rsidR="00B01894" w:rsidRPr="00B01894" w:rsidRDefault="00B01894" w:rsidP="00B01894">
      <w:pPr>
        <w:widowControl w:val="0"/>
        <w:numPr>
          <w:ilvl w:val="0"/>
          <w:numId w:val="13"/>
        </w:numPr>
        <w:tabs>
          <w:tab w:val="left" w:pos="586"/>
        </w:tabs>
        <w:spacing w:line="250"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Практика показывает, что не существует универсальных рецептов государственного регулирования, в каждой стране можно наблюдать как общие черты, так и индивидуальные особенности. Однако некоторые страны в течение длительного времени исполь</w:t>
      </w:r>
      <w:r w:rsidRPr="00B01894">
        <w:rPr>
          <w:rFonts w:ascii="Bookman Old Style" w:eastAsia="Bookman Old Style" w:hAnsi="Bookman Old Style" w:cs="Bookman Old Style"/>
          <w:color w:val="231F20"/>
          <w:sz w:val="18"/>
          <w:szCs w:val="18"/>
        </w:rPr>
        <w:softHyphen/>
        <w:t>зуют преимущественно один и тот же набор методов и инструмен</w:t>
      </w:r>
      <w:r w:rsidRPr="00B01894">
        <w:rPr>
          <w:rFonts w:ascii="Bookman Old Style" w:eastAsia="Bookman Old Style" w:hAnsi="Bookman Old Style" w:cs="Bookman Old Style"/>
          <w:color w:val="231F20"/>
          <w:sz w:val="18"/>
          <w:szCs w:val="18"/>
        </w:rPr>
        <w:softHyphen/>
        <w:t>тов, характерных именно для данной страны, и поэтому с неко</w:t>
      </w:r>
      <w:r w:rsidRPr="00B01894">
        <w:rPr>
          <w:rFonts w:ascii="Bookman Old Style" w:eastAsia="Bookman Old Style" w:hAnsi="Bookman Old Style" w:cs="Bookman Old Style"/>
          <w:color w:val="231F20"/>
          <w:sz w:val="18"/>
          <w:szCs w:val="18"/>
        </w:rPr>
        <w:softHyphen/>
        <w:t xml:space="preserve">торой долей условности можно выделить ряд типичных моделей государственного регулирования по признаку принадлежности </w:t>
      </w:r>
      <w:bookmarkStart w:id="16" w:name="bookmark16"/>
      <w:r w:rsidRPr="00B01894">
        <w:rPr>
          <w:rFonts w:ascii="Bookman Old Style" w:eastAsia="Bookman Old Style" w:hAnsi="Bookman Old Style" w:cs="Bookman Old Style"/>
          <w:color w:val="231F20"/>
          <w:sz w:val="18"/>
          <w:szCs w:val="18"/>
        </w:rPr>
        <w:t>к той или иной стране или группе стран. Среди них американская, скандинавская (шведская), западноевропейская, восточно-азиат</w:t>
      </w:r>
      <w:r w:rsidRPr="00B01894">
        <w:rPr>
          <w:rFonts w:ascii="Bookman Old Style" w:eastAsia="Bookman Old Style" w:hAnsi="Bookman Old Style" w:cs="Bookman Old Style"/>
          <w:color w:val="231F20"/>
          <w:sz w:val="18"/>
          <w:szCs w:val="18"/>
        </w:rPr>
        <w:softHyphen/>
        <w:t>ская и некоторые другие модели.</w:t>
      </w:r>
      <w:bookmarkEnd w:id="16"/>
    </w:p>
    <w:p w14:paraId="0D5CE2BB" w14:textId="77777777" w:rsidR="00B01894" w:rsidRPr="00B01894" w:rsidRDefault="00B01894" w:rsidP="00B01894">
      <w:pPr>
        <w:widowControl w:val="0"/>
        <w:numPr>
          <w:ilvl w:val="0"/>
          <w:numId w:val="13"/>
        </w:numPr>
        <w:tabs>
          <w:tab w:val="left" w:pos="586"/>
        </w:tabs>
        <w:spacing w:after="421" w:line="250" w:lineRule="exact"/>
        <w:ind w:firstLine="320"/>
        <w:jc w:val="left"/>
        <w:rPr>
          <w:rFonts w:ascii="Bookman Old Style" w:eastAsia="Bookman Old Style" w:hAnsi="Bookman Old Style" w:cs="Bookman Old Style"/>
          <w:sz w:val="18"/>
          <w:szCs w:val="18"/>
          <w:highlight w:val="green"/>
        </w:rPr>
      </w:pPr>
      <w:r w:rsidRPr="00B01894">
        <w:rPr>
          <w:rFonts w:ascii="Bookman Old Style" w:eastAsia="Bookman Old Style" w:hAnsi="Bookman Old Style" w:cs="Bookman Old Style"/>
          <w:color w:val="231F20"/>
          <w:sz w:val="18"/>
          <w:szCs w:val="18"/>
          <w:highlight w:val="green"/>
        </w:rPr>
        <w:t>В условиях чрезвычайных ситуаций правительства прибегают к схожим рецептам государственного воздействия на экономику, оказывая помощь банковской сфере, бизнесу и населению.</w:t>
      </w:r>
    </w:p>
    <w:p w14:paraId="3F72C998" w14:textId="77777777" w:rsidR="00B01894" w:rsidRPr="00B01894" w:rsidRDefault="00B01894" w:rsidP="00B01894">
      <w:pPr>
        <w:keepNext/>
        <w:keepLines/>
        <w:widowControl w:val="0"/>
        <w:spacing w:after="178" w:line="274" w:lineRule="exact"/>
        <w:ind w:firstLine="0"/>
        <w:jc w:val="center"/>
        <w:outlineLvl w:val="3"/>
        <w:rPr>
          <w:rFonts w:ascii="Arial Narrow" w:eastAsia="Arial Narrow" w:hAnsi="Arial Narrow" w:cs="Arial Narrow"/>
          <w:b/>
          <w:bCs/>
        </w:rPr>
      </w:pPr>
      <w:bookmarkStart w:id="17" w:name="bookmark17"/>
      <w:r w:rsidRPr="00B01894">
        <w:rPr>
          <w:rFonts w:ascii="Arial Narrow" w:eastAsia="Arial Narrow" w:hAnsi="Arial Narrow" w:cs="Arial Narrow"/>
          <w:b/>
          <w:bCs/>
          <w:color w:val="231F20"/>
        </w:rPr>
        <w:t>Практикум</w:t>
      </w:r>
      <w:bookmarkEnd w:id="17"/>
    </w:p>
    <w:p w14:paraId="31ACA5C2" w14:textId="77777777" w:rsidR="00B01894" w:rsidRPr="00B01894" w:rsidRDefault="00B01894" w:rsidP="00B01894">
      <w:pPr>
        <w:widowControl w:val="0"/>
        <w:spacing w:after="109" w:line="202"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Вопросы и задания для самоконтроля</w:t>
      </w:r>
    </w:p>
    <w:p w14:paraId="475FDFA3" w14:textId="77777777" w:rsidR="00B01894" w:rsidRPr="00B01894" w:rsidRDefault="00B01894" w:rsidP="00B01894">
      <w:pPr>
        <w:widowControl w:val="0"/>
        <w:numPr>
          <w:ilvl w:val="0"/>
          <w:numId w:val="14"/>
        </w:numPr>
        <w:tabs>
          <w:tab w:val="left" w:pos="564"/>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Назовите научные школы, сформулировавшие основные принципы взаимодействия государства и бизнеса.</w:t>
      </w:r>
    </w:p>
    <w:p w14:paraId="44135A17" w14:textId="77777777" w:rsidR="00B01894" w:rsidRPr="00B01894" w:rsidRDefault="00B01894" w:rsidP="00B01894">
      <w:pPr>
        <w:widowControl w:val="0"/>
        <w:numPr>
          <w:ilvl w:val="0"/>
          <w:numId w:val="14"/>
        </w:numPr>
        <w:tabs>
          <w:tab w:val="left" w:pos="601"/>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Дайте определение понятию «государственное регулирование».</w:t>
      </w:r>
    </w:p>
    <w:p w14:paraId="3573F115" w14:textId="77777777" w:rsidR="00B01894" w:rsidRPr="00B01894" w:rsidRDefault="00B01894" w:rsidP="00B01894">
      <w:pPr>
        <w:widowControl w:val="0"/>
        <w:numPr>
          <w:ilvl w:val="0"/>
          <w:numId w:val="14"/>
        </w:numPr>
        <w:tabs>
          <w:tab w:val="left" w:pos="579"/>
        </w:tabs>
        <w:spacing w:line="216" w:lineRule="exact"/>
        <w:ind w:firstLine="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Назовите основные методы и инструменты государственного регу</w:t>
      </w:r>
      <w:r w:rsidRPr="00B01894">
        <w:rPr>
          <w:rFonts w:ascii="Bookman Old Style" w:eastAsia="Bookman Old Style" w:hAnsi="Bookman Old Style" w:cs="Bookman Old Style"/>
          <w:color w:val="231F20"/>
          <w:sz w:val="17"/>
          <w:szCs w:val="17"/>
        </w:rPr>
        <w:softHyphen/>
        <w:t>лирования.</w:t>
      </w:r>
    </w:p>
    <w:p w14:paraId="3BF48C78" w14:textId="77777777" w:rsidR="00B01894" w:rsidRPr="00B01894" w:rsidRDefault="00B01894" w:rsidP="00B01894">
      <w:pPr>
        <w:widowControl w:val="0"/>
        <w:numPr>
          <w:ilvl w:val="0"/>
          <w:numId w:val="14"/>
        </w:numPr>
        <w:tabs>
          <w:tab w:val="left" w:pos="564"/>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В чем состоит суть американской, японской, шведской и германской экономических моделей?</w:t>
      </w:r>
    </w:p>
    <w:p w14:paraId="2FBDA944" w14:textId="77777777" w:rsidR="00B01894" w:rsidRPr="00B01894" w:rsidRDefault="00B01894" w:rsidP="00B01894">
      <w:pPr>
        <w:widowControl w:val="0"/>
        <w:numPr>
          <w:ilvl w:val="0"/>
          <w:numId w:val="14"/>
        </w:numPr>
        <w:tabs>
          <w:tab w:val="left" w:pos="601"/>
        </w:tabs>
        <w:spacing w:line="216" w:lineRule="exact"/>
        <w:ind w:firstLine="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Назовите основные характеристики российской экономической модели.</w:t>
      </w:r>
    </w:p>
    <w:p w14:paraId="1A136F18" w14:textId="77777777" w:rsidR="00B01894" w:rsidRPr="00B01894" w:rsidRDefault="00B01894" w:rsidP="00B01894">
      <w:pPr>
        <w:widowControl w:val="0"/>
        <w:numPr>
          <w:ilvl w:val="0"/>
          <w:numId w:val="14"/>
        </w:numPr>
        <w:tabs>
          <w:tab w:val="left" w:pos="601"/>
        </w:tabs>
        <w:spacing w:after="131" w:line="216" w:lineRule="exact"/>
        <w:ind w:firstLine="0"/>
        <w:jc w:val="left"/>
        <w:rPr>
          <w:rFonts w:ascii="Bookman Old Style" w:eastAsia="Bookman Old Style" w:hAnsi="Bookman Old Style" w:cs="Bookman Old Style"/>
          <w:sz w:val="17"/>
          <w:szCs w:val="17"/>
          <w:highlight w:val="green"/>
        </w:rPr>
      </w:pPr>
      <w:r w:rsidRPr="00B01894">
        <w:rPr>
          <w:rFonts w:ascii="Bookman Old Style" w:eastAsia="Bookman Old Style" w:hAnsi="Bookman Old Style" w:cs="Bookman Old Style"/>
          <w:color w:val="231F20"/>
          <w:sz w:val="17"/>
          <w:szCs w:val="17"/>
          <w:highlight w:val="green"/>
        </w:rPr>
        <w:t xml:space="preserve">Какие меры государственной поддержки бизнеса Вы считаете наиболее эффективными. </w:t>
      </w:r>
    </w:p>
    <w:p w14:paraId="7699B9F1" w14:textId="77777777" w:rsidR="00B01894" w:rsidRPr="00B01894" w:rsidRDefault="00B01894" w:rsidP="00B01894">
      <w:pPr>
        <w:widowControl w:val="0"/>
        <w:spacing w:after="109" w:line="202"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Задание</w:t>
      </w:r>
    </w:p>
    <w:p w14:paraId="027F44AC" w14:textId="77777777" w:rsidR="00B01894" w:rsidRPr="00B01894" w:rsidRDefault="00B01894" w:rsidP="00B01894">
      <w:pPr>
        <w:widowControl w:val="0"/>
        <w:spacing w:after="394" w:line="216" w:lineRule="exact"/>
        <w:ind w:firstLine="320"/>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Изучив точки зрения разных экспертов в области социологии, политоло</w:t>
      </w:r>
      <w:r w:rsidRPr="00B01894">
        <w:rPr>
          <w:rFonts w:ascii="Bookman Old Style" w:eastAsia="Bookman Old Style" w:hAnsi="Bookman Old Style" w:cs="Bookman Old Style"/>
          <w:color w:val="231F20"/>
          <w:sz w:val="17"/>
          <w:szCs w:val="17"/>
        </w:rPr>
        <w:softHyphen/>
        <w:t>гии, экономики, сделайте сравнительный анализ моделей взаимодействия государства и бизнеса</w:t>
      </w:r>
      <w:r w:rsidRPr="00B01894">
        <w:rPr>
          <w:rFonts w:ascii="Bookman Old Style" w:eastAsia="Bookman Old Style" w:hAnsi="Bookman Old Style" w:cs="Bookman Old Style"/>
          <w:color w:val="231F20"/>
          <w:sz w:val="17"/>
          <w:szCs w:val="17"/>
          <w:vertAlign w:val="superscript"/>
        </w:rPr>
        <w:footnoteReference w:id="3"/>
      </w:r>
      <w:r w:rsidRPr="00B01894">
        <w:rPr>
          <w:rFonts w:ascii="Bookman Old Style" w:eastAsia="Bookman Old Style" w:hAnsi="Bookman Old Style" w:cs="Bookman Old Style"/>
          <w:color w:val="231F20"/>
          <w:sz w:val="17"/>
          <w:szCs w:val="17"/>
        </w:rPr>
        <w:t>. Выделите модель, которая, на ваш взгляд, наиболее точно описывает сложившийся характер взаимодействия экономических субъектов в России. Охарактеризуйте модель взаимодействия государства и бизнеса в российской экономике.</w:t>
      </w:r>
    </w:p>
    <w:p w14:paraId="677A202C" w14:textId="77777777" w:rsidR="00B01894" w:rsidRPr="00B01894" w:rsidRDefault="00B01894" w:rsidP="00B01894">
      <w:pPr>
        <w:keepNext/>
        <w:keepLines/>
        <w:widowControl w:val="0"/>
        <w:spacing w:after="166" w:line="274" w:lineRule="exact"/>
        <w:ind w:firstLine="0"/>
        <w:jc w:val="center"/>
        <w:outlineLvl w:val="3"/>
        <w:rPr>
          <w:rFonts w:ascii="Arial Narrow" w:eastAsia="Arial Narrow" w:hAnsi="Arial Narrow" w:cs="Arial Narrow"/>
          <w:b/>
          <w:bCs/>
        </w:rPr>
      </w:pPr>
      <w:bookmarkStart w:id="18" w:name="bookmark18"/>
      <w:r w:rsidRPr="00B01894">
        <w:rPr>
          <w:rFonts w:ascii="Arial Narrow" w:eastAsia="Arial Narrow" w:hAnsi="Arial Narrow" w:cs="Arial Narrow"/>
          <w:b/>
          <w:bCs/>
          <w:color w:val="231F20"/>
        </w:rPr>
        <w:lastRenderedPageBreak/>
        <w:t>Литература</w:t>
      </w:r>
      <w:bookmarkEnd w:id="18"/>
    </w:p>
    <w:p w14:paraId="53311FD6" w14:textId="77777777" w:rsidR="00B01894" w:rsidRPr="00B01894" w:rsidRDefault="00B01894" w:rsidP="00B01894">
      <w:pPr>
        <w:widowControl w:val="0"/>
        <w:numPr>
          <w:ilvl w:val="0"/>
          <w:numId w:val="15"/>
        </w:numPr>
        <w:tabs>
          <w:tab w:val="left" w:pos="569"/>
        </w:tabs>
        <w:spacing w:line="216" w:lineRule="exact"/>
        <w:ind w:firstLine="320"/>
        <w:jc w:val="left"/>
        <w:rPr>
          <w:rFonts w:ascii="Bookman Old Style" w:eastAsia="Bookman Old Style" w:hAnsi="Bookman Old Style" w:cs="Bookman Old Style"/>
          <w:sz w:val="17"/>
          <w:szCs w:val="17"/>
          <w:highlight w:val="green"/>
        </w:rPr>
      </w:pPr>
      <w:r w:rsidRPr="00B01894">
        <w:rPr>
          <w:rFonts w:ascii="Bookman Old Style" w:eastAsia="Bookman Old Style" w:hAnsi="Bookman Old Style" w:cs="Bookman Old Style"/>
          <w:sz w:val="17"/>
          <w:szCs w:val="17"/>
          <w:highlight w:val="green"/>
        </w:rPr>
        <w:t>Антикризисное управление: теория и практика / Под ред. А.Н. Ряховской, С.Е. Кована. М.: КНОРУС, 2018. - 378 с.</w:t>
      </w:r>
    </w:p>
    <w:p w14:paraId="1E9F3C25" w14:textId="77777777" w:rsidR="00B01894" w:rsidRPr="00B01894" w:rsidRDefault="00B01894" w:rsidP="00B01894">
      <w:pPr>
        <w:widowControl w:val="0"/>
        <w:numPr>
          <w:ilvl w:val="0"/>
          <w:numId w:val="15"/>
        </w:numPr>
        <w:tabs>
          <w:tab w:val="left" w:pos="559"/>
        </w:tabs>
        <w:spacing w:line="216" w:lineRule="exact"/>
        <w:ind w:firstLine="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Блауг, М.</w:t>
      </w:r>
      <w:r w:rsidRPr="00B01894">
        <w:rPr>
          <w:rFonts w:ascii="Bookman Old Style" w:eastAsia="Bookman Old Style" w:hAnsi="Bookman Old Style" w:cs="Bookman Old Style"/>
          <w:color w:val="231F20"/>
          <w:sz w:val="17"/>
          <w:szCs w:val="17"/>
        </w:rPr>
        <w:t xml:space="preserve"> 100 великих экономистов до Кейнса / М. Блауг. — М. : Омега-Л, 2008.</w:t>
      </w:r>
    </w:p>
    <w:p w14:paraId="5DD32464" w14:textId="77777777" w:rsidR="00B01894" w:rsidRPr="00B01894" w:rsidRDefault="00B01894" w:rsidP="00B01894">
      <w:pPr>
        <w:widowControl w:val="0"/>
        <w:numPr>
          <w:ilvl w:val="0"/>
          <w:numId w:val="15"/>
        </w:numPr>
        <w:tabs>
          <w:tab w:val="left" w:pos="579"/>
        </w:tabs>
        <w:spacing w:line="216" w:lineRule="exact"/>
        <w:ind w:firstLine="0"/>
        <w:jc w:val="left"/>
        <w:rPr>
          <w:rFonts w:ascii="Bookman Old Style" w:eastAsia="Bookman Old Style" w:hAnsi="Bookman Old Style" w:cs="Bookman Old Style"/>
          <w:sz w:val="17"/>
          <w:szCs w:val="17"/>
          <w:highlight w:val="green"/>
        </w:rPr>
      </w:pPr>
      <w:r w:rsidRPr="00B01894">
        <w:rPr>
          <w:rFonts w:ascii="Bookman Old Style" w:eastAsiaTheme="minorHAnsi" w:hAnsi="Bookman Old Style" w:cs="Bookman Old Style"/>
          <w:color w:val="231F20"/>
          <w:sz w:val="17"/>
          <w:szCs w:val="17"/>
          <w:highlight w:val="green"/>
          <w:lang w:eastAsia="en-US" w:bidi="ar-SA"/>
        </w:rPr>
        <w:t>Буш В. Г. Государство и бизнес в регионе: стратегии взаимодействия. Учебное пособие / Краснодар: Новация, 2021</w:t>
      </w:r>
      <w:r w:rsidRPr="00B01894">
        <w:rPr>
          <w:rFonts w:ascii="Bookman Old Style" w:eastAsia="Bookman Old Style" w:hAnsi="Bookman Old Style" w:cs="Bookman Old Style"/>
          <w:color w:val="231F20"/>
          <w:sz w:val="17"/>
          <w:szCs w:val="17"/>
          <w:highlight w:val="green"/>
        </w:rPr>
        <w:t xml:space="preserve">. — </w:t>
      </w:r>
      <w:r w:rsidRPr="00B01894">
        <w:rPr>
          <w:rFonts w:ascii="Bookman Old Style" w:eastAsiaTheme="minorHAnsi" w:hAnsi="Bookman Old Style" w:cs="Bookman Old Style"/>
          <w:color w:val="231F20"/>
          <w:sz w:val="17"/>
          <w:szCs w:val="17"/>
          <w:highlight w:val="green"/>
          <w:lang w:eastAsia="en-US" w:bidi="ar-SA"/>
        </w:rPr>
        <w:t>320 с.</w:t>
      </w:r>
    </w:p>
    <w:p w14:paraId="0827FF13" w14:textId="77777777" w:rsidR="00B01894" w:rsidRPr="00B01894" w:rsidRDefault="00B01894" w:rsidP="00B01894">
      <w:pPr>
        <w:widowControl w:val="0"/>
        <w:numPr>
          <w:ilvl w:val="0"/>
          <w:numId w:val="15"/>
        </w:numPr>
        <w:tabs>
          <w:tab w:val="left" w:pos="564"/>
        </w:tabs>
        <w:spacing w:line="216" w:lineRule="exact"/>
        <w:ind w:firstLine="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Взаимодействие государства и бизнеса : учеб. пособие / Л. А. Добры</w:t>
      </w:r>
      <w:r w:rsidRPr="00B01894">
        <w:rPr>
          <w:rFonts w:ascii="Bookman Old Style" w:eastAsia="Bookman Old Style" w:hAnsi="Bookman Old Style" w:cs="Bookman Old Style"/>
          <w:color w:val="231F20"/>
          <w:sz w:val="17"/>
          <w:szCs w:val="17"/>
        </w:rPr>
        <w:softHyphen/>
        <w:t>нин [и др.]. — СПб. : Изд-во СПбГЭУ, 2014.</w:t>
      </w:r>
    </w:p>
    <w:p w14:paraId="01714137" w14:textId="77777777" w:rsidR="00B01894" w:rsidRPr="00B01894" w:rsidRDefault="00B01894" w:rsidP="00B01894">
      <w:pPr>
        <w:widowControl w:val="0"/>
        <w:numPr>
          <w:ilvl w:val="0"/>
          <w:numId w:val="15"/>
        </w:numPr>
        <w:tabs>
          <w:tab w:val="left" w:pos="579"/>
        </w:tabs>
        <w:spacing w:line="216" w:lineRule="exact"/>
        <w:ind w:firstLine="0"/>
        <w:jc w:val="left"/>
        <w:rPr>
          <w:rFonts w:ascii="Bookman Old Style" w:eastAsia="Bookman Old Style" w:hAnsi="Bookman Old Style" w:cs="Bookman Old Style"/>
          <w:sz w:val="17"/>
          <w:szCs w:val="17"/>
          <w:highlight w:val="green"/>
        </w:rPr>
      </w:pPr>
      <w:r w:rsidRPr="00B01894">
        <w:rPr>
          <w:rFonts w:ascii="Bookman Old Style" w:eastAsiaTheme="minorHAnsi" w:hAnsi="Bookman Old Style" w:cs="Bookman Old Style"/>
          <w:color w:val="231F20"/>
          <w:sz w:val="17"/>
          <w:szCs w:val="17"/>
          <w:highlight w:val="green"/>
          <w:lang w:eastAsia="en-US" w:bidi="ar-SA"/>
        </w:rPr>
        <w:t>Карташов К. А. Государство и бизнес: стратегии взаимодействия: учебное пособие / Краснодар:</w:t>
      </w:r>
      <w:r w:rsidRPr="00B01894">
        <w:rPr>
          <w:rFonts w:ascii="Bookman Old Style" w:eastAsiaTheme="minorHAnsi" w:hAnsi="Bookman Old Style" w:cs="Bookman Old Style"/>
          <w:color w:val="231F20"/>
          <w:sz w:val="17"/>
          <w:szCs w:val="17"/>
          <w:highlight w:val="green"/>
          <w:shd w:val="clear" w:color="auto" w:fill="F3F3F3"/>
          <w:lang w:eastAsia="en-US" w:bidi="ar-SA"/>
        </w:rPr>
        <w:t xml:space="preserve"> </w:t>
      </w:r>
      <w:r w:rsidRPr="00B01894">
        <w:rPr>
          <w:rFonts w:ascii="Bookman Old Style" w:eastAsiaTheme="minorHAnsi" w:hAnsi="Bookman Old Style" w:cs="Bookman Old Style"/>
          <w:color w:val="231F20"/>
          <w:sz w:val="17"/>
          <w:szCs w:val="17"/>
          <w:highlight w:val="green"/>
          <w:lang w:eastAsia="en-US" w:bidi="ar-SA"/>
        </w:rPr>
        <w:t>Краснодарский ЦНТИ филиал ФГБУ "РЭА" Минэнерго России: 2020</w:t>
      </w:r>
      <w:r w:rsidRPr="00B01894">
        <w:rPr>
          <w:rFonts w:ascii="Bookman Old Style" w:eastAsiaTheme="minorHAnsi" w:hAnsi="Bookman Old Style" w:cs="Bookman Old Style"/>
          <w:color w:val="231F20"/>
          <w:sz w:val="17"/>
          <w:szCs w:val="17"/>
          <w:highlight w:val="green"/>
          <w:lang w:eastAsia="en-US"/>
        </w:rPr>
        <w:t xml:space="preserve">. — </w:t>
      </w:r>
      <w:r w:rsidRPr="00B01894">
        <w:rPr>
          <w:rFonts w:ascii="Bookman Old Style" w:eastAsiaTheme="minorHAnsi" w:hAnsi="Bookman Old Style" w:cs="Bookman Old Style"/>
          <w:color w:val="231F20"/>
          <w:sz w:val="17"/>
          <w:szCs w:val="17"/>
          <w:highlight w:val="green"/>
          <w:lang w:eastAsia="en-US" w:bidi="ar-SA"/>
        </w:rPr>
        <w:t xml:space="preserve"> 153 с.</w:t>
      </w:r>
    </w:p>
    <w:p w14:paraId="70DF8F21" w14:textId="77777777" w:rsidR="00B01894" w:rsidRPr="00B01894" w:rsidRDefault="00B01894" w:rsidP="00B01894">
      <w:pPr>
        <w:widowControl w:val="0"/>
        <w:numPr>
          <w:ilvl w:val="0"/>
          <w:numId w:val="15"/>
        </w:numPr>
        <w:tabs>
          <w:tab w:val="left" w:pos="569"/>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Кейнс, Дж. М.</w:t>
      </w:r>
      <w:r w:rsidRPr="00B01894">
        <w:rPr>
          <w:rFonts w:ascii="Bookman Old Style" w:eastAsia="Bookman Old Style" w:hAnsi="Bookman Old Style" w:cs="Bookman Old Style"/>
          <w:color w:val="231F20"/>
          <w:sz w:val="17"/>
          <w:szCs w:val="17"/>
        </w:rPr>
        <w:t xml:space="preserve"> Общая теория занятости, процента и денег / Дж. М. Кейнс ; пер. проф. Н. Н. Любимова. — М. : Гелиос АРВ, 2012.</w:t>
      </w:r>
    </w:p>
    <w:p w14:paraId="4B82CF03" w14:textId="77777777" w:rsidR="00B01894" w:rsidRPr="00B01894" w:rsidRDefault="00B01894" w:rsidP="00B01894">
      <w:pPr>
        <w:widowControl w:val="0"/>
        <w:numPr>
          <w:ilvl w:val="0"/>
          <w:numId w:val="15"/>
        </w:numPr>
        <w:tabs>
          <w:tab w:val="left" w:pos="574"/>
        </w:tabs>
        <w:spacing w:line="216" w:lineRule="exact"/>
        <w:ind w:firstLine="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Луссе, А. В.</w:t>
      </w:r>
      <w:r w:rsidRPr="00B01894">
        <w:rPr>
          <w:rFonts w:ascii="Bookman Old Style" w:eastAsia="Bookman Old Style" w:hAnsi="Bookman Old Style" w:cs="Bookman Old Style"/>
          <w:color w:val="231F20"/>
          <w:sz w:val="17"/>
          <w:szCs w:val="17"/>
        </w:rPr>
        <w:t xml:space="preserve"> Макроэкономика: ключевые вопросы : учеб. пособие / А. В. Луссе. — СПб. : Питер, 1999.</w:t>
      </w:r>
    </w:p>
    <w:p w14:paraId="744C8C5D" w14:textId="77777777" w:rsidR="00B01894" w:rsidRPr="00B01894" w:rsidRDefault="00B01894" w:rsidP="00B01894">
      <w:pPr>
        <w:widowControl w:val="0"/>
        <w:numPr>
          <w:ilvl w:val="0"/>
          <w:numId w:val="15"/>
        </w:numPr>
        <w:tabs>
          <w:tab w:val="left" w:pos="574"/>
        </w:tabs>
        <w:spacing w:line="216" w:lineRule="exact"/>
        <w:ind w:firstLine="0"/>
        <w:jc w:val="left"/>
        <w:rPr>
          <w:rFonts w:ascii="Bookman Old Style" w:eastAsia="Bookman Old Style" w:hAnsi="Bookman Old Style" w:cs="Bookman Old Style"/>
          <w:sz w:val="17"/>
          <w:szCs w:val="17"/>
          <w:highlight w:val="green"/>
        </w:rPr>
      </w:pPr>
      <w:r w:rsidRPr="00B01894">
        <w:rPr>
          <w:rFonts w:ascii="Bookman Old Style" w:eastAsia="Bookman Old Style" w:hAnsi="Bookman Old Style" w:cs="Bookman Old Style"/>
          <w:color w:val="231F20"/>
          <w:sz w:val="17"/>
          <w:szCs w:val="17"/>
          <w:highlight w:val="green"/>
        </w:rPr>
        <w:t>Оценка бизнесом финансовых мер поддержки в условиях распространения Covid-19. Аналитический обзор / М.:2020. —  21 с</w:t>
      </w:r>
    </w:p>
    <w:p w14:paraId="37B1C9AA" w14:textId="77777777" w:rsidR="00B01894" w:rsidRPr="00B01894" w:rsidRDefault="00B01894" w:rsidP="00B01894">
      <w:pPr>
        <w:widowControl w:val="0"/>
        <w:numPr>
          <w:ilvl w:val="0"/>
          <w:numId w:val="15"/>
        </w:numPr>
        <w:spacing w:line="216" w:lineRule="exact"/>
        <w:ind w:firstLine="0"/>
        <w:jc w:val="left"/>
        <w:rPr>
          <w:rFonts w:ascii="Bookman Old Style" w:eastAsiaTheme="minorHAnsi" w:hAnsi="Bookman Old Style" w:cs="Bookman Old Style"/>
          <w:color w:val="231F20"/>
          <w:sz w:val="17"/>
          <w:szCs w:val="17"/>
          <w:highlight w:val="green"/>
          <w:lang w:eastAsia="en-US" w:bidi="ar-SA"/>
        </w:rPr>
      </w:pPr>
      <w:r w:rsidRPr="00B01894">
        <w:rPr>
          <w:rFonts w:ascii="Bookman Old Style" w:eastAsiaTheme="minorHAnsi" w:hAnsi="Bookman Old Style" w:cs="Bookman Old Style"/>
          <w:color w:val="231F20"/>
          <w:sz w:val="17"/>
          <w:szCs w:val="17"/>
          <w:highlight w:val="green"/>
          <w:lang w:eastAsia="en-US" w:bidi="ar-SA"/>
        </w:rPr>
        <w:t>Полетаев В.Э. Государство и бизнес в России: инновации и перспективы: Монография / Московский государственный областной университет, Москва: ИНФРА-М, 2020</w:t>
      </w:r>
      <w:r w:rsidRPr="00B01894">
        <w:rPr>
          <w:rFonts w:ascii="Bookman Old Style" w:eastAsiaTheme="minorHAnsi" w:hAnsi="Bookman Old Style" w:cs="Bookman Old Style"/>
          <w:color w:val="231F20"/>
          <w:sz w:val="17"/>
          <w:szCs w:val="17"/>
          <w:highlight w:val="green"/>
          <w:lang w:eastAsia="en-US"/>
        </w:rPr>
        <w:t xml:space="preserve">. — </w:t>
      </w:r>
      <w:r w:rsidRPr="00B01894">
        <w:rPr>
          <w:rFonts w:ascii="Bookman Old Style" w:eastAsiaTheme="minorHAnsi" w:hAnsi="Bookman Old Style" w:cs="Bookman Old Style"/>
          <w:color w:val="231F20"/>
          <w:sz w:val="17"/>
          <w:szCs w:val="17"/>
          <w:highlight w:val="green"/>
          <w:lang w:eastAsia="en-US" w:bidi="ar-SA"/>
        </w:rPr>
        <w:t xml:space="preserve"> 282 с.</w:t>
      </w:r>
    </w:p>
    <w:p w14:paraId="3A925E97" w14:textId="77777777" w:rsidR="00B01894" w:rsidRPr="00B01894" w:rsidRDefault="00B01894" w:rsidP="00B01894">
      <w:pPr>
        <w:widowControl w:val="0"/>
        <w:numPr>
          <w:ilvl w:val="0"/>
          <w:numId w:val="15"/>
        </w:numPr>
        <w:tabs>
          <w:tab w:val="left" w:pos="579"/>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Радушинский, Д. А.</w:t>
      </w:r>
      <w:r w:rsidRPr="00B01894">
        <w:rPr>
          <w:rFonts w:ascii="Bookman Old Style" w:eastAsia="Bookman Old Style" w:hAnsi="Bookman Old Style" w:cs="Bookman Old Style"/>
          <w:color w:val="231F20"/>
          <w:sz w:val="17"/>
          <w:szCs w:val="17"/>
        </w:rPr>
        <w:t xml:space="preserve"> Роль государства в экономике (крупнейшие теории ХХ века) / Д. А. Радушинский // Правовое поле современной экономики. — 2012. — № 1. — С. 18—31.</w:t>
      </w:r>
    </w:p>
    <w:p w14:paraId="1C43ACE9" w14:textId="77777777" w:rsidR="00B01894" w:rsidRPr="00B01894" w:rsidRDefault="00B01894" w:rsidP="00B01894">
      <w:pPr>
        <w:widowControl w:val="0"/>
        <w:numPr>
          <w:ilvl w:val="0"/>
          <w:numId w:val="15"/>
        </w:numPr>
        <w:tabs>
          <w:tab w:val="left" w:pos="579"/>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Смит, А.</w:t>
      </w:r>
      <w:r w:rsidRPr="00B01894">
        <w:rPr>
          <w:rFonts w:ascii="Bookman Old Style" w:eastAsia="Bookman Old Style" w:hAnsi="Bookman Old Style" w:cs="Bookman Old Style"/>
          <w:color w:val="231F20"/>
          <w:sz w:val="17"/>
          <w:szCs w:val="17"/>
        </w:rPr>
        <w:t xml:space="preserve"> Исследование о природе и причинах богатства народов / А. Смит. — М., 1962.</w:t>
      </w:r>
    </w:p>
    <w:p w14:paraId="6B4D2941" w14:textId="77777777" w:rsidR="00B01894" w:rsidRPr="00B01894" w:rsidRDefault="00B01894" w:rsidP="00B01894">
      <w:pPr>
        <w:widowControl w:val="0"/>
        <w:numPr>
          <w:ilvl w:val="0"/>
          <w:numId w:val="15"/>
        </w:numPr>
        <w:tabs>
          <w:tab w:val="left" w:pos="579"/>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Шумпетер, Й.</w:t>
      </w:r>
      <w:r w:rsidRPr="00B01894">
        <w:rPr>
          <w:rFonts w:ascii="Bookman Old Style" w:eastAsia="Bookman Old Style" w:hAnsi="Bookman Old Style" w:cs="Bookman Old Style"/>
          <w:color w:val="231F20"/>
          <w:sz w:val="17"/>
          <w:szCs w:val="17"/>
        </w:rPr>
        <w:t xml:space="preserve"> Мари Эспри Леон Вальрас (1834—1910) / Й. Шумпе</w:t>
      </w:r>
      <w:r w:rsidRPr="00B01894">
        <w:rPr>
          <w:rFonts w:ascii="Bookman Old Style" w:eastAsia="Bookman Old Style" w:hAnsi="Bookman Old Style" w:cs="Bookman Old Style"/>
          <w:color w:val="231F20"/>
          <w:sz w:val="17"/>
          <w:szCs w:val="17"/>
        </w:rPr>
        <w:softHyphen/>
        <w:t>тер // Десять великих экономистов от Маркса до Кейнса. — Гл. 2. — М. : Институт Гайдара, 2011. — С. 117—124.</w:t>
      </w:r>
    </w:p>
    <w:p w14:paraId="0A348ED0" w14:textId="77777777" w:rsidR="00B01894" w:rsidRPr="00B01894" w:rsidRDefault="00B01894" w:rsidP="00B01894">
      <w:pPr>
        <w:widowControl w:val="0"/>
        <w:numPr>
          <w:ilvl w:val="0"/>
          <w:numId w:val="15"/>
        </w:numPr>
        <w:tabs>
          <w:tab w:val="left" w:pos="569"/>
        </w:tabs>
        <w:spacing w:line="216" w:lineRule="exact"/>
        <w:ind w:firstLine="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Эрхард, Л.</w:t>
      </w:r>
      <w:r w:rsidRPr="00B01894">
        <w:rPr>
          <w:rFonts w:ascii="Bookman Old Style" w:eastAsia="Bookman Old Style" w:hAnsi="Bookman Old Style" w:cs="Bookman Old Style"/>
          <w:color w:val="231F20"/>
          <w:sz w:val="17"/>
          <w:szCs w:val="17"/>
        </w:rPr>
        <w:t xml:space="preserve"> Благосостояние для всех : пер. с нем. / Л. Эрхард. — М. : Начала-пресс, 1991. – 261 </w:t>
      </w:r>
      <w:r w:rsidRPr="00B01894">
        <w:rPr>
          <w:rFonts w:ascii="Bookman Old Style" w:eastAsia="Bookman Old Style" w:hAnsi="Bookman Old Style" w:cs="Bookman Old Style"/>
          <w:color w:val="231F20"/>
          <w:sz w:val="17"/>
          <w:szCs w:val="17"/>
          <w:lang w:val="en-US"/>
        </w:rPr>
        <w:t>c</w:t>
      </w:r>
      <w:r w:rsidRPr="00B01894">
        <w:rPr>
          <w:rFonts w:ascii="Bookman Old Style" w:eastAsia="Bookman Old Style" w:hAnsi="Bookman Old Style" w:cs="Bookman Old Style"/>
          <w:color w:val="231F20"/>
          <w:sz w:val="17"/>
          <w:szCs w:val="17"/>
        </w:rPr>
        <w:t>.</w:t>
      </w:r>
    </w:p>
    <w:p w14:paraId="1D578021" w14:textId="77777777" w:rsidR="00B01894" w:rsidRPr="00B01894" w:rsidRDefault="00B01894" w:rsidP="00B01894">
      <w:pPr>
        <w:widowControl w:val="0"/>
        <w:numPr>
          <w:ilvl w:val="0"/>
          <w:numId w:val="15"/>
        </w:numPr>
        <w:shd w:val="clear" w:color="auto" w:fill="FFFFFF"/>
        <w:tabs>
          <w:tab w:val="left" w:pos="569"/>
        </w:tabs>
        <w:spacing w:line="216" w:lineRule="exact"/>
        <w:ind w:firstLine="0"/>
        <w:jc w:val="left"/>
        <w:rPr>
          <w:rFonts w:ascii="Bookman Old Style" w:eastAsia="Bookman Old Style" w:hAnsi="Bookman Old Style" w:cs="Bookman Old Style"/>
          <w:sz w:val="17"/>
          <w:szCs w:val="17"/>
          <w:highlight w:val="green"/>
          <w:lang w:val="en-US"/>
        </w:rPr>
      </w:pPr>
      <w:r w:rsidRPr="00B01894">
        <w:rPr>
          <w:rFonts w:ascii="Bookman Old Style" w:eastAsia="Bookman Old Style" w:hAnsi="Bookman Old Style" w:cs="Bookman Old Style"/>
          <w:sz w:val="17"/>
          <w:szCs w:val="17"/>
          <w:highlight w:val="green"/>
        </w:rPr>
        <w:t>Банк России. Годовой отчет за 2021 год. М</w:t>
      </w:r>
      <w:r w:rsidRPr="00B01894">
        <w:rPr>
          <w:rFonts w:ascii="Bookman Old Style" w:eastAsia="Bookman Old Style" w:hAnsi="Bookman Old Style" w:cs="Bookman Old Style"/>
          <w:sz w:val="17"/>
          <w:szCs w:val="17"/>
          <w:highlight w:val="green"/>
          <w:lang w:val="en-US"/>
        </w:rPr>
        <w:t xml:space="preserve">.: 2022. – 372 </w:t>
      </w:r>
      <w:r w:rsidRPr="00B01894">
        <w:rPr>
          <w:rFonts w:ascii="Bookman Old Style" w:eastAsia="Bookman Old Style" w:hAnsi="Bookman Old Style" w:cs="Bookman Old Style"/>
          <w:sz w:val="17"/>
          <w:szCs w:val="17"/>
          <w:highlight w:val="green"/>
        </w:rPr>
        <w:t>с</w:t>
      </w:r>
      <w:r w:rsidRPr="00B01894">
        <w:rPr>
          <w:rFonts w:ascii="Bookman Old Style" w:eastAsia="Bookman Old Style" w:hAnsi="Bookman Old Style" w:cs="Bookman Old Style"/>
          <w:sz w:val="17"/>
          <w:szCs w:val="17"/>
          <w:highlight w:val="green"/>
          <w:lang w:val="en-US"/>
        </w:rPr>
        <w:t xml:space="preserve">. URL </w:t>
      </w:r>
      <w:hyperlink r:id="rId13" w:history="1">
        <w:r w:rsidRPr="00B01894">
          <w:rPr>
            <w:rFonts w:ascii="Bookman Old Style" w:eastAsia="Bookman Old Style" w:hAnsi="Bookman Old Style" w:cs="Bookman Old Style"/>
            <w:color w:val="0000FF" w:themeColor="hyperlink"/>
            <w:sz w:val="17"/>
            <w:szCs w:val="17"/>
            <w:highlight w:val="green"/>
            <w:u w:val="single"/>
            <w:lang w:val="en-US"/>
          </w:rPr>
          <w:t>http://www.cbr.ru/about_br/publ/god/</w:t>
        </w:r>
      </w:hyperlink>
    </w:p>
    <w:p w14:paraId="40DB3F2A" w14:textId="77777777" w:rsidR="00B01894" w:rsidRPr="00B01894" w:rsidRDefault="00B01894" w:rsidP="00B01894">
      <w:pPr>
        <w:widowControl w:val="0"/>
        <w:numPr>
          <w:ilvl w:val="0"/>
          <w:numId w:val="15"/>
        </w:numPr>
        <w:shd w:val="clear" w:color="auto" w:fill="FFFFFF"/>
        <w:tabs>
          <w:tab w:val="left" w:pos="569"/>
        </w:tabs>
        <w:spacing w:line="216" w:lineRule="exact"/>
        <w:ind w:firstLine="0"/>
        <w:jc w:val="left"/>
        <w:rPr>
          <w:rFonts w:ascii="Bookman Old Style" w:eastAsia="Bookman Old Style" w:hAnsi="Bookman Old Style" w:cs="Bookman Old Style"/>
          <w:sz w:val="17"/>
          <w:szCs w:val="17"/>
          <w:highlight w:val="green"/>
        </w:rPr>
      </w:pPr>
      <w:r w:rsidRPr="00B01894">
        <w:rPr>
          <w:rFonts w:ascii="Bookman Old Style" w:eastAsia="Bookman Old Style" w:hAnsi="Bookman Old Style" w:cs="Bookman Old Style"/>
          <w:sz w:val="17"/>
          <w:szCs w:val="17"/>
          <w:highlight w:val="green"/>
        </w:rPr>
        <w:t>Обзор: "Перечень мер в связи с коронавирусом (</w:t>
      </w:r>
      <w:r w:rsidRPr="00B01894">
        <w:rPr>
          <w:rFonts w:ascii="Bookman Old Style" w:eastAsia="Bookman Old Style" w:hAnsi="Bookman Old Style" w:cs="Bookman Old Style"/>
          <w:sz w:val="17"/>
          <w:szCs w:val="17"/>
          <w:highlight w:val="green"/>
          <w:lang w:val="en-US"/>
        </w:rPr>
        <w:t>COVID</w:t>
      </w:r>
      <w:r w:rsidRPr="00B01894">
        <w:rPr>
          <w:rFonts w:ascii="Bookman Old Style" w:eastAsia="Bookman Old Style" w:hAnsi="Bookman Old Style" w:cs="Bookman Old Style"/>
          <w:sz w:val="17"/>
          <w:szCs w:val="17"/>
          <w:highlight w:val="green"/>
        </w:rPr>
        <w:t>-19)" (КонсультантПлюс, 2022. – 206 с.</w:t>
      </w:r>
    </w:p>
    <w:p w14:paraId="36130B8B" w14:textId="77777777" w:rsidR="00B01894" w:rsidRPr="00B01894" w:rsidRDefault="00B01894" w:rsidP="00B01894">
      <w:pPr>
        <w:widowControl w:val="0"/>
        <w:numPr>
          <w:ilvl w:val="0"/>
          <w:numId w:val="15"/>
        </w:numPr>
        <w:tabs>
          <w:tab w:val="left" w:pos="569"/>
        </w:tabs>
        <w:spacing w:line="216" w:lineRule="exact"/>
        <w:ind w:firstLine="320"/>
        <w:jc w:val="left"/>
        <w:rPr>
          <w:rFonts w:ascii="Bookman Old Style" w:eastAsia="Bookman Old Style" w:hAnsi="Bookman Old Style" w:cs="Bookman Old Style"/>
          <w:sz w:val="17"/>
          <w:szCs w:val="17"/>
          <w:highlight w:val="green"/>
          <w:lang w:val="en-US"/>
        </w:rPr>
      </w:pPr>
      <w:r w:rsidRPr="00B01894">
        <w:rPr>
          <w:rFonts w:ascii="Bookman Old Style" w:eastAsia="Bookman Old Style" w:hAnsi="Bookman Old Style" w:cs="Bookman Old Style"/>
          <w:sz w:val="17"/>
          <w:szCs w:val="17"/>
          <w:highlight w:val="green"/>
          <w:lang w:val="en-US"/>
        </w:rPr>
        <w:t xml:space="preserve">World Bank. Doing Business, 2021. URL: </w:t>
      </w:r>
      <w:hyperlink r:id="rId14" w:history="1">
        <w:r w:rsidRPr="00B01894">
          <w:rPr>
            <w:rFonts w:ascii="Bookman Old Style" w:eastAsia="Bookman Old Style" w:hAnsi="Bookman Old Style" w:cs="Bookman Old Style"/>
            <w:color w:val="0000FF" w:themeColor="hyperlink"/>
            <w:sz w:val="17"/>
            <w:szCs w:val="17"/>
            <w:highlight w:val="green"/>
            <w:u w:val="single"/>
            <w:lang w:val="en-US"/>
          </w:rPr>
          <w:t>https://www.doingbusiness.org</w:t>
        </w:r>
      </w:hyperlink>
    </w:p>
    <w:p w14:paraId="55D56A86" w14:textId="77777777" w:rsidR="00B01894" w:rsidRPr="00B01894" w:rsidRDefault="00B01894" w:rsidP="00B01894">
      <w:pPr>
        <w:keepNext/>
        <w:keepLines/>
        <w:widowControl w:val="0"/>
        <w:spacing w:line="475" w:lineRule="exact"/>
        <w:ind w:firstLine="0"/>
        <w:jc w:val="center"/>
        <w:outlineLvl w:val="1"/>
        <w:rPr>
          <w:rFonts w:ascii="Arial Narrow" w:eastAsia="Arial Narrow" w:hAnsi="Arial Narrow" w:cs="Arial Narrow"/>
          <w:b/>
          <w:bCs/>
          <w:sz w:val="32"/>
          <w:szCs w:val="32"/>
        </w:rPr>
      </w:pPr>
      <w:bookmarkStart w:id="19" w:name="bookmark32"/>
      <w:bookmarkEnd w:id="8"/>
      <w:r w:rsidRPr="00B01894">
        <w:rPr>
          <w:rFonts w:ascii="Arial Narrow" w:eastAsia="Arial Narrow" w:hAnsi="Arial Narrow" w:cs="Arial Narrow"/>
          <w:b/>
          <w:bCs/>
          <w:color w:val="231F20"/>
          <w:sz w:val="32"/>
          <w:szCs w:val="32"/>
        </w:rPr>
        <w:t>Глава 2</w:t>
      </w:r>
    </w:p>
    <w:p w14:paraId="776485C2" w14:textId="77777777" w:rsidR="00B01894" w:rsidRPr="00B01894" w:rsidRDefault="00B01894" w:rsidP="00B01894">
      <w:pPr>
        <w:keepNext/>
        <w:keepLines/>
        <w:widowControl w:val="0"/>
        <w:spacing w:after="400" w:line="475" w:lineRule="exact"/>
        <w:ind w:firstLine="0"/>
        <w:jc w:val="center"/>
        <w:outlineLvl w:val="1"/>
        <w:rPr>
          <w:rFonts w:ascii="Arial Narrow" w:eastAsia="Arial Narrow" w:hAnsi="Arial Narrow" w:cs="Arial Narrow"/>
          <w:b/>
          <w:bCs/>
          <w:sz w:val="32"/>
          <w:szCs w:val="32"/>
        </w:rPr>
      </w:pPr>
      <w:bookmarkStart w:id="20" w:name="bookmark20"/>
      <w:r w:rsidRPr="00B01894">
        <w:rPr>
          <w:rFonts w:ascii="Arial Narrow" w:eastAsia="Arial Narrow" w:hAnsi="Arial Narrow" w:cs="Arial Narrow"/>
          <w:b/>
          <w:bCs/>
          <w:color w:val="231F20"/>
          <w:sz w:val="32"/>
          <w:szCs w:val="32"/>
        </w:rPr>
        <w:t>ВЗАИМОДЕЙСТВИЕ ГОСУДАРСТВА И БИЗНЕСА</w:t>
      </w:r>
      <w:r w:rsidRPr="00B01894">
        <w:rPr>
          <w:rFonts w:ascii="Arial Narrow" w:eastAsia="Arial Narrow" w:hAnsi="Arial Narrow" w:cs="Arial Narrow"/>
          <w:b/>
          <w:bCs/>
          <w:color w:val="231F20"/>
          <w:sz w:val="32"/>
          <w:szCs w:val="32"/>
        </w:rPr>
        <w:br/>
        <w:t>В УСЛОВИЯХ ГЛОБАЛИЗАЦИИ</w:t>
      </w:r>
      <w:bookmarkEnd w:id="20"/>
    </w:p>
    <w:p w14:paraId="666C5B5C" w14:textId="77777777" w:rsidR="00B01894" w:rsidRPr="00B01894" w:rsidRDefault="00B01894" w:rsidP="00B01894">
      <w:pPr>
        <w:widowControl w:val="0"/>
        <w:spacing w:line="226" w:lineRule="exact"/>
        <w:ind w:firstLine="320"/>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В результате изучения данной главы студент должен:</w:t>
      </w:r>
    </w:p>
    <w:p w14:paraId="65F9CA3C" w14:textId="77777777" w:rsidR="00B01894" w:rsidRPr="00B01894" w:rsidRDefault="00B01894" w:rsidP="00B01894">
      <w:pPr>
        <w:widowControl w:val="0"/>
        <w:spacing w:line="226" w:lineRule="exact"/>
        <w:ind w:firstLine="320"/>
        <w:rPr>
          <w:rFonts w:ascii="Bookman Old Style" w:eastAsia="Bookman Old Style" w:hAnsi="Bookman Old Style" w:cs="Bookman Old Style"/>
          <w:b/>
          <w:bCs/>
          <w:i/>
          <w:iCs/>
          <w:sz w:val="16"/>
          <w:szCs w:val="16"/>
        </w:rPr>
      </w:pPr>
      <w:r w:rsidRPr="00B01894">
        <w:rPr>
          <w:rFonts w:ascii="Bookman Old Style" w:eastAsia="Bookman Old Style" w:hAnsi="Bookman Old Style" w:cs="Bookman Old Style"/>
          <w:b/>
          <w:bCs/>
          <w:i/>
          <w:iCs/>
          <w:color w:val="231F20"/>
          <w:sz w:val="16"/>
          <w:szCs w:val="16"/>
        </w:rPr>
        <w:t>знать</w:t>
      </w:r>
    </w:p>
    <w:p w14:paraId="3AD05CA1" w14:textId="77777777" w:rsidR="00B01894" w:rsidRPr="00B01894" w:rsidRDefault="00B01894" w:rsidP="00B01894">
      <w:pPr>
        <w:widowControl w:val="0"/>
        <w:numPr>
          <w:ilvl w:val="0"/>
          <w:numId w:val="11"/>
        </w:numPr>
        <w:tabs>
          <w:tab w:val="left" w:pos="505"/>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преимущества и недостатки политики свободной торговли и протек</w:t>
      </w:r>
      <w:r w:rsidRPr="00B01894">
        <w:rPr>
          <w:rFonts w:ascii="Bookman Old Style" w:eastAsia="Bookman Old Style" w:hAnsi="Bookman Old Style" w:cs="Bookman Old Style"/>
          <w:color w:val="231F20"/>
          <w:sz w:val="17"/>
          <w:szCs w:val="17"/>
        </w:rPr>
        <w:softHyphen/>
        <w:t>ционизма;</w:t>
      </w:r>
    </w:p>
    <w:p w14:paraId="667E577D" w14:textId="77777777" w:rsidR="00B01894" w:rsidRPr="00B01894" w:rsidRDefault="00B01894" w:rsidP="00B01894">
      <w:pPr>
        <w:widowControl w:val="0"/>
        <w:numPr>
          <w:ilvl w:val="0"/>
          <w:numId w:val="11"/>
        </w:numPr>
        <w:tabs>
          <w:tab w:val="left" w:pos="518"/>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институциональные составляющие инвестиционного климата страны;</w:t>
      </w:r>
    </w:p>
    <w:p w14:paraId="17EF4FCC" w14:textId="77777777" w:rsidR="00B01894" w:rsidRPr="00B01894" w:rsidRDefault="00B01894" w:rsidP="00B01894">
      <w:pPr>
        <w:widowControl w:val="0"/>
        <w:numPr>
          <w:ilvl w:val="0"/>
          <w:numId w:val="11"/>
        </w:numPr>
        <w:tabs>
          <w:tab w:val="left" w:pos="505"/>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lastRenderedPageBreak/>
        <w:t>основные принципы взаимодействия государственных и корпоратив</w:t>
      </w:r>
      <w:r w:rsidRPr="00B01894">
        <w:rPr>
          <w:rFonts w:ascii="Bookman Old Style" w:eastAsia="Bookman Old Style" w:hAnsi="Bookman Old Style" w:cs="Bookman Old Style"/>
          <w:color w:val="231F20"/>
          <w:sz w:val="17"/>
          <w:szCs w:val="17"/>
        </w:rPr>
        <w:softHyphen/>
        <w:t>ных инвестиций в человеческий капитал;</w:t>
      </w:r>
    </w:p>
    <w:p w14:paraId="52D5027A" w14:textId="77777777" w:rsidR="00B01894" w:rsidRPr="00B01894" w:rsidRDefault="00B01894" w:rsidP="00B01894">
      <w:pPr>
        <w:widowControl w:val="0"/>
        <w:spacing w:line="226" w:lineRule="exact"/>
        <w:ind w:firstLine="320"/>
        <w:rPr>
          <w:rFonts w:ascii="Bookman Old Style" w:eastAsia="Bookman Old Style" w:hAnsi="Bookman Old Style" w:cs="Bookman Old Style"/>
          <w:b/>
          <w:bCs/>
          <w:i/>
          <w:iCs/>
          <w:sz w:val="16"/>
          <w:szCs w:val="16"/>
        </w:rPr>
      </w:pPr>
      <w:r w:rsidRPr="00B01894">
        <w:rPr>
          <w:rFonts w:ascii="Bookman Old Style" w:eastAsia="Bookman Old Style" w:hAnsi="Bookman Old Style" w:cs="Bookman Old Style"/>
          <w:b/>
          <w:bCs/>
          <w:i/>
          <w:iCs/>
          <w:color w:val="231F20"/>
          <w:sz w:val="16"/>
          <w:szCs w:val="16"/>
        </w:rPr>
        <w:t>уметь</w:t>
      </w:r>
    </w:p>
    <w:p w14:paraId="50CCD318" w14:textId="77777777" w:rsidR="00B01894" w:rsidRPr="00B01894" w:rsidRDefault="00B01894" w:rsidP="00B01894">
      <w:pPr>
        <w:widowControl w:val="0"/>
        <w:numPr>
          <w:ilvl w:val="0"/>
          <w:numId w:val="11"/>
        </w:numPr>
        <w:tabs>
          <w:tab w:val="left" w:pos="505"/>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формулировать условия эффективности защиты национального про</w:t>
      </w:r>
      <w:r w:rsidRPr="00B01894">
        <w:rPr>
          <w:rFonts w:ascii="Bookman Old Style" w:eastAsia="Bookman Old Style" w:hAnsi="Bookman Old Style" w:cs="Bookman Old Style"/>
          <w:color w:val="231F20"/>
          <w:sz w:val="17"/>
          <w:szCs w:val="17"/>
        </w:rPr>
        <w:softHyphen/>
        <w:t>изводителя;</w:t>
      </w:r>
    </w:p>
    <w:p w14:paraId="5CCB1237" w14:textId="77777777" w:rsidR="00B01894" w:rsidRPr="00B01894" w:rsidRDefault="00B01894" w:rsidP="00B01894">
      <w:pPr>
        <w:widowControl w:val="0"/>
        <w:numPr>
          <w:ilvl w:val="0"/>
          <w:numId w:val="11"/>
        </w:numPr>
        <w:tabs>
          <w:tab w:val="left" w:pos="505"/>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классифицировать институциональные составляющие инвестицион</w:t>
      </w:r>
      <w:r w:rsidRPr="00B01894">
        <w:rPr>
          <w:rFonts w:ascii="Bookman Old Style" w:eastAsia="Bookman Old Style" w:hAnsi="Bookman Old Style" w:cs="Bookman Old Style"/>
          <w:color w:val="231F20"/>
          <w:sz w:val="17"/>
          <w:szCs w:val="17"/>
        </w:rPr>
        <w:softHyphen/>
        <w:t>ного климата страны;</w:t>
      </w:r>
    </w:p>
    <w:p w14:paraId="7586A14B" w14:textId="77777777" w:rsidR="00B01894" w:rsidRPr="00B01894" w:rsidRDefault="00B01894" w:rsidP="00B01894">
      <w:pPr>
        <w:widowControl w:val="0"/>
        <w:numPr>
          <w:ilvl w:val="0"/>
          <w:numId w:val="11"/>
        </w:numPr>
        <w:tabs>
          <w:tab w:val="left" w:pos="505"/>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использовать возможности взаимодействия государства и бизнеса в процессе инвестирования в человеческий капитал;</w:t>
      </w:r>
    </w:p>
    <w:p w14:paraId="48E6A7DE" w14:textId="77777777" w:rsidR="00B01894" w:rsidRPr="00B01894" w:rsidRDefault="00B01894" w:rsidP="00B01894">
      <w:pPr>
        <w:widowControl w:val="0"/>
        <w:spacing w:line="226" w:lineRule="exact"/>
        <w:ind w:firstLine="320"/>
        <w:rPr>
          <w:rFonts w:ascii="Bookman Old Style" w:eastAsia="Bookman Old Style" w:hAnsi="Bookman Old Style" w:cs="Bookman Old Style"/>
          <w:b/>
          <w:bCs/>
          <w:i/>
          <w:iCs/>
          <w:sz w:val="16"/>
          <w:szCs w:val="16"/>
        </w:rPr>
      </w:pPr>
      <w:r w:rsidRPr="00B01894">
        <w:rPr>
          <w:rFonts w:ascii="Bookman Old Style" w:eastAsia="Bookman Old Style" w:hAnsi="Bookman Old Style" w:cs="Bookman Old Style"/>
          <w:b/>
          <w:bCs/>
          <w:i/>
          <w:iCs/>
          <w:color w:val="231F20"/>
          <w:sz w:val="16"/>
          <w:szCs w:val="16"/>
        </w:rPr>
        <w:t>владеть</w:t>
      </w:r>
    </w:p>
    <w:p w14:paraId="53C2BF99" w14:textId="77777777" w:rsidR="00B01894" w:rsidRPr="00B01894" w:rsidRDefault="00B01894" w:rsidP="00B01894">
      <w:pPr>
        <w:widowControl w:val="0"/>
        <w:numPr>
          <w:ilvl w:val="0"/>
          <w:numId w:val="11"/>
        </w:numPr>
        <w:tabs>
          <w:tab w:val="left" w:pos="518"/>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технологиями выработки грамотной протекционистской политики;</w:t>
      </w:r>
    </w:p>
    <w:p w14:paraId="713D2326" w14:textId="77777777" w:rsidR="00B01894" w:rsidRPr="00B01894" w:rsidRDefault="00B01894" w:rsidP="00B01894">
      <w:pPr>
        <w:widowControl w:val="0"/>
        <w:numPr>
          <w:ilvl w:val="0"/>
          <w:numId w:val="11"/>
        </w:numPr>
        <w:tabs>
          <w:tab w:val="left" w:pos="505"/>
        </w:tabs>
        <w:spacing w:after="461"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методами государственного стимулирования инвестиций и осущест</w:t>
      </w:r>
      <w:r w:rsidRPr="00B01894">
        <w:rPr>
          <w:rFonts w:ascii="Bookman Old Style" w:eastAsia="Bookman Old Style" w:hAnsi="Bookman Old Style" w:cs="Bookman Old Style"/>
          <w:color w:val="231F20"/>
          <w:sz w:val="17"/>
          <w:szCs w:val="17"/>
        </w:rPr>
        <w:softHyphen/>
        <w:t>вления вложений в человеческий капитал.</w:t>
      </w:r>
    </w:p>
    <w:p w14:paraId="517A6F73" w14:textId="77777777" w:rsidR="00B01894" w:rsidRPr="00B01894" w:rsidRDefault="00B01894" w:rsidP="00B01894">
      <w:pPr>
        <w:keepNext/>
        <w:keepLines/>
        <w:widowControl w:val="0"/>
        <w:numPr>
          <w:ilvl w:val="0"/>
          <w:numId w:val="16"/>
        </w:numPr>
        <w:tabs>
          <w:tab w:val="left" w:pos="820"/>
        </w:tabs>
        <w:spacing w:after="220" w:line="274" w:lineRule="exact"/>
        <w:ind w:firstLine="320"/>
        <w:jc w:val="left"/>
        <w:outlineLvl w:val="3"/>
        <w:rPr>
          <w:rFonts w:ascii="Arial Narrow" w:eastAsia="Arial Narrow" w:hAnsi="Arial Narrow" w:cs="Arial Narrow"/>
          <w:b/>
          <w:bCs/>
        </w:rPr>
      </w:pPr>
      <w:bookmarkStart w:id="21" w:name="bookmark21"/>
      <w:r w:rsidRPr="00B01894">
        <w:rPr>
          <w:rFonts w:ascii="Arial Narrow" w:eastAsia="Arial Narrow" w:hAnsi="Arial Narrow" w:cs="Arial Narrow"/>
          <w:b/>
          <w:bCs/>
          <w:color w:val="231F20"/>
        </w:rPr>
        <w:t>Глобальная конкуренция и разумный протекционизм</w:t>
      </w:r>
      <w:bookmarkEnd w:id="21"/>
    </w:p>
    <w:p w14:paraId="6112785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Мы живем в переломную эпоху — гегемония США в мировой рыночной экономике подходит к концу. Пока не выработается не</w:t>
      </w:r>
      <w:r w:rsidRPr="00B01894">
        <w:rPr>
          <w:rFonts w:ascii="Bookman Old Style" w:eastAsia="Bookman Old Style" w:hAnsi="Bookman Old Style" w:cs="Bookman Old Style"/>
          <w:color w:val="231F20"/>
          <w:sz w:val="18"/>
          <w:szCs w:val="18"/>
        </w:rPr>
        <w:softHyphen/>
        <w:t>кий новый мировой порядок, следует ожидать значительную тур</w:t>
      </w:r>
      <w:r w:rsidRPr="00B01894">
        <w:rPr>
          <w:rFonts w:ascii="Bookman Old Style" w:eastAsia="Bookman Old Style" w:hAnsi="Bookman Old Style" w:cs="Bookman Old Style"/>
          <w:color w:val="231F20"/>
          <w:sz w:val="18"/>
          <w:szCs w:val="18"/>
        </w:rPr>
        <w:softHyphen/>
        <w:t>булентность и неопределенность в мировой экономике и междуна</w:t>
      </w:r>
      <w:r w:rsidRPr="00B01894">
        <w:rPr>
          <w:rFonts w:ascii="Bookman Old Style" w:eastAsia="Bookman Old Style" w:hAnsi="Bookman Old Style" w:cs="Bookman Old Style"/>
          <w:color w:val="231F20"/>
          <w:sz w:val="18"/>
          <w:szCs w:val="18"/>
        </w:rPr>
        <w:softHyphen/>
        <w:t>родных отношениях. Что касается России, то в конце XX в., будучи форсированно втянута в международную торговлю на заведомо не</w:t>
      </w:r>
      <w:r w:rsidRPr="00B01894">
        <w:rPr>
          <w:rFonts w:ascii="Bookman Old Style" w:eastAsia="Bookman Old Style" w:hAnsi="Bookman Old Style" w:cs="Bookman Old Style"/>
          <w:color w:val="231F20"/>
          <w:sz w:val="18"/>
          <w:szCs w:val="18"/>
        </w:rPr>
        <w:softHyphen/>
        <w:t>равноправной основе, находясь в периоде жесткой трансформации хозяйственной и политической системы, породившей тяжелейший социально-экономический кризис, страна оказалась в незавидном положении поставщика сырьевых товаров. При резком переводе экономики на рыночные рельсы и таком же шоковом открытии границ практически все отрасли оказались неконкурентоспособ</w:t>
      </w:r>
      <w:r w:rsidRPr="00B01894">
        <w:rPr>
          <w:rFonts w:ascii="Bookman Old Style" w:eastAsia="Bookman Old Style" w:hAnsi="Bookman Old Style" w:cs="Bookman Old Style"/>
          <w:color w:val="231F20"/>
          <w:sz w:val="18"/>
          <w:szCs w:val="18"/>
        </w:rPr>
        <w:softHyphen/>
        <w:t>ными, если не технологически, то организационно. Предприятия, занимавшие монопольное положение при плановом хозяйстве и не имевшие возможности международной диверсификации издер</w:t>
      </w:r>
      <w:r w:rsidRPr="00B01894">
        <w:rPr>
          <w:rFonts w:ascii="Bookman Old Style" w:eastAsia="Bookman Old Style" w:hAnsi="Bookman Old Style" w:cs="Bookman Old Style"/>
          <w:color w:val="231F20"/>
          <w:sz w:val="18"/>
          <w:szCs w:val="18"/>
        </w:rPr>
        <w:softHyphen/>
        <w:t>жек, изначально были неспособны достойно противостоять нахлы</w:t>
      </w:r>
      <w:r w:rsidRPr="00B01894">
        <w:rPr>
          <w:rFonts w:ascii="Bookman Old Style" w:eastAsia="Bookman Old Style" w:hAnsi="Bookman Old Style" w:cs="Bookman Old Style"/>
          <w:color w:val="231F20"/>
          <w:sz w:val="18"/>
          <w:szCs w:val="18"/>
        </w:rPr>
        <w:softHyphen/>
        <w:t>нувшему импорту. В результате структура внешней торговли до сих пор напоминает колониальный тип (экспорт сырья, импорт готовых изделий, расчеты в иностранной валюте), хотя политически Россия не только не признает себя ничьей колонией, но и претендует на по</w:t>
      </w:r>
      <w:r w:rsidRPr="00B01894">
        <w:rPr>
          <w:rFonts w:ascii="Bookman Old Style" w:eastAsia="Bookman Old Style" w:hAnsi="Bookman Old Style" w:cs="Bookman Old Style"/>
          <w:color w:val="231F20"/>
          <w:sz w:val="18"/>
          <w:szCs w:val="18"/>
        </w:rPr>
        <w:softHyphen/>
        <w:t>люс мирового развития. Данного положения не достичь без лидер</w:t>
      </w:r>
      <w:r w:rsidRPr="00B01894">
        <w:rPr>
          <w:rFonts w:ascii="Bookman Old Style" w:eastAsia="Bookman Old Style" w:hAnsi="Bookman Old Style" w:cs="Bookman Old Style"/>
          <w:color w:val="231F20"/>
          <w:sz w:val="18"/>
          <w:szCs w:val="18"/>
        </w:rPr>
        <w:softHyphen/>
        <w:t>ства в новейших отраслях экономики, без владения современными технологиями, без коренной структурной модернизации промыш</w:t>
      </w:r>
      <w:r w:rsidRPr="00B01894">
        <w:rPr>
          <w:rFonts w:ascii="Bookman Old Style" w:eastAsia="Bookman Old Style" w:hAnsi="Bookman Old Style" w:cs="Bookman Old Style"/>
          <w:color w:val="231F20"/>
          <w:sz w:val="18"/>
          <w:szCs w:val="18"/>
        </w:rPr>
        <w:softHyphen/>
        <w:t>ленности. Надежда на иностранные инвестиции, которые после ли</w:t>
      </w:r>
      <w:r w:rsidRPr="00B01894">
        <w:rPr>
          <w:rFonts w:ascii="Bookman Old Style" w:eastAsia="Bookman Old Style" w:hAnsi="Bookman Old Style" w:cs="Bookman Old Style"/>
          <w:color w:val="231F20"/>
          <w:sz w:val="18"/>
          <w:szCs w:val="18"/>
        </w:rPr>
        <w:softHyphen/>
        <w:t>берализации экономики и торговли якобы потекут в страну бурной рекой и принесут с собой передовые технологии, оказалась иллю</w:t>
      </w:r>
      <w:r w:rsidRPr="00B01894">
        <w:rPr>
          <w:rFonts w:ascii="Bookman Old Style" w:eastAsia="Bookman Old Style" w:hAnsi="Bookman Old Style" w:cs="Bookman Old Style"/>
          <w:color w:val="231F20"/>
          <w:sz w:val="18"/>
          <w:szCs w:val="18"/>
        </w:rPr>
        <w:softHyphen/>
        <w:t>зией. Практика показывает, что новые рынки используются прежде всего для продажи готовых изделий с максимальной добавленной стоимостью, что соответствует концепции максимально выгодных «условий торговли» (отношение экспортных цен к импортным). Ин</w:t>
      </w:r>
      <w:r w:rsidRPr="00B01894">
        <w:rPr>
          <w:rFonts w:ascii="Bookman Old Style" w:eastAsia="Bookman Old Style" w:hAnsi="Bookman Old Style" w:cs="Bookman Old Style"/>
          <w:color w:val="231F20"/>
          <w:sz w:val="18"/>
          <w:szCs w:val="18"/>
        </w:rPr>
        <w:softHyphen/>
        <w:t xml:space="preserve">вестиции же, как правило, носят вынужденный </w:t>
      </w:r>
      <w:r w:rsidRPr="00B01894">
        <w:rPr>
          <w:rFonts w:ascii="Bookman Old Style" w:eastAsia="Bookman Old Style" w:hAnsi="Bookman Old Style" w:cs="Bookman Old Style"/>
          <w:color w:val="231F20"/>
          <w:sz w:val="18"/>
          <w:szCs w:val="18"/>
        </w:rPr>
        <w:lastRenderedPageBreak/>
        <w:t>характер и связаны с грамотной протекционистской защитой отраслей.</w:t>
      </w:r>
    </w:p>
    <w:p w14:paraId="1C9FEBE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условиях санкций и контрсанкций (фактически это можно квалифицировать как экономическую войну) вопросы, связанные с экономическим суверенитетом и безопасностью, обретают но</w:t>
      </w:r>
      <w:r w:rsidRPr="00B01894">
        <w:rPr>
          <w:rFonts w:ascii="Bookman Old Style" w:eastAsia="Bookman Old Style" w:hAnsi="Bookman Old Style" w:cs="Bookman Old Style"/>
          <w:color w:val="231F20"/>
          <w:sz w:val="18"/>
          <w:szCs w:val="18"/>
        </w:rPr>
        <w:softHyphen/>
        <w:t>вую силу. При этом необходимо грамотно использовать имеющие</w:t>
      </w:r>
      <w:r w:rsidRPr="00B01894">
        <w:rPr>
          <w:rFonts w:ascii="Bookman Old Style" w:eastAsia="Bookman Old Style" w:hAnsi="Bookman Old Style" w:cs="Bookman Old Style"/>
          <w:color w:val="231F20"/>
          <w:sz w:val="18"/>
          <w:szCs w:val="18"/>
        </w:rPr>
        <w:softHyphen/>
        <w:t>ся инструменты торгового регулирования, учитывая интересы всех субъектов национальной экономики, не вводя бездумно запреты и ограничения, а следуя продуманной политике современного про</w:t>
      </w:r>
      <w:r w:rsidRPr="00B01894">
        <w:rPr>
          <w:rFonts w:ascii="Bookman Old Style" w:eastAsia="Bookman Old Style" w:hAnsi="Bookman Old Style" w:cs="Bookman Old Style"/>
          <w:color w:val="231F20"/>
          <w:sz w:val="18"/>
          <w:szCs w:val="18"/>
        </w:rPr>
        <w:softHyphen/>
        <w:t>текционизма.</w:t>
      </w:r>
    </w:p>
    <w:p w14:paraId="3E2A33F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Если обратиться к истории вопроса, то теория так называемо</w:t>
      </w:r>
      <w:r w:rsidRPr="00B01894">
        <w:rPr>
          <w:rFonts w:ascii="Bookman Old Style" w:eastAsia="Bookman Old Style" w:hAnsi="Bookman Old Style" w:cs="Bookman Old Style"/>
          <w:color w:val="231F20"/>
          <w:sz w:val="18"/>
          <w:szCs w:val="18"/>
        </w:rPr>
        <w:softHyphen/>
        <w:t>го фритрейдерства, или свободной торговли, возникла в Англии вследствие вековых традиций протекционизма и стала очень попу</w:t>
      </w:r>
      <w:r w:rsidRPr="00B01894">
        <w:rPr>
          <w:rFonts w:ascii="Bookman Old Style" w:eastAsia="Bookman Old Style" w:hAnsi="Bookman Old Style" w:cs="Bookman Old Style"/>
          <w:color w:val="231F20"/>
          <w:sz w:val="18"/>
          <w:szCs w:val="18"/>
        </w:rPr>
        <w:softHyphen/>
        <w:t>лярна во времена промышленной революции XIX в., когда удачно коммерциализированные изобретения дали промышленности Ве</w:t>
      </w:r>
      <w:r w:rsidRPr="00B01894">
        <w:rPr>
          <w:rFonts w:ascii="Bookman Old Style" w:eastAsia="Bookman Old Style" w:hAnsi="Bookman Old Style" w:cs="Bookman Old Style"/>
          <w:color w:val="231F20"/>
          <w:sz w:val="18"/>
          <w:szCs w:val="18"/>
        </w:rPr>
        <w:softHyphen/>
        <w:t>ликобритании техническое преимущество и определили ее статус страны-монополиста согласно концепции жизненного цикла техно</w:t>
      </w:r>
      <w:r w:rsidRPr="00B01894">
        <w:rPr>
          <w:rFonts w:ascii="Bookman Old Style" w:eastAsia="Bookman Old Style" w:hAnsi="Bookman Old Style" w:cs="Bookman Old Style"/>
          <w:color w:val="231F20"/>
          <w:sz w:val="18"/>
          <w:szCs w:val="18"/>
        </w:rPr>
        <w:softHyphen/>
        <w:t>логий. Принципы фритрейдерства давали возможность усиления технологического разрыва, поэтому активно внедрялись в странах, зависимых от Великобритании, в то время как английские товары продвигались на внешний рынок не только вследствие насильствен</w:t>
      </w:r>
      <w:r w:rsidRPr="00B01894">
        <w:rPr>
          <w:rFonts w:ascii="Bookman Old Style" w:eastAsia="Bookman Old Style" w:hAnsi="Bookman Old Style" w:cs="Bookman Old Style"/>
          <w:color w:val="231F20"/>
          <w:sz w:val="18"/>
          <w:szCs w:val="18"/>
        </w:rPr>
        <w:softHyphen/>
        <w:t>ной либерализации, но и с помощью печально известных «торговых войн», т. е. сами англичане не брезговали защитой своих товаро</w:t>
      </w:r>
      <w:r w:rsidRPr="00B01894">
        <w:rPr>
          <w:rFonts w:ascii="Bookman Old Style" w:eastAsia="Bookman Old Style" w:hAnsi="Bookman Old Style" w:cs="Bookman Old Style"/>
          <w:color w:val="231F20"/>
          <w:sz w:val="18"/>
          <w:szCs w:val="18"/>
        </w:rPr>
        <w:softHyphen/>
        <w:t>производителей, но делали это за рубежом, поскольку имели до</w:t>
      </w:r>
      <w:r w:rsidRPr="00B01894">
        <w:rPr>
          <w:rFonts w:ascii="Bookman Old Style" w:eastAsia="Bookman Old Style" w:hAnsi="Bookman Old Style" w:cs="Bookman Old Style"/>
          <w:color w:val="231F20"/>
          <w:sz w:val="18"/>
          <w:szCs w:val="18"/>
        </w:rPr>
        <w:softHyphen/>
        <w:t>статочно узкий внутренний рынок для сбыта. Таким образом, поли</w:t>
      </w:r>
      <w:r w:rsidRPr="00B01894">
        <w:rPr>
          <w:rFonts w:ascii="Bookman Old Style" w:eastAsia="Bookman Old Style" w:hAnsi="Bookman Old Style" w:cs="Bookman Old Style"/>
          <w:color w:val="231F20"/>
          <w:sz w:val="18"/>
          <w:szCs w:val="18"/>
        </w:rPr>
        <w:softHyphen/>
        <w:t>тика свободной торговли была инструментом торговой экспансии и превращения целых регионов в поставщиков сырья для англий</w:t>
      </w:r>
      <w:r w:rsidRPr="00B01894">
        <w:rPr>
          <w:rFonts w:ascii="Bookman Old Style" w:eastAsia="Bookman Old Style" w:hAnsi="Bookman Old Style" w:cs="Bookman Old Style"/>
          <w:color w:val="231F20"/>
          <w:sz w:val="18"/>
          <w:szCs w:val="18"/>
        </w:rPr>
        <w:softHyphen/>
        <w:t>ской промышленности. В дальнейшем эстафету от Великобритании</w:t>
      </w:r>
      <w:r w:rsidRPr="00B01894">
        <w:rPr>
          <w:rFonts w:ascii="Bookman Old Style" w:eastAsia="Bookman Old Style" w:hAnsi="Bookman Old Style" w:cs="Bookman Old Style"/>
          <w:color w:val="231F20"/>
          <w:sz w:val="18"/>
          <w:szCs w:val="18"/>
        </w:rPr>
        <w:br w:type="page"/>
      </w:r>
      <w:r w:rsidRPr="00B01894">
        <w:rPr>
          <w:rFonts w:ascii="Bookman Old Style" w:eastAsia="Bookman Old Style" w:hAnsi="Bookman Old Style" w:cs="Bookman Old Style"/>
          <w:color w:val="231F20"/>
          <w:sz w:val="18"/>
          <w:szCs w:val="18"/>
        </w:rPr>
        <w:lastRenderedPageBreak/>
        <w:t>приняли США, а апогеем господства фритрейдерства стало создание Всемирной торговой организации.</w:t>
      </w:r>
    </w:p>
    <w:p w14:paraId="7418814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противовес данной агрессивной теории доминирования силь</w:t>
      </w:r>
      <w:r w:rsidRPr="00B01894">
        <w:rPr>
          <w:rFonts w:ascii="Bookman Old Style" w:eastAsia="Bookman Old Style" w:hAnsi="Bookman Old Style" w:cs="Bookman Old Style"/>
          <w:color w:val="231F20"/>
          <w:sz w:val="18"/>
          <w:szCs w:val="18"/>
        </w:rPr>
        <w:softHyphen/>
        <w:t>ных экономик над слабыми развивалась теория защиты нацио</w:t>
      </w:r>
      <w:r w:rsidRPr="00B01894">
        <w:rPr>
          <w:rFonts w:ascii="Bookman Old Style" w:eastAsia="Bookman Old Style" w:hAnsi="Bookman Old Style" w:cs="Bookman Old Style"/>
          <w:color w:val="231F20"/>
          <w:sz w:val="18"/>
          <w:szCs w:val="18"/>
        </w:rPr>
        <w:softHyphen/>
        <w:t>нального рынка, т. е. протекционизма.</w:t>
      </w:r>
    </w:p>
    <w:p w14:paraId="6B23F52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Обычно преимущество политики свободной торговли мотивиру</w:t>
      </w:r>
      <w:r w:rsidRPr="00B01894">
        <w:rPr>
          <w:rFonts w:ascii="Bookman Old Style" w:eastAsia="Bookman Old Style" w:hAnsi="Bookman Old Style" w:cs="Bookman Old Style"/>
          <w:color w:val="231F20"/>
          <w:sz w:val="18"/>
          <w:szCs w:val="18"/>
        </w:rPr>
        <w:softHyphen/>
        <w:t>ется несомненным вредом, который наносит национальной эконо</w:t>
      </w:r>
      <w:r w:rsidRPr="00B01894">
        <w:rPr>
          <w:rFonts w:ascii="Bookman Old Style" w:eastAsia="Bookman Old Style" w:hAnsi="Bookman Old Style" w:cs="Bookman Old Style"/>
          <w:color w:val="231F20"/>
          <w:sz w:val="18"/>
          <w:szCs w:val="18"/>
        </w:rPr>
        <w:softHyphen/>
        <w:t>мике различные протекционистские меры. На примере импортного тарифа это выглядит следующим образом: если рассматривать ры</w:t>
      </w:r>
      <w:r w:rsidRPr="00B01894">
        <w:rPr>
          <w:rFonts w:ascii="Bookman Old Style" w:eastAsia="Bookman Old Style" w:hAnsi="Bookman Old Style" w:cs="Bookman Old Style"/>
          <w:color w:val="231F20"/>
          <w:sz w:val="18"/>
          <w:szCs w:val="18"/>
        </w:rPr>
        <w:softHyphen/>
        <w:t>нок отдельного товара, то, применяя, к примеру, импортный тариф, мы имеем следующую ситуацию: (вследствие введения импортного тарифа у нас присутствуют два положительных эффекта):</w:t>
      </w:r>
    </w:p>
    <w:p w14:paraId="5D81B9B4" w14:textId="77777777" w:rsidR="00B01894" w:rsidRPr="00B01894" w:rsidRDefault="00B01894" w:rsidP="00B01894">
      <w:pPr>
        <w:widowControl w:val="0"/>
        <w:numPr>
          <w:ilvl w:val="0"/>
          <w:numId w:val="17"/>
        </w:numPr>
        <w:tabs>
          <w:tab w:val="left" w:pos="639"/>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увеличение национального производства (причем делается акцент на увеличении производства некачественного, низкотехно</w:t>
      </w:r>
      <w:r w:rsidRPr="00B01894">
        <w:rPr>
          <w:rFonts w:ascii="Bookman Old Style" w:eastAsia="Bookman Old Style" w:hAnsi="Bookman Old Style" w:cs="Bookman Old Style"/>
          <w:color w:val="231F20"/>
          <w:sz w:val="18"/>
          <w:szCs w:val="18"/>
        </w:rPr>
        <w:softHyphen/>
        <w:t>логичного товара);</w:t>
      </w:r>
    </w:p>
    <w:p w14:paraId="54BE200E" w14:textId="77777777" w:rsidR="00B01894" w:rsidRPr="00B01894" w:rsidRDefault="00B01894" w:rsidP="00B01894">
      <w:pPr>
        <w:widowControl w:val="0"/>
        <w:numPr>
          <w:ilvl w:val="0"/>
          <w:numId w:val="17"/>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дополнительные доходы в бюджет (что для слаборазвитых стран может превратиться в минус, поскольку затраты на организа</w:t>
      </w:r>
      <w:r w:rsidRPr="00B01894">
        <w:rPr>
          <w:rFonts w:ascii="Bookman Old Style" w:eastAsia="Bookman Old Style" w:hAnsi="Bookman Old Style" w:cs="Bookman Old Style"/>
          <w:color w:val="231F20"/>
          <w:sz w:val="18"/>
          <w:szCs w:val="18"/>
        </w:rPr>
        <w:softHyphen/>
        <w:t>цию работы таможни могут превысить поступления в силу корруп</w:t>
      </w:r>
      <w:r w:rsidRPr="00B01894">
        <w:rPr>
          <w:rFonts w:ascii="Bookman Old Style" w:eastAsia="Bookman Old Style" w:hAnsi="Bookman Old Style" w:cs="Bookman Old Style"/>
          <w:color w:val="231F20"/>
          <w:sz w:val="18"/>
          <w:szCs w:val="18"/>
        </w:rPr>
        <w:softHyphen/>
        <w:t>ции) — и, как минимум, четыре отрицательных:</w:t>
      </w:r>
    </w:p>
    <w:p w14:paraId="1CE0A7FB" w14:textId="77777777" w:rsidR="00B01894" w:rsidRPr="00B01894" w:rsidRDefault="00B01894" w:rsidP="00B01894">
      <w:pPr>
        <w:widowControl w:val="0"/>
        <w:numPr>
          <w:ilvl w:val="0"/>
          <w:numId w:val="17"/>
        </w:numPr>
        <w:tabs>
          <w:tab w:val="left" w:pos="67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инфляция;</w:t>
      </w:r>
    </w:p>
    <w:p w14:paraId="71991B6D" w14:textId="77777777" w:rsidR="00B01894" w:rsidRPr="00B01894" w:rsidRDefault="00B01894" w:rsidP="00B01894">
      <w:pPr>
        <w:widowControl w:val="0"/>
        <w:numPr>
          <w:ilvl w:val="0"/>
          <w:numId w:val="17"/>
        </w:numPr>
        <w:tabs>
          <w:tab w:val="left" w:pos="67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снижение потребления товара;</w:t>
      </w:r>
    </w:p>
    <w:p w14:paraId="19BE1D3C" w14:textId="77777777" w:rsidR="00B01894" w:rsidRPr="00B01894" w:rsidRDefault="00B01894" w:rsidP="00B01894">
      <w:pPr>
        <w:widowControl w:val="0"/>
        <w:numPr>
          <w:ilvl w:val="0"/>
          <w:numId w:val="17"/>
        </w:numPr>
        <w:tabs>
          <w:tab w:val="left" w:pos="625"/>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уменьшение импорта (и, следовательно, товарного разноо</w:t>
      </w:r>
      <w:r w:rsidRPr="00B01894">
        <w:rPr>
          <w:rFonts w:ascii="Bookman Old Style" w:eastAsia="Bookman Old Style" w:hAnsi="Bookman Old Style" w:cs="Bookman Old Style"/>
          <w:color w:val="231F20"/>
          <w:sz w:val="18"/>
          <w:szCs w:val="18"/>
        </w:rPr>
        <w:softHyphen/>
        <w:t>бразия);</w:t>
      </w:r>
    </w:p>
    <w:p w14:paraId="2D744B5C" w14:textId="77777777" w:rsidR="00B01894" w:rsidRPr="00B01894" w:rsidRDefault="00B01894" w:rsidP="00B01894">
      <w:pPr>
        <w:widowControl w:val="0"/>
        <w:numPr>
          <w:ilvl w:val="0"/>
          <w:numId w:val="17"/>
        </w:numPr>
        <w:tabs>
          <w:tab w:val="left" w:pos="615"/>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noProof/>
          <w:sz w:val="18"/>
          <w:szCs w:val="18"/>
          <w:lang w:bidi="ar-SA"/>
        </w:rPr>
        <mc:AlternateContent>
          <mc:Choice Requires="wps">
            <w:drawing>
              <wp:anchor distT="0" distB="254000" distL="82550" distR="91440" simplePos="0" relativeHeight="377497406" behindDoc="1" locked="0" layoutInCell="1" allowOverlap="1" wp14:anchorId="539B5014" wp14:editId="085BFA0B">
                <wp:simplePos x="0" y="0"/>
                <wp:positionH relativeFrom="margin">
                  <wp:posOffset>90170</wp:posOffset>
                </wp:positionH>
                <wp:positionV relativeFrom="paragraph">
                  <wp:posOffset>393065</wp:posOffset>
                </wp:positionV>
                <wp:extent cx="2795270" cy="3363595"/>
                <wp:effectExtent l="1905" t="4445" r="3175" b="3810"/>
                <wp:wrapTopAndBottom/>
                <wp:docPr id="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36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165F" w14:textId="77777777" w:rsidR="00B01894" w:rsidRDefault="00B01894" w:rsidP="00B01894">
                            <w:pPr>
                              <w:jc w:val="center"/>
                              <w:rPr>
                                <w:sz w:val="2"/>
                                <w:szCs w:val="2"/>
                              </w:rPr>
                            </w:pPr>
                            <w:r>
                              <w:rPr>
                                <w:noProof/>
                                <w:lang w:bidi="ar-SA"/>
                              </w:rPr>
                              <w:drawing>
                                <wp:inline distT="0" distB="0" distL="0" distR="0" wp14:anchorId="308C6B8C" wp14:editId="16069881">
                                  <wp:extent cx="2798445" cy="2144395"/>
                                  <wp:effectExtent l="0" t="0" r="1905" b="8255"/>
                                  <wp:docPr id="139"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445" cy="2144395"/>
                                          </a:xfrm>
                                          <a:prstGeom prst="rect">
                                            <a:avLst/>
                                          </a:prstGeom>
                                          <a:noFill/>
                                          <a:ln>
                                            <a:noFill/>
                                          </a:ln>
                                        </pic:spPr>
                                      </pic:pic>
                                    </a:graphicData>
                                  </a:graphic>
                                </wp:inline>
                              </w:drawing>
                            </w:r>
                          </w:p>
                          <w:p w14:paraId="4D983206" w14:textId="77777777" w:rsidR="00B01894" w:rsidRDefault="00B01894" w:rsidP="00B01894">
                            <w:pPr>
                              <w:pStyle w:val="2a"/>
                              <w:shd w:val="clear" w:color="auto" w:fill="auto"/>
                            </w:pPr>
                            <w:r>
                              <w:rPr>
                                <w:rStyle w:val="2Exact0"/>
                                <w:i/>
                                <w:iCs/>
                              </w:rPr>
                              <w:t>О*</w:t>
                            </w:r>
                          </w:p>
                          <w:p w14:paraId="62C3DF3A" w14:textId="77777777" w:rsidR="00B01894" w:rsidRDefault="00B01894" w:rsidP="00B01894">
                            <w:pPr>
                              <w:pStyle w:val="3f4"/>
                              <w:shd w:val="clear" w:color="auto" w:fill="auto"/>
                            </w:pPr>
                            <w:r>
                              <w:rPr>
                                <w:rStyle w:val="3Exact0"/>
                              </w:rPr>
                              <w:t>Рис. 2.1.</w:t>
                            </w:r>
                            <w:r>
                              <w:rPr>
                                <w:rStyle w:val="3Exact1"/>
                                <w:b/>
                                <w:bCs/>
                              </w:rPr>
                              <w:t xml:space="preserve"> Воздействие таможенного тарифа на национальную экономику:</w:t>
                            </w:r>
                          </w:p>
                          <w:p w14:paraId="0F57A61D" w14:textId="77777777" w:rsidR="00B01894" w:rsidRDefault="00B01894" w:rsidP="00B01894">
                            <w:pPr>
                              <w:pStyle w:val="af0"/>
                              <w:shd w:val="clear" w:color="auto" w:fill="auto"/>
                            </w:pPr>
                            <w:r>
                              <w:rPr>
                                <w:rStyle w:val="Exact0"/>
                              </w:rPr>
                              <w:t>D</w:t>
                            </w:r>
                            <w:r w:rsidRPr="00B6416C">
                              <w:rPr>
                                <w:rStyle w:val="Exact1"/>
                                <w:lang w:eastAsia="en-US" w:bidi="en-US"/>
                              </w:rPr>
                              <w:t xml:space="preserve"> </w:t>
                            </w:r>
                            <w:r>
                              <w:rPr>
                                <w:rStyle w:val="Exact1"/>
                              </w:rPr>
                              <w:t xml:space="preserve">— спрос на товар; </w:t>
                            </w:r>
                            <w:r>
                              <w:rPr>
                                <w:rStyle w:val="Exact0"/>
                              </w:rPr>
                              <w:t>S</w:t>
                            </w:r>
                            <w:r w:rsidRPr="00B6416C">
                              <w:rPr>
                                <w:rStyle w:val="Exact1"/>
                                <w:lang w:eastAsia="en-US" w:bidi="en-US"/>
                              </w:rPr>
                              <w:t xml:space="preserve"> </w:t>
                            </w:r>
                            <w:r>
                              <w:rPr>
                                <w:rStyle w:val="Exact1"/>
                              </w:rPr>
                              <w:t xml:space="preserve">— предложение товара; </w:t>
                            </w:r>
                            <w:r>
                              <w:rPr>
                                <w:rStyle w:val="Exact0"/>
                              </w:rPr>
                              <w:t>E</w:t>
                            </w:r>
                            <w:r w:rsidRPr="00B6416C">
                              <w:rPr>
                                <w:rStyle w:val="Exact1"/>
                                <w:lang w:eastAsia="en-US" w:bidi="en-US"/>
                              </w:rPr>
                              <w:t xml:space="preserve"> </w:t>
                            </w:r>
                            <w:r>
                              <w:rPr>
                                <w:rStyle w:val="Exact1"/>
                              </w:rPr>
                              <w:t xml:space="preserve">— внутреннее равновесие; </w:t>
                            </w:r>
                            <w:r>
                              <w:rPr>
                                <w:rStyle w:val="Exact0"/>
                                <w:lang w:val="ru-RU" w:eastAsia="ru-RU" w:bidi="ru-RU"/>
                              </w:rPr>
                              <w:t>Р</w:t>
                            </w:r>
                            <w:r>
                              <w:rPr>
                                <w:rStyle w:val="Exact0"/>
                                <w:vertAlign w:val="subscript"/>
                                <w:lang w:val="ru-RU" w:eastAsia="ru-RU" w:bidi="ru-RU"/>
                              </w:rPr>
                              <w:t>0</w:t>
                            </w:r>
                            <w:r>
                              <w:rPr>
                                <w:rStyle w:val="Exact1"/>
                              </w:rPr>
                              <w:t xml:space="preserve"> — внутренняя цена автаркии; </w:t>
                            </w:r>
                            <w:r>
                              <w:rPr>
                                <w:rStyle w:val="Exact0"/>
                              </w:rPr>
                              <w:t>Pw</w:t>
                            </w:r>
                            <w:r w:rsidRPr="00B6416C">
                              <w:rPr>
                                <w:rStyle w:val="Exact1"/>
                                <w:lang w:eastAsia="en-US" w:bidi="en-US"/>
                              </w:rPr>
                              <w:t xml:space="preserve"> </w:t>
                            </w:r>
                            <w:r>
                              <w:rPr>
                                <w:rStyle w:val="Exact1"/>
                              </w:rPr>
                              <w:t xml:space="preserve">— мировая цена (цена свободной торговли); </w:t>
                            </w:r>
                            <w:r>
                              <w:rPr>
                                <w:rStyle w:val="Exact0"/>
                              </w:rPr>
                              <w:t>Pw</w:t>
                            </w:r>
                            <w:r w:rsidRPr="00B6416C">
                              <w:rPr>
                                <w:rStyle w:val="Exact0"/>
                                <w:lang w:val="ru-RU"/>
                              </w:rPr>
                              <w:t xml:space="preserve"> </w:t>
                            </w:r>
                            <w:r>
                              <w:rPr>
                                <w:rStyle w:val="Exact0"/>
                                <w:lang w:val="ru-RU" w:eastAsia="ru-RU" w:bidi="ru-RU"/>
                              </w:rPr>
                              <w:t xml:space="preserve">+ </w:t>
                            </w:r>
                            <w:r>
                              <w:rPr>
                                <w:rStyle w:val="Exact0"/>
                              </w:rPr>
                              <w:t>t</w:t>
                            </w:r>
                            <w:r w:rsidRPr="00B6416C">
                              <w:rPr>
                                <w:rStyle w:val="Exact1"/>
                                <w:lang w:eastAsia="en-US" w:bidi="en-US"/>
                              </w:rPr>
                              <w:t xml:space="preserve"> </w:t>
                            </w:r>
                            <w:r>
                              <w:rPr>
                                <w:rStyle w:val="Exact1"/>
                              </w:rPr>
                              <w:t xml:space="preserve">— мировая цена, скорректированная на таможенный тариф; </w:t>
                            </w:r>
                            <w:r>
                              <w:rPr>
                                <w:rStyle w:val="Exact0"/>
                                <w:lang w:val="ru-RU" w:eastAsia="ru-RU" w:bidi="ru-RU"/>
                              </w:rPr>
                              <w:t>Р</w:t>
                            </w:r>
                            <w:r>
                              <w:rPr>
                                <w:rStyle w:val="Exact1"/>
                              </w:rPr>
                              <w:t xml:space="preserve"> — цена; </w:t>
                            </w:r>
                            <w:r>
                              <w:rPr>
                                <w:rStyle w:val="Exact0"/>
                              </w:rPr>
                              <w:t>Q</w:t>
                            </w:r>
                            <w:r w:rsidRPr="00B6416C">
                              <w:rPr>
                                <w:rStyle w:val="Exact1"/>
                                <w:lang w:eastAsia="en-US" w:bidi="en-US"/>
                              </w:rPr>
                              <w:t xml:space="preserve"> </w:t>
                            </w:r>
                            <w:r>
                              <w:rPr>
                                <w:rStyle w:val="Exact1"/>
                              </w:rPr>
                              <w:t>— количество товара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9B5014" id="Text Box 7" o:spid="_x0000_s1027" type="#_x0000_t202" style="position:absolute;left:0;text-align:left;margin-left:7.1pt;margin-top:30.95pt;width:220.1pt;height:264.85pt;z-index:-125819074;visibility:visible;mso-wrap-style:square;mso-width-percent:0;mso-height-percent:0;mso-wrap-distance-left:6.5pt;mso-wrap-distance-top:0;mso-wrap-distance-right:7.2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" filled="f" stroked="f">
                <v:textbox style="mso-fit-shape-to-text:t" inset="0,0,0,0">
                  <w:txbxContent>
                    <w:p w14:paraId="76E5165F" w14:textId="77777777" w:rsidR="00B01894" w:rsidRDefault="00B01894" w:rsidP="00B01894">
                      <w:pPr>
                        <w:jc w:val="center"/>
                        <w:rPr>
                          <w:sz w:val="2"/>
                          <w:szCs w:val="2"/>
                        </w:rPr>
                      </w:pPr>
                      <w:r>
                        <w:rPr>
                          <w:noProof/>
                          <w:lang w:bidi="ar-SA"/>
                        </w:rPr>
                        <w:drawing>
                          <wp:inline distT="0" distB="0" distL="0" distR="0" wp14:anchorId="308C6B8C" wp14:editId="16069881">
                            <wp:extent cx="2798445" cy="2144395"/>
                            <wp:effectExtent l="0" t="0" r="1905" b="8255"/>
                            <wp:docPr id="139"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445" cy="2144395"/>
                                    </a:xfrm>
                                    <a:prstGeom prst="rect">
                                      <a:avLst/>
                                    </a:prstGeom>
                                    <a:noFill/>
                                    <a:ln>
                                      <a:noFill/>
                                    </a:ln>
                                  </pic:spPr>
                                </pic:pic>
                              </a:graphicData>
                            </a:graphic>
                          </wp:inline>
                        </w:drawing>
                      </w:r>
                    </w:p>
                    <w:p w14:paraId="4D983206" w14:textId="77777777" w:rsidR="00B01894" w:rsidRDefault="00B01894" w:rsidP="00B01894">
                      <w:pPr>
                        <w:pStyle w:val="2a"/>
                        <w:shd w:val="clear" w:color="auto" w:fill="auto"/>
                      </w:pPr>
                      <w:r>
                        <w:rPr>
                          <w:rStyle w:val="2Exact0"/>
                          <w:i/>
                          <w:iCs/>
                        </w:rPr>
                        <w:t>О*</w:t>
                      </w:r>
                    </w:p>
                    <w:p w14:paraId="62C3DF3A" w14:textId="77777777" w:rsidR="00B01894" w:rsidRDefault="00B01894" w:rsidP="00B01894">
                      <w:pPr>
                        <w:pStyle w:val="3f4"/>
                        <w:shd w:val="clear" w:color="auto" w:fill="auto"/>
                      </w:pPr>
                      <w:r>
                        <w:rPr>
                          <w:rStyle w:val="3Exact0"/>
                        </w:rPr>
                        <w:t>Рис. 2.1.</w:t>
                      </w:r>
                      <w:r>
                        <w:rPr>
                          <w:rStyle w:val="3Exact1"/>
                          <w:b/>
                          <w:bCs/>
                        </w:rPr>
                        <w:t xml:space="preserve"> Воздействие таможенного тарифа на национальную экономику:</w:t>
                      </w:r>
                    </w:p>
                    <w:p w14:paraId="0F57A61D" w14:textId="77777777" w:rsidR="00B01894" w:rsidRDefault="00B01894" w:rsidP="00B01894">
                      <w:pPr>
                        <w:pStyle w:val="af0"/>
                        <w:shd w:val="clear" w:color="auto" w:fill="auto"/>
                      </w:pPr>
                      <w:r>
                        <w:rPr>
                          <w:rStyle w:val="Exact0"/>
                        </w:rPr>
                        <w:t>D</w:t>
                      </w:r>
                      <w:r w:rsidRPr="00B6416C">
                        <w:rPr>
                          <w:rStyle w:val="Exact1"/>
                          <w:lang w:eastAsia="en-US" w:bidi="en-US"/>
                        </w:rPr>
                        <w:t xml:space="preserve"> </w:t>
                      </w:r>
                      <w:r>
                        <w:rPr>
                          <w:rStyle w:val="Exact1"/>
                        </w:rPr>
                        <w:t xml:space="preserve">— спрос на товар; </w:t>
                      </w:r>
                      <w:r>
                        <w:rPr>
                          <w:rStyle w:val="Exact0"/>
                        </w:rPr>
                        <w:t>S</w:t>
                      </w:r>
                      <w:r w:rsidRPr="00B6416C">
                        <w:rPr>
                          <w:rStyle w:val="Exact1"/>
                          <w:lang w:eastAsia="en-US" w:bidi="en-US"/>
                        </w:rPr>
                        <w:t xml:space="preserve"> </w:t>
                      </w:r>
                      <w:r>
                        <w:rPr>
                          <w:rStyle w:val="Exact1"/>
                        </w:rPr>
                        <w:t xml:space="preserve">— предложение товара; </w:t>
                      </w:r>
                      <w:r>
                        <w:rPr>
                          <w:rStyle w:val="Exact0"/>
                        </w:rPr>
                        <w:t>E</w:t>
                      </w:r>
                      <w:r w:rsidRPr="00B6416C">
                        <w:rPr>
                          <w:rStyle w:val="Exact1"/>
                          <w:lang w:eastAsia="en-US" w:bidi="en-US"/>
                        </w:rPr>
                        <w:t xml:space="preserve"> </w:t>
                      </w:r>
                      <w:r>
                        <w:rPr>
                          <w:rStyle w:val="Exact1"/>
                        </w:rPr>
                        <w:t xml:space="preserve">— внутреннее равновесие; </w:t>
                      </w:r>
                      <w:r>
                        <w:rPr>
                          <w:rStyle w:val="Exact0"/>
                          <w:lang w:val="ru-RU" w:eastAsia="ru-RU" w:bidi="ru-RU"/>
                        </w:rPr>
                        <w:t>Р</w:t>
                      </w:r>
                      <w:r>
                        <w:rPr>
                          <w:rStyle w:val="Exact0"/>
                          <w:vertAlign w:val="subscript"/>
                          <w:lang w:val="ru-RU" w:eastAsia="ru-RU" w:bidi="ru-RU"/>
                        </w:rPr>
                        <w:t>0</w:t>
                      </w:r>
                      <w:r>
                        <w:rPr>
                          <w:rStyle w:val="Exact1"/>
                        </w:rPr>
                        <w:t xml:space="preserve"> — внутренняя цена автаркии; </w:t>
                      </w:r>
                      <w:r>
                        <w:rPr>
                          <w:rStyle w:val="Exact0"/>
                        </w:rPr>
                        <w:t>Pw</w:t>
                      </w:r>
                      <w:r w:rsidRPr="00B6416C">
                        <w:rPr>
                          <w:rStyle w:val="Exact1"/>
                          <w:lang w:eastAsia="en-US" w:bidi="en-US"/>
                        </w:rPr>
                        <w:t xml:space="preserve"> </w:t>
                      </w:r>
                      <w:r>
                        <w:rPr>
                          <w:rStyle w:val="Exact1"/>
                        </w:rPr>
                        <w:t xml:space="preserve">— мировая цена (цена свободной торговли); </w:t>
                      </w:r>
                      <w:r>
                        <w:rPr>
                          <w:rStyle w:val="Exact0"/>
                        </w:rPr>
                        <w:t>Pw</w:t>
                      </w:r>
                      <w:r w:rsidRPr="00B6416C">
                        <w:rPr>
                          <w:rStyle w:val="Exact0"/>
                          <w:lang w:val="ru-RU"/>
                        </w:rPr>
                        <w:t xml:space="preserve"> </w:t>
                      </w:r>
                      <w:r>
                        <w:rPr>
                          <w:rStyle w:val="Exact0"/>
                          <w:lang w:val="ru-RU" w:eastAsia="ru-RU" w:bidi="ru-RU"/>
                        </w:rPr>
                        <w:t xml:space="preserve">+ </w:t>
                      </w:r>
                      <w:r>
                        <w:rPr>
                          <w:rStyle w:val="Exact0"/>
                        </w:rPr>
                        <w:t>t</w:t>
                      </w:r>
                      <w:r w:rsidRPr="00B6416C">
                        <w:rPr>
                          <w:rStyle w:val="Exact1"/>
                          <w:lang w:eastAsia="en-US" w:bidi="en-US"/>
                        </w:rPr>
                        <w:t xml:space="preserve"> </w:t>
                      </w:r>
                      <w:r>
                        <w:rPr>
                          <w:rStyle w:val="Exact1"/>
                        </w:rPr>
                        <w:t xml:space="preserve">— мировая цена, скорректированная на таможенный тариф; </w:t>
                      </w:r>
                      <w:r>
                        <w:rPr>
                          <w:rStyle w:val="Exact0"/>
                          <w:lang w:val="ru-RU" w:eastAsia="ru-RU" w:bidi="ru-RU"/>
                        </w:rPr>
                        <w:t>Р</w:t>
                      </w:r>
                      <w:r>
                        <w:rPr>
                          <w:rStyle w:val="Exact1"/>
                        </w:rPr>
                        <w:t xml:space="preserve"> — цена; </w:t>
                      </w:r>
                      <w:r>
                        <w:rPr>
                          <w:rStyle w:val="Exact0"/>
                        </w:rPr>
                        <w:t>Q</w:t>
                      </w:r>
                      <w:r w:rsidRPr="00B6416C">
                        <w:rPr>
                          <w:rStyle w:val="Exact1"/>
                          <w:lang w:eastAsia="en-US" w:bidi="en-US"/>
                        </w:rPr>
                        <w:t xml:space="preserve"> </w:t>
                      </w:r>
                      <w:r>
                        <w:rPr>
                          <w:rStyle w:val="Exact1"/>
                        </w:rPr>
                        <w:t>— количество товара</w:t>
                      </w:r>
                    </w:p>
                  </w:txbxContent>
                </v:textbox>
                <w10:wrap type="topAndBottom" anchorx="margin"/>
              </v:shape>
            </w:pict>
          </mc:Fallback>
        </mc:AlternateContent>
      </w:r>
      <w:r w:rsidRPr="00B01894">
        <w:rPr>
          <w:rFonts w:ascii="Bookman Old Style" w:eastAsia="Bookman Old Style" w:hAnsi="Bookman Old Style" w:cs="Bookman Old Style"/>
          <w:color w:val="231F20"/>
          <w:sz w:val="18"/>
          <w:szCs w:val="18"/>
        </w:rPr>
        <w:t>снижение конкурентоспособности национальных товаров (рис. 2.1).</w:t>
      </w:r>
      <w:r w:rsidRPr="00B01894">
        <w:rPr>
          <w:rFonts w:ascii="Bookman Old Style" w:eastAsia="Bookman Old Style" w:hAnsi="Bookman Old Style" w:cs="Bookman Old Style"/>
          <w:sz w:val="18"/>
          <w:szCs w:val="18"/>
        </w:rPr>
        <w:br w:type="page"/>
      </w:r>
    </w:p>
    <w:p w14:paraId="617BC39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Однако все это было бы справедливо, если бы соблюдались сле</w:t>
      </w:r>
      <w:r w:rsidRPr="00B01894">
        <w:rPr>
          <w:rFonts w:ascii="Bookman Old Style" w:eastAsia="Bookman Old Style" w:hAnsi="Bookman Old Style" w:cs="Bookman Old Style"/>
          <w:color w:val="231F20"/>
          <w:sz w:val="18"/>
          <w:szCs w:val="18"/>
        </w:rPr>
        <w:softHyphen/>
        <w:t>дующие условия.</w:t>
      </w:r>
    </w:p>
    <w:p w14:paraId="640C4AE7" w14:textId="77777777" w:rsidR="00B01894" w:rsidRPr="00B01894" w:rsidRDefault="00B01894" w:rsidP="00B01894">
      <w:pPr>
        <w:widowControl w:val="0"/>
        <w:numPr>
          <w:ilvl w:val="0"/>
          <w:numId w:val="18"/>
        </w:numPr>
        <w:tabs>
          <w:tab w:val="left" w:pos="64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странах существует устоявшийся рынок товаров и факторов производства.</w:t>
      </w:r>
    </w:p>
    <w:p w14:paraId="46A27D33" w14:textId="77777777" w:rsidR="00B01894" w:rsidRPr="00B01894" w:rsidRDefault="00B01894" w:rsidP="00B01894">
      <w:pPr>
        <w:widowControl w:val="0"/>
        <w:numPr>
          <w:ilvl w:val="0"/>
          <w:numId w:val="18"/>
        </w:numPr>
        <w:tabs>
          <w:tab w:val="left" w:pos="64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Страны находятся на одинаковом уровне технологического развития.</w:t>
      </w:r>
    </w:p>
    <w:p w14:paraId="62A9DBFA" w14:textId="77777777" w:rsidR="00B01894" w:rsidRPr="00B01894" w:rsidRDefault="00B01894" w:rsidP="00B01894">
      <w:pPr>
        <w:widowControl w:val="0"/>
        <w:numPr>
          <w:ilvl w:val="0"/>
          <w:numId w:val="18"/>
        </w:numPr>
        <w:tabs>
          <w:tab w:val="left" w:pos="64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Экономики стран на протяжении длительного периода вре</w:t>
      </w:r>
      <w:r w:rsidRPr="00B01894">
        <w:rPr>
          <w:rFonts w:ascii="Bookman Old Style" w:eastAsia="Bookman Old Style" w:hAnsi="Bookman Old Style" w:cs="Bookman Old Style"/>
          <w:color w:val="231F20"/>
          <w:sz w:val="18"/>
          <w:szCs w:val="18"/>
        </w:rPr>
        <w:softHyphen/>
        <w:t>мени существовали в условиях открытости для международной кон</w:t>
      </w:r>
      <w:r w:rsidRPr="00B01894">
        <w:rPr>
          <w:rFonts w:ascii="Bookman Old Style" w:eastAsia="Bookman Old Style" w:hAnsi="Bookman Old Style" w:cs="Bookman Old Style"/>
          <w:color w:val="231F20"/>
          <w:sz w:val="18"/>
          <w:szCs w:val="18"/>
        </w:rPr>
        <w:softHyphen/>
        <w:t>куренции.</w:t>
      </w:r>
    </w:p>
    <w:p w14:paraId="2968E67B" w14:textId="77777777" w:rsidR="00B01894" w:rsidRPr="00B01894" w:rsidRDefault="00B01894" w:rsidP="00B01894">
      <w:pPr>
        <w:widowControl w:val="0"/>
        <w:numPr>
          <w:ilvl w:val="0"/>
          <w:numId w:val="18"/>
        </w:numPr>
        <w:tabs>
          <w:tab w:val="left" w:pos="64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странах отсутствуют кризисные явления.</w:t>
      </w:r>
    </w:p>
    <w:p w14:paraId="385EBC4C" w14:textId="77777777" w:rsidR="00B01894" w:rsidRPr="00B01894" w:rsidRDefault="00B01894" w:rsidP="00B01894">
      <w:pPr>
        <w:widowControl w:val="0"/>
        <w:numPr>
          <w:ilvl w:val="0"/>
          <w:numId w:val="18"/>
        </w:numPr>
        <w:tabs>
          <w:tab w:val="left" w:pos="64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странах не осуществляются структурные преобразования.</w:t>
      </w:r>
    </w:p>
    <w:p w14:paraId="256A919E" w14:textId="77777777" w:rsidR="00B01894" w:rsidRPr="00B01894" w:rsidRDefault="00B01894" w:rsidP="00B01894">
      <w:pPr>
        <w:widowControl w:val="0"/>
        <w:numPr>
          <w:ilvl w:val="0"/>
          <w:numId w:val="18"/>
        </w:numPr>
        <w:tabs>
          <w:tab w:val="left" w:pos="64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Ни одна из сторон не использует методы недобросовестной торговой практики (ценовая дискриминация, экспортные субси</w:t>
      </w:r>
      <w:r w:rsidRPr="00B01894">
        <w:rPr>
          <w:rFonts w:ascii="Bookman Old Style" w:eastAsia="Bookman Old Style" w:hAnsi="Bookman Old Style" w:cs="Bookman Old Style"/>
          <w:color w:val="231F20"/>
          <w:sz w:val="18"/>
          <w:szCs w:val="18"/>
        </w:rPr>
        <w:softHyphen/>
        <w:t>дии, агрессивный маркетинг и пр.) и не пользуется явной и скрытой военно-политической поддержкой национального правительства.</w:t>
      </w:r>
    </w:p>
    <w:p w14:paraId="0461245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 это далеко не полный список условий, необходимых для дости</w:t>
      </w:r>
      <w:r w:rsidRPr="00B01894">
        <w:rPr>
          <w:rFonts w:ascii="Bookman Old Style" w:eastAsia="Bookman Old Style" w:hAnsi="Bookman Old Style" w:cs="Bookman Old Style"/>
          <w:color w:val="231F20"/>
          <w:sz w:val="18"/>
          <w:szCs w:val="18"/>
        </w:rPr>
        <w:softHyphen/>
        <w:t>жения обоюдных выгод от международной торговли. Если же взять либерализацию внешней торговли Российской Федерации в кон</w:t>
      </w:r>
      <w:r w:rsidRPr="00B01894">
        <w:rPr>
          <w:rFonts w:ascii="Bookman Old Style" w:eastAsia="Bookman Old Style" w:hAnsi="Bookman Old Style" w:cs="Bookman Old Style"/>
          <w:color w:val="231F20"/>
          <w:sz w:val="18"/>
          <w:szCs w:val="18"/>
        </w:rPr>
        <w:softHyphen/>
        <w:t>це ХХ в., то она проводилась без наличия хотя бы одного из вы</w:t>
      </w:r>
      <w:r w:rsidRPr="00B01894">
        <w:rPr>
          <w:rFonts w:ascii="Bookman Old Style" w:eastAsia="Bookman Old Style" w:hAnsi="Bookman Old Style" w:cs="Bookman Old Style"/>
          <w:color w:val="231F20"/>
          <w:sz w:val="18"/>
          <w:szCs w:val="18"/>
        </w:rPr>
        <w:softHyphen/>
        <w:t>шеперечисленных условий. Таким образом, опираясь на умозри</w:t>
      </w:r>
      <w:r w:rsidRPr="00B01894">
        <w:rPr>
          <w:rFonts w:ascii="Bookman Old Style" w:eastAsia="Bookman Old Style" w:hAnsi="Bookman Old Style" w:cs="Bookman Old Style"/>
          <w:color w:val="231F20"/>
          <w:sz w:val="18"/>
          <w:szCs w:val="18"/>
        </w:rPr>
        <w:softHyphen/>
        <w:t>тельные конструкции и игнорируя реальность, правительство тех лет фактически устроило эксперимент на выживание промыш</w:t>
      </w:r>
      <w:r w:rsidRPr="00B01894">
        <w:rPr>
          <w:rFonts w:ascii="Bookman Old Style" w:eastAsia="Bookman Old Style" w:hAnsi="Bookman Old Style" w:cs="Bookman Old Style"/>
          <w:color w:val="231F20"/>
          <w:sz w:val="18"/>
          <w:szCs w:val="18"/>
        </w:rPr>
        <w:softHyphen/>
        <w:t>ленности и населения, в результате которого вполне естественно произошли катастрофический спад и деградация национального производства, а население страны, за исключением немногих но</w:t>
      </w:r>
      <w:r w:rsidRPr="00B01894">
        <w:rPr>
          <w:rFonts w:ascii="Bookman Old Style" w:eastAsia="Bookman Old Style" w:hAnsi="Bookman Old Style" w:cs="Bookman Old Style"/>
          <w:color w:val="231F20"/>
          <w:sz w:val="18"/>
          <w:szCs w:val="18"/>
        </w:rPr>
        <w:softHyphen/>
        <w:t>воявленных удачливых коммерсантов, обеднело и начало неуклон</w:t>
      </w:r>
      <w:r w:rsidRPr="00B01894">
        <w:rPr>
          <w:rFonts w:ascii="Bookman Old Style" w:eastAsia="Bookman Old Style" w:hAnsi="Bookman Old Style" w:cs="Bookman Old Style"/>
          <w:color w:val="231F20"/>
          <w:sz w:val="18"/>
          <w:szCs w:val="18"/>
        </w:rPr>
        <w:softHyphen/>
        <w:t>но сокращаться.</w:t>
      </w:r>
    </w:p>
    <w:p w14:paraId="1DBC754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Нужно также понимать, что идеи протекционизма, </w:t>
      </w:r>
      <w:r w:rsidRPr="00B01894">
        <w:rPr>
          <w:rFonts w:ascii="Bookman Old Style" w:eastAsia="Bookman Old Style" w:hAnsi="Bookman Old Style" w:cs="Bookman Old Style"/>
          <w:color w:val="00B050"/>
          <w:sz w:val="18"/>
          <w:szCs w:val="18"/>
        </w:rPr>
        <w:t>также</w:t>
      </w:r>
      <w:r w:rsidRPr="00B01894">
        <w:rPr>
          <w:rFonts w:ascii="Bookman Old Style" w:eastAsia="Bookman Old Style" w:hAnsi="Bookman Old Style" w:cs="Bookman Old Style"/>
          <w:color w:val="231F20"/>
          <w:sz w:val="18"/>
          <w:szCs w:val="18"/>
        </w:rPr>
        <w:t xml:space="preserve"> как и фритрейдерства, были оформлены теми же западноевропейцами в трудах меркантилистов. Как известно, меркантилисты основой «внешнеторгового» богатства страны считали активный торговый баланс, что подразумевает превышение экспорта над импортом. На протяжении почти четырех веков (с XV по XIX в.) в Западной Ев</w:t>
      </w:r>
      <w:r w:rsidRPr="00B01894">
        <w:rPr>
          <w:rFonts w:ascii="Bookman Old Style" w:eastAsia="Bookman Old Style" w:hAnsi="Bookman Old Style" w:cs="Bookman Old Style"/>
          <w:color w:val="231F20"/>
          <w:sz w:val="18"/>
          <w:szCs w:val="18"/>
        </w:rPr>
        <w:softHyphen/>
        <w:t>ропе обосновывалось активное вмешательство государства в меж</w:t>
      </w:r>
      <w:r w:rsidRPr="00B01894">
        <w:rPr>
          <w:rFonts w:ascii="Bookman Old Style" w:eastAsia="Bookman Old Style" w:hAnsi="Bookman Old Style" w:cs="Bookman Old Style"/>
          <w:color w:val="231F20"/>
          <w:sz w:val="18"/>
          <w:szCs w:val="18"/>
        </w:rPr>
        <w:softHyphen/>
        <w:t>дународную торговлю в виде высоких импортных пошлин, субсидий национальному производителю и т. д., что находило практическое применение. При этом не только учитывались интересы крупных промышленников, но и приводились выгоды следования такой политики в виде увеличения занятости, роста доходов населения, наконец, увеличения поступлений в бюджет. Для раннего меркан</w:t>
      </w:r>
      <w:r w:rsidRPr="00B01894">
        <w:rPr>
          <w:rFonts w:ascii="Bookman Old Style" w:eastAsia="Bookman Old Style" w:hAnsi="Bookman Old Style" w:cs="Bookman Old Style"/>
          <w:color w:val="231F20"/>
          <w:sz w:val="18"/>
          <w:szCs w:val="18"/>
        </w:rPr>
        <w:softHyphen/>
        <w:t>тилизма (XV—XVI вв.) характерны ограничение импорта, запрет на вывоз драгоценных металлов (в современном понимании — ка</w:t>
      </w:r>
      <w:r w:rsidRPr="00B01894">
        <w:rPr>
          <w:rFonts w:ascii="Bookman Old Style" w:eastAsia="Bookman Old Style" w:hAnsi="Bookman Old Style" w:cs="Bookman Old Style"/>
          <w:color w:val="231F20"/>
          <w:sz w:val="18"/>
          <w:szCs w:val="18"/>
        </w:rPr>
        <w:softHyphen/>
        <w:t>питала) из страны, принуждение к покупке местных товаров. Позд</w:t>
      </w:r>
      <w:r w:rsidRPr="00B01894">
        <w:rPr>
          <w:rFonts w:ascii="Bookman Old Style" w:eastAsia="Bookman Old Style" w:hAnsi="Bookman Old Style" w:cs="Bookman Old Style"/>
          <w:color w:val="231F20"/>
          <w:sz w:val="18"/>
          <w:szCs w:val="18"/>
        </w:rPr>
        <w:softHyphen/>
        <w:t>ний меркантилизм (XVI—XVII вв.) подразумевает начало торговой экспансии и поощрение вывоза готовых изделий. И, наконец, к кон</w:t>
      </w:r>
      <w:r w:rsidRPr="00B01894">
        <w:rPr>
          <w:rFonts w:ascii="Bookman Old Style" w:eastAsia="Bookman Old Style" w:hAnsi="Bookman Old Style" w:cs="Bookman Old Style"/>
          <w:color w:val="231F20"/>
          <w:sz w:val="18"/>
          <w:szCs w:val="18"/>
        </w:rPr>
        <w:softHyphen/>
        <w:t>цу XVII в. сформировалась концепция так называемой государствен</w:t>
      </w:r>
      <w:r w:rsidRPr="00B01894">
        <w:rPr>
          <w:rFonts w:ascii="Bookman Old Style" w:eastAsia="Bookman Old Style" w:hAnsi="Bookman Old Style" w:cs="Bookman Old Style"/>
          <w:color w:val="231F20"/>
          <w:sz w:val="18"/>
          <w:szCs w:val="18"/>
        </w:rPr>
        <w:softHyphen/>
        <w:t>ной политики протекционизма — мер по поддержке национального производителя в целях роста доходов и увеличения занятости на</w:t>
      </w:r>
      <w:r w:rsidRPr="00B01894">
        <w:rPr>
          <w:rFonts w:ascii="Bookman Old Style" w:eastAsia="Bookman Old Style" w:hAnsi="Bookman Old Style" w:cs="Bookman Old Style"/>
          <w:color w:val="231F20"/>
          <w:sz w:val="18"/>
          <w:szCs w:val="18"/>
        </w:rPr>
        <w:softHyphen/>
        <w:t>селения.</w:t>
      </w:r>
    </w:p>
    <w:p w14:paraId="61EAE8F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 xml:space="preserve">Достигнув </w:t>
      </w:r>
      <w:r w:rsidRPr="00B01894">
        <w:rPr>
          <w:rFonts w:ascii="Bookman Old Style" w:eastAsia="Bookman Old Style" w:hAnsi="Bookman Old Style" w:cs="Bookman Old Style"/>
          <w:color w:val="C00000"/>
          <w:sz w:val="18"/>
          <w:szCs w:val="18"/>
        </w:rPr>
        <w:t>же</w:t>
      </w:r>
      <w:r w:rsidRPr="00B01894">
        <w:rPr>
          <w:rFonts w:ascii="Bookman Old Style" w:eastAsia="Bookman Old Style" w:hAnsi="Bookman Old Style" w:cs="Bookman Old Style"/>
          <w:color w:val="231F20"/>
          <w:sz w:val="18"/>
          <w:szCs w:val="18"/>
        </w:rPr>
        <w:t xml:space="preserve"> технологического и организационного превосход</w:t>
      </w:r>
      <w:r w:rsidRPr="00B01894">
        <w:rPr>
          <w:rFonts w:ascii="Bookman Old Style" w:eastAsia="Bookman Old Style" w:hAnsi="Bookman Old Style" w:cs="Bookman Old Style"/>
          <w:color w:val="231F20"/>
          <w:sz w:val="18"/>
          <w:szCs w:val="18"/>
        </w:rPr>
        <w:softHyphen/>
        <w:t>ства, страны Западной Европы стали официально проповедовать фритрейдерство, поскольку наталкивались на противодействие пра</w:t>
      </w:r>
      <w:r w:rsidRPr="00B01894">
        <w:rPr>
          <w:rFonts w:ascii="Bookman Old Style" w:eastAsia="Bookman Old Style" w:hAnsi="Bookman Old Style" w:cs="Bookman Old Style"/>
          <w:color w:val="231F20"/>
          <w:sz w:val="18"/>
          <w:szCs w:val="18"/>
        </w:rPr>
        <w:softHyphen/>
        <w:t>вительств других стран при завоевании внешних рынков. При этом даже один из основоположников новой концепции — Адам Смит, доказывая в своих трудах преимущества свободной торговли, оди</w:t>
      </w:r>
      <w:r w:rsidRPr="00B01894">
        <w:rPr>
          <w:rFonts w:ascii="Bookman Old Style" w:eastAsia="Bookman Old Style" w:hAnsi="Bookman Old Style" w:cs="Bookman Old Style"/>
          <w:color w:val="231F20"/>
          <w:sz w:val="18"/>
          <w:szCs w:val="18"/>
        </w:rPr>
        <w:softHyphen/>
        <w:t>озный «Навигационный акт» Великобритании 1651 г. называл «му</w:t>
      </w:r>
      <w:r w:rsidRPr="00B01894">
        <w:rPr>
          <w:rFonts w:ascii="Bookman Old Style" w:eastAsia="Bookman Old Style" w:hAnsi="Bookman Old Style" w:cs="Bookman Old Style"/>
          <w:color w:val="231F20"/>
          <w:sz w:val="18"/>
          <w:szCs w:val="18"/>
        </w:rPr>
        <w:softHyphen/>
        <w:t>дрейшим решением правительства». (Данный акт предписывал осу</w:t>
      </w:r>
      <w:r w:rsidRPr="00B01894">
        <w:rPr>
          <w:rFonts w:ascii="Bookman Old Style" w:eastAsia="Bookman Old Style" w:hAnsi="Bookman Old Style" w:cs="Bookman Old Style"/>
          <w:color w:val="231F20"/>
          <w:sz w:val="18"/>
          <w:szCs w:val="18"/>
        </w:rPr>
        <w:softHyphen/>
        <w:t>ществление морских перевозок почти исключительно английскими судами, причем это касалось не только колоний, но и суверенных европейских стран, что, к слову, привело к целой серии «морских» войн и процветанию пиратства при негласной поддержке англий</w:t>
      </w:r>
      <w:r w:rsidRPr="00B01894">
        <w:rPr>
          <w:rFonts w:ascii="Bookman Old Style" w:eastAsia="Bookman Old Style" w:hAnsi="Bookman Old Style" w:cs="Bookman Old Style"/>
          <w:color w:val="231F20"/>
          <w:sz w:val="18"/>
          <w:szCs w:val="18"/>
        </w:rPr>
        <w:softHyphen/>
        <w:t>ских властей</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w:t>
      </w:r>
    </w:p>
    <w:p w14:paraId="0BF77DC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Соответственно, учитывая даже современную внешнеторговую политику стран Запада, можно предположить, что в этом есть опре</w:t>
      </w:r>
      <w:r w:rsidRPr="00B01894">
        <w:rPr>
          <w:rFonts w:ascii="Bookman Old Style" w:eastAsia="Bookman Old Style" w:hAnsi="Bookman Old Style" w:cs="Bookman Old Style"/>
          <w:color w:val="231F20"/>
          <w:sz w:val="18"/>
          <w:szCs w:val="18"/>
        </w:rPr>
        <w:softHyphen/>
        <w:t>деленные признаки характерного принципа двойного стандарта в виде применения одних методов для выработки собственной по</w:t>
      </w:r>
      <w:r w:rsidRPr="00B01894">
        <w:rPr>
          <w:rFonts w:ascii="Bookman Old Style" w:eastAsia="Bookman Old Style" w:hAnsi="Bookman Old Style" w:cs="Bookman Old Style"/>
          <w:color w:val="231F20"/>
          <w:sz w:val="18"/>
          <w:szCs w:val="18"/>
        </w:rPr>
        <w:softHyphen/>
        <w:t>литики и совершенно других — для навязывания торговым партне</w:t>
      </w:r>
      <w:r w:rsidRPr="00B01894">
        <w:rPr>
          <w:rFonts w:ascii="Bookman Old Style" w:eastAsia="Bookman Old Style" w:hAnsi="Bookman Old Style" w:cs="Bookman Old Style"/>
          <w:color w:val="231F20"/>
          <w:sz w:val="18"/>
          <w:szCs w:val="18"/>
        </w:rPr>
        <w:softHyphen/>
        <w:t>рам.</w:t>
      </w:r>
    </w:p>
    <w:p w14:paraId="30A2254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Проповедуя либеральные принципы торговли, многие страны тем не менее и сегодня прибегают к жесткому регулированию. Вопреки получившему широкое распространение в нашей стране представлению о свободной конкуренции и рыночных ценах в за</w:t>
      </w:r>
      <w:r w:rsidRPr="00B01894">
        <w:rPr>
          <w:rFonts w:ascii="Bookman Old Style" w:eastAsia="Bookman Old Style" w:hAnsi="Bookman Old Style" w:cs="Bookman Old Style"/>
          <w:color w:val="231F20"/>
          <w:sz w:val="18"/>
          <w:szCs w:val="18"/>
        </w:rPr>
        <w:softHyphen/>
        <w:t xml:space="preserve">рубежных промышленно развитых странах государство там </w:t>
      </w:r>
      <w:r w:rsidRPr="00B01894">
        <w:rPr>
          <w:rFonts w:ascii="Bookman Old Style" w:eastAsia="Bookman Old Style" w:hAnsi="Bookman Old Style" w:cs="Bookman Old Style"/>
          <w:color w:val="00B050"/>
          <w:sz w:val="18"/>
          <w:szCs w:val="18"/>
        </w:rPr>
        <w:t>всегда играло</w:t>
      </w:r>
      <w:r w:rsidRPr="00B01894">
        <w:rPr>
          <w:rFonts w:ascii="Bookman Old Style" w:eastAsia="Bookman Old Style" w:hAnsi="Bookman Old Style" w:cs="Bookman Old Style"/>
          <w:color w:val="231F20"/>
          <w:sz w:val="18"/>
          <w:szCs w:val="18"/>
        </w:rPr>
        <w:t xml:space="preserve"> и игра</w:t>
      </w:r>
      <w:r w:rsidRPr="00B01894">
        <w:rPr>
          <w:rFonts w:ascii="Bookman Old Style" w:eastAsia="Bookman Old Style" w:hAnsi="Bookman Old Style" w:cs="Bookman Old Style"/>
          <w:color w:val="231F20"/>
          <w:sz w:val="18"/>
          <w:szCs w:val="18"/>
        </w:rPr>
        <w:softHyphen/>
        <w:t>ет весьма активную роль в процессе ценообразования и защиты национального производителя (табл. 2.1).</w:t>
      </w:r>
    </w:p>
    <w:p w14:paraId="577CB550" w14:textId="77777777" w:rsidR="00B01894" w:rsidRPr="00B01894" w:rsidRDefault="00B01894" w:rsidP="00B01894">
      <w:pPr>
        <w:framePr w:w="6581" w:wrap="notBeside" w:vAnchor="text" w:hAnchor="text" w:xAlign="center" w:y="1"/>
        <w:widowControl w:val="0"/>
        <w:spacing w:line="192" w:lineRule="exact"/>
        <w:ind w:firstLine="0"/>
        <w:jc w:val="right"/>
        <w:rPr>
          <w:rFonts w:ascii="Arial Narrow" w:eastAsia="Arial Narrow" w:hAnsi="Arial Narrow" w:cs="Arial Narrow"/>
          <w:i/>
          <w:iCs/>
          <w:sz w:val="17"/>
          <w:szCs w:val="17"/>
        </w:rPr>
      </w:pPr>
      <w:r w:rsidRPr="00B01894">
        <w:rPr>
          <w:rFonts w:ascii="Arial Narrow" w:eastAsia="Arial Narrow" w:hAnsi="Arial Narrow" w:cs="Arial Narrow"/>
          <w:i/>
          <w:iCs/>
          <w:color w:val="231F20"/>
          <w:sz w:val="17"/>
          <w:szCs w:val="17"/>
        </w:rPr>
        <w:t>Таблица 2.1</w:t>
      </w:r>
    </w:p>
    <w:p w14:paraId="66449175" w14:textId="77777777" w:rsidR="00B01894" w:rsidRPr="00B01894" w:rsidRDefault="00B01894" w:rsidP="00B01894">
      <w:pPr>
        <w:framePr w:w="6581" w:wrap="notBeside" w:vAnchor="text" w:hAnchor="text" w:xAlign="center" w:y="1"/>
        <w:widowControl w:val="0"/>
        <w:spacing w:line="235" w:lineRule="exact"/>
        <w:ind w:firstLine="0"/>
        <w:jc w:val="center"/>
        <w:rPr>
          <w:rFonts w:ascii="Arial Narrow" w:eastAsia="Arial Narrow" w:hAnsi="Arial Narrow" w:cs="Arial Narrow"/>
          <w:b/>
          <w:bCs/>
          <w:sz w:val="17"/>
          <w:szCs w:val="17"/>
        </w:rPr>
      </w:pPr>
      <w:r w:rsidRPr="00B01894">
        <w:rPr>
          <w:rFonts w:ascii="Arial Narrow" w:eastAsia="Arial Narrow" w:hAnsi="Arial Narrow" w:cs="Arial Narrow"/>
          <w:b/>
          <w:bCs/>
          <w:color w:val="231F20"/>
          <w:sz w:val="17"/>
          <w:szCs w:val="17"/>
        </w:rPr>
        <w:t>Регулирование ценообразования и защита национального производителя в отдельных странах</w:t>
      </w:r>
      <w:r w:rsidRPr="00B01894">
        <w:rPr>
          <w:rFonts w:ascii="Arial Narrow" w:eastAsia="Arial Narrow" w:hAnsi="Arial Narrow" w:cs="Arial Narrow"/>
          <w:b/>
          <w:bCs/>
          <w:color w:val="231F20"/>
          <w:sz w:val="17"/>
          <w:szCs w:val="17"/>
          <w:vertAlign w:val="superscript"/>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3"/>
        <w:gridCol w:w="5448"/>
      </w:tblGrid>
      <w:tr w:rsidR="00B01894" w:rsidRPr="00B01894" w14:paraId="57F2B9BF" w14:textId="77777777" w:rsidTr="006D7F71">
        <w:trPr>
          <w:trHeight w:hRule="exact" w:val="336"/>
          <w:jc w:val="center"/>
        </w:trPr>
        <w:tc>
          <w:tcPr>
            <w:tcW w:w="1133" w:type="dxa"/>
            <w:tcBorders>
              <w:top w:val="single" w:sz="4" w:space="0" w:color="auto"/>
              <w:left w:val="single" w:sz="4" w:space="0" w:color="auto"/>
            </w:tcBorders>
            <w:shd w:val="clear" w:color="auto" w:fill="FFFFFF"/>
            <w:vAlign w:val="bottom"/>
          </w:tcPr>
          <w:p w14:paraId="6F8D15B6" w14:textId="77777777" w:rsidR="00B01894" w:rsidRPr="00B01894" w:rsidRDefault="00B01894" w:rsidP="00B01894">
            <w:pPr>
              <w:framePr w:w="6581" w:wrap="notBeside" w:vAnchor="text" w:hAnchor="text" w:xAlign="center" w:y="1"/>
              <w:widowControl w:val="0"/>
              <w:spacing w:line="176"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b/>
                <w:bCs/>
                <w:color w:val="231F20"/>
                <w:sz w:val="15"/>
                <w:szCs w:val="15"/>
              </w:rPr>
              <w:t>Страна</w:t>
            </w:r>
          </w:p>
        </w:tc>
        <w:tc>
          <w:tcPr>
            <w:tcW w:w="5448" w:type="dxa"/>
            <w:tcBorders>
              <w:top w:val="single" w:sz="4" w:space="0" w:color="auto"/>
              <w:left w:val="single" w:sz="4" w:space="0" w:color="auto"/>
              <w:right w:val="single" w:sz="4" w:space="0" w:color="auto"/>
            </w:tcBorders>
            <w:shd w:val="clear" w:color="auto" w:fill="FFFFFF"/>
            <w:vAlign w:val="bottom"/>
          </w:tcPr>
          <w:p w14:paraId="1286C9A7" w14:textId="77777777" w:rsidR="00B01894" w:rsidRPr="00B01894" w:rsidRDefault="00B01894" w:rsidP="00B01894">
            <w:pPr>
              <w:framePr w:w="6581" w:wrap="notBeside" w:vAnchor="text" w:hAnchor="text" w:xAlign="center" w:y="1"/>
              <w:widowControl w:val="0"/>
              <w:spacing w:line="176"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b/>
                <w:bCs/>
                <w:color w:val="231F20"/>
                <w:sz w:val="15"/>
                <w:szCs w:val="15"/>
              </w:rPr>
              <w:t>Особенности ценообразования</w:t>
            </w:r>
          </w:p>
        </w:tc>
      </w:tr>
      <w:tr w:rsidR="00B01894" w:rsidRPr="00B01894" w14:paraId="0D4850BA" w14:textId="77777777" w:rsidTr="006D7F71">
        <w:trPr>
          <w:trHeight w:hRule="exact" w:val="998"/>
          <w:jc w:val="center"/>
        </w:trPr>
        <w:tc>
          <w:tcPr>
            <w:tcW w:w="1133" w:type="dxa"/>
            <w:tcBorders>
              <w:top w:val="single" w:sz="4" w:space="0" w:color="auto"/>
              <w:left w:val="single" w:sz="4" w:space="0" w:color="auto"/>
              <w:bottom w:val="single" w:sz="4" w:space="0" w:color="auto"/>
            </w:tcBorders>
            <w:shd w:val="clear" w:color="auto" w:fill="FFFFFF"/>
          </w:tcPr>
          <w:p w14:paraId="15CCC96D" w14:textId="77777777" w:rsidR="00B01894" w:rsidRPr="00B01894" w:rsidRDefault="00B01894" w:rsidP="00B01894">
            <w:pPr>
              <w:framePr w:w="6581" w:wrap="notBeside" w:vAnchor="text" w:hAnchor="text" w:xAlign="center" w:y="1"/>
              <w:widowControl w:val="0"/>
              <w:spacing w:line="192"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Австрия</w:t>
            </w:r>
          </w:p>
        </w:tc>
        <w:tc>
          <w:tcPr>
            <w:tcW w:w="5448" w:type="dxa"/>
            <w:tcBorders>
              <w:top w:val="single" w:sz="4" w:space="0" w:color="auto"/>
              <w:left w:val="single" w:sz="4" w:space="0" w:color="auto"/>
              <w:bottom w:val="single" w:sz="4" w:space="0" w:color="auto"/>
              <w:right w:val="single" w:sz="4" w:space="0" w:color="auto"/>
            </w:tcBorders>
            <w:shd w:val="clear" w:color="auto" w:fill="FFFFFF"/>
            <w:vAlign w:val="bottom"/>
          </w:tcPr>
          <w:p w14:paraId="6C5829CB" w14:textId="77777777" w:rsidR="00B01894" w:rsidRPr="00B01894" w:rsidRDefault="00B01894" w:rsidP="00B01894">
            <w:pPr>
              <w:framePr w:w="6581" w:wrap="notBeside" w:vAnchor="text" w:hAnchor="text" w:xAlign="center" w:y="1"/>
              <w:widowControl w:val="0"/>
              <w:spacing w:line="216"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Парламент устанавливает цены на табачные изделия, соль, почтовые сборы, телефонные, телеграфные и железнодорож</w:t>
            </w:r>
            <w:r w:rsidRPr="00B01894">
              <w:rPr>
                <w:rFonts w:ascii="Bookman Old Style" w:eastAsia="Bookman Old Style" w:hAnsi="Bookman Old Style" w:cs="Bookman Old Style"/>
                <w:color w:val="231F20"/>
                <w:sz w:val="17"/>
                <w:szCs w:val="17"/>
              </w:rPr>
              <w:softHyphen/>
              <w:t>ные тарифы. Министерство финансов устанавливает цены на спиртные напитки</w:t>
            </w:r>
          </w:p>
        </w:tc>
      </w:tr>
    </w:tbl>
    <w:p w14:paraId="2A4DAC57" w14:textId="77777777" w:rsidR="00B01894" w:rsidRPr="00B01894" w:rsidRDefault="00B01894" w:rsidP="00B01894">
      <w:pPr>
        <w:framePr w:w="6581" w:wrap="notBeside" w:vAnchor="text" w:hAnchor="text" w:xAlign="center" w:y="1"/>
        <w:widowControl w:val="0"/>
        <w:numPr>
          <w:ilvl w:val="0"/>
          <w:numId w:val="19"/>
        </w:numPr>
        <w:tabs>
          <w:tab w:val="left" w:pos="437"/>
        </w:tabs>
        <w:spacing w:line="240" w:lineRule="auto"/>
        <w:ind w:firstLine="0"/>
        <w:jc w:val="left"/>
        <w:rPr>
          <w:rFonts w:ascii="Bookman Old Style" w:eastAsia="Bookman Old Style" w:hAnsi="Bookman Old Style" w:cs="Bookman Old Style"/>
          <w:sz w:val="15"/>
          <w:szCs w:val="15"/>
        </w:rPr>
      </w:pPr>
      <w:r w:rsidRPr="00B01894">
        <w:rPr>
          <w:rFonts w:ascii="Bookman Old Style" w:eastAsia="Bookman Old Style" w:hAnsi="Bookman Old Style" w:cs="Bookman Old Style"/>
          <w:i/>
          <w:iCs/>
          <w:color w:val="231F20"/>
          <w:sz w:val="15"/>
          <w:szCs w:val="15"/>
        </w:rPr>
        <w:t>Киселев А. А.</w:t>
      </w:r>
      <w:r w:rsidRPr="00B01894">
        <w:rPr>
          <w:rFonts w:ascii="Bookman Old Style" w:eastAsia="Bookman Old Style" w:hAnsi="Bookman Old Style" w:cs="Bookman Old Style"/>
          <w:color w:val="231F20"/>
          <w:sz w:val="15"/>
          <w:szCs w:val="15"/>
        </w:rPr>
        <w:t xml:space="preserve"> Навигационные акты и британская экономическая политика в XVII—</w:t>
      </w:r>
      <w:r w:rsidRPr="00B01894">
        <w:rPr>
          <w:rFonts w:ascii="Bookman Old Style" w:eastAsia="Bookman Old Style" w:hAnsi="Bookman Old Style" w:cs="Bookman Old Style"/>
          <w:color w:val="231F20"/>
          <w:sz w:val="15"/>
          <w:szCs w:val="15"/>
          <w:lang w:val="en-US" w:eastAsia="en-US" w:bidi="en-US"/>
        </w:rPr>
        <w:t>XVIII</w:t>
      </w:r>
      <w:r w:rsidRPr="00B01894">
        <w:rPr>
          <w:rFonts w:ascii="Bookman Old Style" w:eastAsia="Bookman Old Style" w:hAnsi="Bookman Old Style" w:cs="Bookman Old Style"/>
          <w:color w:val="231F20"/>
          <w:sz w:val="15"/>
          <w:szCs w:val="15"/>
          <w:lang w:eastAsia="en-US" w:bidi="en-US"/>
        </w:rPr>
        <w:t xml:space="preserve"> </w:t>
      </w:r>
      <w:r w:rsidRPr="00B01894">
        <w:rPr>
          <w:rFonts w:ascii="Bookman Old Style" w:eastAsia="Bookman Old Style" w:hAnsi="Bookman Old Style" w:cs="Bookman Old Style"/>
          <w:color w:val="231F20"/>
          <w:sz w:val="15"/>
          <w:szCs w:val="15"/>
        </w:rPr>
        <w:t>веках // Вестник ВолгГУ. Серия 4. История. Регионоведение. Между</w:t>
      </w:r>
      <w:r w:rsidRPr="00B01894">
        <w:rPr>
          <w:rFonts w:ascii="Bookman Old Style" w:eastAsia="Bookman Old Style" w:hAnsi="Bookman Old Style" w:cs="Bookman Old Style"/>
          <w:color w:val="231F20"/>
          <w:sz w:val="15"/>
          <w:szCs w:val="15"/>
        </w:rPr>
        <w:softHyphen/>
        <w:t>народные отношения. 2007. № 12. С. 44—50.</w:t>
      </w:r>
    </w:p>
    <w:p w14:paraId="00D94500" w14:textId="77777777" w:rsidR="00B01894" w:rsidRPr="00B01894" w:rsidRDefault="00B01894" w:rsidP="00B01894">
      <w:pPr>
        <w:framePr w:w="6581" w:wrap="notBeside" w:vAnchor="text" w:hAnchor="text" w:xAlign="center" w:y="1"/>
        <w:widowControl w:val="0"/>
        <w:numPr>
          <w:ilvl w:val="0"/>
          <w:numId w:val="19"/>
        </w:numPr>
        <w:tabs>
          <w:tab w:val="left" w:pos="437"/>
        </w:tabs>
        <w:spacing w:line="240" w:lineRule="auto"/>
        <w:ind w:firstLine="0"/>
        <w:jc w:val="left"/>
        <w:rPr>
          <w:rFonts w:ascii="Bookman Old Style" w:eastAsia="Bookman Old Style" w:hAnsi="Bookman Old Style" w:cs="Bookman Old Style"/>
          <w:sz w:val="15"/>
          <w:szCs w:val="15"/>
        </w:rPr>
      </w:pPr>
      <w:r w:rsidRPr="00B01894">
        <w:rPr>
          <w:rFonts w:ascii="Bookman Old Style" w:eastAsia="Bookman Old Style" w:hAnsi="Bookman Old Style" w:cs="Bookman Old Style"/>
          <w:i/>
          <w:iCs/>
          <w:color w:val="231F20"/>
          <w:sz w:val="15"/>
          <w:szCs w:val="15"/>
        </w:rPr>
        <w:t>Евдокимов А. И., Кнышев А. В.</w:t>
      </w:r>
      <w:r w:rsidRPr="00B01894">
        <w:rPr>
          <w:rFonts w:ascii="Bookman Old Style" w:eastAsia="Bookman Old Style" w:hAnsi="Bookman Old Style" w:cs="Bookman Old Style"/>
          <w:color w:val="231F20"/>
          <w:sz w:val="15"/>
          <w:szCs w:val="15"/>
        </w:rPr>
        <w:t xml:space="preserve"> Основные факторы стратегии ценообразования в международном бизнесе // Ученые записки Санкт-Петербургского филиала Рос</w:t>
      </w:r>
      <w:r w:rsidRPr="00B01894">
        <w:rPr>
          <w:rFonts w:ascii="Bookman Old Style" w:eastAsia="Bookman Old Style" w:hAnsi="Bookman Old Style" w:cs="Bookman Old Style"/>
          <w:color w:val="231F20"/>
          <w:sz w:val="15"/>
          <w:szCs w:val="15"/>
        </w:rPr>
        <w:softHyphen/>
        <w:t>сийской таможенной академии. 2009. № 1 (33). С. 61—68.</w:t>
      </w:r>
    </w:p>
    <w:p w14:paraId="2A38B7BD" w14:textId="77777777" w:rsidR="00B01894" w:rsidRPr="00B01894" w:rsidRDefault="00B01894" w:rsidP="00B01894">
      <w:pPr>
        <w:framePr w:w="6581" w:wrap="notBeside" w:vAnchor="text" w:hAnchor="text" w:xAlign="center" w:y="1"/>
        <w:widowControl w:val="0"/>
        <w:spacing w:line="240" w:lineRule="auto"/>
        <w:ind w:firstLine="0"/>
        <w:jc w:val="left"/>
        <w:rPr>
          <w:sz w:val="2"/>
          <w:szCs w:val="2"/>
        </w:rPr>
      </w:pPr>
    </w:p>
    <w:p w14:paraId="5CEDA3FA" w14:textId="77777777" w:rsidR="00B01894" w:rsidRPr="00B01894" w:rsidRDefault="00B01894" w:rsidP="00B01894">
      <w:pPr>
        <w:widowControl w:val="0"/>
        <w:spacing w:line="240" w:lineRule="auto"/>
        <w:ind w:firstLine="0"/>
        <w:jc w:val="left"/>
        <w:rPr>
          <w:sz w:val="2"/>
          <w:szCs w:val="2"/>
        </w:rPr>
      </w:pPr>
    </w:p>
    <w:p w14:paraId="23B89CC1" w14:textId="77777777" w:rsidR="00B01894" w:rsidRPr="00B01894" w:rsidRDefault="00B01894" w:rsidP="00B01894">
      <w:pPr>
        <w:framePr w:w="6581" w:wrap="notBeside" w:vAnchor="text" w:hAnchor="text" w:xAlign="center" w:y="1"/>
        <w:widowControl w:val="0"/>
        <w:spacing w:line="192" w:lineRule="exact"/>
        <w:ind w:firstLine="0"/>
        <w:jc w:val="left"/>
        <w:rPr>
          <w:rFonts w:ascii="Arial Narrow" w:eastAsia="Arial Narrow" w:hAnsi="Arial Narrow" w:cs="Arial Narrow"/>
          <w:i/>
          <w:iCs/>
          <w:sz w:val="17"/>
          <w:szCs w:val="17"/>
        </w:rPr>
      </w:pPr>
      <w:r w:rsidRPr="00B01894">
        <w:rPr>
          <w:rFonts w:ascii="Arial Narrow" w:eastAsia="Arial Narrow" w:hAnsi="Arial Narrow" w:cs="Arial Narrow"/>
          <w:i/>
          <w:iCs/>
          <w:color w:val="231F20"/>
          <w:sz w:val="17"/>
          <w:szCs w:val="17"/>
        </w:rPr>
        <w:lastRenderedPageBreak/>
        <w:t>Окончание табл. 2.1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3"/>
        <w:gridCol w:w="5448"/>
      </w:tblGrid>
      <w:tr w:rsidR="00B01894" w:rsidRPr="00B01894" w14:paraId="069C5001" w14:textId="77777777" w:rsidTr="006D7F71">
        <w:trPr>
          <w:trHeight w:hRule="exact" w:val="341"/>
          <w:jc w:val="center"/>
        </w:trPr>
        <w:tc>
          <w:tcPr>
            <w:tcW w:w="1133" w:type="dxa"/>
            <w:tcBorders>
              <w:top w:val="single" w:sz="4" w:space="0" w:color="auto"/>
              <w:left w:val="single" w:sz="4" w:space="0" w:color="auto"/>
            </w:tcBorders>
            <w:shd w:val="clear" w:color="auto" w:fill="FFFFFF"/>
            <w:vAlign w:val="bottom"/>
          </w:tcPr>
          <w:p w14:paraId="7C625BB2" w14:textId="77777777" w:rsidR="00B01894" w:rsidRPr="00B01894" w:rsidRDefault="00B01894" w:rsidP="00B01894">
            <w:pPr>
              <w:framePr w:w="6581" w:wrap="notBeside" w:vAnchor="text" w:hAnchor="text" w:xAlign="center" w:y="1"/>
              <w:widowControl w:val="0"/>
              <w:spacing w:line="176"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b/>
                <w:bCs/>
                <w:color w:val="231F20"/>
                <w:sz w:val="15"/>
                <w:szCs w:val="15"/>
              </w:rPr>
              <w:t>Страна</w:t>
            </w:r>
          </w:p>
        </w:tc>
        <w:tc>
          <w:tcPr>
            <w:tcW w:w="5448" w:type="dxa"/>
            <w:tcBorders>
              <w:top w:val="single" w:sz="4" w:space="0" w:color="auto"/>
              <w:left w:val="single" w:sz="4" w:space="0" w:color="auto"/>
              <w:right w:val="single" w:sz="4" w:space="0" w:color="auto"/>
            </w:tcBorders>
            <w:shd w:val="clear" w:color="auto" w:fill="FFFFFF"/>
            <w:vAlign w:val="bottom"/>
          </w:tcPr>
          <w:p w14:paraId="6464B5B8" w14:textId="77777777" w:rsidR="00B01894" w:rsidRPr="00B01894" w:rsidRDefault="00B01894" w:rsidP="00B01894">
            <w:pPr>
              <w:framePr w:w="6581" w:wrap="notBeside" w:vAnchor="text" w:hAnchor="text" w:xAlign="center" w:y="1"/>
              <w:widowControl w:val="0"/>
              <w:spacing w:line="176"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b/>
                <w:bCs/>
                <w:color w:val="231F20"/>
                <w:sz w:val="15"/>
                <w:szCs w:val="15"/>
              </w:rPr>
              <w:t>Особенности ценообразования</w:t>
            </w:r>
          </w:p>
        </w:tc>
      </w:tr>
      <w:tr w:rsidR="00B01894" w:rsidRPr="00B01894" w14:paraId="3CAF54E3" w14:textId="77777777" w:rsidTr="006D7F71">
        <w:trPr>
          <w:trHeight w:hRule="exact" w:val="1402"/>
          <w:jc w:val="center"/>
        </w:trPr>
        <w:tc>
          <w:tcPr>
            <w:tcW w:w="1133" w:type="dxa"/>
            <w:tcBorders>
              <w:top w:val="single" w:sz="4" w:space="0" w:color="auto"/>
              <w:left w:val="single" w:sz="4" w:space="0" w:color="auto"/>
            </w:tcBorders>
            <w:shd w:val="clear" w:color="auto" w:fill="FFFFFF"/>
          </w:tcPr>
          <w:p w14:paraId="35B5E904" w14:textId="77777777" w:rsidR="00B01894" w:rsidRPr="00B01894" w:rsidRDefault="00B01894" w:rsidP="00B01894">
            <w:pPr>
              <w:framePr w:w="6581" w:wrap="notBeside" w:vAnchor="text" w:hAnchor="text" w:xAlign="center" w:y="1"/>
              <w:widowControl w:val="0"/>
              <w:spacing w:line="192"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Япония</w:t>
            </w:r>
          </w:p>
        </w:tc>
        <w:tc>
          <w:tcPr>
            <w:tcW w:w="5448" w:type="dxa"/>
            <w:tcBorders>
              <w:top w:val="single" w:sz="4" w:space="0" w:color="auto"/>
              <w:left w:val="single" w:sz="4" w:space="0" w:color="auto"/>
              <w:right w:val="single" w:sz="4" w:space="0" w:color="auto"/>
            </w:tcBorders>
            <w:shd w:val="clear" w:color="auto" w:fill="FFFFFF"/>
            <w:vAlign w:val="bottom"/>
          </w:tcPr>
          <w:p w14:paraId="1EB91034" w14:textId="77777777" w:rsidR="00B01894" w:rsidRPr="00B01894" w:rsidRDefault="00B01894" w:rsidP="00B01894">
            <w:pPr>
              <w:framePr w:w="6581" w:wrap="notBeside" w:vAnchor="text" w:hAnchor="text" w:xAlign="center" w:y="1"/>
              <w:widowControl w:val="0"/>
              <w:spacing w:line="216"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Парламент утверждает цены на рис и пшеницу. Министер</w:t>
            </w:r>
            <w:r w:rsidRPr="00B01894">
              <w:rPr>
                <w:rFonts w:ascii="Bookman Old Style" w:eastAsia="Bookman Old Style" w:hAnsi="Bookman Old Style" w:cs="Bookman Old Style"/>
                <w:color w:val="231F20"/>
                <w:sz w:val="17"/>
                <w:szCs w:val="17"/>
              </w:rPr>
              <w:softHyphen/>
              <w:t>ство сельского хозяйства, лесоводства и рыболовства регули</w:t>
            </w:r>
            <w:r w:rsidRPr="00B01894">
              <w:rPr>
                <w:rFonts w:ascii="Bookman Old Style" w:eastAsia="Bookman Old Style" w:hAnsi="Bookman Old Style" w:cs="Bookman Old Style"/>
                <w:color w:val="231F20"/>
                <w:sz w:val="17"/>
                <w:szCs w:val="17"/>
              </w:rPr>
              <w:softHyphen/>
              <w:t>рует цены на мясные и молочные продукты. Министерство транспорта регулирует железнодорожные тарифы. Агентство природных ресурсов и энергетики определяет тарифы на водо- теплоснабжение и электроэнергию</w:t>
            </w:r>
          </w:p>
        </w:tc>
      </w:tr>
      <w:tr w:rsidR="00B01894" w:rsidRPr="00B01894" w14:paraId="3F644C8B" w14:textId="77777777" w:rsidTr="006D7F71">
        <w:trPr>
          <w:trHeight w:hRule="exact" w:val="1622"/>
          <w:jc w:val="center"/>
        </w:trPr>
        <w:tc>
          <w:tcPr>
            <w:tcW w:w="1133" w:type="dxa"/>
            <w:tcBorders>
              <w:top w:val="single" w:sz="4" w:space="0" w:color="auto"/>
              <w:left w:val="single" w:sz="4" w:space="0" w:color="auto"/>
            </w:tcBorders>
            <w:shd w:val="clear" w:color="auto" w:fill="FFFFFF"/>
          </w:tcPr>
          <w:p w14:paraId="2D585292" w14:textId="77777777" w:rsidR="00B01894" w:rsidRPr="00B01894" w:rsidRDefault="00B01894" w:rsidP="00B01894">
            <w:pPr>
              <w:framePr w:w="6581" w:wrap="notBeside" w:vAnchor="text" w:hAnchor="text" w:xAlign="center" w:y="1"/>
              <w:widowControl w:val="0"/>
              <w:spacing w:line="192"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Щвейцария</w:t>
            </w:r>
          </w:p>
        </w:tc>
        <w:tc>
          <w:tcPr>
            <w:tcW w:w="5448" w:type="dxa"/>
            <w:tcBorders>
              <w:top w:val="single" w:sz="4" w:space="0" w:color="auto"/>
              <w:left w:val="single" w:sz="4" w:space="0" w:color="auto"/>
              <w:right w:val="single" w:sz="4" w:space="0" w:color="auto"/>
            </w:tcBorders>
            <w:shd w:val="clear" w:color="auto" w:fill="FFFFFF"/>
            <w:vAlign w:val="bottom"/>
          </w:tcPr>
          <w:p w14:paraId="3064772B" w14:textId="77777777" w:rsidR="00B01894" w:rsidRPr="00B01894" w:rsidRDefault="00B01894" w:rsidP="00B01894">
            <w:pPr>
              <w:framePr w:w="6581" w:wrap="notBeside" w:vAnchor="text" w:hAnchor="text" w:xAlign="center" w:y="1"/>
              <w:widowControl w:val="0"/>
              <w:spacing w:line="216"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Регулирование цен на многие товары осуществляет специ</w:t>
            </w:r>
            <w:r w:rsidRPr="00B01894">
              <w:rPr>
                <w:rFonts w:ascii="Bookman Old Style" w:eastAsia="Bookman Old Style" w:hAnsi="Bookman Old Style" w:cs="Bookman Old Style"/>
                <w:color w:val="231F20"/>
                <w:sz w:val="17"/>
                <w:szCs w:val="17"/>
              </w:rPr>
              <w:softHyphen/>
              <w:t>альное Федеральное ведомство по контролю над ценами.</w:t>
            </w:r>
          </w:p>
          <w:p w14:paraId="193C7514" w14:textId="77777777" w:rsidR="00B01894" w:rsidRPr="00B01894" w:rsidRDefault="00B01894" w:rsidP="00B01894">
            <w:pPr>
              <w:framePr w:w="6581" w:wrap="notBeside" w:vAnchor="text" w:hAnchor="text" w:xAlign="center" w:y="1"/>
              <w:widowControl w:val="0"/>
              <w:spacing w:line="216"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В стране в законодательном порядке фиксируются цены на 50 % ассортимента сельскохозяйственной продукции. При</w:t>
            </w:r>
            <w:r w:rsidRPr="00B01894">
              <w:rPr>
                <w:rFonts w:ascii="Bookman Old Style" w:eastAsia="Bookman Old Style" w:hAnsi="Bookman Old Style" w:cs="Bookman Old Style"/>
                <w:color w:val="231F20"/>
                <w:sz w:val="17"/>
                <w:szCs w:val="17"/>
              </w:rPr>
              <w:softHyphen/>
              <w:t>нят специальный Закон «О продовольственной безопасности», согласно которому импорт продовольствия в страну не может превышать 40 %</w:t>
            </w:r>
          </w:p>
        </w:tc>
      </w:tr>
      <w:tr w:rsidR="00B01894" w:rsidRPr="00B01894" w14:paraId="2CD4616E" w14:textId="77777777" w:rsidTr="006D7F71">
        <w:trPr>
          <w:trHeight w:hRule="exact" w:val="552"/>
          <w:jc w:val="center"/>
        </w:trPr>
        <w:tc>
          <w:tcPr>
            <w:tcW w:w="1133" w:type="dxa"/>
            <w:tcBorders>
              <w:top w:val="single" w:sz="4" w:space="0" w:color="auto"/>
              <w:left w:val="single" w:sz="4" w:space="0" w:color="auto"/>
              <w:bottom w:val="single" w:sz="4" w:space="0" w:color="auto"/>
            </w:tcBorders>
            <w:shd w:val="clear" w:color="auto" w:fill="FFFFFF"/>
          </w:tcPr>
          <w:p w14:paraId="05D946E4" w14:textId="77777777" w:rsidR="00B01894" w:rsidRPr="00B01894" w:rsidRDefault="00B01894" w:rsidP="00B01894">
            <w:pPr>
              <w:framePr w:w="6581" w:wrap="notBeside" w:vAnchor="text" w:hAnchor="text" w:xAlign="center" w:y="1"/>
              <w:widowControl w:val="0"/>
              <w:spacing w:line="192"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Норвегия</w:t>
            </w:r>
          </w:p>
        </w:tc>
        <w:tc>
          <w:tcPr>
            <w:tcW w:w="5448" w:type="dxa"/>
            <w:tcBorders>
              <w:top w:val="single" w:sz="4" w:space="0" w:color="auto"/>
              <w:left w:val="single" w:sz="4" w:space="0" w:color="auto"/>
              <w:bottom w:val="single" w:sz="4" w:space="0" w:color="auto"/>
              <w:right w:val="single" w:sz="4" w:space="0" w:color="auto"/>
            </w:tcBorders>
            <w:shd w:val="clear" w:color="auto" w:fill="FFFFFF"/>
            <w:vAlign w:val="bottom"/>
          </w:tcPr>
          <w:p w14:paraId="7B815CDC" w14:textId="77777777" w:rsidR="00B01894" w:rsidRPr="00B01894" w:rsidRDefault="00B01894" w:rsidP="00B01894">
            <w:pPr>
              <w:framePr w:w="6581" w:wrap="notBeside" w:vAnchor="text" w:hAnchor="text" w:xAlign="center" w:y="1"/>
              <w:widowControl w:val="0"/>
              <w:spacing w:line="216" w:lineRule="exact"/>
              <w:ind w:firstLine="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7"/>
                <w:szCs w:val="17"/>
              </w:rPr>
              <w:t>Устанавливаются в законодательном порядке ставки скидок и наценок в системе распределения</w:t>
            </w:r>
          </w:p>
        </w:tc>
      </w:tr>
    </w:tbl>
    <w:p w14:paraId="6AAA7606" w14:textId="77777777" w:rsidR="00B01894" w:rsidRPr="00B01894" w:rsidRDefault="00B01894" w:rsidP="00B01894">
      <w:pPr>
        <w:framePr w:w="6581" w:wrap="notBeside" w:vAnchor="text" w:hAnchor="text" w:xAlign="center" w:y="1"/>
        <w:widowControl w:val="0"/>
        <w:spacing w:line="240" w:lineRule="auto"/>
        <w:ind w:firstLine="0"/>
        <w:jc w:val="left"/>
        <w:rPr>
          <w:sz w:val="2"/>
          <w:szCs w:val="2"/>
        </w:rPr>
      </w:pPr>
    </w:p>
    <w:p w14:paraId="287EC5CF" w14:textId="77777777" w:rsidR="00B01894" w:rsidRPr="00B01894" w:rsidRDefault="00B01894" w:rsidP="00B01894">
      <w:pPr>
        <w:widowControl w:val="0"/>
        <w:spacing w:line="240" w:lineRule="auto"/>
        <w:ind w:firstLine="0"/>
        <w:jc w:val="left"/>
        <w:rPr>
          <w:sz w:val="2"/>
          <w:szCs w:val="2"/>
        </w:rPr>
      </w:pPr>
    </w:p>
    <w:p w14:paraId="227752D1" w14:textId="77777777" w:rsidR="00B01894" w:rsidRPr="00B01894" w:rsidRDefault="00B01894" w:rsidP="00B01894">
      <w:pPr>
        <w:widowControl w:val="0"/>
        <w:spacing w:before="99"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Широко используются также косвенные методы регулирования внутренних цен и защиты национальных производителей:</w:t>
      </w:r>
    </w:p>
    <w:p w14:paraId="56B0F3BE"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нетарифные ограничения (квотирование и лицензирование импорта, национальные стандарты качества, финансовые условия импорта, административные барьеры);</w:t>
      </w:r>
    </w:p>
    <w:p w14:paraId="5D83955E"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государственные закупки;</w:t>
      </w:r>
    </w:p>
    <w:p w14:paraId="1C060CB8"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дифференцированная налоговая система;</w:t>
      </w:r>
    </w:p>
    <w:p w14:paraId="2F22B2F4"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регулирование денежно-кредитных отношений с помощью установления ставки ссудного процента и регулирования динамики валютного курса;</w:t>
      </w:r>
    </w:p>
    <w:p w14:paraId="613818C0"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установление амортизационных отчислений;</w:t>
      </w:r>
    </w:p>
    <w:p w14:paraId="401A5CFC"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осуществление валютного контроля во внешнеэкономиче</w:t>
      </w:r>
      <w:r w:rsidRPr="00B01894">
        <w:rPr>
          <w:rFonts w:ascii="Bookman Old Style" w:eastAsia="Bookman Old Style" w:hAnsi="Bookman Old Style" w:cs="Bookman Old Style"/>
          <w:color w:val="231F20"/>
          <w:sz w:val="18"/>
          <w:szCs w:val="18"/>
        </w:rPr>
        <w:softHyphen/>
        <w:t>ских сделках;</w:t>
      </w:r>
    </w:p>
    <w:p w14:paraId="4E6E0437"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принятие антимонопольных законов;</w:t>
      </w:r>
    </w:p>
    <w:p w14:paraId="6DA4958F"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установление таможенных и нетаможенных барьеров;</w:t>
      </w:r>
    </w:p>
    <w:p w14:paraId="5E0A7826"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субсидирование отечественной продукции (для экспорто</w:t>
      </w:r>
      <w:r w:rsidRPr="00B01894">
        <w:rPr>
          <w:rFonts w:ascii="Bookman Old Style" w:eastAsia="Bookman Old Style" w:hAnsi="Bookman Old Style" w:cs="Bookman Old Style"/>
          <w:color w:val="231F20"/>
          <w:sz w:val="18"/>
          <w:szCs w:val="18"/>
        </w:rPr>
        <w:softHyphen/>
        <w:t>ориентированных производств Японии, в отношении сельскохозяй</w:t>
      </w:r>
      <w:r w:rsidRPr="00B01894">
        <w:rPr>
          <w:rFonts w:ascii="Bookman Old Style" w:eastAsia="Bookman Old Style" w:hAnsi="Bookman Old Style" w:cs="Bookman Old Style"/>
          <w:color w:val="231F20"/>
          <w:sz w:val="18"/>
          <w:szCs w:val="18"/>
        </w:rPr>
        <w:softHyphen/>
        <w:t>ственной продукции в ЕС и т. д.);</w:t>
      </w:r>
    </w:p>
    <w:p w14:paraId="52B0248B" w14:textId="77777777" w:rsidR="00B01894" w:rsidRPr="00B01894" w:rsidRDefault="00B01894" w:rsidP="00B01894">
      <w:pPr>
        <w:widowControl w:val="0"/>
        <w:numPr>
          <w:ilvl w:val="0"/>
          <w:numId w:val="11"/>
        </w:numPr>
        <w:tabs>
          <w:tab w:val="left" w:pos="63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принятие антидемпингового законодательства в отношении стран-импортеров и т. д.</w:t>
      </w:r>
    </w:p>
    <w:p w14:paraId="4A76C110"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Регулированию и контролю со стороны государства подверга</w:t>
      </w:r>
      <w:r w:rsidRPr="00B01894">
        <w:rPr>
          <w:rFonts w:ascii="Bookman Old Style" w:eastAsia="Bookman Old Style" w:hAnsi="Bookman Old Style" w:cs="Bookman Old Style"/>
          <w:color w:val="231F20"/>
          <w:sz w:val="18"/>
          <w:szCs w:val="18"/>
        </w:rPr>
        <w:softHyphen/>
        <w:t>ются также так называемые внутрифирменные товаропотоки. Дело в том, что на транснациональные корпорации на сегодняшний день приходится около половины всей международной торговли, и они имеют преимущество в плане формирования политики трансферт</w:t>
      </w:r>
      <w:r w:rsidRPr="00B01894">
        <w:rPr>
          <w:rFonts w:ascii="Bookman Old Style" w:eastAsia="Bookman Old Style" w:hAnsi="Bookman Old Style" w:cs="Bookman Old Style"/>
          <w:color w:val="231F20"/>
          <w:sz w:val="18"/>
          <w:szCs w:val="18"/>
        </w:rPr>
        <w:softHyphen/>
        <w:t>ных цен. В результате стоимость комплектующих, например, может быть занижена для избежания тарифного обложения и конкурен</w:t>
      </w:r>
      <w:r w:rsidRPr="00B01894">
        <w:rPr>
          <w:rFonts w:ascii="Bookman Old Style" w:eastAsia="Bookman Old Style" w:hAnsi="Bookman Old Style" w:cs="Bookman Old Style"/>
          <w:color w:val="231F20"/>
          <w:sz w:val="18"/>
          <w:szCs w:val="18"/>
        </w:rPr>
        <w:softHyphen/>
        <w:t>ции местных производителей.</w:t>
      </w:r>
    </w:p>
    <w:p w14:paraId="48D9511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Это все признаки тактической экономической войны за рынки и </w:t>
      </w:r>
      <w:r w:rsidRPr="00B01894">
        <w:rPr>
          <w:rFonts w:ascii="Bookman Old Style" w:eastAsia="Bookman Old Style" w:hAnsi="Bookman Old Style" w:cs="Bookman Old Style"/>
          <w:color w:val="231F20"/>
          <w:sz w:val="18"/>
          <w:szCs w:val="18"/>
        </w:rPr>
        <w:lastRenderedPageBreak/>
        <w:t>экономическое лидерство. Стратегически используются уже по</w:t>
      </w:r>
      <w:r w:rsidRPr="00B01894">
        <w:rPr>
          <w:rFonts w:ascii="Bookman Old Style" w:eastAsia="Bookman Old Style" w:hAnsi="Bookman Old Style" w:cs="Bookman Old Style"/>
          <w:color w:val="231F20"/>
          <w:sz w:val="18"/>
          <w:szCs w:val="18"/>
        </w:rPr>
        <w:softHyphen/>
        <w:t>литические и геополитические методы ослабления конкурентов. И здесь все средства, как водится, хороши. Начиная от «доброволь</w:t>
      </w:r>
      <w:r w:rsidRPr="00B01894">
        <w:rPr>
          <w:rFonts w:ascii="Bookman Old Style" w:eastAsia="Bookman Old Style" w:hAnsi="Bookman Old Style" w:cs="Bookman Old Style"/>
          <w:color w:val="231F20"/>
          <w:sz w:val="18"/>
          <w:szCs w:val="18"/>
        </w:rPr>
        <w:softHyphen/>
        <w:t>ного» ограничения экспорта в США, вводимого Японией для соб</w:t>
      </w:r>
      <w:r w:rsidRPr="00B01894">
        <w:rPr>
          <w:rFonts w:ascii="Bookman Old Style" w:eastAsia="Bookman Old Style" w:hAnsi="Bookman Old Style" w:cs="Bookman Old Style"/>
          <w:color w:val="231F20"/>
          <w:sz w:val="18"/>
          <w:szCs w:val="18"/>
        </w:rPr>
        <w:softHyphen/>
        <w:t>ственной автомобильной промышленности, заканчивая пресловуты</w:t>
      </w:r>
      <w:r w:rsidRPr="00B01894">
        <w:rPr>
          <w:rFonts w:ascii="Bookman Old Style" w:eastAsia="Bookman Old Style" w:hAnsi="Bookman Old Style" w:cs="Bookman Old Style"/>
          <w:color w:val="231F20"/>
          <w:sz w:val="18"/>
          <w:szCs w:val="18"/>
        </w:rPr>
        <w:softHyphen/>
        <w:t>ми санкциями, государственными переворотами и даже «горячими» военными конфликтами. Родоначальницей подобной политики яв</w:t>
      </w:r>
      <w:r w:rsidRPr="00B01894">
        <w:rPr>
          <w:rFonts w:ascii="Bookman Old Style" w:eastAsia="Bookman Old Style" w:hAnsi="Bookman Old Style" w:cs="Bookman Old Style"/>
          <w:color w:val="231F20"/>
          <w:sz w:val="18"/>
          <w:szCs w:val="18"/>
        </w:rPr>
        <w:softHyphen/>
        <w:t>ляется, как известно, Англия с ее знаменитыми торговыми войнами, эту традицию в полной мере поддерживает на настоящий момент и США. Здесь речь идет уже не о защите национального производи</w:t>
      </w:r>
      <w:r w:rsidRPr="00B01894">
        <w:rPr>
          <w:rFonts w:ascii="Bookman Old Style" w:eastAsia="Bookman Old Style" w:hAnsi="Bookman Old Style" w:cs="Bookman Old Style"/>
          <w:color w:val="231F20"/>
          <w:sz w:val="18"/>
          <w:szCs w:val="18"/>
        </w:rPr>
        <w:softHyphen/>
        <w:t>теля, а о нападении на иностранных. И протекционизм становится условием выживания экономики и даже самого государства, под</w:t>
      </w:r>
      <w:r w:rsidRPr="00B01894">
        <w:rPr>
          <w:rFonts w:ascii="Bookman Old Style" w:eastAsia="Bookman Old Style" w:hAnsi="Bookman Old Style" w:cs="Bookman Old Style"/>
          <w:color w:val="231F20"/>
          <w:sz w:val="18"/>
          <w:szCs w:val="18"/>
        </w:rPr>
        <w:softHyphen/>
        <w:t>вергающегося такого рода агрессии.</w:t>
      </w:r>
    </w:p>
    <w:p w14:paraId="5409984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Если </w:t>
      </w:r>
      <w:r w:rsidRPr="00B01894">
        <w:rPr>
          <w:rFonts w:ascii="Bookman Old Style" w:eastAsia="Bookman Old Style" w:hAnsi="Bookman Old Style" w:cs="Bookman Old Style"/>
          <w:color w:val="00B050"/>
          <w:sz w:val="18"/>
          <w:szCs w:val="18"/>
        </w:rPr>
        <w:t>опять же</w:t>
      </w:r>
      <w:r w:rsidRPr="00B01894">
        <w:rPr>
          <w:rFonts w:ascii="Bookman Old Style" w:eastAsia="Bookman Old Style" w:hAnsi="Bookman Old Style" w:cs="Bookman Old Style"/>
          <w:color w:val="231F20"/>
          <w:sz w:val="18"/>
          <w:szCs w:val="18"/>
        </w:rPr>
        <w:t xml:space="preserve"> обратить взгляд на историю вопроса, то следует признать, что вопросам защиты отечественного производителя на Руси уде</w:t>
      </w:r>
      <w:r w:rsidRPr="00B01894">
        <w:rPr>
          <w:rFonts w:ascii="Bookman Old Style" w:eastAsia="Bookman Old Style" w:hAnsi="Bookman Old Style" w:cs="Bookman Old Style"/>
          <w:color w:val="231F20"/>
          <w:sz w:val="18"/>
          <w:szCs w:val="18"/>
        </w:rPr>
        <w:softHyphen/>
        <w:t xml:space="preserve">лялось, мягко говоря, не слишком много внимания. Даже наоборот, зачастую иностранные купцы ставились в более привлекательное положение. Еще в </w:t>
      </w:r>
      <w:r w:rsidRPr="00B01894">
        <w:rPr>
          <w:rFonts w:ascii="Bookman Old Style" w:eastAsia="Bookman Old Style" w:hAnsi="Bookman Old Style" w:cs="Bookman Old Style"/>
          <w:color w:val="231F20"/>
          <w:sz w:val="18"/>
          <w:szCs w:val="18"/>
          <w:lang w:val="en-US" w:eastAsia="en-US" w:bidi="en-US"/>
        </w:rPr>
        <w:t>XVI</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в. англичане добились права беспошлинной торговли по всей европейской России, которое сохранялось до сере</w:t>
      </w:r>
      <w:r w:rsidRPr="00B01894">
        <w:rPr>
          <w:rFonts w:ascii="Bookman Old Style" w:eastAsia="Bookman Old Style" w:hAnsi="Bookman Old Style" w:cs="Bookman Old Style"/>
          <w:color w:val="231F20"/>
          <w:sz w:val="18"/>
          <w:szCs w:val="18"/>
        </w:rPr>
        <w:softHyphen/>
        <w:t xml:space="preserve">дины </w:t>
      </w:r>
      <w:r w:rsidRPr="00B01894">
        <w:rPr>
          <w:rFonts w:ascii="Bookman Old Style" w:eastAsia="Bookman Old Style" w:hAnsi="Bookman Old Style" w:cs="Bookman Old Style"/>
          <w:color w:val="231F20"/>
          <w:sz w:val="18"/>
          <w:szCs w:val="18"/>
          <w:lang w:val="en-US" w:eastAsia="en-US" w:bidi="en-US"/>
        </w:rPr>
        <w:t>XVII</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в. Русские же купцы были обложены многочисленными внутренними пошлинами (поскольку порядок сбора податей сфор</w:t>
      </w:r>
      <w:r w:rsidRPr="00B01894">
        <w:rPr>
          <w:rFonts w:ascii="Bookman Old Style" w:eastAsia="Bookman Old Style" w:hAnsi="Bookman Old Style" w:cs="Bookman Old Style"/>
          <w:color w:val="231F20"/>
          <w:sz w:val="18"/>
          <w:szCs w:val="18"/>
        </w:rPr>
        <w:softHyphen/>
        <w:t>мировался еще во время удельной раздробленности, все виды об</w:t>
      </w:r>
      <w:r w:rsidRPr="00B01894">
        <w:rPr>
          <w:rFonts w:ascii="Bookman Old Style" w:eastAsia="Bookman Old Style" w:hAnsi="Bookman Old Style" w:cs="Bookman Old Style"/>
          <w:color w:val="231F20"/>
          <w:sz w:val="18"/>
          <w:szCs w:val="18"/>
        </w:rPr>
        <w:softHyphen/>
        <w:t xml:space="preserve">ложения именовались внутренними таможенными пошлинами). Главной и одной из старейших пошлин являлся так называемый мыт, регулярно взимаемый с середины </w:t>
      </w:r>
      <w:r w:rsidRPr="00B01894">
        <w:rPr>
          <w:rFonts w:ascii="Bookman Old Style" w:eastAsia="Bookman Old Style" w:hAnsi="Bookman Old Style" w:cs="Bookman Old Style"/>
          <w:color w:val="231F20"/>
          <w:sz w:val="18"/>
          <w:szCs w:val="18"/>
          <w:lang w:val="en-US" w:eastAsia="en-US" w:bidi="en-US"/>
        </w:rPr>
        <w:t>XIII</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в. при провозе товаров на возах и судах через заставы независимо от их количества и каче</w:t>
      </w:r>
      <w:r w:rsidRPr="00B01894">
        <w:rPr>
          <w:rFonts w:ascii="Bookman Old Style" w:eastAsia="Bookman Old Style" w:hAnsi="Bookman Old Style" w:cs="Bookman Old Style"/>
          <w:color w:val="231F20"/>
          <w:sz w:val="18"/>
          <w:szCs w:val="18"/>
        </w:rPr>
        <w:softHyphen/>
        <w:t>ства. Одновременно с выплатой мыта платилась «головщина», т. е. личная проезжая пошлина, а при возвращении купца этот сбор — «задние колачи» — взимался еще раз. Большую роль в пополнении казны играла тамга, которая оформилась в период ордынского ига и являлась пошлиной на проданный товар и одновременно на само право торговой деятельности. Всего же до 1653 г. взималось около 30 (!) внутренних таможенных пошлин: «мыт», «головщина», «за</w:t>
      </w:r>
      <w:r w:rsidRPr="00B01894">
        <w:rPr>
          <w:rFonts w:ascii="Bookman Old Style" w:eastAsia="Bookman Old Style" w:hAnsi="Bookman Old Style" w:cs="Bookman Old Style"/>
          <w:color w:val="231F20"/>
          <w:sz w:val="18"/>
          <w:szCs w:val="18"/>
        </w:rPr>
        <w:softHyphen/>
        <w:t>дние колачи», «костки», «мостовщина», «перевозы», «замытная» («замыт»), «явленое», «гостиное», «амбарное», «полавочное», «пово</w:t>
      </w:r>
      <w:r w:rsidRPr="00B01894">
        <w:rPr>
          <w:rFonts w:ascii="Bookman Old Style" w:eastAsia="Bookman Old Style" w:hAnsi="Bookman Old Style" w:cs="Bookman Old Style"/>
          <w:color w:val="231F20"/>
          <w:sz w:val="18"/>
          <w:szCs w:val="18"/>
        </w:rPr>
        <w:softHyphen/>
        <w:t>ротная» («подворная»), «свальное», «весчее», «контарное», «подъем</w:t>
      </w:r>
      <w:r w:rsidRPr="00B01894">
        <w:rPr>
          <w:rFonts w:ascii="Bookman Old Style" w:eastAsia="Bookman Old Style" w:hAnsi="Bookman Old Style" w:cs="Bookman Old Style"/>
          <w:color w:val="231F20"/>
          <w:sz w:val="18"/>
          <w:szCs w:val="18"/>
        </w:rPr>
        <w:softHyphen/>
        <w:t>ная», «рукознобная», «померное», «покоречное», «пятно», «писчее», «роговое», «привязная», «узолцовое («поулощина»), «тамга», «поряд</w:t>
      </w:r>
      <w:r w:rsidRPr="00B01894">
        <w:rPr>
          <w:rFonts w:ascii="Bookman Old Style" w:eastAsia="Bookman Old Style" w:hAnsi="Bookman Old Style" w:cs="Bookman Old Style"/>
          <w:color w:val="231F20"/>
          <w:sz w:val="18"/>
          <w:szCs w:val="18"/>
        </w:rPr>
        <w:softHyphen/>
        <w:t>ное», «восменичье» и др. Все они не представляли собой сколько</w:t>
      </w:r>
      <w:r w:rsidRPr="00B01894">
        <w:rPr>
          <w:rFonts w:ascii="Bookman Old Style" w:eastAsia="Bookman Old Style" w:hAnsi="Bookman Old Style" w:cs="Bookman Old Style"/>
          <w:color w:val="00B050"/>
          <w:sz w:val="18"/>
          <w:szCs w:val="18"/>
        </w:rPr>
        <w:t>-нибудь</w:t>
      </w:r>
      <w:r w:rsidRPr="00B01894">
        <w:rPr>
          <w:rFonts w:ascii="Bookman Old Style" w:eastAsia="Bookman Old Style" w:hAnsi="Bookman Old Style" w:cs="Bookman Old Style"/>
          <w:color w:val="231F20"/>
          <w:sz w:val="18"/>
          <w:szCs w:val="18"/>
        </w:rPr>
        <w:t xml:space="preserve"> упорядоченной системы, к более древним установлениям механически присоединялись новые.</w:t>
      </w:r>
    </w:p>
    <w:p w14:paraId="0F22E3D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англичане активно вытесняли русских купцов с внутреннего рынка, не допуская их к участию в экспортной тор</w:t>
      </w:r>
      <w:r w:rsidRPr="00B01894">
        <w:rPr>
          <w:rFonts w:ascii="Bookman Old Style" w:eastAsia="Bookman Old Style" w:hAnsi="Bookman Old Style" w:cs="Bookman Old Style"/>
          <w:color w:val="231F20"/>
          <w:sz w:val="18"/>
          <w:szCs w:val="18"/>
        </w:rPr>
        <w:softHyphen/>
        <w:t>говле. При этом они активно навязывали свои правила. Как извест</w:t>
      </w:r>
      <w:r w:rsidRPr="00B01894">
        <w:rPr>
          <w:rFonts w:ascii="Bookman Old Style" w:eastAsia="Bookman Old Style" w:hAnsi="Bookman Old Style" w:cs="Bookman Old Style"/>
          <w:color w:val="231F20"/>
          <w:sz w:val="18"/>
          <w:szCs w:val="18"/>
        </w:rPr>
        <w:softHyphen/>
        <w:t>но из донесений русских купцов, англичане искусственно поддержи</w:t>
      </w:r>
      <w:r w:rsidRPr="00B01894">
        <w:rPr>
          <w:rFonts w:ascii="Bookman Old Style" w:eastAsia="Bookman Old Style" w:hAnsi="Bookman Old Style" w:cs="Bookman Old Style"/>
          <w:color w:val="231F20"/>
          <w:sz w:val="18"/>
          <w:szCs w:val="18"/>
        </w:rPr>
        <w:softHyphen/>
        <w:t xml:space="preserve">вали высокие цены на свои товары или по сговору занижали цены при скупке русских, придерживали их и провоцировали рост цен, использовали, как </w:t>
      </w:r>
      <w:r w:rsidRPr="00B01894">
        <w:rPr>
          <w:rFonts w:ascii="Bookman Old Style" w:eastAsia="Bookman Old Style" w:hAnsi="Bookman Old Style" w:cs="Bookman Old Style"/>
          <w:color w:val="231F20"/>
          <w:sz w:val="18"/>
          <w:szCs w:val="18"/>
        </w:rPr>
        <w:lastRenderedPageBreak/>
        <w:t>сегодня бы сказали, демпинг, массированно вы</w:t>
      </w:r>
      <w:r w:rsidRPr="00B01894">
        <w:rPr>
          <w:rFonts w:ascii="Bookman Old Style" w:eastAsia="Bookman Old Style" w:hAnsi="Bookman Old Style" w:cs="Bookman Old Style"/>
          <w:color w:val="231F20"/>
          <w:sz w:val="18"/>
          <w:szCs w:val="18"/>
        </w:rPr>
        <w:softHyphen/>
        <w:t>брасывая товары и обваливая рынок. Несмотря на запрет держать «закладней» из числа подданных русского царя (свободных людей, отдававших себя во временную зависимость в качестве обеспече</w:t>
      </w:r>
      <w:r w:rsidRPr="00B01894">
        <w:rPr>
          <w:rFonts w:ascii="Bookman Old Style" w:eastAsia="Bookman Old Style" w:hAnsi="Bookman Old Style" w:cs="Bookman Old Style"/>
          <w:color w:val="231F20"/>
          <w:sz w:val="18"/>
          <w:szCs w:val="18"/>
        </w:rPr>
        <w:softHyphen/>
        <w:t>ния долга), английские купцы заключали «кабальные» договоры, в результате которых мелкие торговцы и промышленники лишались права самостоятельно продавать свой товар русским купцам. Гол</w:t>
      </w:r>
      <w:r w:rsidRPr="00B01894">
        <w:rPr>
          <w:rFonts w:ascii="Bookman Old Style" w:eastAsia="Bookman Old Style" w:hAnsi="Bookman Old Style" w:cs="Bookman Old Style"/>
          <w:color w:val="231F20"/>
          <w:sz w:val="18"/>
          <w:szCs w:val="18"/>
        </w:rPr>
        <w:softHyphen/>
        <w:t>ландский, шведский и германский капиталы тоже присутствовали на русском рынке, при этом европейские коммерсанты также об</w:t>
      </w:r>
      <w:r w:rsidRPr="00B01894">
        <w:rPr>
          <w:rFonts w:ascii="Bookman Old Style" w:eastAsia="Bookman Old Style" w:hAnsi="Bookman Old Style" w:cs="Bookman Old Style"/>
          <w:color w:val="231F20"/>
          <w:sz w:val="18"/>
          <w:szCs w:val="18"/>
        </w:rPr>
        <w:softHyphen/>
        <w:t>ладали привилегиями и схожими способами навязывали невыгод</w:t>
      </w:r>
      <w:r w:rsidRPr="00B01894">
        <w:rPr>
          <w:rFonts w:ascii="Bookman Old Style" w:eastAsia="Bookman Old Style" w:hAnsi="Bookman Old Style" w:cs="Bookman Old Style"/>
          <w:color w:val="231F20"/>
          <w:sz w:val="18"/>
          <w:szCs w:val="18"/>
        </w:rPr>
        <w:softHyphen/>
        <w:t>ные условия торговли. Русское купечество периодически заявляло о своих интересах в виде челобитных на имя царя, где перечисля</w:t>
      </w:r>
      <w:r w:rsidRPr="00B01894">
        <w:rPr>
          <w:rFonts w:ascii="Bookman Old Style" w:eastAsia="Bookman Old Style" w:hAnsi="Bookman Old Style" w:cs="Bookman Old Style"/>
          <w:color w:val="231F20"/>
          <w:sz w:val="18"/>
          <w:szCs w:val="18"/>
        </w:rPr>
        <w:softHyphen/>
        <w:t>лись «обиды». Требования протекционистского характера выдвига</w:t>
      </w:r>
      <w:r w:rsidRPr="00B01894">
        <w:rPr>
          <w:rFonts w:ascii="Bookman Old Style" w:eastAsia="Bookman Old Style" w:hAnsi="Bookman Old Style" w:cs="Bookman Old Style"/>
          <w:color w:val="231F20"/>
          <w:sz w:val="18"/>
          <w:szCs w:val="18"/>
        </w:rPr>
        <w:softHyphen/>
        <w:t>ли и посады в 1648 и 1650 гг. во время бунтов в Москве, Новгороде и Пскове. Однако только в 1649 г. англичане были лишены торговых привилегий и даже изгнаны из России, но эти действия не являлись ответом на купеческие челобитные и выступления посадов, это была демонстрация негативного отношения царя к казни англий</w:t>
      </w:r>
      <w:r w:rsidRPr="00B01894">
        <w:rPr>
          <w:rFonts w:ascii="Bookman Old Style" w:eastAsia="Bookman Old Style" w:hAnsi="Bookman Old Style" w:cs="Bookman Old Style"/>
          <w:color w:val="231F20"/>
          <w:sz w:val="18"/>
          <w:szCs w:val="18"/>
        </w:rPr>
        <w:softHyphen/>
        <w:t>ского короля Карла I</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w:t>
      </w:r>
    </w:p>
    <w:p w14:paraId="488B43A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Российская национальная промышленность и торговля стали ак</w:t>
      </w:r>
      <w:r w:rsidRPr="00B01894">
        <w:rPr>
          <w:rFonts w:ascii="Bookman Old Style" w:eastAsia="Bookman Old Style" w:hAnsi="Bookman Old Style" w:cs="Bookman Old Style"/>
          <w:color w:val="231F20"/>
          <w:sz w:val="18"/>
          <w:szCs w:val="18"/>
        </w:rPr>
        <w:softHyphen/>
        <w:t>тивно развиваться, как это не парадоксально для адептов принци</w:t>
      </w:r>
      <w:r w:rsidRPr="00B01894">
        <w:rPr>
          <w:rFonts w:ascii="Bookman Old Style" w:eastAsia="Bookman Old Style" w:hAnsi="Bookman Old Style" w:cs="Bookman Old Style"/>
          <w:color w:val="231F20"/>
          <w:sz w:val="18"/>
          <w:szCs w:val="18"/>
        </w:rPr>
        <w:softHyphen/>
        <w:t>пов свободного рынка и либерального государства, в эпоху Ивана Грозного, «собравшего» русские земли и преодолевшего феодаль</w:t>
      </w:r>
      <w:r w:rsidRPr="00B01894">
        <w:rPr>
          <w:rFonts w:ascii="Bookman Old Style" w:eastAsia="Bookman Old Style" w:hAnsi="Bookman Old Style" w:cs="Bookman Old Style"/>
          <w:color w:val="231F20"/>
          <w:sz w:val="18"/>
          <w:szCs w:val="18"/>
        </w:rPr>
        <w:softHyphen/>
        <w:t>ную раздробленность. Особенно быстро, конечно, росло оружейное производство. Развивалось также производство посуды, мебели, бу</w:t>
      </w:r>
      <w:r w:rsidRPr="00B01894">
        <w:rPr>
          <w:rFonts w:ascii="Bookman Old Style" w:eastAsia="Bookman Old Style" w:hAnsi="Bookman Old Style" w:cs="Bookman Old Style"/>
          <w:color w:val="231F20"/>
          <w:sz w:val="18"/>
          <w:szCs w:val="18"/>
        </w:rPr>
        <w:softHyphen/>
        <w:t>маги. В период же так называемой смуты значительная часть про</w:t>
      </w:r>
      <w:r w:rsidRPr="00B01894">
        <w:rPr>
          <w:rFonts w:ascii="Bookman Old Style" w:eastAsia="Bookman Old Style" w:hAnsi="Bookman Old Style" w:cs="Bookman Old Style"/>
          <w:color w:val="231F20"/>
          <w:sz w:val="18"/>
          <w:szCs w:val="18"/>
        </w:rPr>
        <w:softHyphen/>
        <w:t>мышленности прекратила свое существование одновременно с со</w:t>
      </w:r>
      <w:r w:rsidRPr="00B01894">
        <w:rPr>
          <w:rFonts w:ascii="Bookman Old Style" w:eastAsia="Bookman Old Style" w:hAnsi="Bookman Old Style" w:cs="Bookman Old Style"/>
          <w:color w:val="231F20"/>
          <w:sz w:val="18"/>
          <w:szCs w:val="18"/>
        </w:rPr>
        <w:softHyphen/>
        <w:t>кращением населения страны.</w:t>
      </w:r>
    </w:p>
    <w:p w14:paraId="21AE953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Если проследить историю российского государства далее, то уви</w:t>
      </w:r>
      <w:r w:rsidRPr="00B01894">
        <w:rPr>
          <w:rFonts w:ascii="Bookman Old Style" w:eastAsia="Bookman Old Style" w:hAnsi="Bookman Old Style" w:cs="Bookman Old Style"/>
          <w:color w:val="231F20"/>
          <w:sz w:val="18"/>
          <w:szCs w:val="18"/>
        </w:rPr>
        <w:softHyphen/>
        <w:t>дим, что подъем промышленности неизбежно связан с усилением государства и политикой протекционизма.</w:t>
      </w:r>
    </w:p>
    <w:p w14:paraId="419F200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При Петре </w:t>
      </w:r>
      <w:r w:rsidRPr="00B01894">
        <w:rPr>
          <w:rFonts w:ascii="Bookman Old Style" w:eastAsia="Bookman Old Style" w:hAnsi="Bookman Old Style" w:cs="Bookman Old Style"/>
          <w:color w:val="231F20"/>
          <w:sz w:val="18"/>
          <w:szCs w:val="18"/>
          <w:lang w:val="en-US" w:eastAsia="en-US" w:bidi="en-US"/>
        </w:rPr>
        <w:t>I</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индустриализация началась с резкого повышения импортных пошлин, которые составляли иногда более половины цены конкурирующего импорта. Наиболее крупные мануфактуры строились за счет казны и работали в основном на заказы от госу</w:t>
      </w:r>
      <w:r w:rsidRPr="00B01894">
        <w:rPr>
          <w:rFonts w:ascii="Bookman Old Style" w:eastAsia="Bookman Old Style" w:hAnsi="Bookman Old Style" w:cs="Bookman Old Style"/>
          <w:color w:val="231F20"/>
          <w:sz w:val="18"/>
          <w:szCs w:val="18"/>
        </w:rPr>
        <w:softHyphen/>
        <w:t>дарства. Некоторые заводы передавались от государства в частные руки, как это было, например, со знаменитыми демидовскими за</w:t>
      </w:r>
      <w:r w:rsidRPr="00B01894">
        <w:rPr>
          <w:rFonts w:ascii="Bookman Old Style" w:eastAsia="Bookman Old Style" w:hAnsi="Bookman Old Style" w:cs="Bookman Old Style"/>
          <w:color w:val="231F20"/>
          <w:sz w:val="18"/>
          <w:szCs w:val="18"/>
        </w:rPr>
        <w:softHyphen/>
        <w:t xml:space="preserve">водами, чье развитие обеспечивалось предоставлением субсидий. В результате было построено огромное количество заводов, </w:t>
      </w:r>
      <w:r w:rsidRPr="00B01894">
        <w:rPr>
          <w:rFonts w:ascii="Bookman Old Style" w:eastAsia="Bookman Old Style" w:hAnsi="Bookman Old Style" w:cs="Bookman Old Style"/>
          <w:color w:val="00B050"/>
          <w:sz w:val="18"/>
          <w:szCs w:val="18"/>
        </w:rPr>
        <w:t>мануфактур,</w:t>
      </w:r>
      <w:r w:rsidRPr="00B01894">
        <w:rPr>
          <w:rFonts w:ascii="Bookman Old Style" w:eastAsia="Bookman Old Style" w:hAnsi="Bookman Old Style" w:cs="Bookman Old Style"/>
          <w:color w:val="00B050"/>
          <w:sz w:val="18"/>
          <w:szCs w:val="18"/>
          <w:vertAlign w:val="superscript"/>
        </w:rPr>
        <w:footnoteReference w:id="4"/>
      </w:r>
      <w:r w:rsidRPr="00B01894">
        <w:rPr>
          <w:rFonts w:ascii="Bookman Old Style" w:eastAsia="Bookman Old Style" w:hAnsi="Bookman Old Style" w:cs="Bookman Old Style"/>
          <w:color w:val="231F20"/>
          <w:sz w:val="18"/>
          <w:szCs w:val="18"/>
        </w:rPr>
        <w:t xml:space="preserve"> налажено производство леса, пороха, стекла, серы, селитры, парусины, сукна, чугуна и пр. На верфях возводились корабли.</w:t>
      </w:r>
    </w:p>
    <w:p w14:paraId="109C2CC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 Екатерине II внимание государства к развитию промышлен</w:t>
      </w:r>
      <w:r w:rsidRPr="00B01894">
        <w:rPr>
          <w:rFonts w:ascii="Bookman Old Style" w:eastAsia="Bookman Old Style" w:hAnsi="Bookman Old Style" w:cs="Bookman Old Style"/>
          <w:color w:val="231F20"/>
          <w:sz w:val="18"/>
          <w:szCs w:val="18"/>
        </w:rPr>
        <w:softHyphen/>
        <w:t xml:space="preserve">ности начало ослабевать, и тут же российская экономика заболела «голландской болезнью» — начала экспортировать чугун и ввозить из </w:t>
      </w:r>
      <w:r w:rsidRPr="00B01894">
        <w:rPr>
          <w:rFonts w:ascii="Bookman Old Style" w:eastAsia="Bookman Old Style" w:hAnsi="Bookman Old Style" w:cs="Bookman Old Style"/>
          <w:color w:val="231F20"/>
          <w:sz w:val="18"/>
          <w:szCs w:val="18"/>
        </w:rPr>
        <w:lastRenderedPageBreak/>
        <w:t>Европы готовые изделия, свои же перерабатывающие производ</w:t>
      </w:r>
      <w:r w:rsidRPr="00B01894">
        <w:rPr>
          <w:rFonts w:ascii="Bookman Old Style" w:eastAsia="Bookman Old Style" w:hAnsi="Bookman Old Style" w:cs="Bookman Old Style"/>
          <w:color w:val="231F20"/>
          <w:sz w:val="18"/>
          <w:szCs w:val="18"/>
        </w:rPr>
        <w:softHyphen/>
        <w:t>ства фактически не развивались.</w:t>
      </w:r>
    </w:p>
    <w:p w14:paraId="526E49F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Все последующие волны индустриализации связаны с активной протекционистской политикой. Начиная с деятельности М. М. Спе</w:t>
      </w:r>
      <w:r w:rsidRPr="00B01894">
        <w:rPr>
          <w:rFonts w:ascii="Bookman Old Style" w:eastAsia="Bookman Old Style" w:hAnsi="Bookman Old Style" w:cs="Bookman Old Style"/>
          <w:color w:val="231F20"/>
          <w:sz w:val="18"/>
          <w:szCs w:val="18"/>
        </w:rPr>
        <w:softHyphen/>
        <w:t>ранского, создавшего целую систему протекционизма, которая привела к созданию в России конкурентоспособных отраслей, по</w:t>
      </w:r>
      <w:r w:rsidRPr="00B01894">
        <w:rPr>
          <w:rFonts w:ascii="Bookman Old Style" w:eastAsia="Bookman Old Style" w:hAnsi="Bookman Old Style" w:cs="Bookman Old Style"/>
          <w:color w:val="231F20"/>
          <w:sz w:val="18"/>
          <w:szCs w:val="18"/>
        </w:rPr>
        <w:softHyphen/>
        <w:t>сле промышленной депрессии либерального Александра II и до ре</w:t>
      </w:r>
      <w:r w:rsidRPr="00B01894">
        <w:rPr>
          <w:rFonts w:ascii="Bookman Old Style" w:eastAsia="Bookman Old Style" w:hAnsi="Bookman Old Style" w:cs="Bookman Old Style"/>
          <w:color w:val="231F20"/>
          <w:sz w:val="18"/>
          <w:szCs w:val="18"/>
        </w:rPr>
        <w:softHyphen/>
        <w:t>форм С. Ю. Витте четко прослеживается связь между протекцио</w:t>
      </w:r>
      <w:r w:rsidRPr="00B01894">
        <w:rPr>
          <w:rFonts w:ascii="Bookman Old Style" w:eastAsia="Bookman Old Style" w:hAnsi="Bookman Old Style" w:cs="Bookman Old Style"/>
          <w:color w:val="231F20"/>
          <w:sz w:val="18"/>
          <w:szCs w:val="18"/>
        </w:rPr>
        <w:softHyphen/>
        <w:t>нистскими усилиями правительства и промышленным подъемом</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 Сперанский был последовательным сторонником проведения про</w:t>
      </w:r>
      <w:r w:rsidRPr="00B01894">
        <w:rPr>
          <w:rFonts w:ascii="Bookman Old Style" w:eastAsia="Bookman Old Style" w:hAnsi="Bookman Old Style" w:cs="Bookman Old Style"/>
          <w:color w:val="231F20"/>
          <w:sz w:val="18"/>
          <w:szCs w:val="18"/>
        </w:rPr>
        <w:softHyphen/>
        <w:t>текционистской внешнеторговой политики, способствовавшей не только притоку денег от ввозных пошлин в казну, но и огражде</w:t>
      </w:r>
      <w:r w:rsidRPr="00B01894">
        <w:rPr>
          <w:rFonts w:ascii="Bookman Old Style" w:eastAsia="Bookman Old Style" w:hAnsi="Bookman Old Style" w:cs="Bookman Old Style"/>
          <w:color w:val="231F20"/>
          <w:sz w:val="18"/>
          <w:szCs w:val="18"/>
        </w:rPr>
        <w:softHyphen/>
        <w:t>нию молодой национальной промышленности от конкуренции бо</w:t>
      </w:r>
      <w:r w:rsidRPr="00B01894">
        <w:rPr>
          <w:rFonts w:ascii="Bookman Old Style" w:eastAsia="Bookman Old Style" w:hAnsi="Bookman Old Style" w:cs="Bookman Old Style"/>
          <w:color w:val="231F20"/>
          <w:sz w:val="18"/>
          <w:szCs w:val="18"/>
        </w:rPr>
        <w:softHyphen/>
        <w:t>лее дешевых импортных товаров. Французские товары, в основном предметы роскоши, впервые были обложены солидной пошлиной, а некоторые из них вовсе запрещены к ввозу. Принципами полити</w:t>
      </w:r>
      <w:r w:rsidRPr="00B01894">
        <w:rPr>
          <w:rFonts w:ascii="Bookman Old Style" w:eastAsia="Bookman Old Style" w:hAnsi="Bookman Old Style" w:cs="Bookman Old Style"/>
          <w:color w:val="231F20"/>
          <w:sz w:val="18"/>
          <w:szCs w:val="18"/>
        </w:rPr>
        <w:softHyphen/>
        <w:t>ки С. Ю. Витте были:</w:t>
      </w:r>
    </w:p>
    <w:p w14:paraId="6C17B495" w14:textId="77777777" w:rsidR="00B01894" w:rsidRPr="00B01894" w:rsidRDefault="00B01894" w:rsidP="00B01894">
      <w:pPr>
        <w:widowControl w:val="0"/>
        <w:numPr>
          <w:ilvl w:val="0"/>
          <w:numId w:val="20"/>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привлечение иностранных капиталов в виде инвестиций и правительственных займов;</w:t>
      </w:r>
    </w:p>
    <w:p w14:paraId="6477B901" w14:textId="77777777" w:rsidR="00B01894" w:rsidRPr="00B01894" w:rsidRDefault="00B01894" w:rsidP="00B01894">
      <w:pPr>
        <w:widowControl w:val="0"/>
        <w:numPr>
          <w:ilvl w:val="0"/>
          <w:numId w:val="20"/>
        </w:numPr>
        <w:tabs>
          <w:tab w:val="left" w:pos="634"/>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протекционистская таможенная политика, защищающая от</w:t>
      </w:r>
      <w:r w:rsidRPr="00B01894">
        <w:rPr>
          <w:rFonts w:ascii="Bookman Old Style" w:eastAsia="Bookman Old Style" w:hAnsi="Bookman Old Style" w:cs="Bookman Old Style"/>
          <w:color w:val="231F20"/>
          <w:sz w:val="18"/>
          <w:szCs w:val="18"/>
        </w:rPr>
        <w:softHyphen/>
        <w:t>ечественных производителей на внутреннем рынке и стимулирую</w:t>
      </w:r>
      <w:r w:rsidRPr="00B01894">
        <w:rPr>
          <w:rFonts w:ascii="Bookman Old Style" w:eastAsia="Bookman Old Style" w:hAnsi="Bookman Old Style" w:cs="Bookman Old Style"/>
          <w:color w:val="231F20"/>
          <w:sz w:val="18"/>
          <w:szCs w:val="18"/>
        </w:rPr>
        <w:softHyphen/>
        <w:t>щая российский экспорт.</w:t>
      </w:r>
    </w:p>
    <w:p w14:paraId="6001456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Витте фактически воспроизводил концепцию меркантилистов, позволившую странам Западной Европы достичь лидерства в технологическом развитии.</w:t>
      </w:r>
    </w:p>
    <w:p w14:paraId="2BCFC1A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Разумеется, одним только протекционизмом невозможно было бы поднять промышленность. Развитию производства и торговли Рос</w:t>
      </w:r>
      <w:r w:rsidRPr="00B01894">
        <w:rPr>
          <w:rFonts w:ascii="Bookman Old Style" w:eastAsia="Bookman Old Style" w:hAnsi="Bookman Old Style" w:cs="Bookman Old Style"/>
          <w:color w:val="231F20"/>
          <w:sz w:val="18"/>
          <w:szCs w:val="18"/>
        </w:rPr>
        <w:softHyphen/>
        <w:t>сии во второй половине ХК в. способствовали и освобождение кре</w:t>
      </w:r>
      <w:r w:rsidRPr="00B01894">
        <w:rPr>
          <w:rFonts w:ascii="Bookman Old Style" w:eastAsia="Bookman Old Style" w:hAnsi="Bookman Old Style" w:cs="Bookman Old Style"/>
          <w:color w:val="231F20"/>
          <w:sz w:val="18"/>
          <w:szCs w:val="18"/>
        </w:rPr>
        <w:softHyphen/>
        <w:t>стьян от крепостной зависимости, и развитие сети железных дорог, и отмена подушной подати с мещан и крестьян, а также создание земских учреждений, проведение судебной реформы, принятие го</w:t>
      </w:r>
      <w:r w:rsidRPr="00B01894">
        <w:rPr>
          <w:rFonts w:ascii="Bookman Old Style" w:eastAsia="Bookman Old Style" w:hAnsi="Bookman Old Style" w:cs="Bookman Old Style"/>
          <w:color w:val="231F20"/>
          <w:sz w:val="18"/>
          <w:szCs w:val="18"/>
        </w:rPr>
        <w:softHyphen/>
        <w:t>родского положения и т. д.</w:t>
      </w:r>
    </w:p>
    <w:p w14:paraId="5C440F1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течение всего периода становления российской промышленно</w:t>
      </w:r>
      <w:r w:rsidRPr="00B01894">
        <w:rPr>
          <w:rFonts w:ascii="Bookman Old Style" w:eastAsia="Bookman Old Style" w:hAnsi="Bookman Old Style" w:cs="Bookman Old Style"/>
          <w:color w:val="231F20"/>
          <w:sz w:val="18"/>
          <w:szCs w:val="18"/>
        </w:rPr>
        <w:softHyphen/>
        <w:t>сти не утихали так называемые таможенные войны, целью которых было навязывание России неэквивалентного обмена и роли постав</w:t>
      </w:r>
      <w:r w:rsidRPr="00B01894">
        <w:rPr>
          <w:rFonts w:ascii="Bookman Old Style" w:eastAsia="Bookman Old Style" w:hAnsi="Bookman Old Style" w:cs="Bookman Old Style"/>
          <w:color w:val="231F20"/>
          <w:sz w:val="18"/>
          <w:szCs w:val="18"/>
        </w:rPr>
        <w:softHyphen/>
        <w:t>щика сырья для западноевропейских мануфактур и фабрик. Приме</w:t>
      </w:r>
      <w:r w:rsidRPr="00B01894">
        <w:rPr>
          <w:rFonts w:ascii="Bookman Old Style" w:eastAsia="Bookman Old Style" w:hAnsi="Bookman Old Style" w:cs="Bookman Old Style"/>
          <w:color w:val="231F20"/>
          <w:sz w:val="18"/>
          <w:szCs w:val="18"/>
        </w:rPr>
        <w:softHyphen/>
        <w:t>ром ожесточенной войны такого рода могут служить взаимоотно</w:t>
      </w:r>
      <w:r w:rsidRPr="00B01894">
        <w:rPr>
          <w:rFonts w:ascii="Bookman Old Style" w:eastAsia="Bookman Old Style" w:hAnsi="Bookman Old Style" w:cs="Bookman Old Style"/>
          <w:color w:val="231F20"/>
          <w:sz w:val="18"/>
          <w:szCs w:val="18"/>
        </w:rPr>
        <w:softHyphen/>
        <w:t>шения России и Германии в период 1893—1894 гг., когда в течение полугода эти страны трижды поднимали ставки ввозных таможен</w:t>
      </w:r>
      <w:r w:rsidRPr="00B01894">
        <w:rPr>
          <w:rFonts w:ascii="Bookman Old Style" w:eastAsia="Bookman Old Style" w:hAnsi="Bookman Old Style" w:cs="Bookman Old Style"/>
          <w:color w:val="231F20"/>
          <w:sz w:val="18"/>
          <w:szCs w:val="18"/>
        </w:rPr>
        <w:softHyphen/>
        <w:t>ных пошлин в отношении друг друга.</w:t>
      </w:r>
      <w:r w:rsidRPr="00B01894">
        <w:rPr>
          <w:rFonts w:ascii="Bookman Old Style" w:eastAsia="Bookman Old Style" w:hAnsi="Bookman Old Style" w:cs="Bookman Old Style"/>
          <w:color w:val="231F20"/>
          <w:sz w:val="18"/>
          <w:szCs w:val="18"/>
          <w:vertAlign w:val="superscript"/>
        </w:rPr>
        <w:t xml:space="preserve"> </w:t>
      </w:r>
      <w:r w:rsidRPr="00B01894">
        <w:rPr>
          <w:rFonts w:ascii="Bookman Old Style" w:eastAsia="Bookman Old Style" w:hAnsi="Bookman Old Style" w:cs="Bookman Old Style"/>
          <w:color w:val="00B050"/>
          <w:sz w:val="18"/>
          <w:szCs w:val="18"/>
          <w:vertAlign w:val="superscript"/>
        </w:rPr>
        <w:footnoteReference w:id="5"/>
      </w:r>
      <w:r w:rsidRPr="00B01894">
        <w:rPr>
          <w:rFonts w:ascii="Bookman Old Style" w:eastAsia="Bookman Old Style" w:hAnsi="Bookman Old Style" w:cs="Bookman Old Style"/>
          <w:color w:val="00B050"/>
          <w:sz w:val="18"/>
          <w:szCs w:val="18"/>
        </w:rPr>
        <w:t xml:space="preserve"> </w:t>
      </w:r>
      <w:r w:rsidRPr="00B01894">
        <w:rPr>
          <w:rFonts w:ascii="Bookman Old Style" w:eastAsia="Bookman Old Style" w:hAnsi="Bookman Old Style" w:cs="Bookman Old Style"/>
          <w:color w:val="231F20"/>
          <w:sz w:val="18"/>
          <w:szCs w:val="18"/>
        </w:rPr>
        <w:t xml:space="preserve"> Причиной этого послужило непредставление Германией льгот для ввоза и транзита русских то</w:t>
      </w:r>
      <w:r w:rsidRPr="00B01894">
        <w:rPr>
          <w:rFonts w:ascii="Bookman Old Style" w:eastAsia="Bookman Old Style" w:hAnsi="Bookman Old Style" w:cs="Bookman Old Style"/>
          <w:color w:val="231F20"/>
          <w:sz w:val="18"/>
          <w:szCs w:val="18"/>
        </w:rPr>
        <w:softHyphen/>
        <w:t>варов. В 1893 г. был принят Закон о двойном таможенном тарифе, согласно которому товары из стран, отказавших в предоставлении льготных условий для ввоза и транзита российских товаров, обла</w:t>
      </w:r>
      <w:r w:rsidRPr="00B01894">
        <w:rPr>
          <w:rFonts w:ascii="Bookman Old Style" w:eastAsia="Bookman Old Style" w:hAnsi="Bookman Old Style" w:cs="Bookman Old Style"/>
          <w:color w:val="231F20"/>
          <w:sz w:val="18"/>
          <w:szCs w:val="18"/>
        </w:rPr>
        <w:softHyphen/>
        <w:t xml:space="preserve">гались пошлинами, на 15—20 % </w:t>
      </w:r>
      <w:r w:rsidRPr="00B01894">
        <w:rPr>
          <w:rFonts w:ascii="Bookman Old Style" w:eastAsia="Bookman Old Style" w:hAnsi="Bookman Old Style" w:cs="Bookman Old Style"/>
          <w:color w:val="231F20"/>
          <w:sz w:val="18"/>
          <w:szCs w:val="18"/>
        </w:rPr>
        <w:lastRenderedPageBreak/>
        <w:t>превышавшими обычные ставки. После нескольких месяцев изнурительной для обеих сторон тамо</w:t>
      </w:r>
      <w:r w:rsidRPr="00B01894">
        <w:rPr>
          <w:rFonts w:ascii="Bookman Old Style" w:eastAsia="Bookman Old Style" w:hAnsi="Bookman Old Style" w:cs="Bookman Old Style"/>
          <w:color w:val="231F20"/>
          <w:sz w:val="18"/>
          <w:szCs w:val="18"/>
        </w:rPr>
        <w:softHyphen/>
        <w:t>женной войны Россия и Германия пришли в начале 1894 г. к со</w:t>
      </w:r>
      <w:r w:rsidRPr="00B01894">
        <w:rPr>
          <w:rFonts w:ascii="Bookman Old Style" w:eastAsia="Bookman Old Style" w:hAnsi="Bookman Old Style" w:cs="Bookman Old Style"/>
          <w:color w:val="231F20"/>
          <w:sz w:val="18"/>
          <w:szCs w:val="18"/>
        </w:rPr>
        <w:softHyphen/>
        <w:t>глашению и подписали торговый договор</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 Россия в результате получила права «наиболее благоприятствуемой нации», и это было не доброй волей немецкого правительства, а результатом активно</w:t>
      </w:r>
      <w:r w:rsidRPr="00B01894">
        <w:rPr>
          <w:rFonts w:ascii="Bookman Old Style" w:eastAsia="Bookman Old Style" w:hAnsi="Bookman Old Style" w:cs="Bookman Old Style"/>
          <w:color w:val="231F20"/>
          <w:sz w:val="18"/>
          <w:szCs w:val="18"/>
        </w:rPr>
        <w:softHyphen/>
        <w:t>го противодействия со стороны российского правительства (прежде всего в лице министра финансов С. Ю. Витте) дискриминацион</w:t>
      </w:r>
      <w:r w:rsidRPr="00B01894">
        <w:rPr>
          <w:rFonts w:ascii="Bookman Old Style" w:eastAsia="Bookman Old Style" w:hAnsi="Bookman Old Style" w:cs="Bookman Old Style"/>
          <w:color w:val="231F20"/>
          <w:sz w:val="18"/>
          <w:szCs w:val="18"/>
        </w:rPr>
        <w:softHyphen/>
        <w:t>ной политике Германии. Этот пример лишний раз доказывает, что в международной политике, в том числе внешнеторговой, только национально ориентированная стратегия приносит плоды и позво</w:t>
      </w:r>
      <w:r w:rsidRPr="00B01894">
        <w:rPr>
          <w:rFonts w:ascii="Bookman Old Style" w:eastAsia="Bookman Old Style" w:hAnsi="Bookman Old Style" w:cs="Bookman Old Style"/>
          <w:color w:val="231F20"/>
          <w:sz w:val="18"/>
          <w:szCs w:val="18"/>
        </w:rPr>
        <w:softHyphen/>
        <w:t>ляет на равных условиях осуществлять взаимовыгодное экономиче</w:t>
      </w:r>
      <w:r w:rsidRPr="00B01894">
        <w:rPr>
          <w:rFonts w:ascii="Bookman Old Style" w:eastAsia="Bookman Old Style" w:hAnsi="Bookman Old Style" w:cs="Bookman Old Style"/>
          <w:color w:val="231F20"/>
          <w:sz w:val="18"/>
          <w:szCs w:val="18"/>
        </w:rPr>
        <w:softHyphen/>
        <w:t>ское взаимодействие.</w:t>
      </w:r>
    </w:p>
    <w:p w14:paraId="3A03916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Учитывая обеспеченность России всевозможными природными ресурсами (так называемое ресурсное проклятие) и, соответствен</w:t>
      </w:r>
      <w:r w:rsidRPr="00B01894">
        <w:rPr>
          <w:rFonts w:ascii="Bookman Old Style" w:eastAsia="Bookman Old Style" w:hAnsi="Bookman Old Style" w:cs="Bookman Old Style"/>
          <w:color w:val="231F20"/>
          <w:sz w:val="18"/>
          <w:szCs w:val="18"/>
        </w:rPr>
        <w:softHyphen/>
        <w:t xml:space="preserve">но, бедную ресурсную базу современных промышленно развитых стран </w:t>
      </w:r>
      <w:r w:rsidRPr="00B01894">
        <w:rPr>
          <w:rFonts w:ascii="Bookman Old Style" w:eastAsia="Bookman Old Style" w:hAnsi="Bookman Old Style" w:cs="Bookman Old Style"/>
          <w:color w:val="00B050"/>
          <w:sz w:val="18"/>
          <w:szCs w:val="18"/>
        </w:rPr>
        <w:t>Запада</w:t>
      </w:r>
      <w:r w:rsidRPr="00B01894">
        <w:rPr>
          <w:rFonts w:ascii="Bookman Old Style" w:eastAsia="Bookman Old Style" w:hAnsi="Bookman Old Style" w:cs="Bookman Old Style"/>
          <w:color w:val="231F20"/>
          <w:sz w:val="18"/>
          <w:szCs w:val="18"/>
        </w:rPr>
        <w:t>, следует понимать, что при малейшем ослаблении государ</w:t>
      </w:r>
      <w:r w:rsidRPr="00B01894">
        <w:rPr>
          <w:rFonts w:ascii="Bookman Old Style" w:eastAsia="Bookman Old Style" w:hAnsi="Bookman Old Style" w:cs="Bookman Old Style"/>
          <w:color w:val="231F20"/>
          <w:sz w:val="18"/>
          <w:szCs w:val="18"/>
        </w:rPr>
        <w:softHyphen/>
        <w:t>ственной политики в России, во-первых, в полном объеме начина</w:t>
      </w:r>
      <w:r w:rsidRPr="00B01894">
        <w:rPr>
          <w:rFonts w:ascii="Bookman Old Style" w:eastAsia="Bookman Old Style" w:hAnsi="Bookman Old Style" w:cs="Bookman Old Style"/>
          <w:color w:val="231F20"/>
          <w:sz w:val="18"/>
          <w:szCs w:val="18"/>
        </w:rPr>
        <w:softHyphen/>
        <w:t>ет работать теорема Рыбчинского, согласно которой избыточный фактор производства оттягивает на себя все производительные силы экономики, и, во-вторых, правительства и капиталы запад</w:t>
      </w:r>
      <w:r w:rsidRPr="00B01894">
        <w:rPr>
          <w:rFonts w:ascii="Bookman Old Style" w:eastAsia="Bookman Old Style" w:hAnsi="Bookman Old Style" w:cs="Bookman Old Style"/>
          <w:color w:val="231F20"/>
          <w:sz w:val="18"/>
          <w:szCs w:val="18"/>
        </w:rPr>
        <w:softHyphen/>
        <w:t>ноевропейских стран моментально начинают навязывать России статус «сырьевого придатка», устанавливая в свою пользу «условия торговли».</w:t>
      </w:r>
    </w:p>
    <w:p w14:paraId="35EE61DB"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 протяжении всей истории иностранный капитал при под</w:t>
      </w:r>
      <w:r w:rsidRPr="00B01894">
        <w:rPr>
          <w:rFonts w:ascii="Bookman Old Style" w:eastAsia="Bookman Old Style" w:hAnsi="Bookman Old Style" w:cs="Bookman Old Style"/>
          <w:color w:val="231F20"/>
          <w:sz w:val="18"/>
          <w:szCs w:val="18"/>
        </w:rPr>
        <w:softHyphen/>
        <w:t>держке правительств с завидным постоянством пытался навязать условия игры «в одни ворота», в случае «неповиновения» исполь</w:t>
      </w:r>
      <w:r w:rsidRPr="00B01894">
        <w:rPr>
          <w:rFonts w:ascii="Bookman Old Style" w:eastAsia="Bookman Old Style" w:hAnsi="Bookman Old Style" w:cs="Bookman Old Style"/>
          <w:color w:val="231F20"/>
          <w:sz w:val="18"/>
          <w:szCs w:val="18"/>
        </w:rPr>
        <w:softHyphen/>
        <w:t>зуя все возможные методы экономического, политического и даже военного характера. Если говорить о тех же санкциях, то это дале</w:t>
      </w:r>
      <w:r w:rsidRPr="00B01894">
        <w:rPr>
          <w:rFonts w:ascii="Bookman Old Style" w:eastAsia="Bookman Old Style" w:hAnsi="Bookman Old Style" w:cs="Bookman Old Style"/>
          <w:color w:val="231F20"/>
          <w:sz w:val="18"/>
          <w:szCs w:val="18"/>
        </w:rPr>
        <w:softHyphen/>
        <w:t>ко не новое изобретение. Весь ХХ в., например, наша страна прак</w:t>
      </w:r>
      <w:r w:rsidRPr="00B01894">
        <w:rPr>
          <w:rFonts w:ascii="Bookman Old Style" w:eastAsia="Bookman Old Style" w:hAnsi="Bookman Old Style" w:cs="Bookman Old Style"/>
          <w:color w:val="231F20"/>
          <w:sz w:val="18"/>
          <w:szCs w:val="18"/>
        </w:rPr>
        <w:softHyphen/>
        <w:t>тически непрерывно находилась и находится в условиях торговых ограничений. Так, с самого начала становления СССР оказывались такие меры воздействия, как золотая блокада, кредитная блокада, ограничения или запреты на ввоз товаров из СССР, повышенные пошлины на ввоз товаров из СССР, лицензирование советского им</w:t>
      </w:r>
      <w:r w:rsidRPr="00B01894">
        <w:rPr>
          <w:rFonts w:ascii="Bookman Old Style" w:eastAsia="Bookman Old Style" w:hAnsi="Bookman Old Style" w:cs="Bookman Old Style"/>
          <w:color w:val="231F20"/>
          <w:sz w:val="18"/>
          <w:szCs w:val="18"/>
        </w:rPr>
        <w:softHyphen/>
        <w:t xml:space="preserve">порта и т. п. </w:t>
      </w:r>
      <w:r w:rsidRPr="00B01894">
        <w:rPr>
          <w:rFonts w:ascii="Bookman Old Style" w:eastAsia="Bookman Old Style" w:hAnsi="Bookman Old Style" w:cs="Bookman Old Style"/>
          <w:color w:val="231F20"/>
          <w:sz w:val="18"/>
          <w:szCs w:val="18"/>
          <w:vertAlign w:val="superscript"/>
        </w:rPr>
        <w:footnoteReference w:id="6"/>
      </w:r>
    </w:p>
    <w:p w14:paraId="152CD9F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Золотая блокада заключалась в том, что Запад отказывался при</w:t>
      </w:r>
      <w:r w:rsidRPr="00B01894">
        <w:rPr>
          <w:rFonts w:ascii="Bookman Old Style" w:eastAsia="Bookman Old Style" w:hAnsi="Bookman Old Style" w:cs="Bookman Old Style"/>
          <w:color w:val="231F20"/>
          <w:sz w:val="18"/>
          <w:szCs w:val="18"/>
        </w:rPr>
        <w:softHyphen/>
        <w:t>нимать от Советского Союза в порядке оплаты импорта золото. И это несмотря на то, что после Первой мировой войны к 1925 г. су</w:t>
      </w:r>
      <w:r w:rsidRPr="00B01894">
        <w:rPr>
          <w:rFonts w:ascii="Bookman Old Style" w:eastAsia="Bookman Old Style" w:hAnsi="Bookman Old Style" w:cs="Bookman Old Style"/>
          <w:color w:val="231F20"/>
          <w:sz w:val="18"/>
          <w:szCs w:val="18"/>
        </w:rPr>
        <w:softHyphen/>
        <w:t>ществовавший до 1914 г. золотой стандарт был восстановлен (хотя и в усеченном виде), т. е. золото рассматривалось как универсаль</w:t>
      </w:r>
      <w:r w:rsidRPr="00B01894">
        <w:rPr>
          <w:rFonts w:ascii="Bookman Old Style" w:eastAsia="Bookman Old Style" w:hAnsi="Bookman Old Style" w:cs="Bookman Old Style"/>
          <w:color w:val="231F20"/>
          <w:sz w:val="18"/>
          <w:szCs w:val="18"/>
        </w:rPr>
        <w:softHyphen/>
        <w:t>ные мировые деньги. Однако СССР мог покрывать свои импортные закупки только поставками нужных Западу природных ресурсов, сельскохозяйственной продукции (особенно зерна). Кредитная бло</w:t>
      </w:r>
      <w:r w:rsidRPr="00B01894">
        <w:rPr>
          <w:rFonts w:ascii="Bookman Old Style" w:eastAsia="Bookman Old Style" w:hAnsi="Bookman Old Style" w:cs="Bookman Old Style"/>
          <w:color w:val="231F20"/>
          <w:sz w:val="18"/>
          <w:szCs w:val="18"/>
        </w:rPr>
        <w:softHyphen/>
        <w:t>када заключалась в запрете предоставлять Советскому Союзу кре</w:t>
      </w:r>
      <w:r w:rsidRPr="00B01894">
        <w:rPr>
          <w:rFonts w:ascii="Bookman Old Style" w:eastAsia="Bookman Old Style" w:hAnsi="Bookman Old Style" w:cs="Bookman Old Style"/>
          <w:color w:val="231F20"/>
          <w:sz w:val="18"/>
          <w:szCs w:val="18"/>
        </w:rPr>
        <w:softHyphen/>
        <w:t xml:space="preserve">диты, в том числе торговые (что было нормой в международной торговле), либо же </w:t>
      </w:r>
      <w:r w:rsidRPr="00B01894">
        <w:rPr>
          <w:rFonts w:ascii="Bookman Old Style" w:eastAsia="Bookman Old Style" w:hAnsi="Bookman Old Style" w:cs="Bookman Old Style"/>
          <w:color w:val="231F20"/>
          <w:sz w:val="18"/>
          <w:szCs w:val="18"/>
        </w:rPr>
        <w:lastRenderedPageBreak/>
        <w:t>кредиты предоставлялись на неприемлемых ус</w:t>
      </w:r>
      <w:r w:rsidRPr="00B01894">
        <w:rPr>
          <w:rFonts w:ascii="Bookman Old Style" w:eastAsia="Bookman Old Style" w:hAnsi="Bookman Old Style" w:cs="Bookman Old Style"/>
          <w:color w:val="231F20"/>
          <w:sz w:val="18"/>
          <w:szCs w:val="18"/>
        </w:rPr>
        <w:softHyphen/>
        <w:t>ловиях и под избыточное обеспечение.</w:t>
      </w:r>
    </w:p>
    <w:p w14:paraId="74B19BA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Инициатором антисоветской торговой войны выступили США, перенявшие у Великобритании все принципы внешней политики. Торговые ограничения были также поддержаны Францией и Ан</w:t>
      </w:r>
      <w:r w:rsidRPr="00B01894">
        <w:rPr>
          <w:rFonts w:ascii="Bookman Old Style" w:eastAsia="Bookman Old Style" w:hAnsi="Bookman Old Style" w:cs="Bookman Old Style"/>
          <w:color w:val="231F20"/>
          <w:sz w:val="18"/>
          <w:szCs w:val="18"/>
        </w:rPr>
        <w:softHyphen/>
        <w:t>глией. Здесь были и запретительные пошлины, и эмбарго, и даже разбойные нападения на советские внешнеторговые организации. И только жесткие ответные меры советского правительства способ</w:t>
      </w:r>
      <w:r w:rsidRPr="00B01894">
        <w:rPr>
          <w:rFonts w:ascii="Bookman Old Style" w:eastAsia="Bookman Old Style" w:hAnsi="Bookman Old Style" w:cs="Bookman Old Style"/>
          <w:color w:val="231F20"/>
          <w:sz w:val="18"/>
          <w:szCs w:val="18"/>
        </w:rPr>
        <w:softHyphen/>
        <w:t>ствовали нормализации торговых отношений.</w:t>
      </w:r>
    </w:p>
    <w:p w14:paraId="5CAE7E0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Следующий этап санкционной войны приходится на послевоен</w:t>
      </w:r>
      <w:r w:rsidRPr="00B01894">
        <w:rPr>
          <w:rFonts w:ascii="Bookman Old Style" w:eastAsia="Bookman Old Style" w:hAnsi="Bookman Old Style" w:cs="Bookman Old Style"/>
          <w:color w:val="231F20"/>
          <w:sz w:val="18"/>
          <w:szCs w:val="18"/>
        </w:rPr>
        <w:softHyphen/>
        <w:t>ный период (середина ХХ в.). И опять главными зачинщиками ста</w:t>
      </w:r>
      <w:r w:rsidRPr="00B01894">
        <w:rPr>
          <w:rFonts w:ascii="Bookman Old Style" w:eastAsia="Bookman Old Style" w:hAnsi="Bookman Old Style" w:cs="Bookman Old Style"/>
          <w:color w:val="231F20"/>
          <w:sz w:val="18"/>
          <w:szCs w:val="18"/>
        </w:rPr>
        <w:softHyphen/>
        <w:t>новятся США. В марте 1948 г. США вводят экспортные лицензии, ко</w:t>
      </w:r>
      <w:r w:rsidRPr="00B01894">
        <w:rPr>
          <w:rFonts w:ascii="Bookman Old Style" w:eastAsia="Bookman Old Style" w:hAnsi="Bookman Old Style" w:cs="Bookman Old Style"/>
          <w:color w:val="231F20"/>
          <w:sz w:val="18"/>
          <w:szCs w:val="18"/>
        </w:rPr>
        <w:softHyphen/>
        <w:t>торые запрещали вывоз большинства американских товаров в СССР. В январе 1950 г. начал функционировать Координационный коми</w:t>
      </w:r>
      <w:r w:rsidRPr="00B01894">
        <w:rPr>
          <w:rFonts w:ascii="Bookman Old Style" w:eastAsia="Bookman Old Style" w:hAnsi="Bookman Old Style" w:cs="Bookman Old Style"/>
          <w:color w:val="231F20"/>
          <w:sz w:val="18"/>
          <w:szCs w:val="18"/>
        </w:rPr>
        <w:softHyphen/>
        <w:t xml:space="preserve">тет по экспортному контролю </w:t>
      </w:r>
      <w:r w:rsidRPr="00B01894">
        <w:rPr>
          <w:rFonts w:ascii="Bookman Old Style" w:eastAsia="Bookman Old Style" w:hAnsi="Bookman Old Style" w:cs="Bookman Old Style"/>
          <w:i/>
          <w:iCs/>
          <w:color w:val="231F20"/>
          <w:sz w:val="18"/>
          <w:szCs w:val="18"/>
          <w:lang w:eastAsia="en-US" w:bidi="en-US"/>
        </w:rPr>
        <w:t>(</w:t>
      </w:r>
      <w:r w:rsidRPr="00B01894">
        <w:rPr>
          <w:rFonts w:ascii="Bookman Old Style" w:eastAsia="Bookman Old Style" w:hAnsi="Bookman Old Style" w:cs="Bookman Old Style"/>
          <w:i/>
          <w:iCs/>
          <w:color w:val="231F20"/>
          <w:sz w:val="18"/>
          <w:szCs w:val="18"/>
          <w:lang w:val="en-US" w:eastAsia="en-US" w:bidi="en-US"/>
        </w:rPr>
        <w:t>Coordinating</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Committee</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for</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Multilateral</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Export</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Controls</w:t>
      </w:r>
      <w:r w:rsidRPr="00B01894">
        <w:rPr>
          <w:rFonts w:ascii="Bookman Old Style" w:eastAsia="Bookman Old Style" w:hAnsi="Bookman Old Style" w:cs="Bookman Old Style"/>
          <w:i/>
          <w:iCs/>
          <w:color w:val="231F20"/>
          <w:sz w:val="18"/>
          <w:szCs w:val="18"/>
          <w:lang w:eastAsia="en-US" w:bidi="en-US"/>
        </w:rPr>
        <w:t>)</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для контроля над экспортом в СССР и другие соци</w:t>
      </w:r>
      <w:r w:rsidRPr="00B01894">
        <w:rPr>
          <w:rFonts w:ascii="Bookman Old Style" w:eastAsia="Bookman Old Style" w:hAnsi="Bookman Old Style" w:cs="Bookman Old Style"/>
          <w:color w:val="231F20"/>
          <w:sz w:val="18"/>
          <w:szCs w:val="18"/>
        </w:rPr>
        <w:softHyphen/>
        <w:t>алистические страны. Он составлял перечни стратегических това</w:t>
      </w:r>
      <w:r w:rsidRPr="00B01894">
        <w:rPr>
          <w:rFonts w:ascii="Bookman Old Style" w:eastAsia="Bookman Old Style" w:hAnsi="Bookman Old Style" w:cs="Bookman Old Style"/>
          <w:color w:val="231F20"/>
          <w:sz w:val="18"/>
          <w:szCs w:val="18"/>
        </w:rPr>
        <w:softHyphen/>
        <w:t>ров и технологий, не подлежащих экспорту. В мае 1951 г. Конгресс принимает Закон об ассигнованиях вместе с так называемой по</w:t>
      </w:r>
      <w:r w:rsidRPr="00B01894">
        <w:rPr>
          <w:rFonts w:ascii="Bookman Old Style" w:eastAsia="Bookman Old Style" w:hAnsi="Bookman Old Style" w:cs="Bookman Old Style"/>
          <w:color w:val="231F20"/>
          <w:sz w:val="18"/>
          <w:szCs w:val="18"/>
        </w:rPr>
        <w:softHyphen/>
        <w:t>правкой Кема для прекращения экономической помощи странам, которые будут поставлять Советскому Союзу товары стратегическо</w:t>
      </w:r>
      <w:r w:rsidRPr="00B01894">
        <w:rPr>
          <w:rFonts w:ascii="Bookman Old Style" w:eastAsia="Bookman Old Style" w:hAnsi="Bookman Old Style" w:cs="Bookman Old Style"/>
          <w:color w:val="231F20"/>
          <w:sz w:val="18"/>
          <w:szCs w:val="18"/>
        </w:rPr>
        <w:softHyphen/>
        <w:t>го характера. 26 октября 1951 г. Конгресс США принимает Закон Бэттла, установивший целую систему запретов на торговлю с соци</w:t>
      </w:r>
      <w:r w:rsidRPr="00B01894">
        <w:rPr>
          <w:rFonts w:ascii="Bookman Old Style" w:eastAsia="Bookman Old Style" w:hAnsi="Bookman Old Style" w:cs="Bookman Old Style"/>
          <w:color w:val="231F20"/>
          <w:sz w:val="18"/>
          <w:szCs w:val="18"/>
        </w:rPr>
        <w:softHyphen/>
        <w:t>алистическими странами, под давлением США такие же меры вво</w:t>
      </w:r>
      <w:r w:rsidRPr="00B01894">
        <w:rPr>
          <w:rFonts w:ascii="Bookman Old Style" w:eastAsia="Bookman Old Style" w:hAnsi="Bookman Old Style" w:cs="Bookman Old Style"/>
          <w:color w:val="231F20"/>
          <w:sz w:val="18"/>
          <w:szCs w:val="18"/>
        </w:rPr>
        <w:softHyphen/>
        <w:t>дят ряд стран Западной Европы, Канада и Япония</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 Уместно здесь вспомнить и поправку Джексона — Веника, действовавшую с 1974 по 2012 г., которую сменил так называемый Акт Магнитского, по</w:t>
      </w:r>
      <w:r w:rsidRPr="00B01894">
        <w:rPr>
          <w:rFonts w:ascii="Bookman Old Style" w:eastAsia="Bookman Old Style" w:hAnsi="Bookman Old Style" w:cs="Bookman Old Style"/>
          <w:color w:val="231F20"/>
          <w:sz w:val="18"/>
          <w:szCs w:val="18"/>
        </w:rPr>
        <w:softHyphen/>
        <w:t>зволяющий вводить ограничения, и получится, что Америка никог</w:t>
      </w:r>
      <w:r w:rsidRPr="00B01894">
        <w:rPr>
          <w:rFonts w:ascii="Bookman Old Style" w:eastAsia="Bookman Old Style" w:hAnsi="Bookman Old Style" w:cs="Bookman Old Style"/>
          <w:color w:val="231F20"/>
          <w:sz w:val="18"/>
          <w:szCs w:val="18"/>
        </w:rPr>
        <w:softHyphen/>
        <w:t>да не соблюдала провозглашаемые принципы либерализма и сво</w:t>
      </w:r>
      <w:r w:rsidRPr="00B01894">
        <w:rPr>
          <w:rFonts w:ascii="Bookman Old Style" w:eastAsia="Bookman Old Style" w:hAnsi="Bookman Old Style" w:cs="Bookman Old Style"/>
          <w:color w:val="231F20"/>
          <w:sz w:val="18"/>
          <w:szCs w:val="18"/>
        </w:rPr>
        <w:softHyphen/>
        <w:t>бодной торговли, по крайней мере в отношении России. И не стоит даже обращать внимания на формальные предлоги политического характера для введения различных дискриминационных мер, по</w:t>
      </w:r>
      <w:r w:rsidRPr="00B01894">
        <w:rPr>
          <w:rFonts w:ascii="Bookman Old Style" w:eastAsia="Bookman Old Style" w:hAnsi="Bookman Old Style" w:cs="Bookman Old Style"/>
          <w:color w:val="231F20"/>
          <w:sz w:val="18"/>
          <w:szCs w:val="18"/>
        </w:rPr>
        <w:softHyphen/>
        <w:t>скольку они благополучно продолжали действовать долговременно  и после устранения обозначенных причин.</w:t>
      </w:r>
      <w:r w:rsidRPr="00B01894">
        <w:rPr>
          <w:rFonts w:ascii="Bookman Old Style" w:eastAsia="Bookman Old Style" w:hAnsi="Bookman Old Style" w:cs="Bookman Old Style"/>
          <w:color w:val="231F20"/>
          <w:sz w:val="18"/>
          <w:szCs w:val="18"/>
          <w:vertAlign w:val="superscript"/>
        </w:rPr>
        <w:t xml:space="preserve"> </w:t>
      </w:r>
      <w:r w:rsidRPr="00B01894">
        <w:rPr>
          <w:rFonts w:ascii="Bookman Old Style" w:eastAsia="Bookman Old Style" w:hAnsi="Bookman Old Style" w:cs="Bookman Old Style"/>
          <w:color w:val="00B050"/>
          <w:sz w:val="18"/>
          <w:szCs w:val="18"/>
          <w:vertAlign w:val="superscript"/>
        </w:rPr>
        <w:footnoteReference w:id="7"/>
      </w:r>
      <w:r w:rsidRPr="00B01894">
        <w:rPr>
          <w:rFonts w:ascii="Bookman Old Style" w:eastAsia="Bookman Old Style" w:hAnsi="Bookman Old Style" w:cs="Bookman Old Style"/>
          <w:color w:val="231F20"/>
          <w:sz w:val="18"/>
          <w:szCs w:val="18"/>
        </w:rPr>
        <w:t xml:space="preserve"> Истинная причина здесь одна — недобросовестная конкуренция. И экономические санкции 2014 г., </w:t>
      </w:r>
      <w:r w:rsidRPr="00B01894">
        <w:rPr>
          <w:rFonts w:ascii="Bookman Old Style" w:eastAsia="Bookman Old Style" w:hAnsi="Bookman Old Style" w:cs="Bookman Old Style"/>
          <w:color w:val="00B050"/>
          <w:sz w:val="18"/>
          <w:szCs w:val="18"/>
        </w:rPr>
        <w:t xml:space="preserve">также как и текущие, в полной мере </w:t>
      </w:r>
      <w:r w:rsidRPr="00B01894">
        <w:rPr>
          <w:rFonts w:ascii="Bookman Old Style" w:eastAsia="Bookman Old Style" w:hAnsi="Bookman Old Style" w:cs="Bookman Old Style"/>
          <w:color w:val="231F20"/>
          <w:sz w:val="18"/>
          <w:szCs w:val="18"/>
        </w:rPr>
        <w:t>укладываются в ту же логику.</w:t>
      </w:r>
    </w:p>
    <w:p w14:paraId="2D26FE7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В этом смысле </w:t>
      </w:r>
      <w:r w:rsidRPr="00B01894">
        <w:rPr>
          <w:rFonts w:ascii="Bookman Old Style" w:eastAsia="Bookman Old Style" w:hAnsi="Bookman Old Style" w:cs="Bookman Old Style"/>
          <w:color w:val="00B050"/>
          <w:sz w:val="18"/>
          <w:szCs w:val="18"/>
        </w:rPr>
        <w:t>разумный</w:t>
      </w:r>
      <w:r w:rsidRPr="00B01894">
        <w:rPr>
          <w:rFonts w:ascii="Bookman Old Style" w:eastAsia="Bookman Old Style" w:hAnsi="Bookman Old Style" w:cs="Bookman Old Style"/>
          <w:color w:val="231F20"/>
          <w:sz w:val="18"/>
          <w:szCs w:val="18"/>
        </w:rPr>
        <w:t xml:space="preserve"> протекционизм является </w:t>
      </w:r>
      <w:r w:rsidRPr="00B01894">
        <w:rPr>
          <w:rFonts w:ascii="Bookman Old Style" w:eastAsia="Bookman Old Style" w:hAnsi="Bookman Old Style" w:cs="Bookman Old Style"/>
          <w:color w:val="00B050"/>
          <w:sz w:val="18"/>
          <w:szCs w:val="18"/>
        </w:rPr>
        <w:t>неизбежным и</w:t>
      </w:r>
      <w:r w:rsidRPr="00B01894">
        <w:rPr>
          <w:rFonts w:ascii="Bookman Old Style" w:eastAsia="Bookman Old Style" w:hAnsi="Bookman Old Style" w:cs="Bookman Old Style"/>
          <w:color w:val="231F20"/>
          <w:sz w:val="18"/>
          <w:szCs w:val="18"/>
        </w:rPr>
        <w:t xml:space="preserve"> логичным ответом </w:t>
      </w:r>
      <w:r w:rsidRPr="00B01894">
        <w:rPr>
          <w:rFonts w:ascii="Bookman Old Style" w:eastAsia="Bookman Old Style" w:hAnsi="Bookman Old Style" w:cs="Bookman Old Style"/>
          <w:color w:val="00B050"/>
          <w:sz w:val="18"/>
          <w:szCs w:val="18"/>
        </w:rPr>
        <w:t>на всякого рода</w:t>
      </w:r>
      <w:r w:rsidRPr="00B01894">
        <w:rPr>
          <w:rFonts w:ascii="Bookman Old Style" w:eastAsia="Bookman Old Style" w:hAnsi="Bookman Old Style" w:cs="Bookman Old Style"/>
          <w:color w:val="231F20"/>
          <w:sz w:val="18"/>
          <w:szCs w:val="18"/>
        </w:rPr>
        <w:t xml:space="preserve"> дискриминацию. Причем протекционизм следует понимать как широкое понятие поддержки национального производителя как на внутреннем рынке, так и за рубежом. Играть честно возможно только на взаимной основе. При этом, даже если все игроки будут соблюдать принципы свободной торговли и будет достигнут пари</w:t>
      </w:r>
      <w:r w:rsidRPr="00B01894">
        <w:rPr>
          <w:rFonts w:ascii="Bookman Old Style" w:eastAsia="Bookman Old Style" w:hAnsi="Bookman Old Style" w:cs="Bookman Old Style"/>
          <w:color w:val="231F20"/>
          <w:sz w:val="18"/>
          <w:szCs w:val="18"/>
        </w:rPr>
        <w:softHyphen/>
        <w:t xml:space="preserve">тет технологического развития, нельзя полностью отказываться от протекционизма. Например, он совершенно необходим </w:t>
      </w:r>
      <w:r w:rsidRPr="00B01894">
        <w:rPr>
          <w:rFonts w:ascii="Bookman Old Style" w:eastAsia="Bookman Old Style" w:hAnsi="Bookman Old Style" w:cs="Bookman Old Style"/>
          <w:color w:val="231F20"/>
          <w:sz w:val="18"/>
          <w:szCs w:val="18"/>
        </w:rPr>
        <w:lastRenderedPageBreak/>
        <w:t>при фор</w:t>
      </w:r>
      <w:r w:rsidRPr="00B01894">
        <w:rPr>
          <w:rFonts w:ascii="Bookman Old Style" w:eastAsia="Bookman Old Style" w:hAnsi="Bookman Old Style" w:cs="Bookman Old Style"/>
          <w:color w:val="231F20"/>
          <w:sz w:val="18"/>
          <w:szCs w:val="18"/>
        </w:rPr>
        <w:softHyphen/>
        <w:t>мировании инновационных отраслей. Общеизвестно, что большин</w:t>
      </w:r>
      <w:r w:rsidRPr="00B01894">
        <w:rPr>
          <w:rFonts w:ascii="Bookman Old Style" w:eastAsia="Bookman Old Style" w:hAnsi="Bookman Old Style" w:cs="Bookman Old Style"/>
          <w:color w:val="231F20"/>
          <w:sz w:val="18"/>
          <w:szCs w:val="18"/>
        </w:rPr>
        <w:softHyphen/>
        <w:t>ство новых технологий рождается при поддержке, а чаще — при не</w:t>
      </w:r>
      <w:r w:rsidRPr="00B01894">
        <w:rPr>
          <w:rFonts w:ascii="Bookman Old Style" w:eastAsia="Bookman Old Style" w:hAnsi="Bookman Old Style" w:cs="Bookman Old Style"/>
          <w:color w:val="231F20"/>
          <w:sz w:val="18"/>
          <w:szCs w:val="18"/>
        </w:rPr>
        <w:softHyphen/>
        <w:t>посредственном участии государства. Как правило, их продуцируют военные разработки, удачно «конверсированные» в гражданскую продукцию. Отрасль на стадии зарождения должна быть защищена, чтобы иметь время вырасти и стать конкурентоспособной на миро</w:t>
      </w:r>
      <w:r w:rsidRPr="00B01894">
        <w:rPr>
          <w:rFonts w:ascii="Bookman Old Style" w:eastAsia="Bookman Old Style" w:hAnsi="Bookman Old Style" w:cs="Bookman Old Style"/>
          <w:color w:val="231F20"/>
          <w:sz w:val="18"/>
          <w:szCs w:val="18"/>
        </w:rPr>
        <w:softHyphen/>
        <w:t>вом рынке; после этого предполагается, что защита может быть снята. При этом, конечно, необходимо, чтобы защищаемая отрасль имела тот потенциал, из которого она сможет развиться до такого уровня, чтобы конкурировать с иностранными фирмами по миро</w:t>
      </w:r>
      <w:r w:rsidRPr="00B01894">
        <w:rPr>
          <w:rFonts w:ascii="Bookman Old Style" w:eastAsia="Bookman Old Style" w:hAnsi="Bookman Old Style" w:cs="Bookman Old Style"/>
          <w:color w:val="231F20"/>
          <w:sz w:val="18"/>
          <w:szCs w:val="18"/>
        </w:rPr>
        <w:softHyphen/>
        <w:t>вым ценам и чтобы общественная выгода от такой индустрии после отмены защиты могла компенсировать потери от протекционизма.</w:t>
      </w:r>
    </w:p>
    <w:p w14:paraId="4BFCB5C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Другой причиной протекционизма в условиях паритета является вопрос привлечения прямых иностранных инвестиций, что, впро</w:t>
      </w:r>
      <w:r w:rsidRPr="00B01894">
        <w:rPr>
          <w:rFonts w:ascii="Bookman Old Style" w:eastAsia="Bookman Old Style" w:hAnsi="Bookman Old Style" w:cs="Bookman Old Style"/>
          <w:color w:val="231F20"/>
          <w:sz w:val="18"/>
          <w:szCs w:val="18"/>
        </w:rPr>
        <w:softHyphen/>
        <w:t>чем, взаимосвязано с поддержкой молодых отраслей, поскольку они как раз и требуют масштабных вложений и для них иностранных капитал будет не лишним. Меры протекционистской защиты слу</w:t>
      </w:r>
      <w:r w:rsidRPr="00B01894">
        <w:rPr>
          <w:rFonts w:ascii="Bookman Old Style" w:eastAsia="Bookman Old Style" w:hAnsi="Bookman Old Style" w:cs="Bookman Old Style"/>
          <w:color w:val="231F20"/>
          <w:sz w:val="18"/>
          <w:szCs w:val="18"/>
        </w:rPr>
        <w:softHyphen/>
        <w:t>жат стимулированию иностранных производителей к размещению производств на внутреннем пространстве вместо осуществления экспорта, что положительно влияет на занятость, инфраструктуру, наполняемость бюджетов и пр.</w:t>
      </w:r>
    </w:p>
    <w:p w14:paraId="38D5927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Вопрос состоит в том, какую форму должна принимать защита. По</w:t>
      </w:r>
      <w:r w:rsidRPr="00B01894">
        <w:rPr>
          <w:rFonts w:ascii="Bookman Old Style" w:eastAsia="Bookman Old Style" w:hAnsi="Bookman Old Style" w:cs="Bookman Old Style"/>
          <w:color w:val="231F20"/>
          <w:sz w:val="18"/>
          <w:szCs w:val="18"/>
        </w:rPr>
        <w:softHyphen/>
        <w:t>мимо тарифных и паратарифных методов (таких, например, как кор</w:t>
      </w:r>
      <w:r w:rsidRPr="00B01894">
        <w:rPr>
          <w:rFonts w:ascii="Bookman Old Style" w:eastAsia="Bookman Old Style" w:hAnsi="Bookman Old Style" w:cs="Bookman Old Style"/>
          <w:color w:val="231F20"/>
          <w:sz w:val="18"/>
          <w:szCs w:val="18"/>
        </w:rPr>
        <w:softHyphen/>
        <w:t>ректировка таможенной стоимости), существует, как известно, масса других способов осложнить импортерам ввоз товаров (рис. 2.2).</w:t>
      </w:r>
    </w:p>
    <w:p w14:paraId="7461BC65" w14:textId="77777777" w:rsidR="00B01894" w:rsidRPr="00B01894" w:rsidRDefault="00B01894" w:rsidP="00B01894">
      <w:pPr>
        <w:widowControl w:val="0"/>
        <w:spacing w:after="338"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 стоит при этом забывать про грамотное распределение та</w:t>
      </w:r>
      <w:r w:rsidRPr="00B01894">
        <w:rPr>
          <w:rFonts w:ascii="Bookman Old Style" w:eastAsia="Bookman Old Style" w:hAnsi="Bookman Old Style" w:cs="Bookman Old Style"/>
          <w:color w:val="231F20"/>
          <w:sz w:val="18"/>
          <w:szCs w:val="18"/>
        </w:rPr>
        <w:softHyphen/>
        <w:t>рифной защиты по отраслям — эффективность протекционизма определяется увеличением добавленной стоимости производителя:</w:t>
      </w:r>
    </w:p>
    <w:p w14:paraId="6485599D" w14:textId="77777777" w:rsidR="00B01894" w:rsidRPr="00B01894" w:rsidRDefault="00B01894" w:rsidP="00B01894">
      <w:pPr>
        <w:widowControl w:val="0"/>
        <w:tabs>
          <w:tab w:val="left" w:pos="3608"/>
        </w:tabs>
        <w:spacing w:line="202" w:lineRule="exact"/>
        <w:ind w:left="2360" w:firstLine="0"/>
        <w:rPr>
          <w:rFonts w:ascii="Bookman Old Style" w:eastAsia="Bookman Old Style" w:hAnsi="Bookman Old Style" w:cs="Bookman Old Style"/>
          <w:color w:val="00B050"/>
          <w:sz w:val="18"/>
          <w:szCs w:val="18"/>
        </w:rPr>
      </w:pPr>
      <w:r w:rsidRPr="00B01894">
        <w:rPr>
          <w:rFonts w:ascii="Bookman Old Style" w:eastAsia="Bookman Old Style" w:hAnsi="Bookman Old Style" w:cs="Bookman Old Style"/>
          <w:noProof/>
          <w:sz w:val="18"/>
          <w:szCs w:val="18"/>
          <w:lang w:bidi="ar-SA"/>
        </w:rPr>
        <mc:AlternateContent>
          <mc:Choice Requires="wps">
            <w:drawing>
              <wp:anchor distT="0" distB="0" distL="114300" distR="114300" simplePos="0" relativeHeight="377502526" behindDoc="0" locked="0" layoutInCell="1" allowOverlap="1" wp14:anchorId="4B942541" wp14:editId="0D65FD5E">
                <wp:simplePos x="0" y="0"/>
                <wp:positionH relativeFrom="column">
                  <wp:posOffset>1908810</wp:posOffset>
                </wp:positionH>
                <wp:positionV relativeFrom="paragraph">
                  <wp:posOffset>130175</wp:posOffset>
                </wp:positionV>
                <wp:extent cx="859155" cy="11430"/>
                <wp:effectExtent l="10795" t="6985" r="6350" b="10160"/>
                <wp:wrapNone/>
                <wp:docPr id="21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155" cy="1143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87B564" id="_x0000_t32" coordsize="21600,21600" o:spt="32" o:oned="t" path="m,l21600,21600e" filled="f">
                <v:path arrowok="t" fillok="f" o:connecttype="none"/>
                <o:lock v:ext="edit" shapetype="t"/>
              </v:shapetype>
              <v:shape id="AutoShape 131" o:spid="_x0000_s1026" type="#_x0000_t32" style="position:absolute;margin-left:150.3pt;margin-top:10.25pt;width:67.65pt;height:.9pt;z-index:377502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" strokecolor="#00b050"/>
            </w:pict>
          </mc:Fallback>
        </mc:AlternateContent>
      </w:r>
      <w:r w:rsidRPr="00B01894">
        <w:rPr>
          <w:rFonts w:ascii="Bookman Old Style" w:eastAsia="Bookman Old Style" w:hAnsi="Bookman Old Style" w:cs="Bookman Old Style"/>
          <w:sz w:val="18"/>
          <w:szCs w:val="18"/>
        </w:rPr>
        <w:t xml:space="preserve">ЭУП =  </w:t>
      </w:r>
      <w:r w:rsidRPr="00B01894">
        <w:rPr>
          <w:rFonts w:ascii="Bookman Old Style" w:eastAsia="Bookman Old Style" w:hAnsi="Bookman Old Style" w:cs="Bookman Old Style"/>
          <w:color w:val="00B050"/>
          <w:sz w:val="18"/>
          <w:szCs w:val="18"/>
        </w:rPr>
        <w:t>(</w:t>
      </w:r>
      <w:r w:rsidRPr="00B01894">
        <w:rPr>
          <w:rFonts w:ascii="Bookman Old Style" w:eastAsia="Bookman Old Style" w:hAnsi="Bookman Old Style" w:cs="Bookman Old Style"/>
          <w:color w:val="00B050"/>
          <w:sz w:val="18"/>
          <w:szCs w:val="18"/>
          <w:lang w:val="en-US"/>
        </w:rPr>
        <w:t>V</w:t>
      </w:r>
      <w:r w:rsidRPr="00B01894">
        <w:rPr>
          <w:rFonts w:ascii="Bookman Old Style" w:eastAsia="Bookman Old Style" w:hAnsi="Bookman Old Style" w:cs="Bookman Old Style"/>
          <w:color w:val="00B050"/>
          <w:sz w:val="18"/>
          <w:szCs w:val="18"/>
          <w:vertAlign w:val="subscript"/>
        </w:rPr>
        <w:t>1</w:t>
      </w:r>
      <w:r w:rsidRPr="00B01894">
        <w:rPr>
          <w:rFonts w:ascii="Bookman Old Style" w:eastAsia="Bookman Old Style" w:hAnsi="Bookman Old Style" w:cs="Bookman Old Style"/>
          <w:color w:val="00B050"/>
          <w:sz w:val="18"/>
          <w:szCs w:val="18"/>
        </w:rPr>
        <w:t xml:space="preserve"> – </w:t>
      </w:r>
      <w:r w:rsidRPr="00B01894">
        <w:rPr>
          <w:rFonts w:ascii="Bookman Old Style" w:eastAsia="Bookman Old Style" w:hAnsi="Bookman Old Style" w:cs="Bookman Old Style"/>
          <w:color w:val="00B050"/>
          <w:sz w:val="18"/>
          <w:szCs w:val="18"/>
          <w:lang w:val="en-US"/>
        </w:rPr>
        <w:t>V</w:t>
      </w:r>
      <w:r w:rsidRPr="00B01894">
        <w:rPr>
          <w:rFonts w:ascii="Bookman Old Style" w:eastAsia="Bookman Old Style" w:hAnsi="Bookman Old Style" w:cs="Bookman Old Style"/>
          <w:color w:val="00B050"/>
          <w:sz w:val="18"/>
          <w:szCs w:val="18"/>
          <w:vertAlign w:val="subscript"/>
        </w:rPr>
        <w:t>0</w:t>
      </w:r>
      <w:r w:rsidRPr="00B01894">
        <w:rPr>
          <w:rFonts w:ascii="Bookman Old Style" w:eastAsia="Bookman Old Style" w:hAnsi="Bookman Old Style" w:cs="Bookman Old Style"/>
          <w:color w:val="00B050"/>
          <w:sz w:val="18"/>
          <w:szCs w:val="18"/>
        </w:rPr>
        <w:t>)*100%</w:t>
      </w:r>
    </w:p>
    <w:p w14:paraId="6ACBBDAA" w14:textId="77777777" w:rsidR="00B01894" w:rsidRPr="00B01894" w:rsidRDefault="00B01894" w:rsidP="00B01894">
      <w:pPr>
        <w:widowControl w:val="0"/>
        <w:spacing w:after="98" w:line="202" w:lineRule="exact"/>
        <w:ind w:firstLine="0"/>
        <w:jc w:val="center"/>
        <w:rPr>
          <w:rFonts w:ascii="Bookman Old Style" w:eastAsia="Bookman Old Style" w:hAnsi="Bookman Old Style" w:cs="Bookman Old Style"/>
          <w:color w:val="00B050"/>
          <w:sz w:val="18"/>
          <w:szCs w:val="18"/>
        </w:rPr>
      </w:pPr>
      <w:r w:rsidRPr="00B01894">
        <w:rPr>
          <w:rFonts w:ascii="Bookman Old Style" w:eastAsia="Bookman Old Style" w:hAnsi="Bookman Old Style" w:cs="Bookman Old Style"/>
          <w:color w:val="00B050"/>
          <w:sz w:val="18"/>
          <w:szCs w:val="18"/>
        </w:rPr>
        <w:t>V</w:t>
      </w:r>
      <w:r w:rsidRPr="00B01894">
        <w:rPr>
          <w:rFonts w:ascii="Bookman Old Style" w:eastAsia="Bookman Old Style" w:hAnsi="Bookman Old Style" w:cs="Bookman Old Style"/>
          <w:color w:val="00B050"/>
          <w:sz w:val="18"/>
          <w:szCs w:val="18"/>
          <w:vertAlign w:val="subscript"/>
        </w:rPr>
        <w:t>0</w:t>
      </w:r>
    </w:p>
    <w:p w14:paraId="25381699" w14:textId="77777777" w:rsidR="00B01894" w:rsidRPr="00B01894" w:rsidRDefault="00B01894" w:rsidP="00B01894">
      <w:pPr>
        <w:widowControl w:val="0"/>
        <w:spacing w:line="254" w:lineRule="exact"/>
        <w:ind w:firstLine="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где ЭУП — эффективный уровень протекционизма; </w:t>
      </w:r>
      <w:r w:rsidRPr="00B01894">
        <w:rPr>
          <w:rFonts w:ascii="Bookman Old Style" w:eastAsia="Bookman Old Style" w:hAnsi="Bookman Old Style" w:cs="Bookman Old Style"/>
          <w:color w:val="231F20"/>
          <w:sz w:val="18"/>
          <w:szCs w:val="18"/>
          <w:lang w:val="en-US" w:eastAsia="en-US" w:bidi="en-US"/>
        </w:rPr>
        <w:t>V</w:t>
      </w:r>
      <w:r w:rsidRPr="00B01894">
        <w:rPr>
          <w:rFonts w:ascii="Bookman Old Style" w:eastAsia="Bookman Old Style" w:hAnsi="Bookman Old Style" w:cs="Bookman Old Style"/>
          <w:color w:val="231F20"/>
          <w:sz w:val="18"/>
          <w:szCs w:val="18"/>
          <w:vertAlign w:val="subscript"/>
          <w:lang w:eastAsia="en-US" w:bidi="en-US"/>
        </w:rPr>
        <w:t>0</w:t>
      </w:r>
      <w:r w:rsidRPr="00B01894">
        <w:rPr>
          <w:rFonts w:ascii="Bookman Old Style" w:eastAsia="Bookman Old Style" w:hAnsi="Bookman Old Style" w:cs="Bookman Old Style"/>
          <w:color w:val="231F20"/>
          <w:sz w:val="18"/>
          <w:szCs w:val="18"/>
          <w:lang w:eastAsia="en-US" w:bidi="en-US"/>
        </w:rPr>
        <w:t xml:space="preserve"> </w:t>
      </w:r>
      <w:r w:rsidRPr="00B01894">
        <w:rPr>
          <w:rFonts w:ascii="Bookman Old Style" w:eastAsia="Bookman Old Style" w:hAnsi="Bookman Old Style" w:cs="Bookman Old Style"/>
          <w:color w:val="231F20"/>
          <w:sz w:val="18"/>
          <w:szCs w:val="18"/>
        </w:rPr>
        <w:t>— добав</w:t>
      </w:r>
      <w:r w:rsidRPr="00B01894">
        <w:rPr>
          <w:rFonts w:ascii="Bookman Old Style" w:eastAsia="Bookman Old Style" w:hAnsi="Bookman Old Style" w:cs="Bookman Old Style"/>
          <w:color w:val="231F20"/>
          <w:sz w:val="18"/>
          <w:szCs w:val="18"/>
        </w:rPr>
        <w:softHyphen/>
        <w:t xml:space="preserve">ленная стоимость национального производителя до введения мер протекционистской защиты; </w:t>
      </w:r>
      <w:r w:rsidRPr="00B01894">
        <w:rPr>
          <w:rFonts w:ascii="Bookman Old Style" w:eastAsia="Bookman Old Style" w:hAnsi="Bookman Old Style" w:cs="Bookman Old Style"/>
          <w:color w:val="00B050"/>
          <w:sz w:val="18"/>
          <w:szCs w:val="18"/>
          <w:lang w:val="en-US"/>
        </w:rPr>
        <w:t>V</w:t>
      </w:r>
      <w:r w:rsidRPr="00B01894">
        <w:rPr>
          <w:rFonts w:ascii="Bookman Old Style" w:eastAsia="Bookman Old Style" w:hAnsi="Bookman Old Style" w:cs="Bookman Old Style"/>
          <w:color w:val="00B050"/>
          <w:sz w:val="18"/>
          <w:szCs w:val="18"/>
          <w:vertAlign w:val="subscript"/>
        </w:rPr>
        <w:t>1</w:t>
      </w:r>
      <w:r w:rsidRPr="00B01894">
        <w:rPr>
          <w:rFonts w:ascii="Bookman Old Style" w:eastAsia="Bookman Old Style" w:hAnsi="Bookman Old Style" w:cs="Bookman Old Style"/>
          <w:color w:val="231F20"/>
          <w:sz w:val="18"/>
          <w:szCs w:val="18"/>
        </w:rPr>
        <w:t xml:space="preserve"> — добавленная стоимость нацио</w:t>
      </w:r>
      <w:r w:rsidRPr="00B01894">
        <w:rPr>
          <w:rFonts w:ascii="Bookman Old Style" w:eastAsia="Bookman Old Style" w:hAnsi="Bookman Old Style" w:cs="Bookman Old Style"/>
          <w:color w:val="231F20"/>
          <w:sz w:val="18"/>
          <w:szCs w:val="18"/>
        </w:rPr>
        <w:softHyphen/>
        <w:t>нального производителя после введения мер протекционистской защиты.</w:t>
      </w:r>
    </w:p>
    <w:p w14:paraId="73C7BE86" w14:textId="77777777" w:rsidR="00B01894" w:rsidRPr="00B01894" w:rsidRDefault="00B01894" w:rsidP="00B01894">
      <w:pPr>
        <w:framePr w:h="4195" w:wrap="notBeside" w:vAnchor="text" w:hAnchor="text" w:xAlign="center" w:y="1"/>
        <w:widowControl w:val="0"/>
        <w:spacing w:line="240" w:lineRule="auto"/>
        <w:ind w:firstLine="0"/>
        <w:jc w:val="center"/>
        <w:rPr>
          <w:sz w:val="2"/>
          <w:szCs w:val="2"/>
        </w:rPr>
      </w:pPr>
      <w:r w:rsidRPr="00B01894">
        <w:rPr>
          <w:noProof/>
          <w:lang w:bidi="ar-SA"/>
        </w:rPr>
        <w:lastRenderedPageBreak/>
        <w:drawing>
          <wp:inline distT="0" distB="0" distL="0" distR="0" wp14:anchorId="1CB5AEF5" wp14:editId="01059C23">
            <wp:extent cx="4184015" cy="2665730"/>
            <wp:effectExtent l="0" t="0" r="6985" b="1270"/>
            <wp:docPr id="148" name="Рисунок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015" cy="2665730"/>
                    </a:xfrm>
                    <a:prstGeom prst="rect">
                      <a:avLst/>
                    </a:prstGeom>
                    <a:noFill/>
                    <a:ln>
                      <a:noFill/>
                    </a:ln>
                  </pic:spPr>
                </pic:pic>
              </a:graphicData>
            </a:graphic>
          </wp:inline>
        </w:drawing>
      </w:r>
    </w:p>
    <w:p w14:paraId="50E51DCE" w14:textId="77777777" w:rsidR="00B01894" w:rsidRPr="00B01894" w:rsidRDefault="00B01894" w:rsidP="00B01894">
      <w:pPr>
        <w:framePr w:h="4195" w:wrap="notBeside" w:vAnchor="text" w:hAnchor="text" w:xAlign="center" w:y="1"/>
        <w:widowControl w:val="0"/>
        <w:spacing w:line="194" w:lineRule="exact"/>
        <w:ind w:firstLine="0"/>
        <w:jc w:val="center"/>
        <w:rPr>
          <w:rFonts w:ascii="Arial Narrow" w:eastAsia="Arial Narrow" w:hAnsi="Arial Narrow" w:cs="Arial Narrow"/>
          <w:b/>
          <w:bCs/>
          <w:sz w:val="17"/>
          <w:szCs w:val="17"/>
        </w:rPr>
      </w:pPr>
      <w:r w:rsidRPr="00B01894">
        <w:rPr>
          <w:rFonts w:ascii="Arial Narrow" w:eastAsia="Arial Narrow" w:hAnsi="Arial Narrow" w:cs="Arial Narrow"/>
          <w:i/>
          <w:iCs/>
          <w:color w:val="231F20"/>
          <w:sz w:val="17"/>
          <w:szCs w:val="17"/>
        </w:rPr>
        <w:t>Рис. 2.2.</w:t>
      </w:r>
      <w:r w:rsidRPr="00B01894">
        <w:rPr>
          <w:rFonts w:ascii="Arial Narrow" w:eastAsia="Arial Narrow" w:hAnsi="Arial Narrow" w:cs="Arial Narrow"/>
          <w:b/>
          <w:bCs/>
          <w:color w:val="231F20"/>
          <w:sz w:val="17"/>
          <w:szCs w:val="17"/>
        </w:rPr>
        <w:t xml:space="preserve"> Методы протекционистской защиты</w:t>
      </w:r>
    </w:p>
    <w:p w14:paraId="00B53CE2" w14:textId="77777777" w:rsidR="00B01894" w:rsidRPr="00B01894" w:rsidRDefault="00B01894" w:rsidP="00B01894">
      <w:pPr>
        <w:widowControl w:val="0"/>
        <w:spacing w:line="240" w:lineRule="auto"/>
        <w:ind w:firstLine="0"/>
        <w:jc w:val="left"/>
        <w:rPr>
          <w:sz w:val="2"/>
          <w:szCs w:val="2"/>
        </w:rPr>
      </w:pPr>
    </w:p>
    <w:p w14:paraId="43ED63CC" w14:textId="77777777" w:rsidR="00B01894" w:rsidRPr="00B01894" w:rsidRDefault="00B01894" w:rsidP="00B01894">
      <w:pPr>
        <w:widowControl w:val="0"/>
        <w:spacing w:before="198"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Наиболее просто эффективность вычисляется в случае с импорт</w:t>
      </w:r>
      <w:r w:rsidRPr="00B01894">
        <w:rPr>
          <w:rFonts w:ascii="Bookman Old Style" w:eastAsia="Bookman Old Style" w:hAnsi="Bookman Old Style" w:cs="Bookman Old Style"/>
          <w:color w:val="231F20"/>
          <w:sz w:val="18"/>
          <w:szCs w:val="18"/>
        </w:rPr>
        <w:softHyphen/>
        <w:t>ным тарифом. Тариф тем эффективнее, чем больше он для готовых изделий отрасли и чем меньше для сырья и материалов. В случае с нетарифными ограничениями подсчет может быть затруднен, од</w:t>
      </w:r>
      <w:r w:rsidRPr="00B01894">
        <w:rPr>
          <w:rFonts w:ascii="Bookman Old Style" w:eastAsia="Bookman Old Style" w:hAnsi="Bookman Old Style" w:cs="Bookman Old Style"/>
          <w:color w:val="231F20"/>
          <w:sz w:val="18"/>
          <w:szCs w:val="18"/>
        </w:rPr>
        <w:softHyphen/>
        <w:t>нако придерживаться следует этой же логики.</w:t>
      </w:r>
    </w:p>
    <w:p w14:paraId="051A5DB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Одновременно существует и множество вариантов прямой и косвенной поддержки непосредственно отечественного произ</w:t>
      </w:r>
      <w:r w:rsidRPr="00B01894">
        <w:rPr>
          <w:rFonts w:ascii="Bookman Old Style" w:eastAsia="Bookman Old Style" w:hAnsi="Bookman Old Style" w:cs="Bookman Old Style"/>
          <w:color w:val="231F20"/>
          <w:sz w:val="18"/>
          <w:szCs w:val="18"/>
        </w:rPr>
        <w:softHyphen/>
        <w:t>водителя. Это субсидии, льготное кредитование, государственные гарантии, привилегии при получении государственных заказов, го</w:t>
      </w:r>
      <w:r w:rsidRPr="00B01894">
        <w:rPr>
          <w:rFonts w:ascii="Bookman Old Style" w:eastAsia="Bookman Old Style" w:hAnsi="Bookman Old Style" w:cs="Bookman Old Style"/>
          <w:color w:val="231F20"/>
          <w:sz w:val="18"/>
          <w:szCs w:val="18"/>
        </w:rPr>
        <w:softHyphen/>
        <w:t>сударственное софинансирование. В этом смысле хорошим инстру</w:t>
      </w:r>
      <w:r w:rsidRPr="00B01894">
        <w:rPr>
          <w:rFonts w:ascii="Bookman Old Style" w:eastAsia="Bookman Old Style" w:hAnsi="Bookman Old Style" w:cs="Bookman Old Style"/>
          <w:color w:val="231F20"/>
          <w:sz w:val="18"/>
          <w:szCs w:val="18"/>
        </w:rPr>
        <w:softHyphen/>
        <w:t>ментом для «создания» отрасли может стать частно-государственное партнерство.</w:t>
      </w:r>
      <w:r w:rsidRPr="00B01894">
        <w:rPr>
          <w:rFonts w:ascii="Bookman Old Style" w:eastAsia="Bookman Old Style" w:hAnsi="Bookman Old Style" w:cs="Bookman Old Style"/>
          <w:color w:val="00B050"/>
          <w:sz w:val="18"/>
          <w:szCs w:val="18"/>
          <w:vertAlign w:val="superscript"/>
        </w:rPr>
        <w:t xml:space="preserve"> 1</w:t>
      </w:r>
      <w:r w:rsidRPr="00B01894">
        <w:rPr>
          <w:rFonts w:ascii="Bookman Old Style" w:eastAsia="Bookman Old Style" w:hAnsi="Bookman Old Style" w:cs="Bookman Old Style"/>
          <w:color w:val="231F20"/>
          <w:sz w:val="18"/>
          <w:szCs w:val="18"/>
        </w:rPr>
        <w:t xml:space="preserve"> Изначально данная система партнерства была изобретена в целях поощрения частного капитала к реализации не слишком привлекательных проектов, при этом вместе со своим материальным вкладом государство предоставляет значимым про</w:t>
      </w:r>
      <w:r w:rsidRPr="00B01894">
        <w:rPr>
          <w:rFonts w:ascii="Bookman Old Style" w:eastAsia="Bookman Old Style" w:hAnsi="Bookman Old Style" w:cs="Bookman Old Style"/>
          <w:color w:val="231F20"/>
          <w:sz w:val="18"/>
          <w:szCs w:val="18"/>
        </w:rPr>
        <w:softHyphen/>
        <w:t>ектам как финансовые средства, так и «квазиденьги» (налоговые льготы и пр.). Такой институт имеет ряд преимуществ и для страте</w:t>
      </w:r>
      <w:r w:rsidRPr="00B01894">
        <w:rPr>
          <w:rFonts w:ascii="Bookman Old Style" w:eastAsia="Bookman Old Style" w:hAnsi="Bookman Old Style" w:cs="Bookman Old Style"/>
          <w:color w:val="231F20"/>
          <w:sz w:val="18"/>
          <w:szCs w:val="18"/>
        </w:rPr>
        <w:softHyphen/>
        <w:t>гических иностранных инвесторов, поскольку позволяет нивелиро</w:t>
      </w:r>
      <w:r w:rsidRPr="00B01894">
        <w:rPr>
          <w:rFonts w:ascii="Bookman Old Style" w:eastAsia="Bookman Old Style" w:hAnsi="Bookman Old Style" w:cs="Bookman Old Style"/>
          <w:color w:val="231F20"/>
          <w:sz w:val="18"/>
          <w:szCs w:val="18"/>
        </w:rPr>
        <w:softHyphen/>
        <w:t xml:space="preserve">вать политические и административные риски. </w:t>
      </w:r>
      <w:r w:rsidRPr="00B01894">
        <w:rPr>
          <w:rFonts w:ascii="Bookman Old Style" w:eastAsia="Bookman Old Style" w:hAnsi="Bookman Old Style" w:cs="Bookman Old Style"/>
          <w:color w:val="231F20"/>
          <w:sz w:val="18"/>
          <w:szCs w:val="18"/>
          <w:vertAlign w:val="superscript"/>
        </w:rPr>
        <w:footnoteReference w:id="8"/>
      </w:r>
    </w:p>
    <w:p w14:paraId="5F89AA77"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Функционально можно выделить следующие характерные черты частно-государственного партнерства: оно удовлетворяет потреб</w:t>
      </w:r>
      <w:r w:rsidRPr="00B01894">
        <w:rPr>
          <w:rFonts w:ascii="Bookman Old Style" w:eastAsia="Bookman Old Style" w:hAnsi="Bookman Old Style" w:cs="Bookman Old Style"/>
          <w:color w:val="231F20"/>
          <w:sz w:val="18"/>
          <w:szCs w:val="18"/>
        </w:rPr>
        <w:softHyphen/>
        <w:t>ности развития, используя или заимствуя ресурсы частного сектора; осуществляет государственные полномочия, при этом функциони</w:t>
      </w:r>
      <w:r w:rsidRPr="00B01894">
        <w:rPr>
          <w:rFonts w:ascii="Bookman Old Style" w:eastAsia="Bookman Old Style" w:hAnsi="Bookman Old Style" w:cs="Bookman Old Style"/>
          <w:color w:val="231F20"/>
          <w:sz w:val="18"/>
          <w:szCs w:val="18"/>
        </w:rPr>
        <w:softHyphen/>
        <w:t>руя совместно с частным сектором. Как правило, частно-государ</w:t>
      </w:r>
      <w:r w:rsidRPr="00B01894">
        <w:rPr>
          <w:rFonts w:ascii="Bookman Old Style" w:eastAsia="Bookman Old Style" w:hAnsi="Bookman Old Style" w:cs="Bookman Old Style"/>
          <w:color w:val="231F20"/>
          <w:sz w:val="18"/>
          <w:szCs w:val="18"/>
        </w:rPr>
        <w:softHyphen/>
        <w:t xml:space="preserve">ственное </w:t>
      </w:r>
      <w:r w:rsidRPr="00B01894">
        <w:rPr>
          <w:rFonts w:ascii="Bookman Old Style" w:eastAsia="Bookman Old Style" w:hAnsi="Bookman Old Style" w:cs="Bookman Old Style"/>
          <w:color w:val="231F20"/>
          <w:sz w:val="18"/>
          <w:szCs w:val="18"/>
        </w:rPr>
        <w:lastRenderedPageBreak/>
        <w:t>партнерство состоит из двух или более сторон, работаю</w:t>
      </w:r>
      <w:r w:rsidRPr="00B01894">
        <w:rPr>
          <w:rFonts w:ascii="Bookman Old Style" w:eastAsia="Bookman Old Style" w:hAnsi="Bookman Old Style" w:cs="Bookman Old Style"/>
          <w:color w:val="231F20"/>
          <w:sz w:val="18"/>
          <w:szCs w:val="18"/>
        </w:rPr>
        <w:softHyphen/>
        <w:t>щих ради достижения совместных целей. Участниками партнерства могут быть местные и общегосударственные органы власти, ком</w:t>
      </w:r>
      <w:r w:rsidRPr="00B01894">
        <w:rPr>
          <w:rFonts w:ascii="Bookman Old Style" w:eastAsia="Bookman Old Style" w:hAnsi="Bookman Old Style" w:cs="Bookman Old Style"/>
          <w:color w:val="231F20"/>
          <w:sz w:val="18"/>
          <w:szCs w:val="18"/>
        </w:rPr>
        <w:softHyphen/>
        <w:t>мерческие структуры (отечественные и иностранные), некоммерче</w:t>
      </w:r>
      <w:r w:rsidRPr="00B01894">
        <w:rPr>
          <w:rFonts w:ascii="Bookman Old Style" w:eastAsia="Bookman Old Style" w:hAnsi="Bookman Old Style" w:cs="Bookman Old Style"/>
          <w:color w:val="231F20"/>
          <w:sz w:val="18"/>
          <w:szCs w:val="18"/>
        </w:rPr>
        <w:softHyphen/>
        <w:t>ские организации. При этом все участники партнерства разделяют полномочия и ответственность, совместно затрачивают ресурсы, осуществляют вложения, несут риски и получают выгоды, поддер</w:t>
      </w:r>
      <w:r w:rsidRPr="00B01894">
        <w:rPr>
          <w:rFonts w:ascii="Bookman Old Style" w:eastAsia="Bookman Old Style" w:hAnsi="Bookman Old Style" w:cs="Bookman Old Style"/>
          <w:color w:val="231F20"/>
          <w:sz w:val="18"/>
          <w:szCs w:val="18"/>
        </w:rPr>
        <w:softHyphen/>
        <w:t>живая взаимоотношения в течение определенного срока, которые прописаны в правоустанавливающем документе — соглашении. Проекты частно-государственного партнерства — это особый вид сотрудничества государственного и частного секторов экономики, цель которого — реализация долгосрочных инвестиционных про</w:t>
      </w:r>
      <w:r w:rsidRPr="00B01894">
        <w:rPr>
          <w:rFonts w:ascii="Bookman Old Style" w:eastAsia="Bookman Old Style" w:hAnsi="Bookman Old Style" w:cs="Bookman Old Style"/>
          <w:color w:val="231F20"/>
          <w:sz w:val="18"/>
          <w:szCs w:val="18"/>
        </w:rPr>
        <w:softHyphen/>
        <w:t>ектов, не приносящиих немедленной прибыли, поэтому здесь так важны гарантии инвесторам. Развитие частно-государственного партнерства в России может стать действенным способом преодо</w:t>
      </w:r>
      <w:r w:rsidRPr="00B01894">
        <w:rPr>
          <w:rFonts w:ascii="Bookman Old Style" w:eastAsia="Bookman Old Style" w:hAnsi="Bookman Old Style" w:cs="Bookman Old Style"/>
          <w:color w:val="231F20"/>
          <w:sz w:val="18"/>
          <w:szCs w:val="18"/>
        </w:rPr>
        <w:softHyphen/>
        <w:t>ления фидуциарного барьера</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 xml:space="preserve"> для инвесторов, если будут решены следующие задачи:</w:t>
      </w:r>
    </w:p>
    <w:p w14:paraId="3F5D7C89"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внесена юридическая ясность относительно собственности, структуры налогообложения и регулирования потенциальных вза</w:t>
      </w:r>
      <w:r w:rsidRPr="00B01894">
        <w:rPr>
          <w:rFonts w:ascii="Bookman Old Style" w:eastAsia="Bookman Old Style" w:hAnsi="Bookman Old Style" w:cs="Bookman Old Style"/>
          <w:color w:val="231F20"/>
          <w:sz w:val="18"/>
          <w:szCs w:val="18"/>
        </w:rPr>
        <w:softHyphen/>
        <w:t>имных претензий;</w:t>
      </w:r>
    </w:p>
    <w:p w14:paraId="007F5D6E"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обеспечено повышение квалификации государственных слу</w:t>
      </w:r>
      <w:r w:rsidRPr="00B01894">
        <w:rPr>
          <w:rFonts w:ascii="Bookman Old Style" w:eastAsia="Bookman Old Style" w:hAnsi="Bookman Old Style" w:cs="Bookman Old Style"/>
          <w:color w:val="231F20"/>
          <w:sz w:val="18"/>
          <w:szCs w:val="18"/>
        </w:rPr>
        <w:softHyphen/>
        <w:t>жащих в плане экономических и юридических компетенций (в осо</w:t>
      </w:r>
      <w:r w:rsidRPr="00B01894">
        <w:rPr>
          <w:rFonts w:ascii="Bookman Old Style" w:eastAsia="Bookman Old Style" w:hAnsi="Bookman Old Style" w:cs="Bookman Old Style"/>
          <w:color w:val="231F20"/>
          <w:sz w:val="18"/>
          <w:szCs w:val="18"/>
        </w:rPr>
        <w:softHyphen/>
        <w:t>бенности это касается местных управленцев);</w:t>
      </w:r>
    </w:p>
    <w:p w14:paraId="312FE748"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обеспечены прозрачные и равноправные конкурсные проце</w:t>
      </w:r>
      <w:r w:rsidRPr="00B01894">
        <w:rPr>
          <w:rFonts w:ascii="Bookman Old Style" w:eastAsia="Bookman Old Style" w:hAnsi="Bookman Old Style" w:cs="Bookman Old Style"/>
          <w:color w:val="231F20"/>
          <w:sz w:val="18"/>
          <w:szCs w:val="18"/>
        </w:rPr>
        <w:softHyphen/>
        <w:t>дуры доступа участников рынка (независимо от организационных форм и юрисдикции) к институту частно-государственного пар</w:t>
      </w:r>
      <w:r w:rsidRPr="00B01894">
        <w:rPr>
          <w:rFonts w:ascii="Bookman Old Style" w:eastAsia="Bookman Old Style" w:hAnsi="Bookman Old Style" w:cs="Bookman Old Style"/>
          <w:color w:val="231F20"/>
          <w:sz w:val="18"/>
          <w:szCs w:val="18"/>
        </w:rPr>
        <w:softHyphen/>
        <w:t>тнерства.</w:t>
      </w:r>
    </w:p>
    <w:p w14:paraId="15C86FFB"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Частно-государственное партнерство имеет в России некоторое развитие. Примером достаточно эффективного использования по</w:t>
      </w:r>
      <w:r w:rsidRPr="00B01894">
        <w:rPr>
          <w:rFonts w:ascii="Bookman Old Style" w:eastAsia="Bookman Old Style" w:hAnsi="Bookman Old Style" w:cs="Bookman Old Style"/>
          <w:color w:val="231F20"/>
          <w:sz w:val="18"/>
          <w:szCs w:val="18"/>
        </w:rPr>
        <w:softHyphen/>
        <w:t>добной структуры может служить Российский фонд прямых инве</w:t>
      </w:r>
      <w:r w:rsidRPr="00B01894">
        <w:rPr>
          <w:rFonts w:ascii="Bookman Old Style" w:eastAsia="Bookman Old Style" w:hAnsi="Bookman Old Style" w:cs="Bookman Old Style"/>
          <w:color w:val="231F20"/>
          <w:sz w:val="18"/>
          <w:szCs w:val="18"/>
        </w:rPr>
        <w:softHyphen/>
        <w:t>стиций (РФПИ) — инвестиционный фонд, созданный правитель</w:t>
      </w:r>
      <w:r w:rsidRPr="00B01894">
        <w:rPr>
          <w:rFonts w:ascii="Bookman Old Style" w:eastAsia="Bookman Old Style" w:hAnsi="Bookman Old Style" w:cs="Bookman Old Style"/>
          <w:color w:val="231F20"/>
          <w:sz w:val="18"/>
          <w:szCs w:val="18"/>
        </w:rPr>
        <w:softHyphen/>
        <w:t>ством России для инвестиций в лидирующие компании наиболее быстрорастущих секторов экономики. Во всех сделках РФПИ вы</w:t>
      </w:r>
      <w:r w:rsidRPr="00B01894">
        <w:rPr>
          <w:rFonts w:ascii="Bookman Old Style" w:eastAsia="Bookman Old Style" w:hAnsi="Bookman Old Style" w:cs="Bookman Old Style"/>
          <w:color w:val="231F20"/>
          <w:sz w:val="18"/>
          <w:szCs w:val="18"/>
        </w:rPr>
        <w:softHyphen/>
        <w:t>ступает соинвестором вместе с крупнейшими в мире институцио</w:t>
      </w:r>
      <w:r w:rsidRPr="00B01894">
        <w:rPr>
          <w:rFonts w:ascii="Bookman Old Style" w:eastAsia="Bookman Old Style" w:hAnsi="Bookman Old Style" w:cs="Bookman Old Style"/>
          <w:color w:val="231F20"/>
          <w:sz w:val="18"/>
          <w:szCs w:val="18"/>
        </w:rPr>
        <w:softHyphen/>
        <w:t>нальными инвесторами — фондами прямых инвестиций, суверен</w:t>
      </w:r>
      <w:r w:rsidRPr="00B01894">
        <w:rPr>
          <w:rFonts w:ascii="Bookman Old Style" w:eastAsia="Bookman Old Style" w:hAnsi="Bookman Old Style" w:cs="Bookman Old Style"/>
          <w:color w:val="231F20"/>
          <w:sz w:val="18"/>
          <w:szCs w:val="18"/>
        </w:rPr>
        <w:softHyphen/>
        <w:t>ными фондами, а также ведущими отраслевыми компаниями.</w:t>
      </w:r>
    </w:p>
    <w:p w14:paraId="457C9F5A"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 стоит забывать и о таком немаловажном аспекте политики протекционизма, как методы поддержки национальных произво-  дителей за рубежом (национально-ориентированная внешнеэко</w:t>
      </w:r>
      <w:r w:rsidRPr="00B01894">
        <w:rPr>
          <w:rFonts w:ascii="Bookman Old Style" w:eastAsia="Bookman Old Style" w:hAnsi="Bookman Old Style" w:cs="Bookman Old Style"/>
          <w:color w:val="231F20"/>
          <w:sz w:val="18"/>
          <w:szCs w:val="18"/>
        </w:rPr>
        <w:softHyphen/>
        <w:t>номическая политика, поддержка на уровне торговых представи</w:t>
      </w:r>
      <w:r w:rsidRPr="00B01894">
        <w:rPr>
          <w:rFonts w:ascii="Bookman Old Style" w:eastAsia="Bookman Old Style" w:hAnsi="Bookman Old Style" w:cs="Bookman Old Style"/>
          <w:color w:val="231F20"/>
          <w:sz w:val="18"/>
          <w:szCs w:val="18"/>
        </w:rPr>
        <w:softHyphen/>
        <w:t>тельств, посольств и т. п.).</w:t>
      </w:r>
      <w:r w:rsidRPr="00B01894">
        <w:rPr>
          <w:rFonts w:ascii="Bookman Old Style" w:eastAsia="Bookman Old Style" w:hAnsi="Bookman Old Style" w:cs="Bookman Old Style"/>
          <w:color w:val="231F20"/>
          <w:sz w:val="18"/>
          <w:szCs w:val="18"/>
          <w:vertAlign w:val="superscript"/>
        </w:rPr>
        <w:t xml:space="preserve"> </w:t>
      </w:r>
      <w:r w:rsidRPr="00B01894">
        <w:rPr>
          <w:rFonts w:ascii="Bookman Old Style" w:eastAsia="Bookman Old Style" w:hAnsi="Bookman Old Style" w:cs="Bookman Old Style"/>
          <w:color w:val="00B050"/>
          <w:sz w:val="18"/>
          <w:szCs w:val="18"/>
          <w:vertAlign w:val="superscript"/>
        </w:rPr>
        <w:footnoteReference w:id="9"/>
      </w:r>
      <w:r w:rsidRPr="00B01894">
        <w:rPr>
          <w:rFonts w:ascii="Bookman Old Style" w:eastAsia="Bookman Old Style" w:hAnsi="Bookman Old Style" w:cs="Bookman Old Style"/>
          <w:color w:val="231F20"/>
          <w:sz w:val="18"/>
          <w:szCs w:val="18"/>
        </w:rPr>
        <w:t xml:space="preserve"> И не следует игнорировать «имиджевые» и социальные инструменты — </w:t>
      </w:r>
      <w:r w:rsidRPr="00B01894">
        <w:rPr>
          <w:rFonts w:ascii="Bookman Old Style" w:eastAsia="Bookman Old Style" w:hAnsi="Bookman Old Style" w:cs="Bookman Old Style"/>
          <w:color w:val="00B050"/>
          <w:sz w:val="18"/>
          <w:szCs w:val="18"/>
        </w:rPr>
        <w:t>например,</w:t>
      </w:r>
      <w:r w:rsidRPr="00B01894">
        <w:rPr>
          <w:rFonts w:ascii="Bookman Old Style" w:eastAsia="Bookman Old Style" w:hAnsi="Bookman Old Style" w:cs="Bookman Old Style"/>
          <w:color w:val="231F20"/>
          <w:sz w:val="18"/>
          <w:szCs w:val="18"/>
        </w:rPr>
        <w:t xml:space="preserve"> знаменитый лозунг </w:t>
      </w:r>
      <w:r w:rsidRPr="00B01894">
        <w:rPr>
          <w:rFonts w:ascii="Bookman Old Style" w:eastAsia="Bookman Old Style" w:hAnsi="Bookman Old Style" w:cs="Bookman Old Style"/>
          <w:i/>
          <w:iCs/>
          <w:color w:val="231F20"/>
          <w:sz w:val="18"/>
          <w:szCs w:val="18"/>
          <w:lang w:eastAsia="en-US" w:bidi="en-US"/>
        </w:rPr>
        <w:t>«</w:t>
      </w:r>
      <w:r w:rsidRPr="00B01894">
        <w:rPr>
          <w:rFonts w:ascii="Bookman Old Style" w:eastAsia="Bookman Old Style" w:hAnsi="Bookman Old Style" w:cs="Bookman Old Style"/>
          <w:i/>
          <w:iCs/>
          <w:color w:val="231F20"/>
          <w:sz w:val="18"/>
          <w:szCs w:val="18"/>
          <w:lang w:val="en-US" w:eastAsia="en-US" w:bidi="en-US"/>
        </w:rPr>
        <w:t>Buy</w:t>
      </w:r>
      <w:r w:rsidRPr="00B01894">
        <w:rPr>
          <w:rFonts w:ascii="Bookman Old Style" w:eastAsia="Bookman Old Style" w:hAnsi="Bookman Old Style" w:cs="Bookman Old Style"/>
          <w:i/>
          <w:iCs/>
          <w:color w:val="231F20"/>
          <w:sz w:val="18"/>
          <w:szCs w:val="18"/>
          <w:lang w:eastAsia="en-US" w:bidi="en-US"/>
        </w:rPr>
        <w:t xml:space="preserve"> </w:t>
      </w:r>
      <w:r w:rsidRPr="00B01894">
        <w:rPr>
          <w:rFonts w:ascii="Bookman Old Style" w:eastAsia="Bookman Old Style" w:hAnsi="Bookman Old Style" w:cs="Bookman Old Style"/>
          <w:i/>
          <w:iCs/>
          <w:color w:val="231F20"/>
          <w:sz w:val="18"/>
          <w:szCs w:val="18"/>
          <w:lang w:val="en-US" w:eastAsia="en-US" w:bidi="en-US"/>
        </w:rPr>
        <w:t>American</w:t>
      </w:r>
      <w:r w:rsidRPr="00B01894">
        <w:rPr>
          <w:rFonts w:ascii="Bookman Old Style" w:eastAsia="Bookman Old Style" w:hAnsi="Bookman Old Style" w:cs="Bookman Old Style"/>
          <w:color w:val="231F20"/>
          <w:sz w:val="18"/>
          <w:szCs w:val="18"/>
        </w:rPr>
        <w:t>!» (покупай американское) сыграл не последнюю роль в преодолении Великой американской депрессии 1930-х гг.</w:t>
      </w:r>
    </w:p>
    <w:p w14:paraId="58FA1380"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Выбор тех или иных методов протекционистской защиты являет</w:t>
      </w:r>
      <w:r w:rsidRPr="00B01894">
        <w:rPr>
          <w:rFonts w:ascii="Bookman Old Style" w:eastAsia="Bookman Old Style" w:hAnsi="Bookman Old Style" w:cs="Bookman Old Style"/>
          <w:color w:val="231F20"/>
          <w:sz w:val="18"/>
          <w:szCs w:val="18"/>
        </w:rPr>
        <w:softHyphen/>
        <w:t xml:space="preserve">ся </w:t>
      </w:r>
      <w:r w:rsidRPr="00B01894">
        <w:rPr>
          <w:rFonts w:ascii="Bookman Old Style" w:eastAsia="Bookman Old Style" w:hAnsi="Bookman Old Style" w:cs="Bookman Old Style"/>
          <w:color w:val="231F20"/>
          <w:sz w:val="18"/>
          <w:szCs w:val="18"/>
        </w:rPr>
        <w:lastRenderedPageBreak/>
        <w:t>серьезным вопросом в плане эффективности принимаемых мер и их воздействия на благосостояние — в основном дилемма состо</w:t>
      </w:r>
      <w:r w:rsidRPr="00B01894">
        <w:rPr>
          <w:rFonts w:ascii="Bookman Old Style" w:eastAsia="Bookman Old Style" w:hAnsi="Bookman Old Style" w:cs="Bookman Old Style"/>
          <w:color w:val="231F20"/>
          <w:sz w:val="18"/>
          <w:szCs w:val="18"/>
        </w:rPr>
        <w:softHyphen/>
        <w:t>ит в том, что эффективней: ограждать отечественных производи</w:t>
      </w:r>
      <w:r w:rsidRPr="00B01894">
        <w:rPr>
          <w:rFonts w:ascii="Bookman Old Style" w:eastAsia="Bookman Old Style" w:hAnsi="Bookman Old Style" w:cs="Bookman Old Style"/>
          <w:color w:val="231F20"/>
          <w:sz w:val="18"/>
          <w:szCs w:val="18"/>
        </w:rPr>
        <w:softHyphen/>
        <w:t>телей от иностранной конкуренции или непосредственно помогать национальным производителям.</w:t>
      </w:r>
    </w:p>
    <w:p w14:paraId="0CCB08E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Возьмем для сравнения тарифную защиту (импортный тариф) и метод непосредственной поддержки национального производи</w:t>
      </w:r>
      <w:r w:rsidRPr="00B01894">
        <w:rPr>
          <w:rFonts w:ascii="Bookman Old Style" w:eastAsia="Bookman Old Style" w:hAnsi="Bookman Old Style" w:cs="Bookman Old Style"/>
          <w:color w:val="231F20"/>
          <w:sz w:val="18"/>
          <w:szCs w:val="18"/>
        </w:rPr>
        <w:softHyphen/>
        <w:t>теля (производственную субсидию). Общеизвестно противоречие интересов потребителей и производителей. Интересы группы по</w:t>
      </w:r>
      <w:r w:rsidRPr="00B01894">
        <w:rPr>
          <w:rFonts w:ascii="Bookman Old Style" w:eastAsia="Bookman Old Style" w:hAnsi="Bookman Old Style" w:cs="Bookman Old Style"/>
          <w:color w:val="231F20"/>
          <w:sz w:val="18"/>
          <w:szCs w:val="18"/>
        </w:rPr>
        <w:softHyphen/>
        <w:t>требителей заключаются в том, чтобы не допускались искажения рыночных цен. Имея в виду политику, минимизирующую подобные искажения, можно утверждать, что производственные субсидии наименее вредны. Субсидии искажают только производственную сторону экономики и вызывают меньшие потери благосостояния покупателей, чем тарифы, которые как раз и искажают уровень цен по сравнению с мировым уровнем. И та и другая политика увеличи</w:t>
      </w:r>
      <w:r w:rsidRPr="00B01894">
        <w:rPr>
          <w:rFonts w:ascii="Bookman Old Style" w:eastAsia="Bookman Old Style" w:hAnsi="Bookman Old Style" w:cs="Bookman Old Style"/>
          <w:color w:val="231F20"/>
          <w:sz w:val="18"/>
          <w:szCs w:val="18"/>
        </w:rPr>
        <w:softHyphen/>
        <w:t>вают производство. Однако прямые производственные субсидии — это выгоды только для определенных фирм, тогда как тарифы — это общественные блага, выгода, доступная для любой новой фирмы, начинающей деятельность в защищенной отрасли. Следовательно, субсидии были бы предпочтительнее тарифов для существующих членов защищенной отрасли, но ими, скорее всего, не смогут вос</w:t>
      </w:r>
      <w:r w:rsidRPr="00B01894">
        <w:rPr>
          <w:rFonts w:ascii="Bookman Old Style" w:eastAsia="Bookman Old Style" w:hAnsi="Bookman Old Style" w:cs="Bookman Old Style"/>
          <w:color w:val="231F20"/>
          <w:sz w:val="18"/>
          <w:szCs w:val="18"/>
        </w:rPr>
        <w:softHyphen/>
        <w:t>пользоваться новые фирмы. Вместе с тем, в то время как тарифы пополняют государственную казну, субсидии — это дополнительная утечка государственных доходов.</w:t>
      </w:r>
    </w:p>
    <w:p w14:paraId="6420E22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 каждого из методов протекционизма, таким образом, есть свои преимущества и недостатки, поэтому выбор политики следует производить дифференцированно — например начинать создавать отрасль с прямых субсидий или инструмента частно-государствен</w:t>
      </w:r>
      <w:r w:rsidRPr="00B01894">
        <w:rPr>
          <w:rFonts w:ascii="Bookman Old Style" w:eastAsia="Bookman Old Style" w:hAnsi="Bookman Old Style" w:cs="Bookman Old Style"/>
          <w:color w:val="231F20"/>
          <w:sz w:val="18"/>
          <w:szCs w:val="18"/>
        </w:rPr>
        <w:softHyphen/>
        <w:t>ного партнерства, затем, по мере роста числа производителей, при</w:t>
      </w:r>
      <w:r w:rsidRPr="00B01894">
        <w:rPr>
          <w:rFonts w:ascii="Bookman Old Style" w:eastAsia="Bookman Old Style" w:hAnsi="Bookman Old Style" w:cs="Bookman Old Style"/>
          <w:color w:val="231F20"/>
          <w:sz w:val="18"/>
          <w:szCs w:val="18"/>
        </w:rPr>
        <w:softHyphen/>
        <w:t>менять таможенный тариф и далее переходить, скажем, к нацио</w:t>
      </w:r>
      <w:r w:rsidRPr="00B01894">
        <w:rPr>
          <w:rFonts w:ascii="Bookman Old Style" w:eastAsia="Bookman Old Style" w:hAnsi="Bookman Old Style" w:cs="Bookman Old Style"/>
          <w:color w:val="231F20"/>
          <w:sz w:val="18"/>
          <w:szCs w:val="18"/>
        </w:rPr>
        <w:softHyphen/>
        <w:t>нальным стандартам качества.</w:t>
      </w:r>
    </w:p>
    <w:p w14:paraId="5C91BFE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Следует, однако, понимать, что ограничивать возможности по поддержке национального производителя имеет своей целью ВТО, куда недавно вступила Россия. Членство в данной организа</w:t>
      </w:r>
      <w:r w:rsidRPr="00B01894">
        <w:rPr>
          <w:rFonts w:ascii="Bookman Old Style" w:eastAsia="Bookman Old Style" w:hAnsi="Bookman Old Style" w:cs="Bookman Old Style"/>
          <w:color w:val="231F20"/>
          <w:sz w:val="18"/>
          <w:szCs w:val="18"/>
        </w:rPr>
        <w:softHyphen/>
        <w:t>ции пропагандировалось как средство получения так называемого режима наибольшего благоприятствования в торговле, а также про</w:t>
      </w:r>
      <w:r w:rsidRPr="00B01894">
        <w:rPr>
          <w:rFonts w:ascii="Bookman Old Style" w:eastAsia="Bookman Old Style" w:hAnsi="Bookman Old Style" w:cs="Bookman Old Style"/>
          <w:color w:val="231F20"/>
          <w:sz w:val="18"/>
          <w:szCs w:val="18"/>
        </w:rPr>
        <w:softHyphen/>
        <w:t>чими выгодами, такими как:</w:t>
      </w:r>
    </w:p>
    <w:p w14:paraId="5E7BB571"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участие в выработке новых правил международной торговли;</w:t>
      </w:r>
    </w:p>
    <w:p w14:paraId="4AEC968D"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создание правового климата для привлечения иностранных инвестиций в Россию, расширение возможностей для российских инвесторов;</w:t>
      </w:r>
    </w:p>
    <w:p w14:paraId="71588BA4"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доступ к системе разрешения споров ВТО и исполнения ре</w:t>
      </w:r>
      <w:r w:rsidRPr="00B01894">
        <w:rPr>
          <w:rFonts w:ascii="Bookman Old Style" w:eastAsia="Bookman Old Style" w:hAnsi="Bookman Old Style" w:cs="Bookman Old Style"/>
          <w:color w:val="231F20"/>
          <w:sz w:val="18"/>
          <w:szCs w:val="18"/>
        </w:rPr>
        <w:softHyphen/>
        <w:t>шений;</w:t>
      </w:r>
    </w:p>
    <w:p w14:paraId="6CF20C69"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укрепление международных отношений.</w:t>
      </w:r>
    </w:p>
    <w:p w14:paraId="1CD2FF79"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Однако нужно понимать, что членство в ВТО накладывает и определенные ограничения:</w:t>
      </w:r>
    </w:p>
    <w:p w14:paraId="659F8B03"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ограничение возможности принятия самостоятельных эко</w:t>
      </w:r>
      <w:r w:rsidRPr="00B01894">
        <w:rPr>
          <w:rFonts w:ascii="Bookman Old Style" w:eastAsia="Bookman Old Style" w:hAnsi="Bookman Old Style" w:cs="Bookman Old Style"/>
          <w:color w:val="231F20"/>
          <w:sz w:val="18"/>
          <w:szCs w:val="18"/>
        </w:rPr>
        <w:softHyphen/>
        <w:t>номических решений, что может нанести непоправимый ущерб це</w:t>
      </w:r>
      <w:r w:rsidRPr="00B01894">
        <w:rPr>
          <w:rFonts w:ascii="Bookman Old Style" w:eastAsia="Bookman Old Style" w:hAnsi="Bookman Old Style" w:cs="Bookman Old Style"/>
          <w:color w:val="231F20"/>
          <w:sz w:val="18"/>
          <w:szCs w:val="18"/>
        </w:rPr>
        <w:softHyphen/>
        <w:t>лым отраслям промышленности;</w:t>
      </w:r>
    </w:p>
    <w:p w14:paraId="34A4EBED"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невозможность автономно повышать импортные таможен</w:t>
      </w:r>
      <w:r w:rsidRPr="00B01894">
        <w:rPr>
          <w:rFonts w:ascii="Bookman Old Style" w:eastAsia="Bookman Old Style" w:hAnsi="Bookman Old Style" w:cs="Bookman Old Style"/>
          <w:color w:val="231F20"/>
          <w:sz w:val="18"/>
          <w:szCs w:val="18"/>
        </w:rPr>
        <w:softHyphen/>
        <w:t>ные тарифы выше уровня, согласованного с членами ВТО;</w:t>
      </w:r>
    </w:p>
    <w:p w14:paraId="35FBA3E9"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принятие обязательства по размеру государственных экс</w:t>
      </w:r>
      <w:r w:rsidRPr="00B01894">
        <w:rPr>
          <w:rFonts w:ascii="Bookman Old Style" w:eastAsia="Bookman Old Style" w:hAnsi="Bookman Old Style" w:cs="Bookman Old Style"/>
          <w:color w:val="231F20"/>
          <w:sz w:val="18"/>
          <w:szCs w:val="18"/>
        </w:rPr>
        <w:softHyphen/>
        <w:t>портных субсидий;</w:t>
      </w:r>
    </w:p>
    <w:p w14:paraId="11CC000F"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невозможность включения в инвестиционные соглашения обязательства инвестора приобретать товары на внутреннем рынке;</w:t>
      </w:r>
    </w:p>
    <w:p w14:paraId="5A2AEDD4"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неизменность российского внешнеторгового и таможенно</w:t>
      </w:r>
      <w:r w:rsidRPr="00B01894">
        <w:rPr>
          <w:rFonts w:ascii="Bookman Old Style" w:eastAsia="Bookman Old Style" w:hAnsi="Bookman Old Style" w:cs="Bookman Old Style"/>
          <w:color w:val="231F20"/>
          <w:sz w:val="18"/>
          <w:szCs w:val="18"/>
        </w:rPr>
        <w:softHyphen/>
        <w:t>го законодательства, в том числе в области интеллектуальной соб</w:t>
      </w:r>
      <w:r w:rsidRPr="00B01894">
        <w:rPr>
          <w:rFonts w:ascii="Bookman Old Style" w:eastAsia="Bookman Old Style" w:hAnsi="Bookman Old Style" w:cs="Bookman Old Style"/>
          <w:color w:val="231F20"/>
          <w:sz w:val="18"/>
          <w:szCs w:val="18"/>
        </w:rPr>
        <w:softHyphen/>
        <w:t>ственности, стандартов и сертификации, капиталовложений;</w:t>
      </w:r>
    </w:p>
    <w:p w14:paraId="3BF2C890"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неправомочность применения дискриминационных правил для импорта на всех стадиях транспортировки и продажи, включая налогообложение и предложение к продаже, рекламу, применение технических барьеров, стандартов и пр.;</w:t>
      </w:r>
    </w:p>
    <w:p w14:paraId="6C052163" w14:textId="77777777" w:rsidR="00B01894" w:rsidRPr="00B01894" w:rsidRDefault="00B01894" w:rsidP="00B01894">
      <w:pPr>
        <w:widowControl w:val="0"/>
        <w:numPr>
          <w:ilvl w:val="0"/>
          <w:numId w:val="11"/>
        </w:numPr>
        <w:tabs>
          <w:tab w:val="left" w:pos="630"/>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невозможность ограничивать транзит и доступ к транзит</w:t>
      </w:r>
      <w:r w:rsidRPr="00B01894">
        <w:rPr>
          <w:rFonts w:ascii="Bookman Old Style" w:eastAsia="Bookman Old Style" w:hAnsi="Bookman Old Style" w:cs="Bookman Old Style"/>
          <w:color w:val="231F20"/>
          <w:sz w:val="18"/>
          <w:szCs w:val="18"/>
        </w:rPr>
        <w:softHyphen/>
        <w:t>ным сетям, ухудшать условия доступа на рынок и деятельности на рынке услуг по сравнению с параметрами, установленными со- глашениями</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w:t>
      </w:r>
    </w:p>
    <w:p w14:paraId="1BDED472" w14:textId="77777777" w:rsidR="00B01894" w:rsidRPr="00B01894" w:rsidRDefault="00B01894" w:rsidP="00B01894">
      <w:pPr>
        <w:widowControl w:val="0"/>
        <w:spacing w:after="351"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следует констатировать, что вступление в ВТО означает потерю части экономического суверенитета. И здесь, опять же, важно полное соблюдение обозначенных правил все</w:t>
      </w:r>
      <w:r w:rsidRPr="00B01894">
        <w:rPr>
          <w:rFonts w:ascii="Bookman Old Style" w:eastAsia="Bookman Old Style" w:hAnsi="Bookman Old Style" w:cs="Bookman Old Style"/>
          <w:color w:val="231F20"/>
          <w:sz w:val="18"/>
          <w:szCs w:val="18"/>
        </w:rPr>
        <w:softHyphen/>
        <w:t>ми участниками организации, тогда как это происходит далеко не всегда, и снова складывается впечатление, что основатели ВТО изобретали их для того, чтобы их выполняли все, кроме них са</w:t>
      </w:r>
      <w:r w:rsidRPr="00B01894">
        <w:rPr>
          <w:rFonts w:ascii="Bookman Old Style" w:eastAsia="Bookman Old Style" w:hAnsi="Bookman Old Style" w:cs="Bookman Old Style"/>
          <w:color w:val="231F20"/>
          <w:sz w:val="18"/>
          <w:szCs w:val="18"/>
        </w:rPr>
        <w:softHyphen/>
        <w:t xml:space="preserve">мих. Подтверждением тому являются многочисленные нарушения принципов свободной торговли. Особенно чувствительной сферой для подобного рода инцидентов являются, безусловно, сельское хозяйство, транспорт, не говоря уже об оборонно-промышленном комплексе — </w:t>
      </w:r>
      <w:r w:rsidRPr="00B01894">
        <w:rPr>
          <w:rFonts w:ascii="Bookman Old Style" w:eastAsia="Bookman Old Style" w:hAnsi="Bookman Old Style" w:cs="Bookman Old Style"/>
          <w:color w:val="00B050"/>
          <w:sz w:val="18"/>
          <w:szCs w:val="18"/>
        </w:rPr>
        <w:t>история</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C00000"/>
          <w:sz w:val="18"/>
          <w:szCs w:val="18"/>
        </w:rPr>
        <w:t xml:space="preserve">ситуация </w:t>
      </w:r>
      <w:r w:rsidRPr="00B01894">
        <w:rPr>
          <w:rFonts w:ascii="Bookman Old Style" w:eastAsia="Bookman Old Style" w:hAnsi="Bookman Old Style" w:cs="Bookman Old Style"/>
          <w:color w:val="231F20"/>
          <w:sz w:val="18"/>
          <w:szCs w:val="18"/>
        </w:rPr>
        <w:t>с оплаченными авианосцами, когда Фран</w:t>
      </w:r>
      <w:r w:rsidRPr="00B01894">
        <w:rPr>
          <w:rFonts w:ascii="Bookman Old Style" w:eastAsia="Bookman Old Style" w:hAnsi="Bookman Old Style" w:cs="Bookman Old Style"/>
          <w:color w:val="231F20"/>
          <w:sz w:val="18"/>
          <w:szCs w:val="18"/>
        </w:rPr>
        <w:softHyphen/>
        <w:t>ция «не увидела условий» для передачи их России, подтвердила хрупкость международного пра</w:t>
      </w:r>
      <w:bookmarkStart w:id="22" w:name="bookmark22"/>
      <w:r w:rsidRPr="00B01894">
        <w:rPr>
          <w:rFonts w:ascii="Bookman Old Style" w:eastAsia="Bookman Old Style" w:hAnsi="Bookman Old Style" w:cs="Bookman Old Style"/>
          <w:color w:val="231F20"/>
          <w:sz w:val="18"/>
          <w:szCs w:val="18"/>
        </w:rPr>
        <w:t xml:space="preserve">ва и необходимость полной </w:t>
      </w:r>
      <w:r w:rsidRPr="00B01894">
        <w:rPr>
          <w:rFonts w:ascii="Bookman Old Style" w:eastAsia="Bookman Old Style" w:hAnsi="Bookman Old Style" w:cs="Bookman Old Style"/>
          <w:color w:val="00B050"/>
          <w:sz w:val="18"/>
          <w:szCs w:val="18"/>
        </w:rPr>
        <w:t>независимости</w:t>
      </w:r>
      <w:r w:rsidRPr="00B01894">
        <w:rPr>
          <w:rFonts w:ascii="Bookman Old Style" w:eastAsia="Bookman Old Style" w:hAnsi="Bookman Old Style" w:cs="Bookman Old Style"/>
          <w:color w:val="231F20"/>
          <w:sz w:val="18"/>
          <w:szCs w:val="18"/>
        </w:rPr>
        <w:t xml:space="preserve"> отечественного оружейного производства.</w:t>
      </w:r>
      <w:r w:rsidRPr="00B01894">
        <w:rPr>
          <w:rFonts w:ascii="Bookman Old Style" w:eastAsia="Bookman Old Style" w:hAnsi="Bookman Old Style" w:cs="Bookman Old Style"/>
          <w:color w:val="231F20"/>
          <w:sz w:val="18"/>
          <w:szCs w:val="18"/>
          <w:vertAlign w:val="superscript"/>
        </w:rPr>
        <w:t xml:space="preserve"> </w:t>
      </w:r>
      <w:r w:rsidRPr="00B01894">
        <w:rPr>
          <w:rFonts w:ascii="Bookman Old Style" w:eastAsia="Bookman Old Style" w:hAnsi="Bookman Old Style" w:cs="Bookman Old Style"/>
          <w:color w:val="00B050"/>
          <w:sz w:val="18"/>
          <w:szCs w:val="18"/>
          <w:vertAlign w:val="superscript"/>
        </w:rPr>
        <w:footnoteReference w:id="10"/>
      </w:r>
      <w:r w:rsidRPr="00B01894">
        <w:rPr>
          <w:rFonts w:ascii="Bookman Old Style" w:eastAsia="Bookman Old Style" w:hAnsi="Bookman Old Style" w:cs="Bookman Old Style"/>
          <w:color w:val="231F20"/>
          <w:sz w:val="18"/>
          <w:szCs w:val="18"/>
        </w:rPr>
        <w:t xml:space="preserve"> Что касается упомянутых стратегически важных отраслей — агропромышленно</w:t>
      </w:r>
      <w:r w:rsidRPr="00B01894">
        <w:rPr>
          <w:rFonts w:ascii="Bookman Old Style" w:eastAsia="Bookman Old Style" w:hAnsi="Bookman Old Style" w:cs="Bookman Old Style"/>
          <w:color w:val="231F20"/>
          <w:sz w:val="18"/>
          <w:szCs w:val="18"/>
        </w:rPr>
        <w:softHyphen/>
        <w:t>го комплекса и транспортной отрасли, то здесь возможно продук</w:t>
      </w:r>
      <w:r w:rsidRPr="00B01894">
        <w:rPr>
          <w:rFonts w:ascii="Bookman Old Style" w:eastAsia="Bookman Old Style" w:hAnsi="Bookman Old Style" w:cs="Bookman Old Style"/>
          <w:color w:val="231F20"/>
          <w:sz w:val="18"/>
          <w:szCs w:val="18"/>
        </w:rPr>
        <w:softHyphen/>
        <w:t>тивное международное сотрудничество. Однако главным условием такой кооперации следует признавать, во-первых, стратегический характер инвестиций, подразумевающих локализацию производ</w:t>
      </w:r>
      <w:r w:rsidRPr="00B01894">
        <w:rPr>
          <w:rFonts w:ascii="Bookman Old Style" w:eastAsia="Bookman Old Style" w:hAnsi="Bookman Old Style" w:cs="Bookman Old Style"/>
          <w:color w:val="231F20"/>
          <w:sz w:val="18"/>
          <w:szCs w:val="18"/>
        </w:rPr>
        <w:softHyphen/>
        <w:t>ства с трансфертом передовых технологий с безусловным испол</w:t>
      </w:r>
      <w:r w:rsidRPr="00B01894">
        <w:rPr>
          <w:rFonts w:ascii="Bookman Old Style" w:eastAsia="Bookman Old Style" w:hAnsi="Bookman Old Style" w:cs="Bookman Old Style"/>
          <w:color w:val="231F20"/>
          <w:sz w:val="18"/>
          <w:szCs w:val="18"/>
        </w:rPr>
        <w:softHyphen/>
        <w:t>нением экологических и социальных стандартов, и, во-вторых, безоговорочно привилегированное положение отечественных про</w:t>
      </w:r>
      <w:r w:rsidRPr="00B01894">
        <w:rPr>
          <w:rFonts w:ascii="Bookman Old Style" w:eastAsia="Bookman Old Style" w:hAnsi="Bookman Old Style" w:cs="Bookman Old Style"/>
          <w:color w:val="231F20"/>
          <w:sz w:val="18"/>
          <w:szCs w:val="18"/>
        </w:rPr>
        <w:softHyphen/>
        <w:t xml:space="preserve">изводителей. Фактически антироссийские западные санкции </w:t>
      </w:r>
      <w:r w:rsidRPr="00B01894">
        <w:rPr>
          <w:rFonts w:ascii="Bookman Old Style" w:eastAsia="Bookman Old Style" w:hAnsi="Bookman Old Style" w:cs="Bookman Old Style"/>
          <w:color w:val="C00000"/>
          <w:sz w:val="18"/>
          <w:szCs w:val="18"/>
        </w:rPr>
        <w:t>2014 г.</w:t>
      </w:r>
      <w:r w:rsidRPr="00B01894">
        <w:rPr>
          <w:rFonts w:ascii="Bookman Old Style" w:eastAsia="Bookman Old Style" w:hAnsi="Bookman Old Style" w:cs="Bookman Old Style"/>
          <w:color w:val="231F20"/>
          <w:sz w:val="18"/>
          <w:szCs w:val="18"/>
        </w:rPr>
        <w:t xml:space="preserve"> спровоцировали кризис системы ВТО</w:t>
      </w:r>
      <w:r w:rsidRPr="00B01894">
        <w:rPr>
          <w:rFonts w:ascii="Bookman Old Style" w:eastAsia="Bookman Old Style" w:hAnsi="Bookman Old Style" w:cs="Bookman Old Style"/>
          <w:color w:val="C00000"/>
          <w:sz w:val="18"/>
          <w:szCs w:val="18"/>
        </w:rPr>
        <w:t>, а введение эмбарго на сель</w:t>
      </w:r>
      <w:r w:rsidRPr="00B01894">
        <w:rPr>
          <w:rFonts w:ascii="Bookman Old Style" w:eastAsia="Bookman Old Style" w:hAnsi="Bookman Old Style" w:cs="Bookman Old Style"/>
          <w:color w:val="C00000"/>
          <w:sz w:val="18"/>
          <w:szCs w:val="18"/>
        </w:rPr>
        <w:softHyphen/>
        <w:t>хозпродукцию со стороны России закрепило это состояние</w:t>
      </w:r>
      <w:r w:rsidRPr="00B01894">
        <w:rPr>
          <w:rFonts w:ascii="Bookman Old Style" w:eastAsia="Bookman Old Style" w:hAnsi="Bookman Old Style" w:cs="Bookman Old Style"/>
          <w:color w:val="231F20"/>
          <w:sz w:val="18"/>
          <w:szCs w:val="18"/>
        </w:rPr>
        <w:t>. Поэто</w:t>
      </w:r>
      <w:r w:rsidRPr="00B01894">
        <w:rPr>
          <w:rFonts w:ascii="Bookman Old Style" w:eastAsia="Bookman Old Style" w:hAnsi="Bookman Old Style" w:cs="Bookman Old Style"/>
          <w:color w:val="231F20"/>
          <w:sz w:val="18"/>
          <w:szCs w:val="18"/>
        </w:rPr>
        <w:softHyphen/>
        <w:t xml:space="preserve">му </w:t>
      </w:r>
      <w:r w:rsidRPr="00B01894">
        <w:rPr>
          <w:rFonts w:ascii="Bookman Old Style" w:eastAsia="Bookman Old Style" w:hAnsi="Bookman Old Style" w:cs="Bookman Old Style"/>
          <w:color w:val="231F20"/>
          <w:sz w:val="18"/>
          <w:szCs w:val="18"/>
        </w:rPr>
        <w:lastRenderedPageBreak/>
        <w:t>необходимо воспользоваться появившейся свободой действий, чтобы поддерживать внутренние точки роста, ведь членство в ВТО (при безусловном соблюдении ее принципов) лишало страну воз</w:t>
      </w:r>
      <w:r w:rsidRPr="00B01894">
        <w:rPr>
          <w:rFonts w:ascii="Bookman Old Style" w:eastAsia="Bookman Old Style" w:hAnsi="Bookman Old Style" w:cs="Bookman Old Style"/>
          <w:color w:val="231F20"/>
          <w:sz w:val="18"/>
          <w:szCs w:val="18"/>
        </w:rPr>
        <w:softHyphen/>
        <w:t>можности защищать внутренний рынок. При этом важно грамотно расставлять приоритеты: если следовать сугубо национальным ин</w:t>
      </w:r>
      <w:r w:rsidRPr="00B01894">
        <w:rPr>
          <w:rFonts w:ascii="Bookman Old Style" w:eastAsia="Bookman Old Style" w:hAnsi="Bookman Old Style" w:cs="Bookman Old Style"/>
          <w:color w:val="231F20"/>
          <w:sz w:val="18"/>
          <w:szCs w:val="18"/>
        </w:rPr>
        <w:softHyphen/>
        <w:t>тересам, следует добиваться режима свободной торговли с эконо</w:t>
      </w:r>
      <w:r w:rsidRPr="00B01894">
        <w:rPr>
          <w:rFonts w:ascii="Bookman Old Style" w:eastAsia="Bookman Old Style" w:hAnsi="Bookman Old Style" w:cs="Bookman Old Style"/>
          <w:color w:val="231F20"/>
          <w:sz w:val="18"/>
          <w:szCs w:val="18"/>
        </w:rPr>
        <w:softHyphen/>
        <w:t>мически менее развитыми странами и защищать внутренний рынок от более развитых производителей. Если же следовать принципам высшей справедливости, нужно признавать право каждого госу</w:t>
      </w:r>
      <w:r w:rsidRPr="00B01894">
        <w:rPr>
          <w:rFonts w:ascii="Bookman Old Style" w:eastAsia="Bookman Old Style" w:hAnsi="Bookman Old Style" w:cs="Bookman Old Style"/>
          <w:color w:val="231F20"/>
          <w:sz w:val="18"/>
          <w:szCs w:val="18"/>
        </w:rPr>
        <w:softHyphen/>
        <w:t>дарства на защиту отечественных производителей. Что же касается интеграционных объединений, то они работают только при равном уровне развития производительных сил, при неравенстве же выго</w:t>
      </w:r>
      <w:r w:rsidRPr="00B01894">
        <w:rPr>
          <w:rFonts w:ascii="Bookman Old Style" w:eastAsia="Bookman Old Style" w:hAnsi="Bookman Old Style" w:cs="Bookman Old Style"/>
          <w:color w:val="231F20"/>
          <w:sz w:val="18"/>
          <w:szCs w:val="18"/>
        </w:rPr>
        <w:softHyphen/>
        <w:t>ды распределяются неравномерно в пользу более сильного партне</w:t>
      </w:r>
      <w:r w:rsidRPr="00B01894">
        <w:rPr>
          <w:rFonts w:ascii="Bookman Old Style" w:eastAsia="Bookman Old Style" w:hAnsi="Bookman Old Style" w:cs="Bookman Old Style"/>
          <w:color w:val="231F20"/>
          <w:sz w:val="18"/>
          <w:szCs w:val="18"/>
        </w:rPr>
        <w:softHyphen/>
        <w:t>ра, способствуя деградации промышленности более слабого.</w:t>
      </w:r>
      <w:bookmarkEnd w:id="22"/>
    </w:p>
    <w:p w14:paraId="4E88C818" w14:textId="77777777" w:rsidR="00B01894" w:rsidRPr="00B01894" w:rsidRDefault="00B01894" w:rsidP="00B01894">
      <w:pPr>
        <w:keepNext/>
        <w:keepLines/>
        <w:widowControl w:val="0"/>
        <w:numPr>
          <w:ilvl w:val="0"/>
          <w:numId w:val="16"/>
        </w:numPr>
        <w:tabs>
          <w:tab w:val="left" w:pos="1875"/>
        </w:tabs>
        <w:spacing w:after="209" w:line="336" w:lineRule="exact"/>
        <w:ind w:left="1920" w:hanging="540"/>
        <w:jc w:val="left"/>
        <w:outlineLvl w:val="3"/>
        <w:rPr>
          <w:rFonts w:ascii="Arial Narrow" w:eastAsia="Arial Narrow" w:hAnsi="Arial Narrow" w:cs="Arial Narrow"/>
          <w:b/>
          <w:bCs/>
        </w:rPr>
      </w:pPr>
      <w:bookmarkStart w:id="23" w:name="bookmark23"/>
      <w:r w:rsidRPr="00B01894">
        <w:rPr>
          <w:rFonts w:ascii="Arial Narrow" w:eastAsia="Arial Narrow" w:hAnsi="Arial Narrow" w:cs="Arial Narrow"/>
          <w:b/>
          <w:bCs/>
          <w:color w:val="231F20"/>
        </w:rPr>
        <w:t>Инвестиционный климат страны: институциональный аспект</w:t>
      </w:r>
      <w:bookmarkEnd w:id="23"/>
    </w:p>
    <w:p w14:paraId="707120C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Инвестиционная недостаточность является на сегодняшний день одной из ключевых проблем национальной экономики </w:t>
      </w:r>
      <w:r w:rsidRPr="00B01894">
        <w:rPr>
          <w:rFonts w:ascii="Bookman Old Style" w:eastAsia="Bookman Old Style" w:hAnsi="Bookman Old Style" w:cs="Bookman Old Style"/>
          <w:color w:val="00B050"/>
          <w:sz w:val="18"/>
          <w:szCs w:val="18"/>
        </w:rPr>
        <w:t>РФ</w:t>
      </w:r>
      <w:r w:rsidRPr="00B01894">
        <w:rPr>
          <w:rFonts w:ascii="Bookman Old Style" w:eastAsia="Bookman Old Style" w:hAnsi="Bookman Old Style" w:cs="Bookman Old Style"/>
          <w:color w:val="231F20"/>
          <w:sz w:val="18"/>
          <w:szCs w:val="18"/>
        </w:rPr>
        <w:t>. Для осу</w:t>
      </w:r>
      <w:r w:rsidRPr="00B01894">
        <w:rPr>
          <w:rFonts w:ascii="Bookman Old Style" w:eastAsia="Bookman Old Style" w:hAnsi="Bookman Old Style" w:cs="Bookman Old Style"/>
          <w:color w:val="231F20"/>
          <w:sz w:val="18"/>
          <w:szCs w:val="18"/>
        </w:rPr>
        <w:softHyphen/>
        <w:t xml:space="preserve">ществления задач ускоренной модернизации и импортозамещения необходимы массированные капиталовложения как внутренних, так и иностранных стратегических инвесторов. </w:t>
      </w:r>
      <w:r w:rsidRPr="00B01894">
        <w:rPr>
          <w:rFonts w:ascii="Bookman Old Style" w:eastAsia="Bookman Old Style" w:hAnsi="Bookman Old Style" w:cs="Bookman Old Style"/>
          <w:color w:val="00B050"/>
          <w:sz w:val="18"/>
          <w:szCs w:val="18"/>
        </w:rPr>
        <w:t xml:space="preserve">Инвестиции являются самой нестабильной частью эффективного спроса, колебания инвестиционной активности часто становятся причиной экономических кризисов. В связи с этим стабильный инвестиционный процесс – это основа экономического роста и развития. </w:t>
      </w:r>
    </w:p>
    <w:p w14:paraId="3F0346E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 сегодняшний день Российская Федерация выглядит довольно скромно на рынке мирового капитала</w:t>
      </w:r>
      <w:r w:rsidRPr="00B01894">
        <w:rPr>
          <w:rFonts w:ascii="Bookman Old Style" w:eastAsia="Bookman Old Style" w:hAnsi="Bookman Old Style" w:cs="Bookman Old Style"/>
          <w:color w:val="C00000"/>
          <w:sz w:val="18"/>
          <w:szCs w:val="18"/>
        </w:rPr>
        <w:t>, несмотря на рост междуна</w:t>
      </w:r>
      <w:r w:rsidRPr="00B01894">
        <w:rPr>
          <w:rFonts w:ascii="Bookman Old Style" w:eastAsia="Bookman Old Style" w:hAnsi="Bookman Old Style" w:cs="Bookman Old Style"/>
          <w:color w:val="C00000"/>
          <w:sz w:val="18"/>
          <w:szCs w:val="18"/>
        </w:rPr>
        <w:softHyphen/>
        <w:t>родной инвестиционной активности</w:t>
      </w:r>
      <w:r w:rsidRPr="00B01894">
        <w:rPr>
          <w:rFonts w:ascii="Bookman Old Style" w:eastAsia="Bookman Old Style" w:hAnsi="Bookman Old Style" w:cs="Bookman Old Style"/>
          <w:color w:val="C00000"/>
          <w:sz w:val="18"/>
          <w:szCs w:val="18"/>
          <w:vertAlign w:val="superscript"/>
        </w:rPr>
        <w:t>1</w:t>
      </w:r>
      <w:r w:rsidRPr="00B01894">
        <w:rPr>
          <w:rFonts w:ascii="Bookman Old Style" w:eastAsia="Bookman Old Style" w:hAnsi="Bookman Old Style" w:cs="Bookman Old Style"/>
          <w:color w:val="231F20"/>
          <w:sz w:val="18"/>
          <w:szCs w:val="18"/>
        </w:rPr>
        <w:t>. Между тем, для модерниза</w:t>
      </w:r>
      <w:r w:rsidRPr="00B01894">
        <w:rPr>
          <w:rFonts w:ascii="Bookman Old Style" w:eastAsia="Bookman Old Style" w:hAnsi="Bookman Old Style" w:cs="Bookman Old Style"/>
          <w:color w:val="231F20"/>
          <w:sz w:val="18"/>
          <w:szCs w:val="18"/>
        </w:rPr>
        <w:softHyphen/>
        <w:t xml:space="preserve">ции отечественного производства нужны </w:t>
      </w:r>
      <w:r w:rsidRPr="00B01894">
        <w:rPr>
          <w:rFonts w:ascii="Bookman Old Style" w:eastAsia="Bookman Old Style" w:hAnsi="Bookman Old Style" w:cs="Bookman Old Style"/>
          <w:color w:val="00B050"/>
          <w:sz w:val="18"/>
          <w:szCs w:val="18"/>
        </w:rPr>
        <w:t xml:space="preserve">не только внутренние, но и </w:t>
      </w:r>
      <w:r w:rsidRPr="00B01894">
        <w:rPr>
          <w:rFonts w:ascii="Bookman Old Style" w:eastAsia="Bookman Old Style" w:hAnsi="Bookman Old Style" w:cs="Bookman Old Style"/>
          <w:color w:val="231F20"/>
          <w:sz w:val="18"/>
          <w:szCs w:val="18"/>
        </w:rPr>
        <w:t>стратегические междуна</w:t>
      </w:r>
      <w:r w:rsidRPr="00B01894">
        <w:rPr>
          <w:rFonts w:ascii="Bookman Old Style" w:eastAsia="Bookman Old Style" w:hAnsi="Bookman Old Style" w:cs="Bookman Old Style"/>
          <w:color w:val="231F20"/>
          <w:sz w:val="18"/>
          <w:szCs w:val="18"/>
        </w:rPr>
        <w:softHyphen/>
        <w:t>родные инвестиции, которые подразумевают трансферт технологий и организационной структуры управления. Пока же следует отме</w:t>
      </w:r>
      <w:r w:rsidRPr="00B01894">
        <w:rPr>
          <w:rFonts w:ascii="Bookman Old Style" w:eastAsia="Bookman Old Style" w:hAnsi="Bookman Old Style" w:cs="Bookman Old Style"/>
          <w:color w:val="231F20"/>
          <w:sz w:val="18"/>
          <w:szCs w:val="18"/>
        </w:rPr>
        <w:softHyphen/>
        <w:t>тить большой процент «возвращенного» ранее вывезенного отечественного капитала, тогда как было бы полезно сотрудничество с представителями высокотехнологичных отраслей «новой» эконо</w:t>
      </w:r>
      <w:r w:rsidRPr="00B01894">
        <w:rPr>
          <w:rFonts w:ascii="Bookman Old Style" w:eastAsia="Bookman Old Style" w:hAnsi="Bookman Old Style" w:cs="Bookman Old Style"/>
          <w:color w:val="231F20"/>
          <w:sz w:val="18"/>
          <w:szCs w:val="18"/>
        </w:rPr>
        <w:softHyphen/>
        <w:t>мики.</w:t>
      </w:r>
      <w:r w:rsidRPr="00B01894">
        <w:rPr>
          <w:rFonts w:ascii="Bookman Old Style" w:eastAsia="Bookman Old Style" w:hAnsi="Bookman Old Style" w:cs="Bookman Old Style"/>
          <w:color w:val="231F20"/>
          <w:sz w:val="18"/>
          <w:szCs w:val="18"/>
          <w:vertAlign w:val="superscript"/>
        </w:rPr>
        <w:t xml:space="preserve"> </w:t>
      </w:r>
      <w:r w:rsidRPr="00B01894">
        <w:rPr>
          <w:rFonts w:ascii="Bookman Old Style" w:eastAsia="Bookman Old Style" w:hAnsi="Bookman Old Style" w:cs="Bookman Old Style"/>
          <w:color w:val="00B050"/>
          <w:sz w:val="18"/>
          <w:szCs w:val="18"/>
          <w:vertAlign w:val="superscript"/>
        </w:rPr>
        <w:footnoteReference w:id="11"/>
      </w:r>
      <w:r w:rsidRPr="00B01894">
        <w:rPr>
          <w:rFonts w:ascii="Bookman Old Style" w:eastAsia="Bookman Old Style" w:hAnsi="Bookman Old Style" w:cs="Bookman Old Style"/>
          <w:color w:val="231F20"/>
          <w:sz w:val="18"/>
          <w:szCs w:val="18"/>
        </w:rPr>
        <w:t xml:space="preserve">  Россия, безусловно, обладает прогрессивными технология</w:t>
      </w:r>
      <w:r w:rsidRPr="00B01894">
        <w:rPr>
          <w:rFonts w:ascii="Bookman Old Style" w:eastAsia="Bookman Old Style" w:hAnsi="Bookman Old Style" w:cs="Bookman Old Style"/>
          <w:color w:val="231F20"/>
          <w:sz w:val="18"/>
          <w:szCs w:val="18"/>
        </w:rPr>
        <w:softHyphen/>
        <w:t>ми в некоторых специфических отраслях, таких как производство материалов, вооружений, освоение космоса, но в целом экономика страны нуждается в серьезной модернизации. Доля России на рын</w:t>
      </w:r>
      <w:r w:rsidRPr="00B01894">
        <w:rPr>
          <w:rFonts w:ascii="Bookman Old Style" w:eastAsia="Bookman Old Style" w:hAnsi="Bookman Old Style" w:cs="Bookman Old Style"/>
          <w:color w:val="231F20"/>
          <w:sz w:val="18"/>
          <w:szCs w:val="18"/>
        </w:rPr>
        <w:softHyphen/>
        <w:t xml:space="preserve">ке высоких технологий на сегодняшний день не адекватна </w:t>
      </w:r>
      <w:r w:rsidRPr="00B01894">
        <w:rPr>
          <w:rFonts w:ascii="Bookman Old Style" w:eastAsia="Bookman Old Style" w:hAnsi="Bookman Old Style" w:cs="Bookman Old Style"/>
          <w:color w:val="C00000"/>
          <w:sz w:val="18"/>
          <w:szCs w:val="18"/>
        </w:rPr>
        <w:t>ничтожна</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C00000"/>
          <w:sz w:val="18"/>
          <w:szCs w:val="18"/>
        </w:rPr>
        <w:t>несмотря на</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C00000"/>
          <w:sz w:val="18"/>
          <w:szCs w:val="18"/>
        </w:rPr>
        <w:t>учитывая</w:t>
      </w:r>
      <w:r w:rsidRPr="00B01894">
        <w:rPr>
          <w:rFonts w:ascii="Bookman Old Style" w:eastAsia="Bookman Old Style" w:hAnsi="Bookman Old Style" w:cs="Bookman Old Style"/>
          <w:color w:val="231F20"/>
          <w:sz w:val="18"/>
          <w:szCs w:val="18"/>
        </w:rPr>
        <w:t xml:space="preserve"> имеющийся огромный кадровый и </w:t>
      </w:r>
      <w:r w:rsidRPr="00B01894">
        <w:rPr>
          <w:rFonts w:ascii="Bookman Old Style" w:eastAsia="Bookman Old Style" w:hAnsi="Bookman Old Style" w:cs="Bookman Old Style"/>
          <w:color w:val="C00000"/>
          <w:sz w:val="18"/>
          <w:szCs w:val="18"/>
        </w:rPr>
        <w:t>информационный</w:t>
      </w:r>
      <w:r w:rsidRPr="00B01894">
        <w:rPr>
          <w:rFonts w:ascii="Bookman Old Style" w:eastAsia="Bookman Old Style" w:hAnsi="Bookman Old Style" w:cs="Bookman Old Style"/>
          <w:color w:val="231F20"/>
          <w:sz w:val="18"/>
          <w:szCs w:val="18"/>
        </w:rPr>
        <w:t xml:space="preserve"> научный потенци</w:t>
      </w:r>
      <w:r w:rsidRPr="00B01894">
        <w:rPr>
          <w:rFonts w:ascii="Bookman Old Style" w:eastAsia="Bookman Old Style" w:hAnsi="Bookman Old Style" w:cs="Bookman Old Style"/>
          <w:color w:val="231F20"/>
          <w:sz w:val="18"/>
          <w:szCs w:val="18"/>
        </w:rPr>
        <w:softHyphen/>
        <w:t xml:space="preserve">ал. Проблемой развития этих </w:t>
      </w:r>
      <w:r w:rsidRPr="00B01894">
        <w:rPr>
          <w:rFonts w:ascii="Bookman Old Style" w:eastAsia="Bookman Old Style" w:hAnsi="Bookman Old Style" w:cs="Bookman Old Style"/>
          <w:color w:val="231F20"/>
          <w:sz w:val="18"/>
          <w:szCs w:val="18"/>
        </w:rPr>
        <w:lastRenderedPageBreak/>
        <w:t>отраслей помимо недофинансирова</w:t>
      </w:r>
      <w:r w:rsidRPr="00B01894">
        <w:rPr>
          <w:rFonts w:ascii="Bookman Old Style" w:eastAsia="Bookman Old Style" w:hAnsi="Bookman Old Style" w:cs="Bookman Old Style"/>
          <w:color w:val="231F20"/>
          <w:sz w:val="18"/>
          <w:szCs w:val="18"/>
        </w:rPr>
        <w:softHyphen/>
        <w:t>ния являются вопросы управленческого характера, которые мог</w:t>
      </w:r>
      <w:r w:rsidRPr="00B01894">
        <w:rPr>
          <w:rFonts w:ascii="Bookman Old Style" w:eastAsia="Bookman Old Style" w:hAnsi="Bookman Old Style" w:cs="Bookman Old Style"/>
          <w:color w:val="231F20"/>
          <w:sz w:val="18"/>
          <w:szCs w:val="18"/>
        </w:rPr>
        <w:softHyphen/>
        <w:t>ли бы быть также решены с помощью активного международного сотрудничества.</w:t>
      </w:r>
    </w:p>
    <w:p w14:paraId="7BC34F2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Концепция привлечения инвестиций должна быть адаптирована к современным потребностям экономики России. Остро стоит во</w:t>
      </w:r>
      <w:r w:rsidRPr="00B01894">
        <w:rPr>
          <w:rFonts w:ascii="Bookman Old Style" w:eastAsia="Bookman Old Style" w:hAnsi="Bookman Old Style" w:cs="Bookman Old Style"/>
          <w:color w:val="231F20"/>
          <w:sz w:val="18"/>
          <w:szCs w:val="18"/>
        </w:rPr>
        <w:softHyphen/>
        <w:t>прос преодоления технологического разрыва в сфере гражданских отраслей, что подразумевает развитие собственных НИОКР, им</w:t>
      </w:r>
      <w:r w:rsidRPr="00B01894">
        <w:rPr>
          <w:rFonts w:ascii="Bookman Old Style" w:eastAsia="Bookman Old Style" w:hAnsi="Bookman Old Style" w:cs="Bookman Old Style"/>
          <w:color w:val="231F20"/>
          <w:sz w:val="18"/>
          <w:szCs w:val="18"/>
        </w:rPr>
        <w:softHyphen/>
        <w:t xml:space="preserve">порт стратегического капитала, использование готовых технологий в реальном секторе. В условиях </w:t>
      </w:r>
      <w:r w:rsidRPr="00B01894">
        <w:rPr>
          <w:rFonts w:ascii="Bookman Old Style" w:eastAsia="Bookman Old Style" w:hAnsi="Bookman Old Style" w:cs="Bookman Old Style"/>
          <w:color w:val="00B050"/>
          <w:sz w:val="18"/>
          <w:szCs w:val="18"/>
        </w:rPr>
        <w:t>недостаточного</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C00000"/>
          <w:sz w:val="18"/>
          <w:szCs w:val="18"/>
        </w:rPr>
        <w:t xml:space="preserve">отсутствия системы </w:t>
      </w:r>
      <w:r w:rsidRPr="00B01894">
        <w:rPr>
          <w:rFonts w:ascii="Bookman Old Style" w:eastAsia="Bookman Old Style" w:hAnsi="Bookman Old Style" w:cs="Bookman Old Style"/>
          <w:color w:val="231F20"/>
          <w:sz w:val="18"/>
          <w:szCs w:val="18"/>
        </w:rPr>
        <w:t>государствен</w:t>
      </w:r>
      <w:r w:rsidRPr="00B01894">
        <w:rPr>
          <w:rFonts w:ascii="Bookman Old Style" w:eastAsia="Bookman Old Style" w:hAnsi="Bookman Old Style" w:cs="Bookman Old Style"/>
          <w:color w:val="231F20"/>
          <w:sz w:val="18"/>
          <w:szCs w:val="18"/>
        </w:rPr>
        <w:softHyphen/>
        <w:t>ного финансирования инноваций и затрудненности банковского финансирования международный капитал потенциально является источником покрытия инвестиционного голода промышленности. Международные инвестиции не только способны финансировать экономический рост, но и могут повлиять на него качественно, внедряя новые технологии, ноу-хау и современную структуру эф</w:t>
      </w:r>
      <w:r w:rsidRPr="00B01894">
        <w:rPr>
          <w:rFonts w:ascii="Bookman Old Style" w:eastAsia="Bookman Old Style" w:hAnsi="Bookman Old Style" w:cs="Bookman Old Style"/>
          <w:color w:val="231F20"/>
          <w:sz w:val="18"/>
          <w:szCs w:val="18"/>
        </w:rPr>
        <w:softHyphen/>
        <w:t>фективного менеджмента. Кроме того, способствуя модернизации реального сектора экономики, они позволяют увеличить долю про</w:t>
      </w:r>
      <w:r w:rsidRPr="00B01894">
        <w:rPr>
          <w:rFonts w:ascii="Bookman Old Style" w:eastAsia="Bookman Old Style" w:hAnsi="Bookman Old Style" w:cs="Bookman Old Style"/>
          <w:color w:val="231F20"/>
          <w:sz w:val="18"/>
          <w:szCs w:val="18"/>
        </w:rPr>
        <w:softHyphen/>
        <w:t>дукции с высокой добавленной стоимостью, снизить зависимость страны от экспорта сырья и импорта высокотехнологичных продук</w:t>
      </w:r>
      <w:r w:rsidRPr="00B01894">
        <w:rPr>
          <w:rFonts w:ascii="Bookman Old Style" w:eastAsia="Bookman Old Style" w:hAnsi="Bookman Old Style" w:cs="Bookman Old Style"/>
          <w:color w:val="231F20"/>
          <w:sz w:val="18"/>
          <w:szCs w:val="18"/>
        </w:rPr>
        <w:softHyphen/>
        <w:t>тов. Это повысит доходы страны от внешнеэкономической деятель</w:t>
      </w:r>
      <w:r w:rsidRPr="00B01894">
        <w:rPr>
          <w:rFonts w:ascii="Bookman Old Style" w:eastAsia="Bookman Old Style" w:hAnsi="Bookman Old Style" w:cs="Bookman Old Style"/>
          <w:color w:val="231F20"/>
          <w:sz w:val="18"/>
          <w:szCs w:val="18"/>
        </w:rPr>
        <w:softHyphen/>
        <w:t>ности, ослабит ее зависимость от колебаний мировых цен на энер</w:t>
      </w:r>
      <w:r w:rsidRPr="00B01894">
        <w:rPr>
          <w:rFonts w:ascii="Bookman Old Style" w:eastAsia="Bookman Old Style" w:hAnsi="Bookman Old Style" w:cs="Bookman Old Style"/>
          <w:color w:val="231F20"/>
          <w:sz w:val="18"/>
          <w:szCs w:val="18"/>
        </w:rPr>
        <w:softHyphen/>
        <w:t>гоносители, придаст экономическому росту устойчивость.</w:t>
      </w:r>
    </w:p>
    <w:p w14:paraId="0EC0591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Международные инвестиции </w:t>
      </w:r>
      <w:r w:rsidRPr="00B01894">
        <w:rPr>
          <w:rFonts w:ascii="Bookman Old Style" w:eastAsia="Bookman Old Style" w:hAnsi="Bookman Old Style" w:cs="Bookman Old Style"/>
          <w:color w:val="00B050"/>
          <w:sz w:val="18"/>
          <w:szCs w:val="18"/>
        </w:rPr>
        <w:t>способны придать</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C00000"/>
          <w:sz w:val="18"/>
          <w:szCs w:val="18"/>
        </w:rPr>
        <w:t>придадут</w:t>
      </w:r>
      <w:r w:rsidRPr="00B01894">
        <w:rPr>
          <w:rFonts w:ascii="Bookman Old Style" w:eastAsia="Bookman Old Style" w:hAnsi="Bookman Old Style" w:cs="Bookman Old Style"/>
          <w:color w:val="231F20"/>
          <w:sz w:val="18"/>
          <w:szCs w:val="18"/>
        </w:rPr>
        <w:t xml:space="preserve"> долгосрочный импульс дальнейшему сбалансированному развитию экономики страны, </w:t>
      </w:r>
      <w:r w:rsidRPr="00B01894">
        <w:rPr>
          <w:rFonts w:ascii="Bookman Old Style" w:eastAsia="Bookman Old Style" w:hAnsi="Bookman Old Style" w:cs="Bookman Old Style"/>
          <w:color w:val="C00000"/>
          <w:sz w:val="18"/>
          <w:szCs w:val="18"/>
        </w:rPr>
        <w:t>ускорят полноценную интеграцию России в мировую экономику,</w:t>
      </w:r>
      <w:r w:rsidRPr="00B01894">
        <w:rPr>
          <w:rFonts w:ascii="Bookman Old Style" w:eastAsia="Bookman Old Style" w:hAnsi="Bookman Old Style" w:cs="Bookman Old Style"/>
          <w:color w:val="231F20"/>
          <w:sz w:val="18"/>
          <w:szCs w:val="18"/>
        </w:rPr>
        <w:t xml:space="preserve"> повысят ее международный статус, позволят избежать многих по</w:t>
      </w:r>
      <w:r w:rsidRPr="00B01894">
        <w:rPr>
          <w:rFonts w:ascii="Bookman Old Style" w:eastAsia="Bookman Old Style" w:hAnsi="Bookman Old Style" w:cs="Bookman Old Style"/>
          <w:color w:val="231F20"/>
          <w:sz w:val="18"/>
          <w:szCs w:val="18"/>
        </w:rPr>
        <w:softHyphen/>
        <w:t>литических конфликтов со странами, экспортирующими капитал. При этом на сегодняшний день Россия фактически не использует возможности международного финансирования проектов, нако</w:t>
      </w:r>
      <w:r w:rsidRPr="00B01894">
        <w:rPr>
          <w:rFonts w:ascii="Bookman Old Style" w:eastAsia="Bookman Old Style" w:hAnsi="Bookman Old Style" w:cs="Bookman Old Style"/>
          <w:color w:val="231F20"/>
          <w:sz w:val="18"/>
          <w:szCs w:val="18"/>
        </w:rPr>
        <w:softHyphen/>
        <w:t>пленная доля иностранных инвестиций пока что ничтожна мала. Между тем, учитывая объем российского рынка, квалификацию человеческих ресурсов, имеющийся реальный капитал, ресурсную базу, возможно в разы увеличить объем привлекаемого междуна</w:t>
      </w:r>
      <w:r w:rsidRPr="00B01894">
        <w:rPr>
          <w:rFonts w:ascii="Bookman Old Style" w:eastAsia="Bookman Old Style" w:hAnsi="Bookman Old Style" w:cs="Bookman Old Style"/>
          <w:color w:val="231F20"/>
          <w:sz w:val="18"/>
          <w:szCs w:val="18"/>
        </w:rPr>
        <w:softHyphen/>
        <w:t>родного капитала. Россия теряет значительный потенциал в пользу своих конкурентов: стран БРИК — Бразилии, Китая, Индии, дру</w:t>
      </w:r>
      <w:r w:rsidRPr="00B01894">
        <w:rPr>
          <w:rFonts w:ascii="Bookman Old Style" w:eastAsia="Bookman Old Style" w:hAnsi="Bookman Old Style" w:cs="Bookman Old Style"/>
          <w:color w:val="231F20"/>
          <w:sz w:val="18"/>
          <w:szCs w:val="18"/>
        </w:rPr>
        <w:softHyphen/>
        <w:t>гих переходных и развивающихся экономик Европы и Азии. Пре</w:t>
      </w:r>
      <w:r w:rsidRPr="00B01894">
        <w:rPr>
          <w:rFonts w:ascii="Bookman Old Style" w:eastAsia="Bookman Old Style" w:hAnsi="Bookman Old Style" w:cs="Bookman Old Style"/>
          <w:color w:val="231F20"/>
          <w:sz w:val="18"/>
          <w:szCs w:val="18"/>
        </w:rPr>
        <w:softHyphen/>
        <w:t>имущества этих стран помимо дешевой рабочей силы заключают</w:t>
      </w:r>
      <w:r w:rsidRPr="00B01894">
        <w:rPr>
          <w:rFonts w:ascii="Bookman Old Style" w:eastAsia="Bookman Old Style" w:hAnsi="Bookman Old Style" w:cs="Bookman Old Style"/>
          <w:color w:val="231F20"/>
          <w:sz w:val="18"/>
          <w:szCs w:val="18"/>
        </w:rPr>
        <w:softHyphen/>
        <w:t>ся в том, что там предлагается стабильная правовая и финансовая инфраструктура, гарантии прав собственности, меньшие бюрокра</w:t>
      </w:r>
      <w:r w:rsidRPr="00B01894">
        <w:rPr>
          <w:rFonts w:ascii="Bookman Old Style" w:eastAsia="Bookman Old Style" w:hAnsi="Bookman Old Style" w:cs="Bookman Old Style"/>
          <w:color w:val="231F20"/>
          <w:sz w:val="18"/>
          <w:szCs w:val="18"/>
        </w:rPr>
        <w:softHyphen/>
        <w:t>тические препоны, система разнообразных льгот. Главным их от</w:t>
      </w:r>
      <w:r w:rsidRPr="00B01894">
        <w:rPr>
          <w:rFonts w:ascii="Bookman Old Style" w:eastAsia="Bookman Old Style" w:hAnsi="Bookman Old Style" w:cs="Bookman Old Style"/>
          <w:color w:val="231F20"/>
          <w:sz w:val="18"/>
          <w:szCs w:val="18"/>
        </w:rPr>
        <w:softHyphen/>
        <w:t>личием от России является их «институциональная готовность» быть площадкой для внедрения международных проектов. В Рос</w:t>
      </w:r>
      <w:r w:rsidRPr="00B01894">
        <w:rPr>
          <w:rFonts w:ascii="Bookman Old Style" w:eastAsia="Bookman Old Style" w:hAnsi="Bookman Old Style" w:cs="Bookman Old Style"/>
          <w:color w:val="231F20"/>
          <w:sz w:val="18"/>
          <w:szCs w:val="18"/>
        </w:rPr>
        <w:softHyphen/>
        <w:t>сии же до сих пор присутствуют автаркические тенденции, остав</w:t>
      </w:r>
      <w:r w:rsidRPr="00B01894">
        <w:rPr>
          <w:rFonts w:ascii="Bookman Old Style" w:eastAsia="Bookman Old Style" w:hAnsi="Bookman Old Style" w:cs="Bookman Old Style"/>
          <w:color w:val="231F20"/>
          <w:sz w:val="18"/>
          <w:szCs w:val="18"/>
        </w:rPr>
        <w:softHyphen/>
        <w:t xml:space="preserve">шиеся в наследство от Советского Союза. Иностранный капитал, который необходим для диверсификации экономики Российской Федерации, можно получить только в том случае, если условия размещения инвестиций в стране будут относительно </w:t>
      </w:r>
      <w:r w:rsidRPr="00B01894">
        <w:rPr>
          <w:rFonts w:ascii="Bookman Old Style" w:eastAsia="Bookman Old Style" w:hAnsi="Bookman Old Style" w:cs="Bookman Old Style"/>
          <w:color w:val="231F20"/>
          <w:sz w:val="18"/>
          <w:szCs w:val="18"/>
        </w:rPr>
        <w:lastRenderedPageBreak/>
        <w:t>лучше, чем в странах, конкурирующих за привлечение ресурсов. Кроме того, необходимо осуществлять постоянный поиск и привлечение по</w:t>
      </w:r>
      <w:r w:rsidRPr="00B01894">
        <w:rPr>
          <w:rFonts w:ascii="Bookman Old Style" w:eastAsia="Bookman Old Style" w:hAnsi="Bookman Old Style" w:cs="Bookman Old Style"/>
          <w:color w:val="231F20"/>
          <w:sz w:val="18"/>
          <w:szCs w:val="18"/>
        </w:rPr>
        <w:softHyphen/>
        <w:t>тенциальных инвесторов, проводить активную информационную деятельность. Не лучшей стратегией является ставка на взаимодей</w:t>
      </w:r>
      <w:r w:rsidRPr="00B01894">
        <w:rPr>
          <w:rFonts w:ascii="Bookman Old Style" w:eastAsia="Bookman Old Style" w:hAnsi="Bookman Old Style" w:cs="Bookman Old Style"/>
          <w:color w:val="231F20"/>
          <w:sz w:val="18"/>
          <w:szCs w:val="18"/>
        </w:rPr>
        <w:softHyphen/>
        <w:t>ствие с крупнейшими транснациональными корпорациями. Как правило, такие компании изначально имеют целью монополиза</w:t>
      </w:r>
      <w:r w:rsidRPr="00B01894">
        <w:rPr>
          <w:rFonts w:ascii="Bookman Old Style" w:eastAsia="Bookman Old Style" w:hAnsi="Bookman Old Style" w:cs="Bookman Old Style"/>
          <w:color w:val="231F20"/>
          <w:sz w:val="18"/>
          <w:szCs w:val="18"/>
        </w:rPr>
        <w:softHyphen/>
        <w:t>цию рынка и не настроены на сотрудничество с внутренними про</w:t>
      </w:r>
      <w:r w:rsidRPr="00B01894">
        <w:rPr>
          <w:rFonts w:ascii="Bookman Old Style" w:eastAsia="Bookman Old Style" w:hAnsi="Bookman Old Style" w:cs="Bookman Old Style"/>
          <w:color w:val="231F20"/>
          <w:sz w:val="18"/>
          <w:szCs w:val="18"/>
        </w:rPr>
        <w:softHyphen/>
        <w:t>изводителями.</w:t>
      </w:r>
    </w:p>
    <w:p w14:paraId="0426C3F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Главная задача государства в деле стимулирования инвестици</w:t>
      </w:r>
      <w:r w:rsidRPr="00B01894">
        <w:rPr>
          <w:rFonts w:ascii="Bookman Old Style" w:eastAsia="Bookman Old Style" w:hAnsi="Bookman Old Style" w:cs="Bookman Old Style"/>
          <w:color w:val="231F20"/>
          <w:sz w:val="18"/>
          <w:szCs w:val="18"/>
        </w:rPr>
        <w:softHyphen/>
        <w:t>онного процесса есть создание институциональной среды для ин</w:t>
      </w:r>
      <w:r w:rsidRPr="00B01894">
        <w:rPr>
          <w:rFonts w:ascii="Bookman Old Style" w:eastAsia="Bookman Old Style" w:hAnsi="Bookman Old Style" w:cs="Bookman Old Style"/>
          <w:color w:val="231F20"/>
          <w:sz w:val="18"/>
          <w:szCs w:val="18"/>
        </w:rPr>
        <w:softHyphen/>
        <w:t xml:space="preserve">весторов, как внутренних, так и иностранных. </w:t>
      </w:r>
      <w:r w:rsidRPr="00B01894">
        <w:rPr>
          <w:rFonts w:ascii="Bookman Old Style" w:eastAsia="Bookman Old Style" w:hAnsi="Bookman Old Style" w:cs="Bookman Old Style"/>
          <w:color w:val="C00000"/>
          <w:sz w:val="18"/>
          <w:szCs w:val="18"/>
        </w:rPr>
        <w:t>Теория предпочте</w:t>
      </w:r>
      <w:r w:rsidRPr="00B01894">
        <w:rPr>
          <w:rFonts w:ascii="Bookman Old Style" w:eastAsia="Bookman Old Style" w:hAnsi="Bookman Old Style" w:cs="Bookman Old Style"/>
          <w:color w:val="C00000"/>
          <w:sz w:val="18"/>
          <w:szCs w:val="18"/>
        </w:rPr>
        <w:softHyphen/>
        <w:t>ния сходства С. Линдера гласит, что направление экспорта товаров зависит от параметров спроса в стране-реципиенте</w:t>
      </w:r>
      <w:r w:rsidRPr="00B01894">
        <w:rPr>
          <w:rFonts w:ascii="Bookman Old Style" w:eastAsia="Bookman Old Style" w:hAnsi="Bookman Old Style" w:cs="Bookman Old Style"/>
          <w:color w:val="C00000"/>
          <w:sz w:val="18"/>
          <w:szCs w:val="18"/>
          <w:vertAlign w:val="superscript"/>
        </w:rPr>
        <w:footnoteReference w:id="12"/>
      </w:r>
      <w:r w:rsidRPr="00B01894">
        <w:rPr>
          <w:rFonts w:ascii="Bookman Old Style" w:eastAsia="Bookman Old Style" w:hAnsi="Bookman Old Style" w:cs="Bookman Old Style"/>
          <w:color w:val="C00000"/>
          <w:sz w:val="18"/>
          <w:szCs w:val="18"/>
        </w:rPr>
        <w:t>. Спрос, в свою очередь, зависит от сложившихся жизненных стандартов в стране. Этим Линдер обосновывает преобладание среди торговых партне</w:t>
      </w:r>
      <w:r w:rsidRPr="00B01894">
        <w:rPr>
          <w:rFonts w:ascii="Bookman Old Style" w:eastAsia="Bookman Old Style" w:hAnsi="Bookman Old Style" w:cs="Bookman Old Style"/>
          <w:color w:val="C00000"/>
          <w:sz w:val="18"/>
          <w:szCs w:val="18"/>
        </w:rPr>
        <w:softHyphen/>
        <w:t>ров стран со схожим уровнем развития и экономическим укладом (речь идет о торговле промышленными товарами с высоким уров</w:t>
      </w:r>
      <w:r w:rsidRPr="00B01894">
        <w:rPr>
          <w:rFonts w:ascii="Bookman Old Style" w:eastAsia="Bookman Old Style" w:hAnsi="Bookman Old Style" w:cs="Bookman Old Style"/>
          <w:color w:val="C00000"/>
          <w:sz w:val="18"/>
          <w:szCs w:val="18"/>
        </w:rPr>
        <w:softHyphen/>
        <w:t>нем добавленной стоимости). Учитывая универсальность боль</w:t>
      </w:r>
      <w:r w:rsidRPr="00B01894">
        <w:rPr>
          <w:rFonts w:ascii="Bookman Old Style" w:eastAsia="Bookman Old Style" w:hAnsi="Bookman Old Style" w:cs="Bookman Old Style"/>
          <w:color w:val="C00000"/>
          <w:sz w:val="18"/>
          <w:szCs w:val="18"/>
        </w:rPr>
        <w:softHyphen/>
        <w:t>шинства экономических законов, можно спроецировать данную теорию на потоки высокотехнологичного капитала, на который в России делали большую ставку, проводя политику привлечения иностранных инвестиций в целях ускоренной модернизации и им- портозамещения.</w:t>
      </w:r>
      <w:r w:rsidRPr="00B01894">
        <w:rPr>
          <w:rFonts w:ascii="Bookman Old Style" w:eastAsia="Bookman Old Style" w:hAnsi="Bookman Old Style" w:cs="Bookman Old Style"/>
          <w:color w:val="231F20"/>
          <w:sz w:val="18"/>
          <w:szCs w:val="18"/>
        </w:rPr>
        <w:t xml:space="preserve"> Практика показывает, что технологии склонны перемещаться в те регионы, где для них созданы сходные условия для реализации, как и в стране-доноре. И здесь на первое место выходит уровень развития и качество экономических институтов, определяющих так называемый инвестиционный климат в стра</w:t>
      </w:r>
      <w:r w:rsidRPr="00B01894">
        <w:rPr>
          <w:rFonts w:ascii="Bookman Old Style" w:eastAsia="Bookman Old Style" w:hAnsi="Bookman Old Style" w:cs="Bookman Old Style"/>
          <w:color w:val="231F20"/>
          <w:sz w:val="18"/>
          <w:szCs w:val="18"/>
        </w:rPr>
        <w:softHyphen/>
        <w:t>не. Инвестиционный климат можно определить как совокупность факторов (экономических и неэкономических), присущих той или иной стране, привлекающих либо отталкивающих потенци</w:t>
      </w:r>
      <w:r w:rsidRPr="00B01894">
        <w:rPr>
          <w:rFonts w:ascii="Bookman Old Style" w:eastAsia="Bookman Old Style" w:hAnsi="Bookman Old Style" w:cs="Bookman Old Style"/>
          <w:color w:val="231F20"/>
          <w:sz w:val="18"/>
          <w:szCs w:val="18"/>
        </w:rPr>
        <w:softHyphen/>
        <w:t>альных инвесторов.</w:t>
      </w:r>
      <w:r w:rsidRPr="00B01894">
        <w:rPr>
          <w:rFonts w:ascii="Bookman Old Style" w:eastAsia="Bookman Old Style" w:hAnsi="Bookman Old Style" w:cs="Bookman Old Style"/>
          <w:sz w:val="18"/>
          <w:szCs w:val="18"/>
        </w:rPr>
        <w:br w:type="page"/>
      </w:r>
    </w:p>
    <w:p w14:paraId="5E3890D4"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r w:rsidRPr="00B01894">
        <w:rPr>
          <w:rFonts w:ascii="Bookman Old Style" w:eastAsia="Bookman Old Style" w:hAnsi="Bookman Old Style" w:cs="Bookman Old Style"/>
          <w:color w:val="231F20"/>
          <w:sz w:val="18"/>
          <w:szCs w:val="18"/>
        </w:rPr>
        <w:lastRenderedPageBreak/>
        <w:t>Факторы, на которые в первую очередь обращают внимание инвесторы, принимая решение о финансировании проектов, пред</w:t>
      </w:r>
      <w:r w:rsidRPr="00B01894">
        <w:rPr>
          <w:rFonts w:ascii="Bookman Old Style" w:eastAsia="Bookman Old Style" w:hAnsi="Bookman Old Style" w:cs="Bookman Old Style"/>
          <w:color w:val="231F20"/>
          <w:sz w:val="18"/>
          <w:szCs w:val="18"/>
        </w:rPr>
        <w:softHyphen/>
        <w:t>ставлены на рис. 2.3.</w:t>
      </w:r>
    </w:p>
    <w:p w14:paraId="3B18F466"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r w:rsidRPr="00B01894">
        <w:rPr>
          <w:rFonts w:ascii="Bookman Old Style" w:eastAsia="Bookman Old Style" w:hAnsi="Bookman Old Style" w:cs="Bookman Old Style"/>
          <w:noProof/>
          <w:color w:val="231F20"/>
          <w:sz w:val="18"/>
          <w:szCs w:val="18"/>
          <w:lang w:bidi="ar-SA"/>
        </w:rPr>
        <mc:AlternateContent>
          <mc:Choice Requires="wpg">
            <w:drawing>
              <wp:anchor distT="0" distB="0" distL="114300" distR="114300" simplePos="0" relativeHeight="377503550" behindDoc="0" locked="0" layoutInCell="1" allowOverlap="1" wp14:anchorId="4F43A7DB" wp14:editId="718B5ECA">
                <wp:simplePos x="0" y="0"/>
                <wp:positionH relativeFrom="margin">
                  <wp:align>center</wp:align>
                </wp:positionH>
                <wp:positionV relativeFrom="paragraph">
                  <wp:posOffset>13677</wp:posOffset>
                </wp:positionV>
                <wp:extent cx="3495804" cy="3587262"/>
                <wp:effectExtent l="0" t="0" r="28575" b="13335"/>
                <wp:wrapNone/>
                <wp:docPr id="218" name="Группа 218"/>
                <wp:cNvGraphicFramePr/>
                <a:graphic xmlns:a="http://schemas.openxmlformats.org/drawingml/2006/main">
                  <a:graphicData uri="http://schemas.microsoft.com/office/word/2010/wordprocessingGroup">
                    <wpg:wgp>
                      <wpg:cNvGrpSpPr/>
                      <wpg:grpSpPr>
                        <a:xfrm>
                          <a:off x="0" y="0"/>
                          <a:ext cx="3495804" cy="3587262"/>
                          <a:chOff x="183075" y="-76201"/>
                          <a:chExt cx="3495804" cy="3587262"/>
                        </a:xfrm>
                      </wpg:grpSpPr>
                      <wps:wsp>
                        <wps:cNvPr id="214" name="Скругленный прямоугольник 214"/>
                        <wps:cNvSpPr/>
                        <wps:spPr>
                          <a:xfrm>
                            <a:off x="194798" y="1112954"/>
                            <a:ext cx="1688123" cy="1189145"/>
                          </a:xfrm>
                          <a:prstGeom prst="roundRect">
                            <a:avLst/>
                          </a:prstGeom>
                          <a:solidFill>
                            <a:srgbClr val="4F81BD"/>
                          </a:solidFill>
                          <a:ln w="25400" cap="flat" cmpd="sng" algn="ctr">
                            <a:solidFill>
                              <a:srgbClr val="4F81BD">
                                <a:shade val="50000"/>
                              </a:srgbClr>
                            </a:solidFill>
                            <a:prstDash val="solid"/>
                          </a:ln>
                          <a:effectLst/>
                        </wps:spPr>
                        <wps:txbx>
                          <w:txbxContent>
                            <w:p w14:paraId="16153AA6" w14:textId="77777777" w:rsidR="00B01894" w:rsidRPr="00442B65" w:rsidRDefault="00B01894" w:rsidP="00B01894">
                              <w:pPr>
                                <w:jc w:val="center"/>
                                <w:rPr>
                                  <w:rFonts w:ascii="Arial Rounded MT Bold" w:hAnsi="Arial Rounded MT Bold"/>
                                </w:rPr>
                              </w:pPr>
                              <w:r w:rsidRPr="00442B65">
                                <w:rPr>
                                  <w:rFonts w:ascii="Calibri" w:hAnsi="Calibri" w:cs="Calibri"/>
                                </w:rPr>
                                <w:t>Институты</w:t>
                              </w:r>
                              <w:r w:rsidRPr="00442B65">
                                <w:rPr>
                                  <w:rFonts w:ascii="Arial Rounded MT Bold" w:hAnsi="Arial Rounded MT Bold"/>
                                </w:rPr>
                                <w:t xml:space="preserve"> </w:t>
                              </w:r>
                              <w:r w:rsidRPr="00442B65">
                                <w:rPr>
                                  <w:rFonts w:ascii="Calibri" w:hAnsi="Calibri" w:cs="Calibri"/>
                                </w:rPr>
                                <w:t>неформальных</w:t>
                              </w:r>
                              <w:r w:rsidRPr="00442B65">
                                <w:rPr>
                                  <w:rFonts w:ascii="Arial Rounded MT Bold" w:hAnsi="Arial Rounded MT Bold"/>
                                </w:rPr>
                                <w:t xml:space="preserve"> </w:t>
                              </w:r>
                              <w:r w:rsidRPr="00442B65">
                                <w:rPr>
                                  <w:rFonts w:ascii="Calibri" w:hAnsi="Calibri" w:cs="Calibri"/>
                                </w:rPr>
                                <w:t>правил</w:t>
                              </w:r>
                              <w:r w:rsidRPr="00442B65">
                                <w:rPr>
                                  <w:rFonts w:ascii="Arial Rounded MT Bold" w:hAnsi="Arial Rounded MT Bold"/>
                                </w:rPr>
                                <w:t xml:space="preserve"> </w:t>
                              </w:r>
                            </w:p>
                            <w:p w14:paraId="4777A51B" w14:textId="77777777" w:rsidR="00B01894" w:rsidRDefault="00B01894" w:rsidP="00B01894">
                              <w:pPr>
                                <w:jc w:val="center"/>
                              </w:pPr>
                              <w:r w:rsidRPr="00D802F6">
                                <w:rPr>
                                  <w:sz w:val="20"/>
                                  <w:szCs w:val="20"/>
                                </w:rPr>
                                <w:t>(обычаи, традиции, деловая этика)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Скругленный прямоугольник 215"/>
                        <wps:cNvSpPr/>
                        <wps:spPr>
                          <a:xfrm>
                            <a:off x="896812" y="2309446"/>
                            <a:ext cx="2250245" cy="1201615"/>
                          </a:xfrm>
                          <a:prstGeom prst="roundRect">
                            <a:avLst/>
                          </a:prstGeom>
                          <a:solidFill>
                            <a:srgbClr val="4F81BD"/>
                          </a:solidFill>
                          <a:ln w="25400" cap="flat" cmpd="sng" algn="ctr">
                            <a:solidFill>
                              <a:srgbClr val="4F81BD">
                                <a:shade val="50000"/>
                              </a:srgbClr>
                            </a:solidFill>
                            <a:prstDash val="solid"/>
                          </a:ln>
                          <a:effectLst/>
                        </wps:spPr>
                        <wps:txbx>
                          <w:txbxContent>
                            <w:p w14:paraId="5405DC7E" w14:textId="77777777" w:rsidR="00B01894" w:rsidRPr="00442B65" w:rsidRDefault="00B01894" w:rsidP="00B01894">
                              <w:pPr>
                                <w:pStyle w:val="af0"/>
                                <w:shd w:val="clear" w:color="auto" w:fill="auto"/>
                                <w:ind w:left="40"/>
                                <w:rPr>
                                  <w:rFonts w:ascii="Arial Rounded MT Bold" w:hAnsi="Arial Rounded MT Bold"/>
                                  <w:sz w:val="24"/>
                                  <w:szCs w:val="24"/>
                                </w:rPr>
                              </w:pPr>
                              <w:r w:rsidRPr="00442B65">
                                <w:rPr>
                                  <w:rStyle w:val="Exact1"/>
                                  <w:rFonts w:ascii="Calibri" w:hAnsi="Calibri" w:cs="Calibri"/>
                                  <w:sz w:val="24"/>
                                  <w:szCs w:val="24"/>
                                </w:rPr>
                                <w:t>Институты</w:t>
                              </w:r>
                            </w:p>
                            <w:p w14:paraId="7FE8A5E3" w14:textId="77777777" w:rsidR="00B01894" w:rsidRPr="00442B65" w:rsidRDefault="00B01894" w:rsidP="00B01894">
                              <w:pPr>
                                <w:pStyle w:val="af0"/>
                                <w:shd w:val="clear" w:color="auto" w:fill="auto"/>
                                <w:ind w:left="40"/>
                                <w:rPr>
                                  <w:rFonts w:ascii="Arial Rounded MT Bold" w:hAnsi="Arial Rounded MT Bold"/>
                                  <w:sz w:val="24"/>
                                  <w:szCs w:val="24"/>
                                </w:rPr>
                              </w:pPr>
                              <w:r w:rsidRPr="00442B65">
                                <w:rPr>
                                  <w:rStyle w:val="Exact1"/>
                                  <w:rFonts w:ascii="Calibri" w:hAnsi="Calibri" w:cs="Calibri"/>
                                  <w:sz w:val="24"/>
                                  <w:szCs w:val="24"/>
                                </w:rPr>
                                <w:t>конкурентного</w:t>
                              </w:r>
                            </w:p>
                            <w:p w14:paraId="1B30E6AF" w14:textId="77777777" w:rsidR="00B01894" w:rsidRPr="00442B65" w:rsidRDefault="00B01894" w:rsidP="00B01894">
                              <w:pPr>
                                <w:pStyle w:val="af0"/>
                                <w:shd w:val="clear" w:color="auto" w:fill="auto"/>
                                <w:ind w:left="40"/>
                                <w:rPr>
                                  <w:rFonts w:ascii="Arial Rounded MT Bold" w:hAnsi="Arial Rounded MT Bold"/>
                                  <w:sz w:val="24"/>
                                  <w:szCs w:val="24"/>
                                </w:rPr>
                              </w:pPr>
                              <w:r w:rsidRPr="00442B65">
                                <w:rPr>
                                  <w:rStyle w:val="Exact1"/>
                                  <w:rFonts w:ascii="Calibri" w:hAnsi="Calibri" w:cs="Calibri"/>
                                  <w:sz w:val="24"/>
                                  <w:szCs w:val="24"/>
                                </w:rPr>
                                <w:t>рынка</w:t>
                              </w:r>
                            </w:p>
                            <w:p w14:paraId="3E0E8CBC" w14:textId="77777777" w:rsidR="00B01894" w:rsidRPr="00442B65" w:rsidRDefault="00B01894" w:rsidP="00B01894">
                              <w:pPr>
                                <w:pStyle w:val="af0"/>
                                <w:shd w:val="clear" w:color="auto" w:fill="auto"/>
                                <w:ind w:left="40"/>
                                <w:rPr>
                                  <w:rFonts w:ascii="Courier New" w:hAnsi="Courier New" w:cs="Courier New"/>
                                  <w:sz w:val="20"/>
                                  <w:szCs w:val="20"/>
                                </w:rPr>
                              </w:pPr>
                              <w:r w:rsidRPr="00442B65">
                                <w:rPr>
                                  <w:rStyle w:val="Exact1"/>
                                  <w:rFonts w:ascii="Courier New" w:hAnsi="Courier New" w:cs="Courier New"/>
                                  <w:sz w:val="20"/>
                                  <w:szCs w:val="20"/>
                                </w:rPr>
                                <w:t>(частная собствен</w:t>
                              </w:r>
                              <w:r w:rsidRPr="00442B65">
                                <w:rPr>
                                  <w:rStyle w:val="Exact1"/>
                                  <w:rFonts w:ascii="Courier New" w:hAnsi="Courier New" w:cs="Courier New"/>
                                  <w:sz w:val="20"/>
                                  <w:szCs w:val="20"/>
                                </w:rPr>
                                <w:softHyphen/>
                                <w:t>ность, свободное ценообразование, инфраструктура)</w:t>
                              </w:r>
                            </w:p>
                            <w:p w14:paraId="4F39D4DF" w14:textId="77777777" w:rsidR="00B01894" w:rsidRDefault="00B01894" w:rsidP="00B018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Скругленный прямоугольник 216"/>
                        <wps:cNvSpPr/>
                        <wps:spPr>
                          <a:xfrm>
                            <a:off x="1882561" y="1112743"/>
                            <a:ext cx="1796318" cy="1189258"/>
                          </a:xfrm>
                          <a:prstGeom prst="roundRect">
                            <a:avLst/>
                          </a:prstGeom>
                          <a:solidFill>
                            <a:srgbClr val="4F81BD"/>
                          </a:solidFill>
                          <a:ln w="25400" cap="flat" cmpd="sng" algn="ctr">
                            <a:solidFill>
                              <a:srgbClr val="4F81BD">
                                <a:shade val="50000"/>
                              </a:srgbClr>
                            </a:solidFill>
                            <a:prstDash val="solid"/>
                          </a:ln>
                          <a:effectLst/>
                        </wps:spPr>
                        <wps:txbx>
                          <w:txbxContent>
                            <w:p w14:paraId="78A86146" w14:textId="77777777" w:rsidR="00B01894" w:rsidRDefault="00B01894" w:rsidP="00B01894">
                              <w:pPr>
                                <w:pStyle w:val="80"/>
                                <w:shd w:val="clear" w:color="auto" w:fill="auto"/>
                                <w:spacing w:line="216" w:lineRule="exact"/>
                                <w:ind w:left="20" w:firstLine="0"/>
                                <w:jc w:val="center"/>
                                <w:rPr>
                                  <w:rStyle w:val="8Exact0"/>
                                  <w:rFonts w:ascii="Courier New" w:hAnsi="Courier New" w:cs="Courier New"/>
                                  <w:sz w:val="20"/>
                                  <w:szCs w:val="20"/>
                                </w:rPr>
                              </w:pPr>
                              <w:r w:rsidRPr="00442B65">
                                <w:rPr>
                                  <w:rStyle w:val="8Exact0"/>
                                  <w:rFonts w:ascii="Calibri" w:hAnsi="Calibri" w:cs="Calibri"/>
                                  <w:sz w:val="24"/>
                                  <w:szCs w:val="24"/>
                                </w:rPr>
                                <w:t>Институты</w:t>
                              </w:r>
                              <w:r w:rsidRPr="00442B65">
                                <w:rPr>
                                  <w:rStyle w:val="8Exact0"/>
                                  <w:rFonts w:ascii="Arial Rounded MT Bold" w:hAnsi="Arial Rounded MT Bold" w:cstheme="minorHAnsi"/>
                                  <w:sz w:val="24"/>
                                  <w:szCs w:val="24"/>
                                </w:rPr>
                                <w:t xml:space="preserve"> </w:t>
                              </w:r>
                              <w:r w:rsidRPr="00442B65">
                                <w:rPr>
                                  <w:rStyle w:val="8Exact0"/>
                                  <w:rFonts w:ascii="Calibri" w:hAnsi="Calibri" w:cs="Calibri"/>
                                  <w:sz w:val="24"/>
                                  <w:szCs w:val="24"/>
                                </w:rPr>
                                <w:t>информации</w:t>
                              </w:r>
                              <w:r>
                                <w:rPr>
                                  <w:rStyle w:val="8Exact0"/>
                                </w:rPr>
                                <w:br/>
                              </w:r>
                              <w:r>
                                <w:rPr>
                                  <w:rStyle w:val="8Exact0"/>
                                  <w:rFonts w:ascii="Courier New" w:hAnsi="Courier New" w:cs="Courier New"/>
                                  <w:sz w:val="20"/>
                                  <w:szCs w:val="20"/>
                                </w:rPr>
                                <w:t>(достоверность</w:t>
                              </w:r>
                              <w:r w:rsidRPr="00442B65">
                                <w:rPr>
                                  <w:rStyle w:val="8Exact0"/>
                                  <w:rFonts w:ascii="Courier New" w:hAnsi="Courier New" w:cs="Courier New"/>
                                  <w:sz w:val="20"/>
                                  <w:szCs w:val="20"/>
                                </w:rPr>
                                <w:t xml:space="preserve"> отчетности,</w:t>
                              </w:r>
                            </w:p>
                            <w:p w14:paraId="6EA8BAB4" w14:textId="77777777" w:rsidR="00B01894" w:rsidRPr="00442B65" w:rsidRDefault="00B01894" w:rsidP="00B01894">
                              <w:pPr>
                                <w:pStyle w:val="80"/>
                                <w:shd w:val="clear" w:color="auto" w:fill="auto"/>
                                <w:spacing w:line="216" w:lineRule="exact"/>
                                <w:ind w:left="20" w:firstLine="0"/>
                                <w:jc w:val="center"/>
                                <w:rPr>
                                  <w:rFonts w:ascii="Courier New" w:hAnsi="Courier New" w:cs="Courier New"/>
                                  <w:sz w:val="20"/>
                                  <w:szCs w:val="20"/>
                                </w:rPr>
                              </w:pPr>
                              <w:r>
                                <w:rPr>
                                  <w:rStyle w:val="8Exact0"/>
                                  <w:rFonts w:ascii="Courier New" w:hAnsi="Courier New" w:cs="Courier New"/>
                                  <w:sz w:val="20"/>
                                  <w:szCs w:val="20"/>
                                </w:rPr>
                                <w:t>прозрачность принятия решений,</w:t>
                              </w:r>
                              <w:r w:rsidRPr="00442B65">
                                <w:rPr>
                                  <w:rStyle w:val="8Exact0"/>
                                  <w:rFonts w:ascii="Courier New" w:hAnsi="Courier New" w:cs="Courier New"/>
                                  <w:sz w:val="20"/>
                                  <w:szCs w:val="20"/>
                                </w:rPr>
                                <w:t xml:space="preserve"> независимые СМИ)</w:t>
                              </w:r>
                            </w:p>
                            <w:p w14:paraId="5A0F8A65" w14:textId="77777777" w:rsidR="00B01894" w:rsidRDefault="00B01894" w:rsidP="00B018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Скругленный прямоугольник 217"/>
                        <wps:cNvSpPr/>
                        <wps:spPr>
                          <a:xfrm>
                            <a:off x="183075" y="-76201"/>
                            <a:ext cx="3440721" cy="1189146"/>
                          </a:xfrm>
                          <a:prstGeom prst="roundRect">
                            <a:avLst/>
                          </a:prstGeom>
                          <a:solidFill>
                            <a:srgbClr val="4F81BD"/>
                          </a:solidFill>
                          <a:ln w="25400" cap="flat" cmpd="sng" algn="ctr">
                            <a:solidFill>
                              <a:srgbClr val="4F81BD">
                                <a:shade val="50000"/>
                              </a:srgbClr>
                            </a:solidFill>
                            <a:prstDash val="solid"/>
                          </a:ln>
                          <a:effectLst/>
                        </wps:spPr>
                        <wps:txbx>
                          <w:txbxContent>
                            <w:p w14:paraId="213D1A09" w14:textId="77777777" w:rsidR="00B01894" w:rsidRPr="00442B65" w:rsidRDefault="00B01894" w:rsidP="00B01894">
                              <w:pPr>
                                <w:jc w:val="center"/>
                                <w:rPr>
                                  <w:rFonts w:ascii="Arial Rounded MT Bold" w:hAnsi="Arial Rounded MT Bold"/>
                                </w:rPr>
                              </w:pPr>
                              <w:r w:rsidRPr="00442B65">
                                <w:rPr>
                                  <w:rFonts w:ascii="Calibri" w:hAnsi="Calibri" w:cs="Calibri"/>
                                </w:rPr>
                                <w:t>Институты</w:t>
                              </w:r>
                              <w:r w:rsidRPr="00442B65">
                                <w:rPr>
                                  <w:rFonts w:ascii="Arial Rounded MT Bold" w:hAnsi="Arial Rounded MT Bold"/>
                                </w:rPr>
                                <w:t xml:space="preserve"> </w:t>
                              </w:r>
                              <w:r w:rsidRPr="00442B65">
                                <w:rPr>
                                  <w:rFonts w:ascii="Calibri" w:hAnsi="Calibri" w:cs="Calibri"/>
                                </w:rPr>
                                <w:t>формальных</w:t>
                              </w:r>
                              <w:r w:rsidRPr="00442B65">
                                <w:rPr>
                                  <w:rFonts w:ascii="Arial Rounded MT Bold" w:hAnsi="Arial Rounded MT Bold"/>
                                </w:rPr>
                                <w:t xml:space="preserve"> </w:t>
                              </w:r>
                              <w:r w:rsidRPr="00442B65">
                                <w:rPr>
                                  <w:rFonts w:ascii="Calibri" w:hAnsi="Calibri" w:cs="Calibri"/>
                                </w:rPr>
                                <w:t>правил</w:t>
                              </w:r>
                            </w:p>
                            <w:p w14:paraId="401CA0D7" w14:textId="77777777" w:rsidR="00B01894" w:rsidRPr="00D802F6" w:rsidRDefault="00B01894" w:rsidP="00B01894">
                              <w:pPr>
                                <w:jc w:val="center"/>
                                <w:rPr>
                                  <w:sz w:val="20"/>
                                  <w:szCs w:val="20"/>
                                </w:rPr>
                              </w:pPr>
                              <w:r>
                                <w:rPr>
                                  <w:sz w:val="20"/>
                                  <w:szCs w:val="20"/>
                                </w:rPr>
                                <w:t>(законодательство, правоприменение, эффективность власти, производство общественных благ)</w:t>
                              </w:r>
                              <w:r w:rsidRPr="00D802F6">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43A7DB" id="Группа 218" o:spid="_x0000_s1028" style="position:absolute;left:0;text-align:left;margin-left:0;margin-top:1.1pt;width:275.25pt;height:282.45pt;z-index:377503550;mso-position-horizontal:center;mso-position-horizontal-relative:margin;mso-width-relative:margin;mso-height-relative:margin" coordorigin="1830,-762" coordsize="34958,3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">
                <v:roundrect id="Скругленный прямоугольник 214" o:spid="_x0000_s1029" style="position:absolute;left:1947;top:11129;width:16882;height:11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" fillcolor="#4f81bd" strokecolor="#385d8a" strokeweight="2pt">
                  <v:textbox>
                    <w:txbxContent>
                      <w:p w14:paraId="16153AA6" w14:textId="77777777" w:rsidR="00B01894" w:rsidRPr="00442B65" w:rsidRDefault="00B01894" w:rsidP="00B01894">
                        <w:pPr>
                          <w:jc w:val="center"/>
                          <w:rPr>
                            <w:rFonts w:ascii="Arial Rounded MT Bold" w:hAnsi="Arial Rounded MT Bold"/>
                          </w:rPr>
                        </w:pPr>
                        <w:r w:rsidRPr="00442B65">
                          <w:rPr>
                            <w:rFonts w:ascii="Calibri" w:hAnsi="Calibri" w:cs="Calibri"/>
                          </w:rPr>
                          <w:t>Институты</w:t>
                        </w:r>
                        <w:r w:rsidRPr="00442B65">
                          <w:rPr>
                            <w:rFonts w:ascii="Arial Rounded MT Bold" w:hAnsi="Arial Rounded MT Bold"/>
                          </w:rPr>
                          <w:t xml:space="preserve"> </w:t>
                        </w:r>
                        <w:r w:rsidRPr="00442B65">
                          <w:rPr>
                            <w:rFonts w:ascii="Calibri" w:hAnsi="Calibri" w:cs="Calibri"/>
                          </w:rPr>
                          <w:t>неформальных</w:t>
                        </w:r>
                        <w:r w:rsidRPr="00442B65">
                          <w:rPr>
                            <w:rFonts w:ascii="Arial Rounded MT Bold" w:hAnsi="Arial Rounded MT Bold"/>
                          </w:rPr>
                          <w:t xml:space="preserve"> </w:t>
                        </w:r>
                        <w:r w:rsidRPr="00442B65">
                          <w:rPr>
                            <w:rFonts w:ascii="Calibri" w:hAnsi="Calibri" w:cs="Calibri"/>
                          </w:rPr>
                          <w:t>правил</w:t>
                        </w:r>
                        <w:r w:rsidRPr="00442B65">
                          <w:rPr>
                            <w:rFonts w:ascii="Arial Rounded MT Bold" w:hAnsi="Arial Rounded MT Bold"/>
                          </w:rPr>
                          <w:t xml:space="preserve"> </w:t>
                        </w:r>
                      </w:p>
                      <w:p w14:paraId="4777A51B" w14:textId="77777777" w:rsidR="00B01894" w:rsidRDefault="00B01894" w:rsidP="00B01894">
                        <w:pPr>
                          <w:jc w:val="center"/>
                        </w:pPr>
                        <w:r w:rsidRPr="00D802F6">
                          <w:rPr>
                            <w:sz w:val="20"/>
                            <w:szCs w:val="20"/>
                          </w:rPr>
                          <w:t>(обычаи, традиции, деловая этика)</w:t>
                        </w:r>
                      </w:p>
                    </w:txbxContent>
                  </v:textbox>
                </v:roundrect>
                <v:roundrect id="Скругленный прямоугольник 215" o:spid="_x0000_s1030" style="position:absolute;left:8968;top:23094;width:22502;height:12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" fillcolor="#4f81bd" strokecolor="#385d8a" strokeweight="2pt">
                  <v:textbox>
                    <w:txbxContent>
                      <w:p w14:paraId="5405DC7E" w14:textId="77777777" w:rsidR="00B01894" w:rsidRPr="00442B65" w:rsidRDefault="00B01894" w:rsidP="00B01894">
                        <w:pPr>
                          <w:pStyle w:val="af0"/>
                          <w:shd w:val="clear" w:color="auto" w:fill="auto"/>
                          <w:ind w:left="40"/>
                          <w:rPr>
                            <w:rFonts w:ascii="Arial Rounded MT Bold" w:hAnsi="Arial Rounded MT Bold"/>
                            <w:sz w:val="24"/>
                            <w:szCs w:val="24"/>
                          </w:rPr>
                        </w:pPr>
                        <w:r w:rsidRPr="00442B65">
                          <w:rPr>
                            <w:rStyle w:val="Exact1"/>
                            <w:rFonts w:ascii="Calibri" w:hAnsi="Calibri" w:cs="Calibri"/>
                            <w:sz w:val="24"/>
                            <w:szCs w:val="24"/>
                          </w:rPr>
                          <w:t>Институты</w:t>
                        </w:r>
                      </w:p>
                      <w:p w14:paraId="7FE8A5E3" w14:textId="77777777" w:rsidR="00B01894" w:rsidRPr="00442B65" w:rsidRDefault="00B01894" w:rsidP="00B01894">
                        <w:pPr>
                          <w:pStyle w:val="af0"/>
                          <w:shd w:val="clear" w:color="auto" w:fill="auto"/>
                          <w:ind w:left="40"/>
                          <w:rPr>
                            <w:rFonts w:ascii="Arial Rounded MT Bold" w:hAnsi="Arial Rounded MT Bold"/>
                            <w:sz w:val="24"/>
                            <w:szCs w:val="24"/>
                          </w:rPr>
                        </w:pPr>
                        <w:r w:rsidRPr="00442B65">
                          <w:rPr>
                            <w:rStyle w:val="Exact1"/>
                            <w:rFonts w:ascii="Calibri" w:hAnsi="Calibri" w:cs="Calibri"/>
                            <w:sz w:val="24"/>
                            <w:szCs w:val="24"/>
                          </w:rPr>
                          <w:t>конкурентного</w:t>
                        </w:r>
                      </w:p>
                      <w:p w14:paraId="1B30E6AF" w14:textId="77777777" w:rsidR="00B01894" w:rsidRPr="00442B65" w:rsidRDefault="00B01894" w:rsidP="00B01894">
                        <w:pPr>
                          <w:pStyle w:val="af0"/>
                          <w:shd w:val="clear" w:color="auto" w:fill="auto"/>
                          <w:ind w:left="40"/>
                          <w:rPr>
                            <w:rFonts w:ascii="Arial Rounded MT Bold" w:hAnsi="Arial Rounded MT Bold"/>
                            <w:sz w:val="24"/>
                            <w:szCs w:val="24"/>
                          </w:rPr>
                        </w:pPr>
                        <w:r w:rsidRPr="00442B65">
                          <w:rPr>
                            <w:rStyle w:val="Exact1"/>
                            <w:rFonts w:ascii="Calibri" w:hAnsi="Calibri" w:cs="Calibri"/>
                            <w:sz w:val="24"/>
                            <w:szCs w:val="24"/>
                          </w:rPr>
                          <w:t>рынка</w:t>
                        </w:r>
                      </w:p>
                      <w:p w14:paraId="3E0E8CBC" w14:textId="77777777" w:rsidR="00B01894" w:rsidRPr="00442B65" w:rsidRDefault="00B01894" w:rsidP="00B01894">
                        <w:pPr>
                          <w:pStyle w:val="af0"/>
                          <w:shd w:val="clear" w:color="auto" w:fill="auto"/>
                          <w:ind w:left="40"/>
                          <w:rPr>
                            <w:rFonts w:ascii="Courier New" w:hAnsi="Courier New" w:cs="Courier New"/>
                            <w:sz w:val="20"/>
                            <w:szCs w:val="20"/>
                          </w:rPr>
                        </w:pPr>
                        <w:r w:rsidRPr="00442B65">
                          <w:rPr>
                            <w:rStyle w:val="Exact1"/>
                            <w:rFonts w:ascii="Courier New" w:hAnsi="Courier New" w:cs="Courier New"/>
                            <w:sz w:val="20"/>
                            <w:szCs w:val="20"/>
                          </w:rPr>
                          <w:t>(частная собствен</w:t>
                        </w:r>
                        <w:r w:rsidRPr="00442B65">
                          <w:rPr>
                            <w:rStyle w:val="Exact1"/>
                            <w:rFonts w:ascii="Courier New" w:hAnsi="Courier New" w:cs="Courier New"/>
                            <w:sz w:val="20"/>
                            <w:szCs w:val="20"/>
                          </w:rPr>
                          <w:softHyphen/>
                          <w:t>ность, свободное ценообразование, инфраструктура)</w:t>
                        </w:r>
                      </w:p>
                      <w:p w14:paraId="4F39D4DF" w14:textId="77777777" w:rsidR="00B01894" w:rsidRDefault="00B01894" w:rsidP="00B01894">
                        <w:pPr>
                          <w:jc w:val="center"/>
                        </w:pPr>
                      </w:p>
                    </w:txbxContent>
                  </v:textbox>
                </v:roundrect>
                <v:roundrect id="Скругленный прямоугольник 216" o:spid="_x0000_s1031" style="position:absolute;left:18825;top:11127;width:17963;height:11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" fillcolor="#4f81bd" strokecolor="#385d8a" strokeweight="2pt">
                  <v:textbox>
                    <w:txbxContent>
                      <w:p w14:paraId="78A86146" w14:textId="77777777" w:rsidR="00B01894" w:rsidRDefault="00B01894" w:rsidP="00B01894">
                        <w:pPr>
                          <w:pStyle w:val="80"/>
                          <w:shd w:val="clear" w:color="auto" w:fill="auto"/>
                          <w:spacing w:line="216" w:lineRule="exact"/>
                          <w:ind w:left="20" w:firstLine="0"/>
                          <w:jc w:val="center"/>
                          <w:rPr>
                            <w:rStyle w:val="8Exact0"/>
                            <w:rFonts w:ascii="Courier New" w:hAnsi="Courier New" w:cs="Courier New"/>
                            <w:sz w:val="20"/>
                            <w:szCs w:val="20"/>
                          </w:rPr>
                        </w:pPr>
                        <w:r w:rsidRPr="00442B65">
                          <w:rPr>
                            <w:rStyle w:val="8Exact0"/>
                            <w:rFonts w:ascii="Calibri" w:hAnsi="Calibri" w:cs="Calibri"/>
                            <w:sz w:val="24"/>
                            <w:szCs w:val="24"/>
                          </w:rPr>
                          <w:t>Институты</w:t>
                        </w:r>
                        <w:r w:rsidRPr="00442B65">
                          <w:rPr>
                            <w:rStyle w:val="8Exact0"/>
                            <w:rFonts w:ascii="Arial Rounded MT Bold" w:hAnsi="Arial Rounded MT Bold" w:cstheme="minorHAnsi"/>
                            <w:sz w:val="24"/>
                            <w:szCs w:val="24"/>
                          </w:rPr>
                          <w:t xml:space="preserve"> </w:t>
                        </w:r>
                        <w:r w:rsidRPr="00442B65">
                          <w:rPr>
                            <w:rStyle w:val="8Exact0"/>
                            <w:rFonts w:ascii="Calibri" w:hAnsi="Calibri" w:cs="Calibri"/>
                            <w:sz w:val="24"/>
                            <w:szCs w:val="24"/>
                          </w:rPr>
                          <w:t>информации</w:t>
                        </w:r>
                        <w:r>
                          <w:rPr>
                            <w:rStyle w:val="8Exact0"/>
                          </w:rPr>
                          <w:br/>
                        </w:r>
                        <w:r>
                          <w:rPr>
                            <w:rStyle w:val="8Exact0"/>
                            <w:rFonts w:ascii="Courier New" w:hAnsi="Courier New" w:cs="Courier New"/>
                            <w:sz w:val="20"/>
                            <w:szCs w:val="20"/>
                          </w:rPr>
                          <w:t>(достоверность</w:t>
                        </w:r>
                        <w:r w:rsidRPr="00442B65">
                          <w:rPr>
                            <w:rStyle w:val="8Exact0"/>
                            <w:rFonts w:ascii="Courier New" w:hAnsi="Courier New" w:cs="Courier New"/>
                            <w:sz w:val="20"/>
                            <w:szCs w:val="20"/>
                          </w:rPr>
                          <w:t xml:space="preserve"> отчетности,</w:t>
                        </w:r>
                      </w:p>
                      <w:p w14:paraId="6EA8BAB4" w14:textId="77777777" w:rsidR="00B01894" w:rsidRPr="00442B65" w:rsidRDefault="00B01894" w:rsidP="00B01894">
                        <w:pPr>
                          <w:pStyle w:val="80"/>
                          <w:shd w:val="clear" w:color="auto" w:fill="auto"/>
                          <w:spacing w:line="216" w:lineRule="exact"/>
                          <w:ind w:left="20" w:firstLine="0"/>
                          <w:jc w:val="center"/>
                          <w:rPr>
                            <w:rFonts w:ascii="Courier New" w:hAnsi="Courier New" w:cs="Courier New"/>
                            <w:sz w:val="20"/>
                            <w:szCs w:val="20"/>
                          </w:rPr>
                        </w:pPr>
                        <w:r>
                          <w:rPr>
                            <w:rStyle w:val="8Exact0"/>
                            <w:rFonts w:ascii="Courier New" w:hAnsi="Courier New" w:cs="Courier New"/>
                            <w:sz w:val="20"/>
                            <w:szCs w:val="20"/>
                          </w:rPr>
                          <w:t>прозрачность принятия решений,</w:t>
                        </w:r>
                        <w:r w:rsidRPr="00442B65">
                          <w:rPr>
                            <w:rStyle w:val="8Exact0"/>
                            <w:rFonts w:ascii="Courier New" w:hAnsi="Courier New" w:cs="Courier New"/>
                            <w:sz w:val="20"/>
                            <w:szCs w:val="20"/>
                          </w:rPr>
                          <w:t xml:space="preserve"> независимые СМИ)</w:t>
                        </w:r>
                      </w:p>
                      <w:p w14:paraId="5A0F8A65" w14:textId="77777777" w:rsidR="00B01894" w:rsidRDefault="00B01894" w:rsidP="00B01894">
                        <w:pPr>
                          <w:jc w:val="center"/>
                        </w:pPr>
                      </w:p>
                    </w:txbxContent>
                  </v:textbox>
                </v:roundrect>
                <v:roundrect id="Скругленный прямоугольник 217" o:spid="_x0000_s1032" style="position:absolute;left:1830;top:-762;width:34407;height:11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" fillcolor="#4f81bd" strokecolor="#385d8a" strokeweight="2pt">
                  <v:textbox>
                    <w:txbxContent>
                      <w:p w14:paraId="213D1A09" w14:textId="77777777" w:rsidR="00B01894" w:rsidRPr="00442B65" w:rsidRDefault="00B01894" w:rsidP="00B01894">
                        <w:pPr>
                          <w:jc w:val="center"/>
                          <w:rPr>
                            <w:rFonts w:ascii="Arial Rounded MT Bold" w:hAnsi="Arial Rounded MT Bold"/>
                          </w:rPr>
                        </w:pPr>
                        <w:r w:rsidRPr="00442B65">
                          <w:rPr>
                            <w:rFonts w:ascii="Calibri" w:hAnsi="Calibri" w:cs="Calibri"/>
                          </w:rPr>
                          <w:t>Институты</w:t>
                        </w:r>
                        <w:r w:rsidRPr="00442B65">
                          <w:rPr>
                            <w:rFonts w:ascii="Arial Rounded MT Bold" w:hAnsi="Arial Rounded MT Bold"/>
                          </w:rPr>
                          <w:t xml:space="preserve"> </w:t>
                        </w:r>
                        <w:r w:rsidRPr="00442B65">
                          <w:rPr>
                            <w:rFonts w:ascii="Calibri" w:hAnsi="Calibri" w:cs="Calibri"/>
                          </w:rPr>
                          <w:t>формальных</w:t>
                        </w:r>
                        <w:r w:rsidRPr="00442B65">
                          <w:rPr>
                            <w:rFonts w:ascii="Arial Rounded MT Bold" w:hAnsi="Arial Rounded MT Bold"/>
                          </w:rPr>
                          <w:t xml:space="preserve"> </w:t>
                        </w:r>
                        <w:r w:rsidRPr="00442B65">
                          <w:rPr>
                            <w:rFonts w:ascii="Calibri" w:hAnsi="Calibri" w:cs="Calibri"/>
                          </w:rPr>
                          <w:t>правил</w:t>
                        </w:r>
                      </w:p>
                      <w:p w14:paraId="401CA0D7" w14:textId="77777777" w:rsidR="00B01894" w:rsidRPr="00D802F6" w:rsidRDefault="00B01894" w:rsidP="00B01894">
                        <w:pPr>
                          <w:jc w:val="center"/>
                          <w:rPr>
                            <w:sz w:val="20"/>
                            <w:szCs w:val="20"/>
                          </w:rPr>
                        </w:pPr>
                        <w:r>
                          <w:rPr>
                            <w:sz w:val="20"/>
                            <w:szCs w:val="20"/>
                          </w:rPr>
                          <w:t>(законодательство, правоприменение, эффективность власти, производство общественных благ)</w:t>
                        </w:r>
                        <w:r w:rsidRPr="00D802F6">
                          <w:rPr>
                            <w:sz w:val="20"/>
                            <w:szCs w:val="20"/>
                          </w:rPr>
                          <w:t xml:space="preserve"> </w:t>
                        </w:r>
                      </w:p>
                    </w:txbxContent>
                  </v:textbox>
                </v:roundrect>
                <w10:wrap anchorx="margin"/>
              </v:group>
            </w:pict>
          </mc:Fallback>
        </mc:AlternateContent>
      </w:r>
    </w:p>
    <w:p w14:paraId="4764CFA9"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017F61BC"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0ED52CE3"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2327ADCD"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44434C54"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64D41335"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36F1D4EF"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7682B840" w14:textId="77777777" w:rsidR="00B01894" w:rsidRPr="00B01894" w:rsidRDefault="00B01894" w:rsidP="00B01894">
      <w:pPr>
        <w:widowControl w:val="0"/>
        <w:spacing w:after="232" w:line="240" w:lineRule="exact"/>
        <w:ind w:firstLine="0"/>
        <w:jc w:val="center"/>
        <w:rPr>
          <w:rFonts w:ascii="Arial Narrow" w:eastAsia="Arial Narrow" w:hAnsi="Arial Narrow" w:cs="Arial Narrow"/>
          <w:b/>
          <w:bCs/>
          <w:sz w:val="17"/>
          <w:szCs w:val="17"/>
        </w:rPr>
      </w:pPr>
      <w:r w:rsidRPr="00B01894">
        <w:rPr>
          <w:rFonts w:ascii="Arial Narrow" w:eastAsia="Arial Narrow" w:hAnsi="Arial Narrow" w:cs="Arial Narrow"/>
          <w:i/>
          <w:iCs/>
          <w:color w:val="231F20"/>
          <w:sz w:val="17"/>
          <w:szCs w:val="17"/>
        </w:rPr>
        <w:t>Рис. 2.3.</w:t>
      </w:r>
      <w:r w:rsidRPr="00B01894">
        <w:rPr>
          <w:rFonts w:ascii="Arial Narrow" w:eastAsia="Arial Narrow" w:hAnsi="Arial Narrow" w:cs="Arial Narrow"/>
          <w:b/>
          <w:bCs/>
          <w:color w:val="231F20"/>
          <w:sz w:val="17"/>
          <w:szCs w:val="17"/>
        </w:rPr>
        <w:t xml:space="preserve"> Институциональная схема условий </w:t>
      </w:r>
      <w:r w:rsidRPr="00B01894">
        <w:rPr>
          <w:rFonts w:ascii="Arial Narrow" w:eastAsia="Arial Narrow" w:hAnsi="Arial Narrow" w:cs="Arial Narrow"/>
          <w:b/>
          <w:bCs/>
          <w:color w:val="00B050"/>
          <w:sz w:val="17"/>
          <w:szCs w:val="17"/>
        </w:rPr>
        <w:t>стимулирования</w:t>
      </w:r>
      <w:r w:rsidRPr="00B01894">
        <w:rPr>
          <w:rFonts w:ascii="Arial Narrow" w:eastAsia="Arial Narrow" w:hAnsi="Arial Narrow" w:cs="Arial Narrow"/>
          <w:b/>
          <w:bCs/>
          <w:color w:val="231F20"/>
          <w:sz w:val="17"/>
          <w:szCs w:val="17"/>
        </w:rPr>
        <w:t xml:space="preserve"> </w:t>
      </w:r>
      <w:r w:rsidRPr="00B01894">
        <w:rPr>
          <w:rFonts w:ascii="Arial Narrow" w:eastAsia="Arial Narrow" w:hAnsi="Arial Narrow" w:cs="Arial Narrow"/>
          <w:b/>
          <w:bCs/>
          <w:color w:val="00B050"/>
          <w:sz w:val="17"/>
          <w:szCs w:val="17"/>
        </w:rPr>
        <w:t xml:space="preserve">инвестиционного процесса </w:t>
      </w:r>
      <w:r w:rsidRPr="00B01894">
        <w:rPr>
          <w:rFonts w:ascii="Arial Narrow" w:eastAsia="Arial Narrow" w:hAnsi="Arial Narrow" w:cs="Arial Narrow"/>
          <w:b/>
          <w:bCs/>
          <w:color w:val="C00000"/>
          <w:sz w:val="17"/>
          <w:szCs w:val="17"/>
        </w:rPr>
        <w:t>привлечения иностранных инвестиций</w:t>
      </w:r>
      <w:r w:rsidRPr="00B01894">
        <w:rPr>
          <w:rFonts w:ascii="Arial Narrow" w:eastAsia="Arial Narrow" w:hAnsi="Arial Narrow" w:cs="Arial Narrow"/>
          <w:b/>
          <w:bCs/>
          <w:color w:val="231F20"/>
          <w:sz w:val="17"/>
          <w:szCs w:val="17"/>
        </w:rPr>
        <w:br/>
        <w:t>(«институциональный пазл»)</w:t>
      </w:r>
    </w:p>
    <w:p w14:paraId="0FE370E1"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236E2482"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537B4E9D"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231F20"/>
          <w:sz w:val="18"/>
          <w:szCs w:val="18"/>
        </w:rPr>
      </w:pPr>
    </w:p>
    <w:p w14:paraId="3C83D080"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FF0000"/>
          <w:sz w:val="18"/>
          <w:szCs w:val="18"/>
        </w:rPr>
      </w:pPr>
    </w:p>
    <w:p w14:paraId="27E294D2"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FF0000"/>
          <w:sz w:val="18"/>
          <w:szCs w:val="18"/>
        </w:rPr>
      </w:pPr>
    </w:p>
    <w:p w14:paraId="3A73F95B"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FF0000"/>
          <w:sz w:val="18"/>
          <w:szCs w:val="18"/>
        </w:rPr>
      </w:pPr>
      <w:r w:rsidRPr="00B01894">
        <w:rPr>
          <w:rFonts w:ascii="Bookman Old Style" w:eastAsia="Bookman Old Style" w:hAnsi="Bookman Old Style" w:cs="Bookman Old Style"/>
          <w:noProof/>
          <w:color w:val="FF0000"/>
          <w:sz w:val="18"/>
          <w:szCs w:val="18"/>
          <w:lang w:bidi="ar-SA"/>
        </w:rPr>
        <mc:AlternateContent>
          <mc:Choice Requires="wps">
            <w:drawing>
              <wp:anchor distT="0" distB="0" distL="63500" distR="63500" simplePos="0" relativeHeight="377498430" behindDoc="1" locked="0" layoutInCell="1" allowOverlap="1" wp14:anchorId="0AC055B6" wp14:editId="0FA4D101">
                <wp:simplePos x="0" y="0"/>
                <wp:positionH relativeFrom="margin">
                  <wp:align>right</wp:align>
                </wp:positionH>
                <wp:positionV relativeFrom="paragraph">
                  <wp:posOffset>673100</wp:posOffset>
                </wp:positionV>
                <wp:extent cx="1806575" cy="548640"/>
                <wp:effectExtent l="0" t="0" r="3175" b="3810"/>
                <wp:wrapTopAndBottom/>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1C38" w14:textId="77777777" w:rsidR="00B01894" w:rsidRPr="00442B65" w:rsidRDefault="00B01894" w:rsidP="00B01894">
                            <w:pPr>
                              <w:pStyle w:val="80"/>
                              <w:shd w:val="clear" w:color="auto" w:fill="auto"/>
                              <w:spacing w:line="216" w:lineRule="exact"/>
                              <w:ind w:left="20" w:firstLine="0"/>
                              <w:jc w:val="center"/>
                              <w:rPr>
                                <w:color w:val="FF0000"/>
                              </w:rPr>
                            </w:pPr>
                            <w:r w:rsidRPr="00442B65">
                              <w:rPr>
                                <w:rStyle w:val="8Exact0"/>
                                <w:color w:val="FF0000"/>
                              </w:rPr>
                              <w:t>Институты информации</w:t>
                            </w:r>
                            <w:r w:rsidRPr="00442B65">
                              <w:rPr>
                                <w:rStyle w:val="8Exact0"/>
                                <w:color w:val="FF0000"/>
                              </w:rPr>
                              <w:br/>
                              <w:t>(прозрачность отчетно-</w:t>
                            </w:r>
                            <w:r w:rsidRPr="00442B65">
                              <w:rPr>
                                <w:rStyle w:val="8Exact0"/>
                                <w:color w:val="FF0000"/>
                              </w:rPr>
                              <w:br/>
                              <w:t>сти, свобода слова, независимые СМИ)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C055B6" id="Text Box 12" o:spid="_x0000_s1033" type="#_x0000_t202" style="position:absolute;left:0;text-align:left;margin-left:91.05pt;margin-top:53pt;width:142.25pt;height:43.2pt;z-index:-125818050;visibility:visible;mso-wrap-style:square;mso-width-percent:0;mso-height-percent:0;mso-wrap-distance-left:5pt;mso-wrap-distance-top:0;mso-wrap-distance-right: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" filled="f" stroked="f">
                <v:textbox style="mso-fit-shape-to-text:t" inset="0,0,0,0">
                  <w:txbxContent>
                    <w:p w14:paraId="25531C38" w14:textId="77777777" w:rsidR="00B01894" w:rsidRPr="00442B65" w:rsidRDefault="00B01894" w:rsidP="00B01894">
                      <w:pPr>
                        <w:pStyle w:val="80"/>
                        <w:shd w:val="clear" w:color="auto" w:fill="auto"/>
                        <w:spacing w:line="216" w:lineRule="exact"/>
                        <w:ind w:left="20" w:firstLine="0"/>
                        <w:jc w:val="center"/>
                        <w:rPr>
                          <w:color w:val="FF0000"/>
                        </w:rPr>
                      </w:pPr>
                      <w:r w:rsidRPr="00442B65">
                        <w:rPr>
                          <w:rStyle w:val="8Exact0"/>
                          <w:color w:val="FF0000"/>
                        </w:rPr>
                        <w:t>Институты информации</w:t>
                      </w:r>
                      <w:r w:rsidRPr="00442B65">
                        <w:rPr>
                          <w:rStyle w:val="8Exact0"/>
                          <w:color w:val="FF0000"/>
                        </w:rPr>
                        <w:br/>
                        <w:t>(прозрачность отчетно-</w:t>
                      </w:r>
                      <w:r w:rsidRPr="00442B65">
                        <w:rPr>
                          <w:rStyle w:val="8Exact0"/>
                          <w:color w:val="FF0000"/>
                        </w:rPr>
                        <w:br/>
                        <w:t>сти, свобода слова, независимые СМИ)</w:t>
                      </w:r>
                    </w:p>
                  </w:txbxContent>
                </v:textbox>
                <w10:wrap type="topAndBottom" anchorx="margin"/>
              </v:shape>
            </w:pict>
          </mc:Fallback>
        </mc:AlternateContent>
      </w:r>
    </w:p>
    <w:p w14:paraId="0E31F353" w14:textId="77777777" w:rsidR="00B01894" w:rsidRPr="00B01894" w:rsidRDefault="00B01894" w:rsidP="00B01894">
      <w:pPr>
        <w:widowControl w:val="0"/>
        <w:spacing w:after="563" w:line="250" w:lineRule="exact"/>
        <w:ind w:firstLine="320"/>
        <w:rPr>
          <w:rFonts w:ascii="Bookman Old Style" w:eastAsia="Bookman Old Style" w:hAnsi="Bookman Old Style" w:cs="Bookman Old Style"/>
          <w:color w:val="FF0000"/>
          <w:sz w:val="18"/>
          <w:szCs w:val="18"/>
        </w:rPr>
      </w:pPr>
    </w:p>
    <w:p w14:paraId="2D5073C5" w14:textId="77777777" w:rsidR="00B01894" w:rsidRPr="00B01894" w:rsidRDefault="00B01894" w:rsidP="00B01894">
      <w:pPr>
        <w:widowControl w:val="0"/>
        <w:spacing w:after="660" w:line="221" w:lineRule="exact"/>
        <w:ind w:right="1580" w:firstLine="0"/>
        <w:jc w:val="left"/>
        <w:rPr>
          <w:rFonts w:ascii="Bookman Old Style" w:eastAsia="Bookman Old Style" w:hAnsi="Bookman Old Style" w:cs="Bookman Old Style"/>
          <w:color w:val="FF0000"/>
          <w:sz w:val="17"/>
          <w:szCs w:val="17"/>
        </w:rPr>
      </w:pPr>
    </w:p>
    <w:p w14:paraId="02762463" w14:textId="77777777" w:rsidR="00B01894" w:rsidRPr="00B01894" w:rsidRDefault="00B01894" w:rsidP="00B01894">
      <w:pPr>
        <w:widowControl w:val="0"/>
        <w:spacing w:after="525" w:line="221" w:lineRule="exact"/>
        <w:ind w:right="1580" w:firstLine="0"/>
        <w:rPr>
          <w:rFonts w:ascii="Bookman Old Style" w:eastAsia="Bookman Old Style" w:hAnsi="Bookman Old Style" w:cs="Bookman Old Style"/>
          <w:color w:val="FF0000"/>
          <w:sz w:val="17"/>
          <w:szCs w:val="17"/>
        </w:rPr>
      </w:pPr>
      <w:r w:rsidRPr="00B01894">
        <w:rPr>
          <w:rFonts w:ascii="Bookman Old Style" w:eastAsia="Bookman Old Style" w:hAnsi="Bookman Old Style" w:cs="Bookman Old Style"/>
          <w:color w:val="FF0000"/>
          <w:sz w:val="17"/>
          <w:szCs w:val="17"/>
        </w:rPr>
        <w:t>Институты принуждения (эффективная власть, профессиональные объединения, общественные организации)</w:t>
      </w:r>
    </w:p>
    <w:p w14:paraId="095E98F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система условий для стимулирования инвести</w:t>
      </w:r>
      <w:r w:rsidRPr="00B01894">
        <w:rPr>
          <w:rFonts w:ascii="Bookman Old Style" w:eastAsia="Bookman Old Style" w:hAnsi="Bookman Old Style" w:cs="Bookman Old Style"/>
          <w:color w:val="231F20"/>
          <w:sz w:val="18"/>
          <w:szCs w:val="18"/>
        </w:rPr>
        <w:softHyphen/>
        <w:t>ционного процесса включает следующие составляющие.</w:t>
      </w:r>
    </w:p>
    <w:p w14:paraId="0D1E517D" w14:textId="77777777" w:rsidR="00B01894" w:rsidRPr="00B01894" w:rsidRDefault="00B01894" w:rsidP="00B01894">
      <w:pPr>
        <w:widowControl w:val="0"/>
        <w:numPr>
          <w:ilvl w:val="0"/>
          <w:numId w:val="21"/>
        </w:numPr>
        <w:tabs>
          <w:tab w:val="left" w:pos="638"/>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Институты конкурентного рынка. Инвесторы склонны вкла</w:t>
      </w:r>
      <w:r w:rsidRPr="00B01894">
        <w:rPr>
          <w:rFonts w:ascii="Bookman Old Style" w:eastAsia="Bookman Old Style" w:hAnsi="Bookman Old Style" w:cs="Bookman Old Style"/>
          <w:color w:val="231F20"/>
          <w:sz w:val="18"/>
          <w:szCs w:val="18"/>
        </w:rPr>
        <w:softHyphen/>
        <w:t>дываться в эффективные экономики. Одним из ключевых институ</w:t>
      </w:r>
      <w:r w:rsidRPr="00B01894">
        <w:rPr>
          <w:rFonts w:ascii="Bookman Old Style" w:eastAsia="Bookman Old Style" w:hAnsi="Bookman Old Style" w:cs="Bookman Old Style"/>
          <w:color w:val="231F20"/>
          <w:sz w:val="18"/>
          <w:szCs w:val="18"/>
        </w:rPr>
        <w:softHyphen/>
        <w:t>тов эффективной рыночной экономики является частная собствен</w:t>
      </w:r>
      <w:r w:rsidRPr="00B01894">
        <w:rPr>
          <w:rFonts w:ascii="Bookman Old Style" w:eastAsia="Bookman Old Style" w:hAnsi="Bookman Old Style" w:cs="Bookman Old Style"/>
          <w:color w:val="231F20"/>
          <w:sz w:val="18"/>
          <w:szCs w:val="18"/>
        </w:rPr>
        <w:softHyphen/>
        <w:t>ность как на экономические блага, так и на факторы производства. Отношения собственности, безусловно, должны быть отрегулиро</w:t>
      </w:r>
      <w:r w:rsidRPr="00B01894">
        <w:rPr>
          <w:rFonts w:ascii="Bookman Old Style" w:eastAsia="Bookman Old Style" w:hAnsi="Bookman Old Style" w:cs="Bookman Old Style"/>
          <w:color w:val="231F20"/>
          <w:sz w:val="18"/>
          <w:szCs w:val="18"/>
        </w:rPr>
        <w:softHyphen/>
        <w:t>ваны государством для сохранения баланса между личными и об</w:t>
      </w:r>
      <w:r w:rsidRPr="00B01894">
        <w:rPr>
          <w:rFonts w:ascii="Bookman Old Style" w:eastAsia="Bookman Old Style" w:hAnsi="Bookman Old Style" w:cs="Bookman Old Style"/>
          <w:color w:val="231F20"/>
          <w:sz w:val="18"/>
          <w:szCs w:val="18"/>
        </w:rPr>
        <w:softHyphen/>
        <w:t>щественными интересами, в каких-то моментах собственность необходимо ограничивать специальными условиями пользования и распоряжения, однако право владения не должно быть подверже</w:t>
      </w:r>
      <w:r w:rsidRPr="00B01894">
        <w:rPr>
          <w:rFonts w:ascii="Bookman Old Style" w:eastAsia="Bookman Old Style" w:hAnsi="Bookman Old Style" w:cs="Bookman Old Style"/>
          <w:color w:val="231F20"/>
          <w:sz w:val="18"/>
          <w:szCs w:val="18"/>
        </w:rPr>
        <w:softHyphen/>
        <w:t>но произволу ни в какой форме. Инвесторы очень болезненно реа</w:t>
      </w:r>
      <w:r w:rsidRPr="00B01894">
        <w:rPr>
          <w:rFonts w:ascii="Bookman Old Style" w:eastAsia="Bookman Old Style" w:hAnsi="Bookman Old Style" w:cs="Bookman Old Style"/>
          <w:color w:val="231F20"/>
          <w:sz w:val="18"/>
          <w:szCs w:val="18"/>
        </w:rPr>
        <w:softHyphen/>
        <w:t>гируют на любые попытки навязать определенный порядок ценоо</w:t>
      </w:r>
      <w:r w:rsidRPr="00B01894">
        <w:rPr>
          <w:rFonts w:ascii="Bookman Old Style" w:eastAsia="Bookman Old Style" w:hAnsi="Bookman Old Style" w:cs="Bookman Old Style"/>
          <w:color w:val="231F20"/>
          <w:sz w:val="18"/>
          <w:szCs w:val="18"/>
        </w:rPr>
        <w:softHyphen/>
        <w:t>бразования. Дело в том, что цена продукции на сегодняшний день является базовым показателем для инвестиционного проекта, при</w:t>
      </w:r>
      <w:r w:rsidRPr="00B01894">
        <w:rPr>
          <w:rFonts w:ascii="Bookman Old Style" w:eastAsia="Bookman Old Style" w:hAnsi="Bookman Old Style" w:cs="Bookman Old Style"/>
          <w:color w:val="231F20"/>
          <w:sz w:val="18"/>
          <w:szCs w:val="18"/>
        </w:rPr>
        <w:softHyphen/>
        <w:t>нята практика таргетирования издержек, т. е. себестоимость про</w:t>
      </w:r>
      <w:r w:rsidRPr="00B01894">
        <w:rPr>
          <w:rFonts w:ascii="Bookman Old Style" w:eastAsia="Bookman Old Style" w:hAnsi="Bookman Old Style" w:cs="Bookman Old Style"/>
          <w:color w:val="231F20"/>
          <w:sz w:val="18"/>
          <w:szCs w:val="18"/>
        </w:rPr>
        <w:softHyphen/>
        <w:t>дукции «подгоняется» под приемлемую для потенциального потре</w:t>
      </w:r>
      <w:r w:rsidRPr="00B01894">
        <w:rPr>
          <w:rFonts w:ascii="Bookman Old Style" w:eastAsia="Bookman Old Style" w:hAnsi="Bookman Old Style" w:cs="Bookman Old Style"/>
          <w:color w:val="231F20"/>
          <w:sz w:val="18"/>
          <w:szCs w:val="18"/>
        </w:rPr>
        <w:softHyphen/>
        <w:t>бителя цену, поэтому любые формы принуждения к корректировке цен однозначно являются негативным фактором при принятии ин</w:t>
      </w:r>
      <w:r w:rsidRPr="00B01894">
        <w:rPr>
          <w:rFonts w:ascii="Bookman Old Style" w:eastAsia="Bookman Old Style" w:hAnsi="Bookman Old Style" w:cs="Bookman Old Style"/>
          <w:color w:val="231F20"/>
          <w:sz w:val="18"/>
          <w:szCs w:val="18"/>
        </w:rPr>
        <w:softHyphen/>
        <w:t>вестиционных решений. Большое значение также имеет развитость рыночной инфраструктуры — банковских услуг, биржевого дела</w:t>
      </w:r>
      <w:r w:rsidRPr="00B01894">
        <w:rPr>
          <w:rFonts w:ascii="Bookman Old Style" w:eastAsia="Bookman Old Style" w:hAnsi="Bookman Old Style" w:cs="Bookman Old Style"/>
          <w:color w:val="231F20"/>
          <w:sz w:val="18"/>
          <w:szCs w:val="18"/>
        </w:rPr>
        <w:br w:type="page"/>
      </w:r>
      <w:r w:rsidRPr="00B01894">
        <w:rPr>
          <w:rFonts w:ascii="Bookman Old Style" w:eastAsia="Bookman Old Style" w:hAnsi="Bookman Old Style" w:cs="Bookman Old Style"/>
          <w:color w:val="231F20"/>
          <w:sz w:val="18"/>
          <w:szCs w:val="18"/>
        </w:rPr>
        <w:lastRenderedPageBreak/>
        <w:t>и пр. Безусловно, государство обязано обеспечивать монетизацию валового продукта и международных операций, поэтому валюта страны должна быть стабильной, широко используемой во внутрен</w:t>
      </w:r>
      <w:r w:rsidRPr="00B01894">
        <w:rPr>
          <w:rFonts w:ascii="Bookman Old Style" w:eastAsia="Bookman Old Style" w:hAnsi="Bookman Old Style" w:cs="Bookman Old Style"/>
          <w:color w:val="231F20"/>
          <w:sz w:val="18"/>
          <w:szCs w:val="18"/>
        </w:rPr>
        <w:softHyphen/>
        <w:t>нем и внешнем обороте и резервах.</w:t>
      </w:r>
    </w:p>
    <w:p w14:paraId="5F28DD26" w14:textId="77777777" w:rsidR="00B01894" w:rsidRPr="00B01894" w:rsidRDefault="00B01894" w:rsidP="00B01894">
      <w:pPr>
        <w:widowControl w:val="0"/>
        <w:numPr>
          <w:ilvl w:val="0"/>
          <w:numId w:val="21"/>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Инвесторам необходима простая, понятная, безусловно ис</w:t>
      </w:r>
      <w:r w:rsidRPr="00B01894">
        <w:rPr>
          <w:rFonts w:ascii="Bookman Old Style" w:eastAsia="Bookman Old Style" w:hAnsi="Bookman Old Style" w:cs="Bookman Old Style"/>
          <w:color w:val="231F20"/>
          <w:sz w:val="18"/>
          <w:szCs w:val="18"/>
        </w:rPr>
        <w:softHyphen/>
        <w:t>полняемая нормативная база. В законодательных и нормативных правовых документах права, гарантии и преференции должны быть четко и однозначно зафиксированы, не должно быть малейших возможностей для двойного толкования, не говоря уже о противо</w:t>
      </w:r>
      <w:r w:rsidRPr="00B01894">
        <w:rPr>
          <w:rFonts w:ascii="Bookman Old Style" w:eastAsia="Bookman Old Style" w:hAnsi="Bookman Old Style" w:cs="Bookman Old Style"/>
          <w:color w:val="231F20"/>
          <w:sz w:val="18"/>
          <w:szCs w:val="18"/>
        </w:rPr>
        <w:softHyphen/>
        <w:t>речии одних актов другим, что нередко выявляется при анализе регионального и федерального законодательства. Нужна независи</w:t>
      </w:r>
      <w:r w:rsidRPr="00B01894">
        <w:rPr>
          <w:rFonts w:ascii="Bookman Old Style" w:eastAsia="Bookman Old Style" w:hAnsi="Bookman Old Style" w:cs="Bookman Old Style"/>
          <w:color w:val="231F20"/>
          <w:sz w:val="18"/>
          <w:szCs w:val="18"/>
        </w:rPr>
        <w:softHyphen/>
        <w:t>мая судебная система, имеющая международный авторитет.</w:t>
      </w:r>
    </w:p>
    <w:p w14:paraId="3DB8E6F4" w14:textId="77777777" w:rsidR="00B01894" w:rsidRPr="00B01894" w:rsidRDefault="00B01894" w:rsidP="00B01894">
      <w:pPr>
        <w:widowControl w:val="0"/>
        <w:numPr>
          <w:ilvl w:val="0"/>
          <w:numId w:val="21"/>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Часто недооцениваются обычаи и традиции, существующие в стране-реципиенте, тогда как зачастую они имеют даже большее значение, чем формальные правила и процедуры. Без устоявшей</w:t>
      </w:r>
      <w:r w:rsidRPr="00B01894">
        <w:rPr>
          <w:rFonts w:ascii="Bookman Old Style" w:eastAsia="Bookman Old Style" w:hAnsi="Bookman Old Style" w:cs="Bookman Old Style"/>
          <w:color w:val="231F20"/>
          <w:sz w:val="18"/>
          <w:szCs w:val="18"/>
        </w:rPr>
        <w:softHyphen/>
        <w:t>ся деловой этики практически невозможно эффективное взаимо</w:t>
      </w:r>
      <w:r w:rsidRPr="00B01894">
        <w:rPr>
          <w:rFonts w:ascii="Bookman Old Style" w:eastAsia="Bookman Old Style" w:hAnsi="Bookman Old Style" w:cs="Bookman Old Style"/>
          <w:color w:val="231F20"/>
          <w:sz w:val="18"/>
          <w:szCs w:val="18"/>
        </w:rPr>
        <w:softHyphen/>
        <w:t>действие экономических субъектов, так как никакой формальный договор не удержит от недобросовестной практики, если нет эндо</w:t>
      </w:r>
      <w:r w:rsidRPr="00B01894">
        <w:rPr>
          <w:rFonts w:ascii="Bookman Old Style" w:eastAsia="Bookman Old Style" w:hAnsi="Bookman Old Style" w:cs="Bookman Old Style"/>
          <w:color w:val="231F20"/>
          <w:sz w:val="18"/>
          <w:szCs w:val="18"/>
        </w:rPr>
        <w:softHyphen/>
        <w:t>генных запретов и ограничений. В идеале неформальные правила должны в точности соответствовать формальным и служить допол</w:t>
      </w:r>
      <w:r w:rsidRPr="00B01894">
        <w:rPr>
          <w:rFonts w:ascii="Bookman Old Style" w:eastAsia="Bookman Old Style" w:hAnsi="Bookman Old Style" w:cs="Bookman Old Style"/>
          <w:color w:val="231F20"/>
          <w:sz w:val="18"/>
          <w:szCs w:val="18"/>
        </w:rPr>
        <w:softHyphen/>
        <w:t>нительной гарантией их неукоснительного выполнения.</w:t>
      </w:r>
    </w:p>
    <w:p w14:paraId="79810404" w14:textId="77777777" w:rsidR="00B01894" w:rsidRPr="00B01894" w:rsidRDefault="00B01894" w:rsidP="00B01894">
      <w:pPr>
        <w:widowControl w:val="0"/>
        <w:numPr>
          <w:ilvl w:val="0"/>
          <w:numId w:val="21"/>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Основная функция власти в сфере экономики — контроль за выполнением формальных правил. В этом смысле на первый план выходят следующие характеристики существующей политиче</w:t>
      </w:r>
      <w:r w:rsidRPr="00B01894">
        <w:rPr>
          <w:rFonts w:ascii="Bookman Old Style" w:eastAsia="Bookman Old Style" w:hAnsi="Bookman Old Style" w:cs="Bookman Old Style"/>
          <w:color w:val="231F20"/>
          <w:sz w:val="18"/>
          <w:szCs w:val="18"/>
        </w:rPr>
        <w:softHyphen/>
        <w:t>ской системы — легитимность (поддержка со стороны населения), эффективность (способность оперативно решать споры и конфлик</w:t>
      </w:r>
      <w:r w:rsidRPr="00B01894">
        <w:rPr>
          <w:rFonts w:ascii="Bookman Old Style" w:eastAsia="Bookman Old Style" w:hAnsi="Bookman Old Style" w:cs="Bookman Old Style"/>
          <w:color w:val="231F20"/>
          <w:sz w:val="18"/>
          <w:szCs w:val="18"/>
        </w:rPr>
        <w:softHyphen/>
        <w:t>ты), доступность (недискриминация относительно юрисдикции и социального статуса объектов защиты). Наличие формально уре</w:t>
      </w:r>
      <w:r w:rsidRPr="00B01894">
        <w:rPr>
          <w:rFonts w:ascii="Bookman Old Style" w:eastAsia="Bookman Old Style" w:hAnsi="Bookman Old Style" w:cs="Bookman Old Style"/>
          <w:color w:val="231F20"/>
          <w:sz w:val="18"/>
          <w:szCs w:val="18"/>
        </w:rPr>
        <w:softHyphen/>
        <w:t>гулированных прав собственности должно быть подкреплено без</w:t>
      </w:r>
      <w:r w:rsidRPr="00B01894">
        <w:rPr>
          <w:rFonts w:ascii="Bookman Old Style" w:eastAsia="Bookman Old Style" w:hAnsi="Bookman Old Style" w:cs="Bookman Old Style"/>
          <w:color w:val="231F20"/>
          <w:sz w:val="18"/>
          <w:szCs w:val="18"/>
        </w:rPr>
        <w:softHyphen/>
        <w:t>условной защитой третьей стороны, под которой подразумевается государство, способное быть объективным в суждениях и облада</w:t>
      </w:r>
      <w:r w:rsidRPr="00B01894">
        <w:rPr>
          <w:rFonts w:ascii="Bookman Old Style" w:eastAsia="Bookman Old Style" w:hAnsi="Bookman Old Style" w:cs="Bookman Old Style"/>
          <w:color w:val="231F20"/>
          <w:sz w:val="18"/>
          <w:szCs w:val="18"/>
        </w:rPr>
        <w:softHyphen/>
        <w:t>ющее силой и авторитетом, позволяющими разрешать конфликты прав собственности. Государства обязано проводить обоснованную и неизменную экономическую политику, особенно в таких амби</w:t>
      </w:r>
      <w:r w:rsidRPr="00B01894">
        <w:rPr>
          <w:rFonts w:ascii="Bookman Old Style" w:eastAsia="Bookman Old Style" w:hAnsi="Bookman Old Style" w:cs="Bookman Old Style"/>
          <w:color w:val="231F20"/>
          <w:sz w:val="18"/>
          <w:szCs w:val="18"/>
        </w:rPr>
        <w:softHyphen/>
        <w:t>валентных областях, как приватизация, налоговая, финансово</w:t>
      </w:r>
      <w:r w:rsidRPr="00B01894">
        <w:rPr>
          <w:rFonts w:ascii="Bookman Old Style" w:eastAsia="Bookman Old Style" w:hAnsi="Bookman Old Style" w:cs="Bookman Old Style"/>
          <w:color w:val="231F20"/>
          <w:sz w:val="18"/>
          <w:szCs w:val="18"/>
        </w:rPr>
        <w:softHyphen/>
        <w:t>кредитная политика. Основной целью власти в этой сфере должно быть поступательное экономическое развитие, чему способствуют низкий уровень процентной ставки по кредитам и инфляции на ма</w:t>
      </w:r>
      <w:r w:rsidRPr="00B01894">
        <w:rPr>
          <w:rFonts w:ascii="Bookman Old Style" w:eastAsia="Bookman Old Style" w:hAnsi="Bookman Old Style" w:cs="Bookman Old Style"/>
          <w:color w:val="231F20"/>
          <w:sz w:val="18"/>
          <w:szCs w:val="18"/>
        </w:rPr>
        <w:softHyphen/>
        <w:t>кроэкономическом уровне, поддержка свободного предпринима</w:t>
      </w:r>
      <w:r w:rsidRPr="00B01894">
        <w:rPr>
          <w:rFonts w:ascii="Bookman Old Style" w:eastAsia="Bookman Old Style" w:hAnsi="Bookman Old Style" w:cs="Bookman Old Style"/>
          <w:color w:val="231F20"/>
          <w:sz w:val="18"/>
          <w:szCs w:val="18"/>
        </w:rPr>
        <w:softHyphen/>
        <w:t>тельства на микроэкономическом уровне, открытость экономики для продуктивного международного сотрудничества на уровне ми</w:t>
      </w:r>
      <w:r w:rsidRPr="00B01894">
        <w:rPr>
          <w:rFonts w:ascii="Bookman Old Style" w:eastAsia="Bookman Old Style" w:hAnsi="Bookman Old Style" w:cs="Bookman Old Style"/>
          <w:color w:val="231F20"/>
          <w:sz w:val="18"/>
          <w:szCs w:val="18"/>
        </w:rPr>
        <w:softHyphen/>
        <w:t>ровой экономики.</w:t>
      </w:r>
    </w:p>
    <w:p w14:paraId="65840470" w14:textId="77777777" w:rsidR="00B01894" w:rsidRPr="00B01894" w:rsidRDefault="00B01894" w:rsidP="00B01894">
      <w:pPr>
        <w:widowControl w:val="0"/>
        <w:numPr>
          <w:ilvl w:val="0"/>
          <w:numId w:val="21"/>
        </w:numPr>
        <w:tabs>
          <w:tab w:val="left" w:pos="63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Доступность и достоверность имеющейся информации явля</w:t>
      </w:r>
      <w:r w:rsidRPr="00B01894">
        <w:rPr>
          <w:rFonts w:ascii="Bookman Old Style" w:eastAsia="Bookman Old Style" w:hAnsi="Bookman Old Style" w:cs="Bookman Old Style"/>
          <w:color w:val="231F20"/>
          <w:sz w:val="18"/>
          <w:szCs w:val="18"/>
        </w:rPr>
        <w:softHyphen/>
        <w:t>ется ключевым моментом для принятия решений. В обстановке не</w:t>
      </w:r>
      <w:r w:rsidRPr="00B01894">
        <w:rPr>
          <w:rFonts w:ascii="Bookman Old Style" w:eastAsia="Bookman Old Style" w:hAnsi="Bookman Old Style" w:cs="Bookman Old Style"/>
          <w:color w:val="231F20"/>
          <w:sz w:val="18"/>
          <w:szCs w:val="18"/>
        </w:rPr>
        <w:softHyphen/>
        <w:t>достатка информации решение с большой долей вероятности будет принято под воздействием случайных факторов, присутствие же за</w:t>
      </w:r>
      <w:r w:rsidRPr="00B01894">
        <w:rPr>
          <w:rFonts w:ascii="Bookman Old Style" w:eastAsia="Bookman Old Style" w:hAnsi="Bookman Old Style" w:cs="Bookman Old Style"/>
          <w:color w:val="231F20"/>
          <w:sz w:val="18"/>
          <w:szCs w:val="18"/>
        </w:rPr>
        <w:softHyphen/>
        <w:t xml:space="preserve">ведомо неверной </w:t>
      </w:r>
      <w:r w:rsidRPr="00B01894">
        <w:rPr>
          <w:rFonts w:ascii="Bookman Old Style" w:eastAsia="Bookman Old Style" w:hAnsi="Bookman Old Style" w:cs="Bookman Old Style"/>
          <w:color w:val="231F20"/>
          <w:sz w:val="18"/>
          <w:szCs w:val="18"/>
        </w:rPr>
        <w:lastRenderedPageBreak/>
        <w:t>информации ведет к изначально неверным отно</w:t>
      </w:r>
      <w:r w:rsidRPr="00B01894">
        <w:rPr>
          <w:rFonts w:ascii="Bookman Old Style" w:eastAsia="Bookman Old Style" w:hAnsi="Bookman Old Style" w:cs="Bookman Old Style"/>
          <w:color w:val="231F20"/>
          <w:sz w:val="18"/>
          <w:szCs w:val="18"/>
        </w:rPr>
        <w:softHyphen/>
        <w:t>сительно заявленных целей решениям. Поэтому информационный фактор является существенным для потенциальных инвесторов. Информационная система должна предоставлять потенциальным инвесторам валидные данные об экономических показателях, зако</w:t>
      </w:r>
      <w:r w:rsidRPr="00B01894">
        <w:rPr>
          <w:rFonts w:ascii="Bookman Old Style" w:eastAsia="Bookman Old Style" w:hAnsi="Bookman Old Style" w:cs="Bookman Old Style"/>
          <w:color w:val="231F20"/>
          <w:sz w:val="18"/>
          <w:szCs w:val="18"/>
        </w:rPr>
        <w:softHyphen/>
        <w:t>нодательной базе, существующих инвестиционных проектах и по</w:t>
      </w:r>
      <w:r w:rsidRPr="00B01894">
        <w:rPr>
          <w:rFonts w:ascii="Bookman Old Style" w:eastAsia="Bookman Old Style" w:hAnsi="Bookman Old Style" w:cs="Bookman Old Style"/>
          <w:color w:val="231F20"/>
          <w:sz w:val="18"/>
          <w:szCs w:val="18"/>
        </w:rPr>
        <w:softHyphen/>
        <w:t>тенциальных партнерах</w:t>
      </w:r>
      <w:r w:rsidRPr="00B01894">
        <w:rPr>
          <w:rFonts w:ascii="Bookman Old Style" w:eastAsia="Bookman Old Style" w:hAnsi="Bookman Old Style" w:cs="Bookman Old Style"/>
          <w:color w:val="231F20"/>
          <w:sz w:val="18"/>
          <w:szCs w:val="18"/>
          <w:vertAlign w:val="superscript"/>
        </w:rPr>
        <w:footnoteReference w:id="13"/>
      </w:r>
      <w:r w:rsidRPr="00B01894">
        <w:rPr>
          <w:rFonts w:ascii="Bookman Old Style" w:eastAsia="Bookman Old Style" w:hAnsi="Bookman Old Style" w:cs="Bookman Old Style"/>
          <w:color w:val="231F20"/>
          <w:sz w:val="18"/>
          <w:szCs w:val="18"/>
        </w:rPr>
        <w:t>.</w:t>
      </w:r>
    </w:p>
    <w:p w14:paraId="14AB279D" w14:textId="77777777" w:rsidR="00B01894" w:rsidRPr="00B01894" w:rsidRDefault="00B01894" w:rsidP="00B01894">
      <w:pPr>
        <w:widowControl w:val="0"/>
        <w:spacing w:line="250" w:lineRule="exact"/>
        <w:ind w:firstLine="320"/>
        <w:rPr>
          <w:rFonts w:ascii="Bookman Old Style" w:eastAsia="Bookman Old Style" w:hAnsi="Bookman Old Style" w:cs="Bookman Old Style"/>
          <w:color w:val="00B050"/>
          <w:sz w:val="18"/>
          <w:szCs w:val="18"/>
        </w:rPr>
      </w:pPr>
      <w:r w:rsidRPr="00B01894">
        <w:rPr>
          <w:rFonts w:ascii="Bookman Old Style" w:eastAsia="Bookman Old Style" w:hAnsi="Bookman Old Style" w:cs="Bookman Old Style"/>
          <w:color w:val="231F20"/>
          <w:sz w:val="18"/>
          <w:szCs w:val="18"/>
        </w:rPr>
        <w:t>Согласно приведенной схеме можно выявить основные пробле</w:t>
      </w:r>
      <w:r w:rsidRPr="00B01894">
        <w:rPr>
          <w:rFonts w:ascii="Bookman Old Style" w:eastAsia="Bookman Old Style" w:hAnsi="Bookman Old Style" w:cs="Bookman Old Style"/>
          <w:color w:val="231F20"/>
          <w:sz w:val="18"/>
          <w:szCs w:val="18"/>
        </w:rPr>
        <w:softHyphen/>
        <w:t>мы, с которыми сталкивается инвестор в России. Главным препят</w:t>
      </w:r>
      <w:r w:rsidRPr="00B01894">
        <w:rPr>
          <w:rFonts w:ascii="Bookman Old Style" w:eastAsia="Bookman Old Style" w:hAnsi="Bookman Old Style" w:cs="Bookman Old Style"/>
          <w:color w:val="231F20"/>
          <w:sz w:val="18"/>
          <w:szCs w:val="18"/>
        </w:rPr>
        <w:softHyphen/>
        <w:t xml:space="preserve">ствием является </w:t>
      </w:r>
      <w:r w:rsidRPr="00B01894">
        <w:rPr>
          <w:rFonts w:ascii="Bookman Old Style" w:eastAsia="Bookman Old Style" w:hAnsi="Bookman Old Style" w:cs="Bookman Old Style"/>
          <w:color w:val="00B050"/>
          <w:sz w:val="18"/>
          <w:szCs w:val="18"/>
        </w:rPr>
        <w:t xml:space="preserve">недостаточная определенность и защищенность </w:t>
      </w:r>
      <w:r w:rsidRPr="00B01894">
        <w:rPr>
          <w:rFonts w:ascii="Bookman Old Style" w:eastAsia="Bookman Old Style" w:hAnsi="Bookman Old Style" w:cs="Bookman Old Style"/>
          <w:color w:val="C00000"/>
          <w:sz w:val="18"/>
          <w:szCs w:val="18"/>
        </w:rPr>
        <w:t xml:space="preserve">неопределенность и незащищенность </w:t>
      </w:r>
      <w:r w:rsidRPr="00B01894">
        <w:rPr>
          <w:rFonts w:ascii="Bookman Old Style" w:eastAsia="Bookman Old Style" w:hAnsi="Bookman Old Style" w:cs="Bookman Old Style"/>
          <w:color w:val="231F20"/>
          <w:sz w:val="18"/>
          <w:szCs w:val="18"/>
        </w:rPr>
        <w:t>прав соб</w:t>
      </w:r>
      <w:r w:rsidRPr="00B01894">
        <w:rPr>
          <w:rFonts w:ascii="Bookman Old Style" w:eastAsia="Bookman Old Style" w:hAnsi="Bookman Old Style" w:cs="Bookman Old Style"/>
          <w:color w:val="231F20"/>
          <w:sz w:val="18"/>
          <w:szCs w:val="18"/>
        </w:rPr>
        <w:softHyphen/>
        <w:t xml:space="preserve">ственности. В нашей стране уровень защиты прав собственности </w:t>
      </w:r>
      <w:r w:rsidRPr="00B01894">
        <w:rPr>
          <w:rFonts w:ascii="Bookman Old Style" w:eastAsia="Bookman Old Style" w:hAnsi="Bookman Old Style" w:cs="Bookman Old Style"/>
          <w:color w:val="00B050"/>
          <w:sz w:val="18"/>
          <w:szCs w:val="18"/>
        </w:rPr>
        <w:t xml:space="preserve">невысок </w:t>
      </w:r>
      <w:r w:rsidRPr="00B01894">
        <w:rPr>
          <w:rFonts w:ascii="Bookman Old Style" w:eastAsia="Bookman Old Style" w:hAnsi="Bookman Old Style" w:cs="Bookman Old Style"/>
          <w:color w:val="C00000"/>
          <w:sz w:val="18"/>
          <w:szCs w:val="18"/>
        </w:rPr>
        <w:t>недостаточен</w:t>
      </w:r>
      <w:r w:rsidRPr="00B01894">
        <w:rPr>
          <w:rFonts w:ascii="Bookman Old Style" w:eastAsia="Bookman Old Style" w:hAnsi="Bookman Old Style" w:cs="Bookman Old Style"/>
          <w:color w:val="231F20"/>
          <w:sz w:val="18"/>
          <w:szCs w:val="18"/>
        </w:rPr>
        <w:t xml:space="preserve">, при этом </w:t>
      </w:r>
      <w:r w:rsidRPr="00B01894">
        <w:rPr>
          <w:rFonts w:ascii="Bookman Old Style" w:eastAsia="Bookman Old Style" w:hAnsi="Bookman Old Style" w:cs="Bookman Old Style"/>
          <w:color w:val="C00000"/>
          <w:sz w:val="18"/>
          <w:szCs w:val="18"/>
        </w:rPr>
        <w:t>государство</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00B050"/>
          <w:sz w:val="18"/>
          <w:szCs w:val="18"/>
        </w:rPr>
        <w:t>бюрократический аппарат часто</w:t>
      </w:r>
      <w:r w:rsidRPr="00B01894">
        <w:rPr>
          <w:rFonts w:ascii="Bookman Old Style" w:eastAsia="Bookman Old Style" w:hAnsi="Bookman Old Style" w:cs="Bookman Old Style"/>
          <w:color w:val="231F20"/>
          <w:sz w:val="18"/>
          <w:szCs w:val="18"/>
        </w:rPr>
        <w:t xml:space="preserve"> выступает отнюдь не как неза</w:t>
      </w:r>
      <w:r w:rsidRPr="00B01894">
        <w:rPr>
          <w:rFonts w:ascii="Bookman Old Style" w:eastAsia="Bookman Old Style" w:hAnsi="Bookman Old Style" w:cs="Bookman Old Style"/>
          <w:color w:val="231F20"/>
          <w:sz w:val="18"/>
          <w:szCs w:val="18"/>
        </w:rPr>
        <w:softHyphen/>
        <w:t>висимый эксперт, а как субъект, действующий в своих интересах, что негативным образом влияет не только на само государство, но и на экономику страны и все общество в целом. Поэтому важ</w:t>
      </w:r>
      <w:r w:rsidRPr="00B01894">
        <w:rPr>
          <w:rFonts w:ascii="Bookman Old Style" w:eastAsia="Bookman Old Style" w:hAnsi="Bookman Old Style" w:cs="Bookman Old Style"/>
          <w:color w:val="231F20"/>
          <w:sz w:val="18"/>
          <w:szCs w:val="18"/>
        </w:rPr>
        <w:softHyphen/>
        <w:t>ным шагом по исправлению ситуации может стать административ</w:t>
      </w:r>
      <w:r w:rsidRPr="00B01894">
        <w:rPr>
          <w:rFonts w:ascii="Bookman Old Style" w:eastAsia="Bookman Old Style" w:hAnsi="Bookman Old Style" w:cs="Bookman Old Style"/>
          <w:color w:val="231F20"/>
          <w:sz w:val="18"/>
          <w:szCs w:val="18"/>
        </w:rPr>
        <w:softHyphen/>
        <w:t>ная и судебная реформы, однако осуществление этих изменений будет затруднено, препятствием могут оказаться разные факторы, в первую очередь придется столкнуться с нежеланием и неготовно</w:t>
      </w:r>
      <w:r w:rsidRPr="00B01894">
        <w:rPr>
          <w:rFonts w:ascii="Bookman Old Style" w:eastAsia="Bookman Old Style" w:hAnsi="Bookman Old Style" w:cs="Bookman Old Style"/>
          <w:color w:val="231F20"/>
          <w:sz w:val="18"/>
          <w:szCs w:val="18"/>
        </w:rPr>
        <w:softHyphen/>
        <w:t>стью властной элиты отказаться от дохода в виде политической рен</w:t>
      </w:r>
      <w:r w:rsidRPr="00B01894">
        <w:rPr>
          <w:rFonts w:ascii="Bookman Old Style" w:eastAsia="Bookman Old Style" w:hAnsi="Bookman Old Style" w:cs="Bookman Old Style"/>
          <w:color w:val="231F20"/>
          <w:sz w:val="18"/>
          <w:szCs w:val="18"/>
        </w:rPr>
        <w:softHyphen/>
        <w:t>ты. При этом нужно преодолевать «институциональную ловушку»: все задействованы в сложившейся системе, следовательно, легче ничего не менять, чем рисковать и пробовать встать на путь «не</w:t>
      </w:r>
      <w:r w:rsidRPr="00B01894">
        <w:rPr>
          <w:rFonts w:ascii="Bookman Old Style" w:eastAsia="Bookman Old Style" w:hAnsi="Bookman Old Style" w:cs="Bookman Old Style"/>
          <w:color w:val="231F20"/>
          <w:sz w:val="18"/>
          <w:szCs w:val="18"/>
        </w:rPr>
        <w:softHyphen/>
        <w:t>коррупционного» поведения. Найти решение этой проблемы доста</w:t>
      </w:r>
      <w:r w:rsidRPr="00B01894">
        <w:rPr>
          <w:rFonts w:ascii="Bookman Old Style" w:eastAsia="Bookman Old Style" w:hAnsi="Bookman Old Style" w:cs="Bookman Old Style"/>
          <w:color w:val="231F20"/>
          <w:sz w:val="18"/>
          <w:szCs w:val="18"/>
        </w:rPr>
        <w:softHyphen/>
        <w:t xml:space="preserve">точно сложно, но это необходимо сделать — бизнес должен стать прозрачным и легальным, </w:t>
      </w:r>
      <w:r w:rsidRPr="00B01894">
        <w:rPr>
          <w:rFonts w:ascii="Bookman Old Style" w:eastAsia="Bookman Old Style" w:hAnsi="Bookman Old Style" w:cs="Bookman Old Style"/>
          <w:color w:val="00B050"/>
          <w:sz w:val="18"/>
          <w:szCs w:val="18"/>
        </w:rPr>
        <w:t>и не зависеть от власть имущих.</w:t>
      </w:r>
    </w:p>
    <w:p w14:paraId="051B6D3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Серьезные проблемы </w:t>
      </w:r>
      <w:r w:rsidRPr="00B01894">
        <w:rPr>
          <w:rFonts w:ascii="Bookman Old Style" w:eastAsia="Bookman Old Style" w:hAnsi="Bookman Old Style" w:cs="Bookman Old Style"/>
          <w:color w:val="00B050"/>
          <w:sz w:val="18"/>
          <w:szCs w:val="18"/>
        </w:rPr>
        <w:t xml:space="preserve">все еще </w:t>
      </w:r>
      <w:r w:rsidRPr="00B01894">
        <w:rPr>
          <w:rFonts w:ascii="Bookman Old Style" w:eastAsia="Bookman Old Style" w:hAnsi="Bookman Old Style" w:cs="Bookman Old Style"/>
          <w:color w:val="231F20"/>
          <w:sz w:val="18"/>
          <w:szCs w:val="18"/>
        </w:rPr>
        <w:t>есть и в защите прав интеллектуальной собственности, если ставить целью привлечение «технологических» инвестиций в страну. В России объекты интеллектуальной соб</w:t>
      </w:r>
      <w:r w:rsidRPr="00B01894">
        <w:rPr>
          <w:rFonts w:ascii="Bookman Old Style" w:eastAsia="Bookman Old Style" w:hAnsi="Bookman Old Style" w:cs="Bookman Old Style"/>
          <w:color w:val="231F20"/>
          <w:sz w:val="18"/>
          <w:szCs w:val="18"/>
        </w:rPr>
        <w:softHyphen/>
        <w:t>ственности долгое время охранялись как государственный интерес. Относительно недавно появилось адекватное рыночной системе за</w:t>
      </w:r>
      <w:r w:rsidRPr="00B01894">
        <w:rPr>
          <w:rFonts w:ascii="Bookman Old Style" w:eastAsia="Bookman Old Style" w:hAnsi="Bookman Old Style" w:cs="Bookman Old Style"/>
          <w:color w:val="231F20"/>
          <w:sz w:val="18"/>
          <w:szCs w:val="18"/>
        </w:rPr>
        <w:softHyphen/>
        <w:t>конодательство о правах и защите интеллектуальной собственности в России. На сегодняшний день за нарушение прав интеллектуаль</w:t>
      </w:r>
      <w:r w:rsidRPr="00B01894">
        <w:rPr>
          <w:rFonts w:ascii="Bookman Old Style" w:eastAsia="Bookman Old Style" w:hAnsi="Bookman Old Style" w:cs="Bookman Old Style"/>
          <w:color w:val="231F20"/>
          <w:sz w:val="18"/>
          <w:szCs w:val="18"/>
        </w:rPr>
        <w:softHyphen/>
        <w:t>ной собственности предусматривается административная, граждан</w:t>
      </w:r>
      <w:r w:rsidRPr="00B01894">
        <w:rPr>
          <w:rFonts w:ascii="Bookman Old Style" w:eastAsia="Bookman Old Style" w:hAnsi="Bookman Old Style" w:cs="Bookman Old Style"/>
          <w:color w:val="231F20"/>
          <w:sz w:val="18"/>
          <w:szCs w:val="18"/>
        </w:rPr>
        <w:softHyphen/>
        <w:t xml:space="preserve">ско-правовая и уголовная ответственность. </w:t>
      </w:r>
      <w:r w:rsidRPr="00B01894">
        <w:rPr>
          <w:rFonts w:ascii="Bookman Old Style" w:eastAsia="Bookman Old Style" w:hAnsi="Bookman Old Style" w:cs="Bookman Old Style"/>
          <w:color w:val="C00000"/>
          <w:sz w:val="18"/>
          <w:szCs w:val="18"/>
        </w:rPr>
        <w:t>Создана Федеральная служба по интеллектуальной собственности (Роспатент), начина</w:t>
      </w:r>
      <w:r w:rsidRPr="00B01894">
        <w:rPr>
          <w:rFonts w:ascii="Bookman Old Style" w:eastAsia="Bookman Old Style" w:hAnsi="Bookman Old Style" w:cs="Bookman Old Style"/>
          <w:color w:val="C00000"/>
          <w:sz w:val="18"/>
          <w:szCs w:val="18"/>
        </w:rPr>
        <w:softHyphen/>
        <w:t xml:space="preserve">ют работу специальные патентные суды. </w:t>
      </w:r>
      <w:r w:rsidRPr="00B01894">
        <w:rPr>
          <w:rFonts w:ascii="Bookman Old Style" w:eastAsia="Bookman Old Style" w:hAnsi="Bookman Old Style" w:cs="Bookman Old Style"/>
          <w:color w:val="231F20"/>
          <w:sz w:val="18"/>
          <w:szCs w:val="18"/>
        </w:rPr>
        <w:t>Однако правоприменение в этой сфере оставляет желать лучшего, что объясняется множе</w:t>
      </w:r>
      <w:r w:rsidRPr="00B01894">
        <w:rPr>
          <w:rFonts w:ascii="Bookman Old Style" w:eastAsia="Bookman Old Style" w:hAnsi="Bookman Old Style" w:cs="Bookman Old Style"/>
          <w:color w:val="231F20"/>
          <w:sz w:val="18"/>
          <w:szCs w:val="18"/>
        </w:rPr>
        <w:softHyphen/>
        <w:t>ством факторов, начиная от недостаточной квалификации судей</w:t>
      </w:r>
      <w:r w:rsidRPr="00B01894">
        <w:rPr>
          <w:rFonts w:ascii="Bookman Old Style" w:eastAsia="Bookman Old Style" w:hAnsi="Bookman Old Style" w:cs="Bookman Old Style"/>
          <w:color w:val="231F20"/>
          <w:sz w:val="18"/>
          <w:szCs w:val="18"/>
        </w:rPr>
        <w:softHyphen/>
        <w:t>ского состава, заканчивая общим терпимым отношением общества к свободному использованию результатов интеллектуального труда.</w:t>
      </w:r>
    </w:p>
    <w:p w14:paraId="083A36F2" w14:textId="77777777" w:rsidR="00B01894" w:rsidRPr="00B01894" w:rsidRDefault="00B01894" w:rsidP="00B01894">
      <w:pPr>
        <w:widowControl w:val="0"/>
        <w:spacing w:line="250" w:lineRule="exact"/>
        <w:ind w:firstLine="340"/>
        <w:rPr>
          <w:rFonts w:ascii="Bookman Old Style" w:eastAsia="Bookman Old Style" w:hAnsi="Bookman Old Style" w:cs="Bookman Old Style"/>
          <w:color w:val="FF0000"/>
          <w:sz w:val="18"/>
          <w:szCs w:val="18"/>
        </w:rPr>
      </w:pPr>
      <w:r w:rsidRPr="00B01894">
        <w:rPr>
          <w:rFonts w:ascii="Bookman Old Style" w:eastAsia="Bookman Old Style" w:hAnsi="Bookman Old Style" w:cs="Bookman Old Style"/>
          <w:color w:val="FF0000"/>
          <w:sz w:val="18"/>
          <w:szCs w:val="18"/>
        </w:rPr>
        <w:lastRenderedPageBreak/>
        <w:t>Одним из основных поставщиком новейших технологий на ми</w:t>
      </w:r>
      <w:r w:rsidRPr="00B01894">
        <w:rPr>
          <w:rFonts w:ascii="Bookman Old Style" w:eastAsia="Bookman Old Style" w:hAnsi="Bookman Old Style" w:cs="Bookman Old Style"/>
          <w:color w:val="FF0000"/>
          <w:sz w:val="18"/>
          <w:szCs w:val="18"/>
        </w:rPr>
        <w:softHyphen/>
        <w:t xml:space="preserve">ровой рынок являются Соединенные Штаты Америки, специальное агентство которых — </w:t>
      </w:r>
      <w:r w:rsidRPr="00B01894">
        <w:rPr>
          <w:rFonts w:ascii="Bookman Old Style" w:eastAsia="Bookman Old Style" w:hAnsi="Bookman Old Style" w:cs="Bookman Old Style"/>
          <w:i/>
          <w:iCs/>
          <w:color w:val="FF0000"/>
          <w:sz w:val="18"/>
          <w:szCs w:val="18"/>
          <w:lang w:val="en-US" w:eastAsia="en-US" w:bidi="en-US"/>
        </w:rPr>
        <w:t>United</w:t>
      </w:r>
      <w:r w:rsidRPr="00B01894">
        <w:rPr>
          <w:rFonts w:ascii="Bookman Old Style" w:eastAsia="Bookman Old Style" w:hAnsi="Bookman Old Style" w:cs="Bookman Old Style"/>
          <w:i/>
          <w:iCs/>
          <w:color w:val="FF0000"/>
          <w:sz w:val="18"/>
          <w:szCs w:val="18"/>
          <w:lang w:eastAsia="en-US" w:bidi="en-US"/>
        </w:rPr>
        <w:t xml:space="preserve"> </w:t>
      </w:r>
      <w:r w:rsidRPr="00B01894">
        <w:rPr>
          <w:rFonts w:ascii="Bookman Old Style" w:eastAsia="Bookman Old Style" w:hAnsi="Bookman Old Style" w:cs="Bookman Old Style"/>
          <w:i/>
          <w:iCs/>
          <w:color w:val="FF0000"/>
          <w:sz w:val="18"/>
          <w:szCs w:val="18"/>
          <w:lang w:val="en-US" w:eastAsia="en-US" w:bidi="en-US"/>
        </w:rPr>
        <w:t>States</w:t>
      </w:r>
      <w:r w:rsidRPr="00B01894">
        <w:rPr>
          <w:rFonts w:ascii="Bookman Old Style" w:eastAsia="Bookman Old Style" w:hAnsi="Bookman Old Style" w:cs="Bookman Old Style"/>
          <w:i/>
          <w:iCs/>
          <w:color w:val="FF0000"/>
          <w:sz w:val="18"/>
          <w:szCs w:val="18"/>
          <w:lang w:eastAsia="en-US" w:bidi="en-US"/>
        </w:rPr>
        <w:t xml:space="preserve"> </w:t>
      </w:r>
      <w:r w:rsidRPr="00B01894">
        <w:rPr>
          <w:rFonts w:ascii="Bookman Old Style" w:eastAsia="Bookman Old Style" w:hAnsi="Bookman Old Style" w:cs="Bookman Old Style"/>
          <w:i/>
          <w:iCs/>
          <w:color w:val="FF0000"/>
          <w:sz w:val="18"/>
          <w:szCs w:val="18"/>
          <w:lang w:val="en-US" w:eastAsia="en-US" w:bidi="en-US"/>
        </w:rPr>
        <w:t>Trade</w:t>
      </w:r>
      <w:r w:rsidRPr="00B01894">
        <w:rPr>
          <w:rFonts w:ascii="Bookman Old Style" w:eastAsia="Bookman Old Style" w:hAnsi="Bookman Old Style" w:cs="Bookman Old Style"/>
          <w:i/>
          <w:iCs/>
          <w:color w:val="FF0000"/>
          <w:sz w:val="18"/>
          <w:szCs w:val="18"/>
          <w:lang w:eastAsia="en-US" w:bidi="en-US"/>
        </w:rPr>
        <w:t xml:space="preserve"> </w:t>
      </w:r>
      <w:r w:rsidRPr="00B01894">
        <w:rPr>
          <w:rFonts w:ascii="Bookman Old Style" w:eastAsia="Bookman Old Style" w:hAnsi="Bookman Old Style" w:cs="Bookman Old Style"/>
          <w:i/>
          <w:iCs/>
          <w:color w:val="FF0000"/>
          <w:sz w:val="18"/>
          <w:szCs w:val="18"/>
          <w:lang w:val="en-US" w:eastAsia="en-US" w:bidi="en-US"/>
        </w:rPr>
        <w:t>Representative</w:t>
      </w:r>
      <w:r w:rsidRPr="00B01894">
        <w:rPr>
          <w:rFonts w:ascii="Bookman Old Style" w:eastAsia="Bookman Old Style" w:hAnsi="Bookman Old Style" w:cs="Bookman Old Style"/>
          <w:color w:val="FF0000"/>
          <w:sz w:val="18"/>
          <w:szCs w:val="18"/>
          <w:lang w:eastAsia="en-US" w:bidi="en-US"/>
        </w:rPr>
        <w:t xml:space="preserve"> — </w:t>
      </w:r>
      <w:r w:rsidRPr="00B01894">
        <w:rPr>
          <w:rFonts w:ascii="Bookman Old Style" w:eastAsia="Bookman Old Style" w:hAnsi="Bookman Old Style" w:cs="Bookman Old Style"/>
          <w:color w:val="FF0000"/>
          <w:sz w:val="18"/>
          <w:szCs w:val="18"/>
        </w:rPr>
        <w:t>готовит ежегодный отчет по странам, не обеспечивающим эффективную правовую охрану интеллектуальной собственности. В 2012 г. в «чер</w:t>
      </w:r>
      <w:r w:rsidRPr="00B01894">
        <w:rPr>
          <w:rFonts w:ascii="Bookman Old Style" w:eastAsia="Bookman Old Style" w:hAnsi="Bookman Old Style" w:cs="Bookman Old Style"/>
          <w:color w:val="FF0000"/>
          <w:sz w:val="18"/>
          <w:szCs w:val="18"/>
        </w:rPr>
        <w:softHyphen/>
        <w:t>ный список» вошла Россия с такими странами, как Алжир, Чили, Пакистан, Венесуэла. Претензии не новы:</w:t>
      </w:r>
    </w:p>
    <w:p w14:paraId="3C5A9278" w14:textId="77777777" w:rsidR="00B01894" w:rsidRPr="00B01894" w:rsidRDefault="00B01894" w:rsidP="00B01894">
      <w:pPr>
        <w:widowControl w:val="0"/>
        <w:numPr>
          <w:ilvl w:val="0"/>
          <w:numId w:val="11"/>
        </w:numPr>
        <w:tabs>
          <w:tab w:val="left" w:pos="629"/>
        </w:tabs>
        <w:spacing w:line="250" w:lineRule="exact"/>
        <w:ind w:firstLine="340"/>
        <w:jc w:val="left"/>
        <w:rPr>
          <w:rFonts w:ascii="Bookman Old Style" w:eastAsia="Bookman Old Style" w:hAnsi="Bookman Old Style" w:cs="Bookman Old Style"/>
          <w:color w:val="FF0000"/>
          <w:sz w:val="18"/>
          <w:szCs w:val="18"/>
        </w:rPr>
      </w:pPr>
      <w:r w:rsidRPr="00B01894">
        <w:rPr>
          <w:rFonts w:ascii="Bookman Old Style" w:eastAsia="Bookman Old Style" w:hAnsi="Bookman Old Style" w:cs="Bookman Old Style"/>
          <w:color w:val="FF0000"/>
          <w:sz w:val="18"/>
          <w:szCs w:val="18"/>
        </w:rPr>
        <w:t>недостаточное соблюдение международных соглашений в ча</w:t>
      </w:r>
      <w:r w:rsidRPr="00B01894">
        <w:rPr>
          <w:rFonts w:ascii="Bookman Old Style" w:eastAsia="Bookman Old Style" w:hAnsi="Bookman Old Style" w:cs="Bookman Old Style"/>
          <w:color w:val="FF0000"/>
          <w:sz w:val="18"/>
          <w:szCs w:val="18"/>
        </w:rPr>
        <w:softHyphen/>
        <w:t>сти интеллектуальной собственности, в особенности подписанных в рамках подготовки к членству в ВТО (Соглашение ТРИПС, Закон «Об обращении лекарственных средств» и т. д.);</w:t>
      </w:r>
    </w:p>
    <w:p w14:paraId="79B1D40A" w14:textId="77777777" w:rsidR="00B01894" w:rsidRPr="00B01894" w:rsidRDefault="00B01894" w:rsidP="00B01894">
      <w:pPr>
        <w:widowControl w:val="0"/>
        <w:numPr>
          <w:ilvl w:val="0"/>
          <w:numId w:val="11"/>
        </w:numPr>
        <w:tabs>
          <w:tab w:val="left" w:pos="629"/>
        </w:tabs>
        <w:spacing w:line="250" w:lineRule="exact"/>
        <w:ind w:firstLine="340"/>
        <w:jc w:val="left"/>
        <w:rPr>
          <w:rFonts w:ascii="Bookman Old Style" w:eastAsia="Bookman Old Style" w:hAnsi="Bookman Old Style" w:cs="Bookman Old Style"/>
          <w:color w:val="FF0000"/>
          <w:sz w:val="18"/>
          <w:szCs w:val="18"/>
        </w:rPr>
      </w:pPr>
      <w:r w:rsidRPr="00B01894">
        <w:rPr>
          <w:rFonts w:ascii="Bookman Old Style" w:eastAsia="Bookman Old Style" w:hAnsi="Bookman Old Style" w:cs="Bookman Old Style"/>
          <w:color w:val="FF0000"/>
          <w:sz w:val="18"/>
          <w:szCs w:val="18"/>
        </w:rPr>
        <w:t>необходимость судебной реформы и эффективного правопри</w:t>
      </w:r>
      <w:r w:rsidRPr="00B01894">
        <w:rPr>
          <w:rFonts w:ascii="Bookman Old Style" w:eastAsia="Bookman Old Style" w:hAnsi="Bookman Old Style" w:cs="Bookman Old Style"/>
          <w:color w:val="FF0000"/>
          <w:sz w:val="18"/>
          <w:szCs w:val="18"/>
        </w:rPr>
        <w:softHyphen/>
        <w:t>менения;</w:t>
      </w:r>
    </w:p>
    <w:p w14:paraId="36208AA8" w14:textId="77777777" w:rsidR="00B01894" w:rsidRPr="00B01894" w:rsidRDefault="00B01894" w:rsidP="00B01894">
      <w:pPr>
        <w:widowControl w:val="0"/>
        <w:numPr>
          <w:ilvl w:val="0"/>
          <w:numId w:val="11"/>
        </w:numPr>
        <w:tabs>
          <w:tab w:val="left" w:pos="629"/>
        </w:tabs>
        <w:spacing w:line="250" w:lineRule="exact"/>
        <w:ind w:firstLine="340"/>
        <w:jc w:val="left"/>
        <w:rPr>
          <w:rFonts w:ascii="Bookman Old Style" w:eastAsia="Bookman Old Style" w:hAnsi="Bookman Old Style" w:cs="Bookman Old Style"/>
          <w:color w:val="FF0000"/>
          <w:sz w:val="18"/>
          <w:szCs w:val="18"/>
        </w:rPr>
      </w:pPr>
      <w:r w:rsidRPr="00B01894">
        <w:rPr>
          <w:rFonts w:ascii="Bookman Old Style" w:eastAsia="Bookman Old Style" w:hAnsi="Bookman Old Style" w:cs="Bookman Old Style"/>
          <w:color w:val="FF0000"/>
          <w:sz w:val="18"/>
          <w:szCs w:val="18"/>
        </w:rPr>
        <w:t>нерегулируемость электронной сферы продаж;</w:t>
      </w:r>
    </w:p>
    <w:p w14:paraId="19740ECC" w14:textId="77777777" w:rsidR="00B01894" w:rsidRPr="00B01894" w:rsidRDefault="00B01894" w:rsidP="00B01894">
      <w:pPr>
        <w:widowControl w:val="0"/>
        <w:numPr>
          <w:ilvl w:val="0"/>
          <w:numId w:val="11"/>
        </w:numPr>
        <w:tabs>
          <w:tab w:val="left" w:pos="629"/>
        </w:tabs>
        <w:spacing w:line="250" w:lineRule="exact"/>
        <w:ind w:firstLine="340"/>
        <w:jc w:val="left"/>
        <w:rPr>
          <w:rFonts w:ascii="Bookman Old Style" w:eastAsia="Bookman Old Style" w:hAnsi="Bookman Old Style" w:cs="Bookman Old Style"/>
          <w:color w:val="FF0000"/>
          <w:sz w:val="18"/>
          <w:szCs w:val="18"/>
        </w:rPr>
      </w:pPr>
      <w:r w:rsidRPr="00B01894">
        <w:rPr>
          <w:rFonts w:ascii="Bookman Old Style" w:eastAsia="Bookman Old Style" w:hAnsi="Bookman Old Style" w:cs="Bookman Old Style"/>
          <w:color w:val="FF0000"/>
          <w:sz w:val="18"/>
          <w:szCs w:val="18"/>
        </w:rPr>
        <w:t>отсутствие видимых успехов в борьбе с нарушением техноло</w:t>
      </w:r>
      <w:r w:rsidRPr="00B01894">
        <w:rPr>
          <w:rFonts w:ascii="Bookman Old Style" w:eastAsia="Bookman Old Style" w:hAnsi="Bookman Old Style" w:cs="Bookman Old Style"/>
          <w:color w:val="FF0000"/>
          <w:sz w:val="18"/>
          <w:szCs w:val="18"/>
        </w:rPr>
        <w:softHyphen/>
        <w:t>гической защиты интеллектуальной собственности;</w:t>
      </w:r>
    </w:p>
    <w:p w14:paraId="146871B1" w14:textId="77777777" w:rsidR="00B01894" w:rsidRPr="00B01894" w:rsidRDefault="00B01894" w:rsidP="00B01894">
      <w:pPr>
        <w:widowControl w:val="0"/>
        <w:numPr>
          <w:ilvl w:val="0"/>
          <w:numId w:val="11"/>
        </w:numPr>
        <w:tabs>
          <w:tab w:val="left" w:pos="629"/>
        </w:tabs>
        <w:spacing w:line="250" w:lineRule="exact"/>
        <w:ind w:firstLine="340"/>
        <w:jc w:val="left"/>
        <w:rPr>
          <w:rFonts w:ascii="Bookman Old Style" w:eastAsia="Bookman Old Style" w:hAnsi="Bookman Old Style" w:cs="Bookman Old Style"/>
          <w:color w:val="FF0000"/>
          <w:sz w:val="18"/>
          <w:szCs w:val="18"/>
        </w:rPr>
      </w:pPr>
      <w:r w:rsidRPr="00B01894">
        <w:rPr>
          <w:rFonts w:ascii="Bookman Old Style" w:eastAsia="Bookman Old Style" w:hAnsi="Bookman Old Style" w:cs="Bookman Old Style"/>
          <w:color w:val="FF0000"/>
          <w:sz w:val="18"/>
          <w:szCs w:val="18"/>
        </w:rPr>
        <w:t>неотработанность практики расследований преступлений, связанных с нарушением прав на интеллектуальную собственность, недостаточность ресурсов и полномочий у правоохранительных ор</w:t>
      </w:r>
      <w:r w:rsidRPr="00B01894">
        <w:rPr>
          <w:rFonts w:ascii="Bookman Old Style" w:eastAsia="Bookman Old Style" w:hAnsi="Bookman Old Style" w:cs="Bookman Old Style"/>
          <w:color w:val="FF0000"/>
          <w:sz w:val="18"/>
          <w:szCs w:val="18"/>
        </w:rPr>
        <w:softHyphen/>
        <w:t>ганов для борьбы с преступлениями, связанными с интеллектуаль</w:t>
      </w:r>
      <w:r w:rsidRPr="00B01894">
        <w:rPr>
          <w:rFonts w:ascii="Bookman Old Style" w:eastAsia="Bookman Old Style" w:hAnsi="Bookman Old Style" w:cs="Bookman Old Style"/>
          <w:color w:val="FF0000"/>
          <w:sz w:val="18"/>
          <w:szCs w:val="18"/>
        </w:rPr>
        <w:softHyphen/>
        <w:t>ной собственностью.</w:t>
      </w:r>
    </w:p>
    <w:p w14:paraId="05DE5504" w14:textId="77777777" w:rsidR="00B01894" w:rsidRPr="00B01894" w:rsidRDefault="00B01894" w:rsidP="00B01894">
      <w:pPr>
        <w:widowControl w:val="0"/>
        <w:spacing w:line="250" w:lineRule="exact"/>
        <w:ind w:firstLine="340"/>
        <w:rPr>
          <w:rFonts w:ascii="Bookman Old Style" w:eastAsia="Bookman Old Style" w:hAnsi="Bookman Old Style" w:cs="Bookman Old Style"/>
          <w:color w:val="C00000"/>
          <w:sz w:val="18"/>
          <w:szCs w:val="18"/>
        </w:rPr>
      </w:pPr>
      <w:r w:rsidRPr="00B01894">
        <w:rPr>
          <w:rFonts w:ascii="Bookman Old Style" w:eastAsia="Bookman Old Style" w:hAnsi="Bookman Old Style" w:cs="Bookman Old Style"/>
          <w:color w:val="C00000"/>
          <w:sz w:val="18"/>
          <w:szCs w:val="18"/>
        </w:rPr>
        <w:t>Вместе с тем отмечается некоторый прогресс в области охраны интеллектуальной собственности, в частности принятие закона о создании специального суда по интеллектуальным правам, вне</w:t>
      </w:r>
      <w:r w:rsidRPr="00B01894">
        <w:rPr>
          <w:rFonts w:ascii="Bookman Old Style" w:eastAsia="Bookman Old Style" w:hAnsi="Bookman Old Style" w:cs="Bookman Old Style"/>
          <w:color w:val="C00000"/>
          <w:sz w:val="18"/>
          <w:szCs w:val="18"/>
        </w:rPr>
        <w:softHyphen/>
        <w:t>сение поправок в Уголовный кодекс РФ</w:t>
      </w:r>
      <w:r w:rsidRPr="00B01894">
        <w:rPr>
          <w:rFonts w:ascii="Bookman Old Style" w:eastAsia="Bookman Old Style" w:hAnsi="Bookman Old Style" w:cs="Bookman Old Style"/>
          <w:color w:val="C00000"/>
          <w:sz w:val="18"/>
          <w:szCs w:val="18"/>
          <w:vertAlign w:val="superscript"/>
        </w:rPr>
        <w:t>1</w:t>
      </w:r>
      <w:r w:rsidRPr="00B01894">
        <w:rPr>
          <w:rFonts w:ascii="Bookman Old Style" w:eastAsia="Bookman Old Style" w:hAnsi="Bookman Old Style" w:cs="Bookman Old Style"/>
          <w:color w:val="C00000"/>
          <w:sz w:val="18"/>
          <w:szCs w:val="18"/>
        </w:rPr>
        <w:t>, усиливающих ответствен</w:t>
      </w:r>
      <w:r w:rsidRPr="00B01894">
        <w:rPr>
          <w:rFonts w:ascii="Bookman Old Style" w:eastAsia="Bookman Old Style" w:hAnsi="Bookman Old Style" w:cs="Bookman Old Style"/>
          <w:color w:val="C00000"/>
          <w:sz w:val="18"/>
          <w:szCs w:val="18"/>
        </w:rPr>
        <w:softHyphen/>
        <w:t>ность за нарушение прав на интеллектуальную собственность; за</w:t>
      </w:r>
      <w:r w:rsidRPr="00B01894">
        <w:rPr>
          <w:rFonts w:ascii="Bookman Old Style" w:eastAsia="Bookman Old Style" w:hAnsi="Bookman Old Style" w:cs="Bookman Old Style"/>
          <w:color w:val="C00000"/>
          <w:sz w:val="18"/>
          <w:szCs w:val="18"/>
        </w:rPr>
        <w:softHyphen/>
        <w:t>крытие заводов, производивших контрафактную продукцию, и пр. Но всего этого явно недостаточно для того, чтобы Россия вошла в зону доверия для стратегического инвестора.</w:t>
      </w:r>
    </w:p>
    <w:p w14:paraId="3D703965"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Помимо неопределенности прав собственности можно выделить следующие принципиальные претензии инвесторов:</w:t>
      </w:r>
    </w:p>
    <w:p w14:paraId="1556A159" w14:textId="77777777" w:rsidR="00B01894" w:rsidRPr="00B01894" w:rsidRDefault="00B01894" w:rsidP="00B01894">
      <w:pPr>
        <w:widowControl w:val="0"/>
        <w:numPr>
          <w:ilvl w:val="0"/>
          <w:numId w:val="11"/>
        </w:numPr>
        <w:tabs>
          <w:tab w:val="left" w:pos="62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FF0000"/>
          <w:sz w:val="18"/>
          <w:szCs w:val="18"/>
        </w:rPr>
        <w:t>неразвитость и нестабильность институтов власти, что по</w:t>
      </w:r>
      <w:r w:rsidRPr="00B01894">
        <w:rPr>
          <w:rFonts w:ascii="Bookman Old Style" w:eastAsia="Bookman Old Style" w:hAnsi="Bookman Old Style" w:cs="Bookman Old Style"/>
          <w:color w:val="FF0000"/>
          <w:sz w:val="18"/>
          <w:szCs w:val="18"/>
        </w:rPr>
        <w:softHyphen/>
        <w:t xml:space="preserve">рождает </w:t>
      </w:r>
      <w:r w:rsidRPr="00B01894">
        <w:rPr>
          <w:rFonts w:ascii="Bookman Old Style" w:eastAsia="Bookman Old Style" w:hAnsi="Bookman Old Style" w:cs="Bookman Old Style"/>
          <w:color w:val="00B050"/>
          <w:sz w:val="18"/>
          <w:szCs w:val="18"/>
        </w:rPr>
        <w:t>достаточно</w:t>
      </w:r>
      <w:r w:rsidRPr="00B01894">
        <w:rPr>
          <w:rFonts w:ascii="Bookman Old Style" w:eastAsia="Bookman Old Style" w:hAnsi="Bookman Old Style" w:cs="Bookman Old Style"/>
          <w:color w:val="231F20"/>
          <w:sz w:val="18"/>
          <w:szCs w:val="18"/>
        </w:rPr>
        <w:t xml:space="preserve"> высокий уровень коррупции и полулегальность </w:t>
      </w:r>
      <w:r w:rsidRPr="00B01894">
        <w:rPr>
          <w:rFonts w:ascii="Bookman Old Style" w:eastAsia="Bookman Old Style" w:hAnsi="Bookman Old Style" w:cs="Bookman Old Style"/>
          <w:color w:val="00B050"/>
          <w:sz w:val="18"/>
          <w:szCs w:val="18"/>
        </w:rPr>
        <w:t xml:space="preserve">некоторых </w:t>
      </w:r>
      <w:r w:rsidRPr="00B01894">
        <w:rPr>
          <w:rFonts w:ascii="Bookman Old Style" w:eastAsia="Bookman Old Style" w:hAnsi="Bookman Old Style" w:cs="Bookman Old Style"/>
          <w:color w:val="231F20"/>
          <w:sz w:val="18"/>
          <w:szCs w:val="18"/>
        </w:rPr>
        <w:t>экономи</w:t>
      </w:r>
      <w:r w:rsidRPr="00B01894">
        <w:rPr>
          <w:rFonts w:ascii="Bookman Old Style" w:eastAsia="Bookman Old Style" w:hAnsi="Bookman Old Style" w:cs="Bookman Old Style"/>
          <w:color w:val="231F20"/>
          <w:sz w:val="18"/>
          <w:szCs w:val="18"/>
        </w:rPr>
        <w:softHyphen/>
        <w:t>ческих процессов в стране;</w:t>
      </w:r>
    </w:p>
    <w:p w14:paraId="37789C03" w14:textId="77777777" w:rsidR="00B01894" w:rsidRPr="00B01894" w:rsidRDefault="00B01894" w:rsidP="00B01894">
      <w:pPr>
        <w:widowControl w:val="0"/>
        <w:numPr>
          <w:ilvl w:val="0"/>
          <w:numId w:val="11"/>
        </w:numPr>
        <w:tabs>
          <w:tab w:val="left" w:pos="629"/>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низкие, в отличие от многих активно развивающихся стран, экономические показатели роста ВВП и его неэффективная каче</w:t>
      </w:r>
      <w:r w:rsidRPr="00B01894">
        <w:rPr>
          <w:rFonts w:ascii="Bookman Old Style" w:eastAsia="Bookman Old Style" w:hAnsi="Bookman Old Style" w:cs="Bookman Old Style"/>
          <w:color w:val="231F20"/>
          <w:sz w:val="18"/>
          <w:szCs w:val="18"/>
        </w:rPr>
        <w:softHyphen/>
        <w:t>ственная структура, следствием чего является недостаточный уровень доходов населения для формирования устойчивого платеже</w:t>
      </w:r>
      <w:r w:rsidRPr="00B01894">
        <w:rPr>
          <w:rFonts w:ascii="Bookman Old Style" w:eastAsia="Bookman Old Style" w:hAnsi="Bookman Old Style" w:cs="Bookman Old Style"/>
          <w:color w:val="231F20"/>
          <w:sz w:val="18"/>
          <w:szCs w:val="18"/>
        </w:rPr>
        <w:softHyphen/>
        <w:t>способного спроса;</w:t>
      </w:r>
      <w:r w:rsidRPr="00B01894">
        <w:rPr>
          <w:rFonts w:ascii="Bookman Old Style" w:eastAsia="Bookman Old Style" w:hAnsi="Bookman Old Style" w:cs="Bookman Old Style"/>
          <w:color w:val="231F20"/>
          <w:sz w:val="18"/>
          <w:szCs w:val="18"/>
          <w:vertAlign w:val="superscript"/>
        </w:rPr>
        <w:t xml:space="preserve"> </w:t>
      </w:r>
      <w:r w:rsidRPr="00B01894">
        <w:rPr>
          <w:rFonts w:ascii="Bookman Old Style" w:eastAsia="Bookman Old Style" w:hAnsi="Bookman Old Style" w:cs="Bookman Old Style"/>
          <w:color w:val="00B050"/>
          <w:sz w:val="18"/>
          <w:szCs w:val="18"/>
          <w:vertAlign w:val="superscript"/>
        </w:rPr>
        <w:footnoteReference w:id="14"/>
      </w:r>
    </w:p>
    <w:p w14:paraId="29060046" w14:textId="77777777" w:rsidR="00B01894" w:rsidRPr="00B01894" w:rsidRDefault="00B01894" w:rsidP="00B01894">
      <w:pPr>
        <w:widowControl w:val="0"/>
        <w:numPr>
          <w:ilvl w:val="0"/>
          <w:numId w:val="22"/>
        </w:numPr>
        <w:tabs>
          <w:tab w:val="left" w:pos="63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слабый уровень развития общей рыночной инфраструктуры;</w:t>
      </w:r>
    </w:p>
    <w:p w14:paraId="66454775" w14:textId="77777777" w:rsidR="00B01894" w:rsidRPr="00B01894" w:rsidRDefault="00B01894" w:rsidP="00B01894">
      <w:pPr>
        <w:widowControl w:val="0"/>
        <w:numPr>
          <w:ilvl w:val="0"/>
          <w:numId w:val="22"/>
        </w:numPr>
        <w:tabs>
          <w:tab w:val="left" w:pos="63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C00000"/>
          <w:sz w:val="18"/>
          <w:szCs w:val="18"/>
        </w:rPr>
        <w:lastRenderedPageBreak/>
        <w:t>неполную</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00B050"/>
          <w:sz w:val="18"/>
          <w:szCs w:val="18"/>
        </w:rPr>
        <w:t>неполная</w:t>
      </w:r>
      <w:r w:rsidRPr="00B01894">
        <w:rPr>
          <w:rFonts w:ascii="Bookman Old Style" w:eastAsia="Bookman Old Style" w:hAnsi="Bookman Old Style" w:cs="Bookman Old Style"/>
          <w:color w:val="231F20"/>
          <w:sz w:val="18"/>
          <w:szCs w:val="18"/>
        </w:rPr>
        <w:t xml:space="preserve"> конвертируемость рубля;</w:t>
      </w:r>
    </w:p>
    <w:p w14:paraId="0AD33F08" w14:textId="77777777" w:rsidR="00B01894" w:rsidRPr="00B01894" w:rsidRDefault="00B01894" w:rsidP="00B01894">
      <w:pPr>
        <w:widowControl w:val="0"/>
        <w:numPr>
          <w:ilvl w:val="0"/>
          <w:numId w:val="22"/>
        </w:numPr>
        <w:tabs>
          <w:tab w:val="left" w:pos="63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C00000"/>
          <w:sz w:val="18"/>
          <w:szCs w:val="18"/>
        </w:rPr>
        <w:t>высокую</w:t>
      </w:r>
      <w:r w:rsidRPr="00B01894">
        <w:rPr>
          <w:rFonts w:ascii="Bookman Old Style" w:eastAsia="Bookman Old Style" w:hAnsi="Bookman Old Style" w:cs="Bookman Old Style"/>
          <w:color w:val="231F20"/>
          <w:sz w:val="18"/>
          <w:szCs w:val="18"/>
        </w:rPr>
        <w:t xml:space="preserve"> высокая цена </w:t>
      </w:r>
      <w:r w:rsidRPr="00B01894">
        <w:rPr>
          <w:rFonts w:ascii="Bookman Old Style" w:eastAsia="Bookman Old Style" w:hAnsi="Bookman Old Style" w:cs="Bookman Old Style"/>
          <w:color w:val="C00000"/>
          <w:sz w:val="18"/>
          <w:szCs w:val="18"/>
        </w:rPr>
        <w:t>цену</w:t>
      </w:r>
      <w:r w:rsidRPr="00B01894">
        <w:rPr>
          <w:rFonts w:ascii="Bookman Old Style" w:eastAsia="Bookman Old Style" w:hAnsi="Bookman Old Style" w:cs="Bookman Old Style"/>
          <w:color w:val="231F20"/>
          <w:sz w:val="18"/>
          <w:szCs w:val="18"/>
        </w:rPr>
        <w:t xml:space="preserve"> входа на рынок вследствие общей монополи</w:t>
      </w:r>
      <w:r w:rsidRPr="00B01894">
        <w:rPr>
          <w:rFonts w:ascii="Bookman Old Style" w:eastAsia="Bookman Old Style" w:hAnsi="Bookman Old Style" w:cs="Bookman Old Style"/>
          <w:color w:val="231F20"/>
          <w:sz w:val="18"/>
          <w:szCs w:val="18"/>
        </w:rPr>
        <w:softHyphen/>
        <w:t>зации;</w:t>
      </w:r>
    </w:p>
    <w:p w14:paraId="6525BC1E" w14:textId="77777777" w:rsidR="00B01894" w:rsidRPr="00B01894" w:rsidRDefault="00B01894" w:rsidP="00B01894">
      <w:pPr>
        <w:widowControl w:val="0"/>
        <w:numPr>
          <w:ilvl w:val="0"/>
          <w:numId w:val="22"/>
        </w:numPr>
        <w:tabs>
          <w:tab w:val="left" w:pos="63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C00000"/>
          <w:sz w:val="18"/>
          <w:szCs w:val="18"/>
        </w:rPr>
        <w:t>неэффективность</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00B050"/>
          <w:sz w:val="18"/>
          <w:szCs w:val="18"/>
        </w:rPr>
        <w:t>недостаточность</w:t>
      </w:r>
      <w:r w:rsidRPr="00B01894">
        <w:rPr>
          <w:rFonts w:ascii="Bookman Old Style" w:eastAsia="Bookman Old Style" w:hAnsi="Bookman Old Style" w:cs="Bookman Old Style"/>
          <w:color w:val="231F20"/>
          <w:sz w:val="18"/>
          <w:szCs w:val="18"/>
        </w:rPr>
        <w:t xml:space="preserve"> институциональной базы стимулирования и защиты инвестиций.</w:t>
      </w:r>
    </w:p>
    <w:p w14:paraId="73AEBD29"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Синергетическое воздействие этих факторов инвестиционного климата приводит к тому, что Россия </w:t>
      </w:r>
      <w:r w:rsidRPr="00B01894">
        <w:rPr>
          <w:rFonts w:ascii="Bookman Old Style" w:eastAsia="Bookman Old Style" w:hAnsi="Bookman Old Style" w:cs="Bookman Old Style"/>
          <w:color w:val="00B050"/>
          <w:sz w:val="18"/>
          <w:szCs w:val="18"/>
        </w:rPr>
        <w:t>часто</w:t>
      </w:r>
      <w:r w:rsidRPr="00B01894">
        <w:rPr>
          <w:rFonts w:ascii="Bookman Old Style" w:eastAsia="Bookman Old Style" w:hAnsi="Bookman Old Style" w:cs="Bookman Old Style"/>
          <w:color w:val="231F20"/>
          <w:sz w:val="18"/>
          <w:szCs w:val="18"/>
        </w:rPr>
        <w:t xml:space="preserve"> не рассматривается как страна для стратегических вложений ни внутренними, ни иностранными инвесторами, поэтому капитал, приходящий в страну, в основном имеет заемный характер и не способствует модернизации промыш</w:t>
      </w:r>
      <w:r w:rsidRPr="00B01894">
        <w:rPr>
          <w:rFonts w:ascii="Bookman Old Style" w:eastAsia="Bookman Old Style" w:hAnsi="Bookman Old Style" w:cs="Bookman Old Style"/>
          <w:color w:val="231F20"/>
          <w:sz w:val="18"/>
          <w:szCs w:val="18"/>
        </w:rPr>
        <w:softHyphen/>
        <w:t>ленности. Трансфер технологий наиболее вероятен при непосред</w:t>
      </w:r>
      <w:r w:rsidRPr="00B01894">
        <w:rPr>
          <w:rFonts w:ascii="Bookman Old Style" w:eastAsia="Bookman Old Style" w:hAnsi="Bookman Old Style" w:cs="Bookman Old Style"/>
          <w:color w:val="231F20"/>
          <w:sz w:val="18"/>
          <w:szCs w:val="18"/>
        </w:rPr>
        <w:softHyphen/>
        <w:t>ственных вложениях в основные фонды, причем вопреки всеобщему мнению для технологического перевооружения совсем необяза</w:t>
      </w:r>
      <w:r w:rsidRPr="00B01894">
        <w:rPr>
          <w:rFonts w:ascii="Bookman Old Style" w:eastAsia="Bookman Old Style" w:hAnsi="Bookman Old Style" w:cs="Bookman Old Style"/>
          <w:color w:val="231F20"/>
          <w:sz w:val="18"/>
          <w:szCs w:val="18"/>
        </w:rPr>
        <w:softHyphen/>
        <w:t>тельно наличие исключительно прямых иностранных инвестиций, возможности портфельных инвестиций здесь несопоставимо шире. Это обусловлено двумя факторами:</w:t>
      </w:r>
    </w:p>
    <w:p w14:paraId="119BCE2D" w14:textId="77777777" w:rsidR="00B01894" w:rsidRPr="00B01894" w:rsidRDefault="00B01894" w:rsidP="00B01894">
      <w:pPr>
        <w:widowControl w:val="0"/>
        <w:numPr>
          <w:ilvl w:val="0"/>
          <w:numId w:val="23"/>
        </w:numPr>
        <w:tabs>
          <w:tab w:val="left" w:pos="63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существует общая тенденция вытеснения прямых инвести</w:t>
      </w:r>
      <w:r w:rsidRPr="00B01894">
        <w:rPr>
          <w:rFonts w:ascii="Bookman Old Style" w:eastAsia="Bookman Old Style" w:hAnsi="Bookman Old Style" w:cs="Bookman Old Style"/>
          <w:color w:val="231F20"/>
          <w:sz w:val="18"/>
          <w:szCs w:val="18"/>
        </w:rPr>
        <w:softHyphen/>
        <w:t>ций портфельными по мере развития фондового рынка страны;</w:t>
      </w:r>
    </w:p>
    <w:p w14:paraId="214146A0" w14:textId="77777777" w:rsidR="00B01894" w:rsidRPr="00B01894" w:rsidRDefault="00B01894" w:rsidP="00B01894">
      <w:pPr>
        <w:widowControl w:val="0"/>
        <w:numPr>
          <w:ilvl w:val="0"/>
          <w:numId w:val="23"/>
        </w:numPr>
        <w:tabs>
          <w:tab w:val="left" w:pos="63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крупные производства организованы в большинстве своем в виде корпораций, соответственно, привлечение капитала в фор</w:t>
      </w:r>
      <w:r w:rsidRPr="00B01894">
        <w:rPr>
          <w:rFonts w:ascii="Bookman Old Style" w:eastAsia="Bookman Old Style" w:hAnsi="Bookman Old Style" w:cs="Bookman Old Style"/>
          <w:color w:val="231F20"/>
          <w:sz w:val="18"/>
          <w:szCs w:val="18"/>
        </w:rPr>
        <w:softHyphen/>
        <w:t>ме продажи акций есть самый естественный способ привлечения капитала.</w:t>
      </w:r>
    </w:p>
    <w:p w14:paraId="603F3D64"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вопросах развития портфельного инвестирования в Россий</w:t>
      </w:r>
      <w:r w:rsidRPr="00B01894">
        <w:rPr>
          <w:rFonts w:ascii="Bookman Old Style" w:eastAsia="Bookman Old Style" w:hAnsi="Bookman Old Style" w:cs="Bookman Old Style"/>
          <w:color w:val="231F20"/>
          <w:sz w:val="18"/>
          <w:szCs w:val="18"/>
        </w:rPr>
        <w:softHyphen/>
        <w:t>ской Федерации также накопилось множество проблем, главные из которых связаны опять же с неразвитостью рыночных институ</w:t>
      </w:r>
      <w:r w:rsidRPr="00B01894">
        <w:rPr>
          <w:rFonts w:ascii="Bookman Old Style" w:eastAsia="Bookman Old Style" w:hAnsi="Bookman Old Style" w:cs="Bookman Old Style"/>
          <w:color w:val="231F20"/>
          <w:sz w:val="18"/>
          <w:szCs w:val="18"/>
        </w:rPr>
        <w:softHyphen/>
        <w:t>тов фондового рынка. Это и пробелы в законодательстве, не обеспе</w:t>
      </w:r>
      <w:r w:rsidRPr="00B01894">
        <w:rPr>
          <w:rFonts w:ascii="Bookman Old Style" w:eastAsia="Bookman Old Style" w:hAnsi="Bookman Old Style" w:cs="Bookman Old Style"/>
          <w:color w:val="231F20"/>
          <w:sz w:val="18"/>
          <w:szCs w:val="18"/>
        </w:rPr>
        <w:softHyphen/>
        <w:t>чивающем должную защиту прав акционеров, и «молодость» финан</w:t>
      </w:r>
      <w:r w:rsidRPr="00B01894">
        <w:rPr>
          <w:rFonts w:ascii="Bookman Old Style" w:eastAsia="Bookman Old Style" w:hAnsi="Bookman Old Style" w:cs="Bookman Old Style"/>
          <w:color w:val="231F20"/>
          <w:sz w:val="18"/>
          <w:szCs w:val="18"/>
        </w:rPr>
        <w:softHyphen/>
        <w:t>совой инфраструктуры, не имеющей авторитета на международном рынке, и избирательность и часто произвольность правопримени</w:t>
      </w:r>
      <w:r w:rsidRPr="00B01894">
        <w:rPr>
          <w:rFonts w:ascii="Bookman Old Style" w:eastAsia="Bookman Old Style" w:hAnsi="Bookman Old Style" w:cs="Bookman Old Style"/>
          <w:color w:val="231F20"/>
          <w:sz w:val="18"/>
          <w:szCs w:val="18"/>
        </w:rPr>
        <w:softHyphen/>
        <w:t>тельной практики и т. д. В результате портфельное инвестирование в России нацелено на извлечение «быстрой» спекулятивной прибы</w:t>
      </w:r>
      <w:r w:rsidRPr="00B01894">
        <w:rPr>
          <w:rFonts w:ascii="Bookman Old Style" w:eastAsia="Bookman Old Style" w:hAnsi="Bookman Old Style" w:cs="Bookman Old Style"/>
          <w:color w:val="231F20"/>
          <w:sz w:val="18"/>
          <w:szCs w:val="18"/>
        </w:rPr>
        <w:softHyphen/>
        <w:t>ли, объемы инвестирования крайне малы и при незначительных колебаниях доходности капитал «убегает» в более стабильные ре</w:t>
      </w:r>
      <w:r w:rsidRPr="00B01894">
        <w:rPr>
          <w:rFonts w:ascii="Bookman Old Style" w:eastAsia="Bookman Old Style" w:hAnsi="Bookman Old Style" w:cs="Bookman Old Style"/>
          <w:color w:val="231F20"/>
          <w:sz w:val="18"/>
          <w:szCs w:val="18"/>
        </w:rPr>
        <w:softHyphen/>
        <w:t>гионы. Несмотря на достаточно серьезное формальное противодей</w:t>
      </w:r>
      <w:r w:rsidRPr="00B01894">
        <w:rPr>
          <w:rFonts w:ascii="Bookman Old Style" w:eastAsia="Bookman Old Style" w:hAnsi="Bookman Old Style" w:cs="Bookman Old Style"/>
          <w:color w:val="231F20"/>
          <w:sz w:val="18"/>
          <w:szCs w:val="18"/>
        </w:rPr>
        <w:softHyphen/>
        <w:t>ствие оттоку капитала, фактически все преграды успешно преодо</w:t>
      </w:r>
      <w:r w:rsidRPr="00B01894">
        <w:rPr>
          <w:rFonts w:ascii="Bookman Old Style" w:eastAsia="Bookman Old Style" w:hAnsi="Bookman Old Style" w:cs="Bookman Old Style"/>
          <w:color w:val="231F20"/>
          <w:sz w:val="18"/>
          <w:szCs w:val="18"/>
        </w:rPr>
        <w:softHyphen/>
        <w:t>леваются, более того, чем жестче регулируется миграция капитала, тем меньше инвесторы склонны рисковать ресурсами.</w:t>
      </w:r>
    </w:p>
    <w:p w14:paraId="75231A4A"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Достаточно серьезной проблемой является ситуация, связанная с существованием неформальных правил в экономике. Деловая этика в России </w:t>
      </w:r>
      <w:r w:rsidRPr="00B01894">
        <w:rPr>
          <w:rFonts w:ascii="Bookman Old Style" w:eastAsia="Bookman Old Style" w:hAnsi="Bookman Old Style" w:cs="Bookman Old Style"/>
          <w:color w:val="00B050"/>
          <w:sz w:val="18"/>
          <w:szCs w:val="18"/>
        </w:rPr>
        <w:t xml:space="preserve">до сих пор </w:t>
      </w:r>
      <w:r w:rsidRPr="00B01894">
        <w:rPr>
          <w:rFonts w:ascii="Bookman Old Style" w:eastAsia="Bookman Old Style" w:hAnsi="Bookman Old Style" w:cs="Bookman Old Style"/>
          <w:color w:val="231F20"/>
          <w:sz w:val="18"/>
          <w:szCs w:val="18"/>
        </w:rPr>
        <w:t>находится на этапе начального развития. Историче</w:t>
      </w:r>
      <w:r w:rsidRPr="00B01894">
        <w:rPr>
          <w:rFonts w:ascii="Bookman Old Style" w:eastAsia="Bookman Old Style" w:hAnsi="Bookman Old Style" w:cs="Bookman Old Style"/>
          <w:color w:val="231F20"/>
          <w:sz w:val="18"/>
          <w:szCs w:val="18"/>
        </w:rPr>
        <w:softHyphen/>
        <w:t>ский разрыв, который присутствует в этой сфере со времени слома командно-административной системы хозяйствования, еще очень долго будет давать о себе знать. Проблема нехватки деловой эти</w:t>
      </w:r>
      <w:r w:rsidRPr="00B01894">
        <w:rPr>
          <w:rFonts w:ascii="Bookman Old Style" w:eastAsia="Bookman Old Style" w:hAnsi="Bookman Old Style" w:cs="Bookman Old Style"/>
          <w:color w:val="231F20"/>
          <w:sz w:val="18"/>
          <w:szCs w:val="18"/>
        </w:rPr>
        <w:softHyphen/>
        <w:t>ки российского бизнеса во многом является проблемой социальной и деловой элиты общества. На сегодняшний день вследствие отсут</w:t>
      </w:r>
      <w:r w:rsidRPr="00B01894">
        <w:rPr>
          <w:rFonts w:ascii="Bookman Old Style" w:eastAsia="Bookman Old Style" w:hAnsi="Bookman Old Style" w:cs="Bookman Old Style"/>
          <w:color w:val="231F20"/>
          <w:sz w:val="18"/>
          <w:szCs w:val="18"/>
        </w:rPr>
        <w:softHyphen/>
        <w:t>ствия «социальных лифтов», клановости и коррупционности рос</w:t>
      </w:r>
      <w:r w:rsidRPr="00B01894">
        <w:rPr>
          <w:rFonts w:ascii="Bookman Old Style" w:eastAsia="Bookman Old Style" w:hAnsi="Bookman Old Style" w:cs="Bookman Old Style"/>
          <w:color w:val="231F20"/>
          <w:sz w:val="18"/>
          <w:szCs w:val="18"/>
        </w:rPr>
        <w:softHyphen/>
        <w:t xml:space="preserve">сийская элита ригидна и </w:t>
      </w:r>
      <w:r w:rsidRPr="00B01894">
        <w:rPr>
          <w:rFonts w:ascii="Bookman Old Style" w:eastAsia="Bookman Old Style" w:hAnsi="Bookman Old Style" w:cs="Bookman Old Style"/>
          <w:color w:val="231F20"/>
          <w:sz w:val="18"/>
          <w:szCs w:val="18"/>
        </w:rPr>
        <w:lastRenderedPageBreak/>
        <w:t>глубоко преемственна. Первое поколение бизнесменов начала рыночных преобразований либо представля</w:t>
      </w:r>
      <w:r w:rsidRPr="00B01894">
        <w:rPr>
          <w:rFonts w:ascii="Bookman Old Style" w:eastAsia="Bookman Old Style" w:hAnsi="Bookman Old Style" w:cs="Bookman Old Style"/>
          <w:color w:val="231F20"/>
          <w:sz w:val="18"/>
          <w:szCs w:val="18"/>
        </w:rPr>
        <w:softHyphen/>
        <w:t>ло собой в большинстве своем представителей черного или серого рынка, либо являлось носителями обычаев советской бюрократии. Законы предпринимательской чести, репутации и порядочности не были присущи этим слоям постсоветского общества, поскольку в советское время заниматься бизнесом в любых его формах было, во-первых, противозаконно, а, во-вторых, в интеллектуальных кру</w:t>
      </w:r>
      <w:r w:rsidRPr="00B01894">
        <w:rPr>
          <w:rFonts w:ascii="Bookman Old Style" w:eastAsia="Bookman Old Style" w:hAnsi="Bookman Old Style" w:cs="Bookman Old Style"/>
          <w:color w:val="231F20"/>
          <w:sz w:val="18"/>
          <w:szCs w:val="18"/>
        </w:rPr>
        <w:softHyphen/>
        <w:t>гах считалось зазорным, ниже человеческого достоинства. Отсюда и общественное представление о бизнесменах как о жаждущих на</w:t>
      </w:r>
      <w:r w:rsidRPr="00B01894">
        <w:rPr>
          <w:rFonts w:ascii="Bookman Old Style" w:eastAsia="Bookman Old Style" w:hAnsi="Bookman Old Style" w:cs="Bookman Old Style"/>
          <w:color w:val="231F20"/>
          <w:sz w:val="18"/>
          <w:szCs w:val="18"/>
        </w:rPr>
        <w:softHyphen/>
        <w:t>живы беспринципных рвачах, а социальные ожидания, как извест</w:t>
      </w:r>
      <w:r w:rsidRPr="00B01894">
        <w:rPr>
          <w:rFonts w:ascii="Bookman Old Style" w:eastAsia="Bookman Old Style" w:hAnsi="Bookman Old Style" w:cs="Bookman Old Style"/>
          <w:color w:val="231F20"/>
          <w:sz w:val="18"/>
          <w:szCs w:val="18"/>
        </w:rPr>
        <w:softHyphen/>
        <w:t>но, всегда материализуются. Нормы делового общения, принятые в элите, задают социальную шкалу оценок поведения. Социальная оценка выполняет функцию социального стимула (позитивного или негативного), предопределяющего этические правила и нормы в бизнесе. Современная российская деловая элита как социальная группа воздействует на общественное сознание, навязывая специ</w:t>
      </w:r>
      <w:r w:rsidRPr="00B01894">
        <w:rPr>
          <w:rFonts w:ascii="Bookman Old Style" w:eastAsia="Bookman Old Style" w:hAnsi="Bookman Old Style" w:cs="Bookman Old Style"/>
          <w:color w:val="231F20"/>
          <w:sz w:val="18"/>
          <w:szCs w:val="18"/>
        </w:rPr>
        <w:softHyphen/>
        <w:t xml:space="preserve">фические, </w:t>
      </w:r>
      <w:r w:rsidRPr="00B01894">
        <w:rPr>
          <w:rFonts w:ascii="Bookman Old Style" w:eastAsia="Bookman Old Style" w:hAnsi="Bookman Old Style" w:cs="Bookman Old Style"/>
          <w:color w:val="00B050"/>
          <w:sz w:val="18"/>
          <w:szCs w:val="18"/>
        </w:rPr>
        <w:t xml:space="preserve">часто полукриминальные </w:t>
      </w:r>
      <w:r w:rsidRPr="00B01894">
        <w:rPr>
          <w:rFonts w:ascii="Bookman Old Style" w:eastAsia="Bookman Old Style" w:hAnsi="Bookman Old Style" w:cs="Bookman Old Style"/>
          <w:color w:val="231F20"/>
          <w:sz w:val="18"/>
          <w:szCs w:val="18"/>
        </w:rPr>
        <w:t xml:space="preserve">правила деловых взаимоотношений </w:t>
      </w:r>
      <w:r w:rsidRPr="00B01894">
        <w:rPr>
          <w:rFonts w:ascii="Bookman Old Style" w:eastAsia="Bookman Old Style" w:hAnsi="Bookman Old Style" w:cs="Bookman Old Style"/>
          <w:color w:val="C00000"/>
          <w:sz w:val="18"/>
          <w:szCs w:val="18"/>
        </w:rPr>
        <w:t>и ориентируя на цен</w:t>
      </w:r>
      <w:r w:rsidRPr="00B01894">
        <w:rPr>
          <w:rFonts w:ascii="Bookman Old Style" w:eastAsia="Bookman Old Style" w:hAnsi="Bookman Old Style" w:cs="Bookman Old Style"/>
          <w:color w:val="C00000"/>
          <w:sz w:val="18"/>
          <w:szCs w:val="18"/>
        </w:rPr>
        <w:softHyphen/>
        <w:t>ности, к сожалению, соответствующие низшему преконвенцио- нальному (по Колберу) уровню развития моральных суждений</w:t>
      </w:r>
      <w:r w:rsidRPr="00B01894">
        <w:rPr>
          <w:rFonts w:ascii="Bookman Old Style" w:eastAsia="Bookman Old Style" w:hAnsi="Bookman Old Style" w:cs="Bookman Old Style"/>
          <w:color w:val="231F20"/>
          <w:sz w:val="18"/>
          <w:szCs w:val="18"/>
        </w:rPr>
        <w:t>.</w:t>
      </w:r>
    </w:p>
    <w:p w14:paraId="5EB4777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проанализировав условия стимулирования ин</w:t>
      </w:r>
      <w:r w:rsidRPr="00B01894">
        <w:rPr>
          <w:rFonts w:ascii="Bookman Old Style" w:eastAsia="Bookman Old Style" w:hAnsi="Bookman Old Style" w:cs="Bookman Old Style"/>
          <w:color w:val="231F20"/>
          <w:sz w:val="18"/>
          <w:szCs w:val="18"/>
        </w:rPr>
        <w:softHyphen/>
        <w:t xml:space="preserve">вестиционного процесса применительно к Российской Федерации, можно сделать вывод о том, что ситуация сложилась </w:t>
      </w:r>
      <w:r w:rsidRPr="00B01894">
        <w:rPr>
          <w:rFonts w:ascii="Bookman Old Style" w:eastAsia="Bookman Old Style" w:hAnsi="Bookman Old Style" w:cs="Bookman Old Style"/>
          <w:color w:val="00B050"/>
          <w:sz w:val="18"/>
          <w:szCs w:val="18"/>
        </w:rPr>
        <w:t xml:space="preserve">в целом </w:t>
      </w:r>
      <w:r w:rsidRPr="00B01894">
        <w:rPr>
          <w:rFonts w:ascii="Bookman Old Style" w:eastAsia="Bookman Old Style" w:hAnsi="Bookman Old Style" w:cs="Bookman Old Style"/>
          <w:color w:val="231F20"/>
          <w:sz w:val="18"/>
          <w:szCs w:val="18"/>
        </w:rPr>
        <w:t>неудовлетво</w:t>
      </w:r>
      <w:r w:rsidRPr="00B01894">
        <w:rPr>
          <w:rFonts w:ascii="Bookman Old Style" w:eastAsia="Bookman Old Style" w:hAnsi="Bookman Old Style" w:cs="Bookman Old Style"/>
          <w:color w:val="231F20"/>
          <w:sz w:val="18"/>
          <w:szCs w:val="18"/>
        </w:rPr>
        <w:softHyphen/>
        <w:t>рительная. На сегодняшний день внутренний инвестор предпочита</w:t>
      </w:r>
      <w:r w:rsidRPr="00B01894">
        <w:rPr>
          <w:rFonts w:ascii="Bookman Old Style" w:eastAsia="Bookman Old Style" w:hAnsi="Bookman Old Style" w:cs="Bookman Old Style"/>
          <w:color w:val="231F20"/>
          <w:sz w:val="18"/>
          <w:szCs w:val="18"/>
        </w:rPr>
        <w:softHyphen/>
        <w:t>ет «быстрые» проекты с большой доходностью, а главной причиной иностранного инвестирования в экономику России является доступ к ресурсам — в основном природным, а также в некоторых сфе</w:t>
      </w:r>
      <w:r w:rsidRPr="00B01894">
        <w:rPr>
          <w:rFonts w:ascii="Bookman Old Style" w:eastAsia="Bookman Old Style" w:hAnsi="Bookman Old Style" w:cs="Bookman Old Style"/>
          <w:color w:val="231F20"/>
          <w:sz w:val="18"/>
          <w:szCs w:val="18"/>
        </w:rPr>
        <w:softHyphen/>
        <w:t>рах — человеческим, интеллектуальным, технологическим. По дан</w:t>
      </w:r>
      <w:r w:rsidRPr="00B01894">
        <w:rPr>
          <w:rFonts w:ascii="Bookman Old Style" w:eastAsia="Bookman Old Style" w:hAnsi="Bookman Old Style" w:cs="Bookman Old Style"/>
          <w:color w:val="231F20"/>
          <w:sz w:val="18"/>
          <w:szCs w:val="18"/>
        </w:rPr>
        <w:softHyphen/>
        <w:t>ным Росстата, наибольший объем иностранных инвестиций скон</w:t>
      </w:r>
      <w:r w:rsidRPr="00B01894">
        <w:rPr>
          <w:rFonts w:ascii="Bookman Old Style" w:eastAsia="Bookman Old Style" w:hAnsi="Bookman Old Style" w:cs="Bookman Old Style"/>
          <w:color w:val="231F20"/>
          <w:sz w:val="18"/>
          <w:szCs w:val="18"/>
        </w:rPr>
        <w:softHyphen/>
        <w:t>центрирован в добывающих отраслях промышленности.</w:t>
      </w:r>
    </w:p>
    <w:p w14:paraId="4C58610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Стратегически процесс стимулирования инвестиционного про</w:t>
      </w:r>
      <w:r w:rsidRPr="00B01894">
        <w:rPr>
          <w:rFonts w:ascii="Bookman Old Style" w:eastAsia="Bookman Old Style" w:hAnsi="Bookman Old Style" w:cs="Bookman Old Style"/>
          <w:color w:val="231F20"/>
          <w:sz w:val="18"/>
          <w:szCs w:val="18"/>
        </w:rPr>
        <w:softHyphen/>
        <w:t>цесса напрямую зависит от усиления государства в плане испол</w:t>
      </w:r>
      <w:r w:rsidRPr="00B01894">
        <w:rPr>
          <w:rFonts w:ascii="Bookman Old Style" w:eastAsia="Bookman Old Style" w:hAnsi="Bookman Old Style" w:cs="Bookman Old Style"/>
          <w:color w:val="231F20"/>
          <w:sz w:val="18"/>
          <w:szCs w:val="18"/>
        </w:rPr>
        <w:softHyphen/>
        <w:t>нения его основных функций: создания рыночных «правил игры» и жестким контролем за их исполнением. Следует также понимать, что помимо создания соответствующих условий в условиях глоба</w:t>
      </w:r>
      <w:r w:rsidRPr="00B01894">
        <w:rPr>
          <w:rFonts w:ascii="Bookman Old Style" w:eastAsia="Bookman Old Style" w:hAnsi="Bookman Old Style" w:cs="Bookman Old Style"/>
          <w:color w:val="231F20"/>
          <w:sz w:val="18"/>
          <w:szCs w:val="18"/>
        </w:rPr>
        <w:softHyphen/>
        <w:t>лизации и нарастания конкуренции за международный капитал по</w:t>
      </w:r>
      <w:r w:rsidRPr="00B01894">
        <w:rPr>
          <w:rFonts w:ascii="Bookman Old Style" w:eastAsia="Bookman Old Style" w:hAnsi="Bookman Old Style" w:cs="Bookman Old Style"/>
          <w:color w:val="231F20"/>
          <w:sz w:val="18"/>
          <w:szCs w:val="18"/>
        </w:rPr>
        <w:softHyphen/>
        <w:t>литика государства должна быть не просто «благоприятствующей», а именно «активно стимулирующей». Необходимо создать для ино</w:t>
      </w:r>
      <w:r w:rsidRPr="00B01894">
        <w:rPr>
          <w:rFonts w:ascii="Bookman Old Style" w:eastAsia="Bookman Old Style" w:hAnsi="Bookman Old Style" w:cs="Bookman Old Style"/>
          <w:color w:val="231F20"/>
          <w:sz w:val="18"/>
          <w:szCs w:val="18"/>
        </w:rPr>
        <w:softHyphen/>
        <w:t>странных инвесторов режим наибольшего благоприятствования. Тем более это верно для стран, развивающихся в условиях эконо</w:t>
      </w:r>
      <w:r w:rsidRPr="00B01894">
        <w:rPr>
          <w:rFonts w:ascii="Bookman Old Style" w:eastAsia="Bookman Old Style" w:hAnsi="Bookman Old Style" w:cs="Bookman Old Style"/>
          <w:color w:val="231F20"/>
          <w:sz w:val="18"/>
          <w:szCs w:val="18"/>
        </w:rPr>
        <w:softHyphen/>
        <w:t xml:space="preserve">мической и политической нестабильности, отсутствия развитой рыночной инфраструктуры и высокого уровня инвестиционного риска. Если государства с развитой рыночной экономикой могут себе позволить привлекать капитал путем формирования общего благоприятного инвестиционного климата и принципов </w:t>
      </w:r>
      <w:r w:rsidRPr="00B01894">
        <w:rPr>
          <w:rFonts w:ascii="Bookman Old Style" w:eastAsia="Bookman Old Style" w:hAnsi="Bookman Old Style" w:cs="Bookman Old Style"/>
          <w:color w:val="00B050"/>
          <w:sz w:val="18"/>
          <w:szCs w:val="18"/>
        </w:rPr>
        <w:t>«недискриминации</w:t>
      </w:r>
      <w:r w:rsidRPr="00B01894">
        <w:rPr>
          <w:rFonts w:ascii="Bookman Old Style" w:eastAsia="Bookman Old Style" w:hAnsi="Bookman Old Style" w:cs="Bookman Old Style"/>
          <w:color w:val="231F20"/>
          <w:sz w:val="18"/>
          <w:szCs w:val="18"/>
        </w:rPr>
        <w:t xml:space="preserve">», то развивающиеся страны добиваются успеха, предлагая льготы, </w:t>
      </w:r>
      <w:r w:rsidRPr="00B01894">
        <w:rPr>
          <w:rFonts w:ascii="Bookman Old Style" w:eastAsia="Bookman Old Style" w:hAnsi="Bookman Old Style" w:cs="Bookman Old Style"/>
          <w:color w:val="231F20"/>
          <w:sz w:val="18"/>
          <w:szCs w:val="18"/>
        </w:rPr>
        <w:lastRenderedPageBreak/>
        <w:t>специальное законодательство, поощрительные меры, тем более что особый режим в отношении иностранных инвестиций се</w:t>
      </w:r>
      <w:r w:rsidRPr="00B01894">
        <w:rPr>
          <w:rFonts w:ascii="Bookman Old Style" w:eastAsia="Bookman Old Style" w:hAnsi="Bookman Old Style" w:cs="Bookman Old Style"/>
          <w:color w:val="231F20"/>
          <w:sz w:val="18"/>
          <w:szCs w:val="18"/>
        </w:rPr>
        <w:softHyphen/>
        <w:t>годня широко используется многими государствами.</w:t>
      </w:r>
    </w:p>
    <w:p w14:paraId="759038D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Одновременно с решением институциональных проблем не</w:t>
      </w:r>
      <w:r w:rsidRPr="00B01894">
        <w:rPr>
          <w:rFonts w:ascii="Bookman Old Style" w:eastAsia="Bookman Old Style" w:hAnsi="Bookman Old Style" w:cs="Bookman Old Style"/>
          <w:color w:val="231F20"/>
          <w:sz w:val="18"/>
          <w:szCs w:val="18"/>
        </w:rPr>
        <w:softHyphen/>
        <w:t>обходимо создать систему дополнительных гарантий для владель</w:t>
      </w:r>
      <w:r w:rsidRPr="00B01894">
        <w:rPr>
          <w:rFonts w:ascii="Bookman Old Style" w:eastAsia="Bookman Old Style" w:hAnsi="Bookman Old Style" w:cs="Bookman Old Style"/>
          <w:color w:val="231F20"/>
          <w:sz w:val="18"/>
          <w:szCs w:val="18"/>
        </w:rPr>
        <w:softHyphen/>
        <w:t xml:space="preserve">цев капитала, поскольку повышенные риски, связанные с работой в нестабильной экономической среде, должны компенсироваться системой стимулов. В этом смысле хорошим инструментом может </w:t>
      </w:r>
      <w:r w:rsidRPr="00B01894">
        <w:rPr>
          <w:rFonts w:ascii="Bookman Old Style" w:eastAsia="Bookman Old Style" w:hAnsi="Bookman Old Style" w:cs="Bookman Old Style"/>
          <w:color w:val="00B050"/>
          <w:sz w:val="18"/>
          <w:szCs w:val="18"/>
        </w:rPr>
        <w:t xml:space="preserve">опять же </w:t>
      </w:r>
      <w:r w:rsidRPr="00B01894">
        <w:rPr>
          <w:rFonts w:ascii="Bookman Old Style" w:eastAsia="Bookman Old Style" w:hAnsi="Bookman Old Style" w:cs="Bookman Old Style"/>
          <w:color w:val="231F20"/>
          <w:sz w:val="18"/>
          <w:szCs w:val="18"/>
        </w:rPr>
        <w:t>стать частно-государственное партнерство, которое способствова</w:t>
      </w:r>
      <w:r w:rsidRPr="00B01894">
        <w:rPr>
          <w:rFonts w:ascii="Bookman Old Style" w:eastAsia="Bookman Old Style" w:hAnsi="Bookman Old Style" w:cs="Bookman Old Style"/>
          <w:color w:val="231F20"/>
          <w:sz w:val="18"/>
          <w:szCs w:val="18"/>
        </w:rPr>
        <w:softHyphen/>
        <w:t>ло бы преодолению фидуциарного барьера</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 xml:space="preserve"> между инвесторами и государством. Данная система партнерства была изобретена в це</w:t>
      </w:r>
      <w:r w:rsidRPr="00B01894">
        <w:rPr>
          <w:rFonts w:ascii="Bookman Old Style" w:eastAsia="Bookman Old Style" w:hAnsi="Bookman Old Style" w:cs="Bookman Old Style"/>
          <w:color w:val="231F20"/>
          <w:sz w:val="18"/>
          <w:szCs w:val="18"/>
        </w:rPr>
        <w:softHyphen/>
        <w:t>лях поощрения частного капитала к реализации не слишком при</w:t>
      </w:r>
      <w:r w:rsidRPr="00B01894">
        <w:rPr>
          <w:rFonts w:ascii="Bookman Old Style" w:eastAsia="Bookman Old Style" w:hAnsi="Bookman Old Style" w:cs="Bookman Old Style"/>
          <w:color w:val="231F20"/>
          <w:sz w:val="18"/>
          <w:szCs w:val="18"/>
        </w:rPr>
        <w:softHyphen/>
        <w:t>влекательных проектов, при этом вместе со своим материальным вкладом государство предоставляет общественно значимым проек</w:t>
      </w:r>
      <w:r w:rsidRPr="00B01894">
        <w:rPr>
          <w:rFonts w:ascii="Bookman Old Style" w:eastAsia="Bookman Old Style" w:hAnsi="Bookman Old Style" w:cs="Bookman Old Style"/>
          <w:color w:val="231F20"/>
          <w:sz w:val="18"/>
          <w:szCs w:val="18"/>
        </w:rPr>
        <w:softHyphen/>
        <w:t>там как финансовые средства, так и «квазиденьги», например</w:t>
      </w:r>
      <w:r w:rsidRPr="00B01894">
        <w:rPr>
          <w:rFonts w:ascii="Bookman Old Style" w:eastAsia="Bookman Old Style" w:hAnsi="Bookman Old Style" w:cs="Bookman Old Style"/>
          <w:color w:val="00B050"/>
          <w:sz w:val="18"/>
          <w:szCs w:val="18"/>
        </w:rPr>
        <w:t>,</w:t>
      </w:r>
      <w:r w:rsidRPr="00B01894">
        <w:rPr>
          <w:rFonts w:ascii="Bookman Old Style" w:eastAsia="Bookman Old Style" w:hAnsi="Bookman Old Style" w:cs="Bookman Old Style"/>
          <w:color w:val="231F20"/>
          <w:sz w:val="18"/>
          <w:szCs w:val="18"/>
        </w:rPr>
        <w:t xml:space="preserve"> нало</w:t>
      </w:r>
      <w:r w:rsidRPr="00B01894">
        <w:rPr>
          <w:rFonts w:ascii="Bookman Old Style" w:eastAsia="Bookman Old Style" w:hAnsi="Bookman Old Style" w:cs="Bookman Old Style"/>
          <w:color w:val="231F20"/>
          <w:sz w:val="18"/>
          <w:szCs w:val="18"/>
        </w:rPr>
        <w:softHyphen/>
        <w:t>говые льготы. В России существует множество институциональных проблем, отпугивающих потенциальных инвесторов, которые и мо</w:t>
      </w:r>
      <w:r w:rsidRPr="00B01894">
        <w:rPr>
          <w:rFonts w:ascii="Bookman Old Style" w:eastAsia="Bookman Old Style" w:hAnsi="Bookman Old Style" w:cs="Bookman Old Style"/>
          <w:color w:val="231F20"/>
          <w:sz w:val="18"/>
          <w:szCs w:val="18"/>
        </w:rPr>
        <w:softHyphen/>
        <w:t>гут быть решены за счет взаимодействия государства с инвестора</w:t>
      </w:r>
      <w:r w:rsidRPr="00B01894">
        <w:rPr>
          <w:rFonts w:ascii="Bookman Old Style" w:eastAsia="Bookman Old Style" w:hAnsi="Bookman Old Style" w:cs="Bookman Old Style"/>
          <w:color w:val="231F20"/>
          <w:sz w:val="18"/>
          <w:szCs w:val="18"/>
        </w:rPr>
        <w:softHyphen/>
        <w:t>ми, поскольку именно они обычно указывают в качестве главного ограничителя взаимодействия возможные «враждебные» действия властей. В этом плане такой институт имеет ряд преимуществ для инвесторов, поскольку позволяет нивелировать политические и административные риски, служащие основным препятствием для финансирования проектов в Российской Федерации.</w:t>
      </w:r>
    </w:p>
    <w:p w14:paraId="38E17961" w14:textId="77777777" w:rsidR="00B01894" w:rsidRPr="00B01894" w:rsidRDefault="00B01894" w:rsidP="00B01894">
      <w:pPr>
        <w:widowControl w:val="0"/>
        <w:spacing w:line="250" w:lineRule="exact"/>
        <w:ind w:firstLine="320"/>
        <w:rPr>
          <w:rFonts w:ascii="Bookman Old Style" w:eastAsia="Bookman Old Style" w:hAnsi="Bookman Old Style" w:cs="Bookman Old Style"/>
          <w:color w:val="C00000"/>
          <w:sz w:val="18"/>
          <w:szCs w:val="18"/>
        </w:rPr>
      </w:pPr>
      <w:r w:rsidRPr="00B01894">
        <w:rPr>
          <w:rFonts w:ascii="Bookman Old Style" w:eastAsia="Bookman Old Style" w:hAnsi="Bookman Old Style" w:cs="Bookman Old Style"/>
          <w:color w:val="231F20"/>
          <w:sz w:val="18"/>
          <w:szCs w:val="18"/>
        </w:rPr>
        <w:t>Технологическая отсталость во многих отраслях, в особенности в сфере обслуживания населения (медицина, образование, транс</w:t>
      </w:r>
      <w:r w:rsidRPr="00B01894">
        <w:rPr>
          <w:rFonts w:ascii="Bookman Old Style" w:eastAsia="Bookman Old Style" w:hAnsi="Bookman Old Style" w:cs="Bookman Old Style"/>
          <w:color w:val="231F20"/>
          <w:sz w:val="18"/>
          <w:szCs w:val="18"/>
        </w:rPr>
        <w:softHyphen/>
        <w:t>портная инфраструктура, жилищно-коммунальное хозяйство, инже</w:t>
      </w:r>
      <w:r w:rsidRPr="00B01894">
        <w:rPr>
          <w:rFonts w:ascii="Bookman Old Style" w:eastAsia="Bookman Old Style" w:hAnsi="Bookman Old Style" w:cs="Bookman Old Style"/>
          <w:color w:val="231F20"/>
          <w:sz w:val="18"/>
          <w:szCs w:val="18"/>
        </w:rPr>
        <w:softHyphen/>
        <w:t>нерные коммуникации), вызывает необходимость активнее исполь</w:t>
      </w:r>
      <w:r w:rsidRPr="00B01894">
        <w:rPr>
          <w:rFonts w:ascii="Bookman Old Style" w:eastAsia="Bookman Old Style" w:hAnsi="Bookman Old Style" w:cs="Bookman Old Style"/>
          <w:color w:val="231F20"/>
          <w:sz w:val="18"/>
          <w:szCs w:val="18"/>
        </w:rPr>
        <w:softHyphen/>
        <w:t>зовать возможности для частно-государственного сотрудничества</w:t>
      </w:r>
      <w:r w:rsidRPr="00B01894">
        <w:rPr>
          <w:rFonts w:ascii="Bookman Old Style" w:eastAsia="Bookman Old Style" w:hAnsi="Bookman Old Style" w:cs="Bookman Old Style"/>
          <w:color w:val="C00000"/>
          <w:sz w:val="18"/>
          <w:szCs w:val="18"/>
        </w:rPr>
        <w:t>. В Программе социально-экономического развития Российской Фе</w:t>
      </w:r>
      <w:r w:rsidRPr="00B01894">
        <w:rPr>
          <w:rFonts w:ascii="Bookman Old Style" w:eastAsia="Bookman Old Style" w:hAnsi="Bookman Old Style" w:cs="Bookman Old Style"/>
          <w:color w:val="C00000"/>
          <w:sz w:val="18"/>
          <w:szCs w:val="18"/>
        </w:rPr>
        <w:softHyphen/>
        <w:t>дерации на среднесрочную перспективу (2005—2008) содержался раздел «Развитие механизмов частно-государственного партнер</w:t>
      </w:r>
      <w:r w:rsidRPr="00B01894">
        <w:rPr>
          <w:rFonts w:ascii="Bookman Old Style" w:eastAsia="Bookman Old Style" w:hAnsi="Bookman Old Style" w:cs="Bookman Old Style"/>
          <w:color w:val="C00000"/>
          <w:sz w:val="18"/>
          <w:szCs w:val="18"/>
        </w:rPr>
        <w:softHyphen/>
        <w:t>ства», определяющий приоритетные направления, инструменты взаимодействия государства и бизнеса, однако развитие этого бла</w:t>
      </w:r>
      <w:r w:rsidRPr="00B01894">
        <w:rPr>
          <w:rFonts w:ascii="Bookman Old Style" w:eastAsia="Bookman Old Style" w:hAnsi="Bookman Old Style" w:cs="Bookman Old Style"/>
          <w:color w:val="C00000"/>
          <w:sz w:val="18"/>
          <w:szCs w:val="18"/>
        </w:rPr>
        <w:softHyphen/>
        <w:t>гого начинания оставляет желать лучшего. Понятного, единого и си</w:t>
      </w:r>
      <w:r w:rsidRPr="00B01894">
        <w:rPr>
          <w:rFonts w:ascii="Bookman Old Style" w:eastAsia="Bookman Old Style" w:hAnsi="Bookman Old Style" w:cs="Bookman Old Style"/>
          <w:color w:val="C00000"/>
          <w:sz w:val="18"/>
          <w:szCs w:val="18"/>
        </w:rPr>
        <w:softHyphen/>
        <w:t>стемного понимания явления частно-государственного партнерства в России на сегодняшний день не существует, в научной среде дан</w:t>
      </w:r>
      <w:r w:rsidRPr="00B01894">
        <w:rPr>
          <w:rFonts w:ascii="Bookman Old Style" w:eastAsia="Bookman Old Style" w:hAnsi="Bookman Old Style" w:cs="Bookman Old Style"/>
          <w:color w:val="C00000"/>
          <w:sz w:val="18"/>
          <w:szCs w:val="18"/>
        </w:rPr>
        <w:softHyphen/>
        <w:t xml:space="preserve">ное явление также не изучено должным образом. Наиболее общее </w:t>
      </w:r>
      <w:r w:rsidRPr="00B01894">
        <w:rPr>
          <w:rFonts w:ascii="Bookman Old Style" w:eastAsia="Bookman Old Style" w:hAnsi="Bookman Old Style" w:cs="Bookman Old Style"/>
          <w:color w:val="C00000"/>
          <w:sz w:val="18"/>
          <w:szCs w:val="18"/>
          <w:vertAlign w:val="superscript"/>
        </w:rPr>
        <w:footnoteReference w:id="15"/>
      </w:r>
      <w:r w:rsidRPr="00B01894">
        <w:rPr>
          <w:rFonts w:ascii="Bookman Old Style" w:eastAsia="Bookman Old Style" w:hAnsi="Bookman Old Style" w:cs="Bookman Old Style"/>
          <w:color w:val="C00000"/>
          <w:sz w:val="18"/>
          <w:szCs w:val="18"/>
        </w:rPr>
        <w:t xml:space="preserve"> определение этому явлению дал В. Г. Варнавский, определивший частно-государственное партнерство как институциональный и ор</w:t>
      </w:r>
      <w:r w:rsidRPr="00B01894">
        <w:rPr>
          <w:rFonts w:ascii="Bookman Old Style" w:eastAsia="Bookman Old Style" w:hAnsi="Bookman Old Style" w:cs="Bookman Old Style"/>
          <w:color w:val="C00000"/>
          <w:sz w:val="18"/>
          <w:szCs w:val="18"/>
        </w:rPr>
        <w:softHyphen/>
        <w:t>ганизационный альянс между государством и бизнесом в целях ре</w:t>
      </w:r>
      <w:r w:rsidRPr="00B01894">
        <w:rPr>
          <w:rFonts w:ascii="Bookman Old Style" w:eastAsia="Bookman Old Style" w:hAnsi="Bookman Old Style" w:cs="Bookman Old Style"/>
          <w:color w:val="C00000"/>
          <w:sz w:val="18"/>
          <w:szCs w:val="18"/>
        </w:rPr>
        <w:softHyphen/>
        <w:t>ализации общественно значимых проектов</w:t>
      </w:r>
      <w:r w:rsidRPr="00B01894">
        <w:rPr>
          <w:rFonts w:ascii="Bookman Old Style" w:eastAsia="Bookman Old Style" w:hAnsi="Bookman Old Style" w:cs="Bookman Old Style"/>
          <w:color w:val="C00000"/>
          <w:sz w:val="18"/>
          <w:szCs w:val="18"/>
          <w:vertAlign w:val="superscript"/>
        </w:rPr>
        <w:t>1</w:t>
      </w:r>
      <w:r w:rsidRPr="00B01894">
        <w:rPr>
          <w:rFonts w:ascii="Bookman Old Style" w:eastAsia="Bookman Old Style" w:hAnsi="Bookman Old Style" w:cs="Bookman Old Style"/>
          <w:color w:val="C00000"/>
          <w:sz w:val="18"/>
          <w:szCs w:val="18"/>
        </w:rPr>
        <w:t>.</w:t>
      </w:r>
    </w:p>
    <w:p w14:paraId="3CFA6005" w14:textId="77777777" w:rsidR="00B01894" w:rsidRPr="00B01894" w:rsidRDefault="00B01894" w:rsidP="00B01894">
      <w:pPr>
        <w:widowControl w:val="0"/>
        <w:spacing w:line="250" w:lineRule="exact"/>
        <w:ind w:firstLine="320"/>
        <w:rPr>
          <w:rFonts w:ascii="Bookman Old Style" w:eastAsia="Bookman Old Style" w:hAnsi="Bookman Old Style" w:cs="Bookman Old Style"/>
          <w:color w:val="C00000"/>
          <w:sz w:val="18"/>
          <w:szCs w:val="18"/>
        </w:rPr>
      </w:pPr>
      <w:r w:rsidRPr="00B01894">
        <w:rPr>
          <w:rFonts w:ascii="Bookman Old Style" w:eastAsia="Bookman Old Style" w:hAnsi="Bookman Old Style" w:cs="Bookman Old Style"/>
          <w:color w:val="C00000"/>
          <w:sz w:val="18"/>
          <w:szCs w:val="18"/>
        </w:rPr>
        <w:t>Данный термин употребляется в основном при определении принципа взаимодействия государства и бизнеса либо право</w:t>
      </w:r>
      <w:r w:rsidRPr="00B01894">
        <w:rPr>
          <w:rFonts w:ascii="Bookman Old Style" w:eastAsia="Bookman Old Style" w:hAnsi="Bookman Old Style" w:cs="Bookman Old Style"/>
          <w:color w:val="C00000"/>
          <w:sz w:val="18"/>
          <w:szCs w:val="18"/>
        </w:rPr>
        <w:softHyphen/>
        <w:t>вой формы такого взаимодействия. Юридически в России част</w:t>
      </w:r>
      <w:r w:rsidRPr="00B01894">
        <w:rPr>
          <w:rFonts w:ascii="Bookman Old Style" w:eastAsia="Bookman Old Style" w:hAnsi="Bookman Old Style" w:cs="Bookman Old Style"/>
          <w:color w:val="C00000"/>
          <w:sz w:val="18"/>
          <w:szCs w:val="18"/>
        </w:rPr>
        <w:softHyphen/>
        <w:t xml:space="preserve">но-государственное </w:t>
      </w:r>
      <w:r w:rsidRPr="00B01894">
        <w:rPr>
          <w:rFonts w:ascii="Bookman Old Style" w:eastAsia="Bookman Old Style" w:hAnsi="Bookman Old Style" w:cs="Bookman Old Style"/>
          <w:color w:val="C00000"/>
          <w:sz w:val="18"/>
          <w:szCs w:val="18"/>
        </w:rPr>
        <w:lastRenderedPageBreak/>
        <w:t>партнерство регулируется Федеральным за</w:t>
      </w:r>
      <w:r w:rsidRPr="00B01894">
        <w:rPr>
          <w:rFonts w:ascii="Bookman Old Style" w:eastAsia="Bookman Old Style" w:hAnsi="Bookman Old Style" w:cs="Bookman Old Style"/>
          <w:color w:val="C00000"/>
          <w:sz w:val="18"/>
          <w:szCs w:val="18"/>
        </w:rPr>
        <w:softHyphen/>
        <w:t>коном от 21.07.2005 № 115-ФЗ «О концессионных соглашениях». Функционально можно выделить следующие характерные черты частно-государственного партнерства: оно удовлетворяет потреб</w:t>
      </w:r>
      <w:r w:rsidRPr="00B01894">
        <w:rPr>
          <w:rFonts w:ascii="Bookman Old Style" w:eastAsia="Bookman Old Style" w:hAnsi="Bookman Old Style" w:cs="Bookman Old Style"/>
          <w:color w:val="C00000"/>
          <w:sz w:val="18"/>
          <w:szCs w:val="18"/>
        </w:rPr>
        <w:softHyphen/>
        <w:t>ности общего экономического развития, используя или заимствуя ресурсы частного сектора, а также осуществляет государственные полномочия, при этом функционируя в сотрудничестве с частным сектором. Как правило, частно-государственное партнерство со</w:t>
      </w:r>
      <w:r w:rsidRPr="00B01894">
        <w:rPr>
          <w:rFonts w:ascii="Bookman Old Style" w:eastAsia="Bookman Old Style" w:hAnsi="Bookman Old Style" w:cs="Bookman Old Style"/>
          <w:color w:val="C00000"/>
          <w:sz w:val="18"/>
          <w:szCs w:val="18"/>
        </w:rPr>
        <w:softHyphen/>
        <w:t>стоит из двух или более сторон, работающих совместно ради до</w:t>
      </w:r>
      <w:r w:rsidRPr="00B01894">
        <w:rPr>
          <w:rFonts w:ascii="Bookman Old Style" w:eastAsia="Bookman Old Style" w:hAnsi="Bookman Old Style" w:cs="Bookman Old Style"/>
          <w:color w:val="C00000"/>
          <w:sz w:val="18"/>
          <w:szCs w:val="18"/>
        </w:rPr>
        <w:softHyphen/>
        <w:t>стижения стратегических целей. Участниками партнерства могут быть: местные и общегосударственные органы власти; коммерче</w:t>
      </w:r>
      <w:r w:rsidRPr="00B01894">
        <w:rPr>
          <w:rFonts w:ascii="Bookman Old Style" w:eastAsia="Bookman Old Style" w:hAnsi="Bookman Old Style" w:cs="Bookman Old Style"/>
          <w:color w:val="C00000"/>
          <w:sz w:val="18"/>
          <w:szCs w:val="18"/>
        </w:rPr>
        <w:softHyphen/>
        <w:t>ские предприятия (как резиденты, так и нерезиденты), а также не</w:t>
      </w:r>
      <w:r w:rsidRPr="00B01894">
        <w:rPr>
          <w:rFonts w:ascii="Bookman Old Style" w:eastAsia="Bookman Old Style" w:hAnsi="Bookman Old Style" w:cs="Bookman Old Style"/>
          <w:color w:val="C00000"/>
          <w:sz w:val="18"/>
          <w:szCs w:val="18"/>
        </w:rPr>
        <w:softHyphen/>
        <w:t>коммерческие организации. При этом все участники партнерства разделяют полномочия и ответственность, совместно затрачивают ресурсы, осуществляют вложения, несут риски и получают выгоды, поддерживая взаимоотношения в течение определенного срока, ко</w:t>
      </w:r>
      <w:r w:rsidRPr="00B01894">
        <w:rPr>
          <w:rFonts w:ascii="Bookman Old Style" w:eastAsia="Bookman Old Style" w:hAnsi="Bookman Old Style" w:cs="Bookman Old Style"/>
          <w:color w:val="C00000"/>
          <w:sz w:val="18"/>
          <w:szCs w:val="18"/>
        </w:rPr>
        <w:softHyphen/>
        <w:t>торый прописан в правоустанавливающем документе — соглаше</w:t>
      </w:r>
      <w:r w:rsidRPr="00B01894">
        <w:rPr>
          <w:rFonts w:ascii="Bookman Old Style" w:eastAsia="Bookman Old Style" w:hAnsi="Bookman Old Style" w:cs="Bookman Old Style"/>
          <w:color w:val="C00000"/>
          <w:sz w:val="18"/>
          <w:szCs w:val="18"/>
        </w:rPr>
        <w:softHyphen/>
        <w:t>нии. Здесь в полной мере реализуется так называемый проектный принцип функционирования современной экономики.</w:t>
      </w:r>
    </w:p>
    <w:p w14:paraId="6C427B3A"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Проекты частно-государственного партнерства — это особый вид сотрудничества государственного и частного секторов экономики, цель которого — реализация долгосрочных инвестиционных проек</w:t>
      </w:r>
      <w:r w:rsidRPr="00B01894">
        <w:rPr>
          <w:rFonts w:ascii="Bookman Old Style" w:eastAsia="Bookman Old Style" w:hAnsi="Bookman Old Style" w:cs="Bookman Old Style"/>
          <w:color w:val="231F20"/>
          <w:sz w:val="18"/>
          <w:szCs w:val="18"/>
        </w:rPr>
        <w:softHyphen/>
        <w:t>тов, которые не приносят немедленной прибыли, поэтому здесь еще так важны гарантии инвесторам. Широкое применение в Россий</w:t>
      </w:r>
      <w:r w:rsidRPr="00B01894">
        <w:rPr>
          <w:rFonts w:ascii="Bookman Old Style" w:eastAsia="Bookman Old Style" w:hAnsi="Bookman Old Style" w:cs="Bookman Old Style"/>
          <w:color w:val="231F20"/>
          <w:sz w:val="18"/>
          <w:szCs w:val="18"/>
        </w:rPr>
        <w:softHyphen/>
        <w:t>ской Федерации механизмов частно-государственного партнерства способно обеспечить возможность осуществления в короткие сро</w:t>
      </w:r>
      <w:r w:rsidRPr="00B01894">
        <w:rPr>
          <w:rFonts w:ascii="Bookman Old Style" w:eastAsia="Bookman Old Style" w:hAnsi="Bookman Old Style" w:cs="Bookman Old Style"/>
          <w:color w:val="231F20"/>
          <w:sz w:val="18"/>
          <w:szCs w:val="18"/>
        </w:rPr>
        <w:softHyphen/>
        <w:t>ки общественно значимых проектов, не слишком привлекательных для традиционных форм финансирования, а также повысить эффек</w:t>
      </w:r>
      <w:r w:rsidRPr="00B01894">
        <w:rPr>
          <w:rFonts w:ascii="Bookman Old Style" w:eastAsia="Bookman Old Style" w:hAnsi="Bookman Old Style" w:cs="Bookman Old Style"/>
          <w:color w:val="231F20"/>
          <w:sz w:val="18"/>
          <w:szCs w:val="18"/>
        </w:rPr>
        <w:softHyphen/>
        <w:t>тивность проектов за счет участия в них частного бизнеса. Кроме того, возможно обеспечить снижение нагрузки на бюджет («ком</w:t>
      </w:r>
      <w:r w:rsidRPr="00B01894">
        <w:rPr>
          <w:rFonts w:ascii="Bookman Old Style" w:eastAsia="Bookman Old Style" w:hAnsi="Bookman Old Style" w:cs="Bookman Old Style"/>
          <w:color w:val="231F20"/>
          <w:sz w:val="18"/>
          <w:szCs w:val="18"/>
        </w:rPr>
        <w:softHyphen/>
        <w:t>мерциализация предоставления общественно значимых услуг»), возможность привлечения лучших управленческих кадров, техники и технологий, повышение качества обслуживания конечных поль</w:t>
      </w:r>
      <w:r w:rsidRPr="00B01894">
        <w:rPr>
          <w:rFonts w:ascii="Bookman Old Style" w:eastAsia="Bookman Old Style" w:hAnsi="Bookman Old Style" w:cs="Bookman Old Style"/>
          <w:color w:val="231F20"/>
          <w:sz w:val="18"/>
          <w:szCs w:val="18"/>
        </w:rPr>
        <w:softHyphen/>
        <w:t>зователей. При таком взаимодействии сводится на нет и проблема «безбилетничества» — уклонения от финансирования создания общественных благ.</w:t>
      </w:r>
      <w:r w:rsidRPr="00B01894">
        <w:rPr>
          <w:rFonts w:ascii="Bookman Old Style" w:eastAsia="Bookman Old Style" w:hAnsi="Bookman Old Style" w:cs="Bookman Old Style"/>
          <w:color w:val="00B050"/>
          <w:sz w:val="18"/>
          <w:szCs w:val="18"/>
          <w:vertAlign w:val="superscript"/>
        </w:rPr>
        <w:footnoteReference w:id="16"/>
      </w:r>
      <w:r w:rsidRPr="00B01894">
        <w:rPr>
          <w:rFonts w:ascii="Bookman Old Style" w:eastAsia="Bookman Old Style" w:hAnsi="Bookman Old Style" w:cs="Bookman Old Style"/>
          <w:color w:val="231F20"/>
          <w:sz w:val="18"/>
          <w:szCs w:val="18"/>
        </w:rPr>
        <w:t xml:space="preserve"> Частно-государственное партнерство дает также возможность сконцентрировать внимание государственной власти на свойственных ей функциях, сократить государственные риски за счет разделения их с частными партнерами.</w:t>
      </w:r>
    </w:p>
    <w:p w14:paraId="4D7E50FD"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Следует, однако, понимать, что любые институциональные структуры имеют тенденцию превращаться в бюрократические препоны при их неграмотной организации. И в случае с частно</w:t>
      </w:r>
      <w:r w:rsidRPr="00B01894">
        <w:rPr>
          <w:rFonts w:ascii="Bookman Old Style" w:eastAsia="Bookman Old Style" w:hAnsi="Bookman Old Style" w:cs="Bookman Old Style"/>
          <w:color w:val="231F20"/>
          <w:sz w:val="18"/>
          <w:szCs w:val="18"/>
        </w:rPr>
        <w:softHyphen/>
        <w:t xml:space="preserve">государственным партнерством основной проблемой, с которой </w:t>
      </w:r>
      <w:r w:rsidRPr="00B01894">
        <w:rPr>
          <w:rFonts w:ascii="Bookman Old Style" w:eastAsia="Bookman Old Style" w:hAnsi="Bookman Old Style" w:cs="Bookman Old Style"/>
          <w:color w:val="231F20"/>
          <w:sz w:val="18"/>
          <w:szCs w:val="18"/>
        </w:rPr>
        <w:lastRenderedPageBreak/>
        <w:t>сталкиваются инвесторы, как правило, становится документарное оформление подобных отношений. Как показывает современный зарубежный опыт, попытки использовать инвесторов для решения социальных проблем, за которые все-таки должно отвечать государ</w:t>
      </w:r>
      <w:r w:rsidRPr="00B01894">
        <w:rPr>
          <w:rFonts w:ascii="Bookman Old Style" w:eastAsia="Bookman Old Style" w:hAnsi="Bookman Old Style" w:cs="Bookman Old Style"/>
          <w:color w:val="231F20"/>
          <w:sz w:val="18"/>
          <w:szCs w:val="18"/>
        </w:rPr>
        <w:softHyphen/>
        <w:t>ство, приводят к появлению неудобных и перегруженных юридиче</w:t>
      </w:r>
      <w:r w:rsidRPr="00B01894">
        <w:rPr>
          <w:rFonts w:ascii="Bookman Old Style" w:eastAsia="Bookman Old Style" w:hAnsi="Bookman Old Style" w:cs="Bookman Old Style"/>
          <w:color w:val="231F20"/>
          <w:sz w:val="18"/>
          <w:szCs w:val="18"/>
        </w:rPr>
        <w:softHyphen/>
        <w:t>ских схем частно-государственных партнерств. Часто даже в рыноч</w:t>
      </w:r>
      <w:r w:rsidRPr="00B01894">
        <w:rPr>
          <w:rFonts w:ascii="Bookman Old Style" w:eastAsia="Bookman Old Style" w:hAnsi="Bookman Old Style" w:cs="Bookman Old Style"/>
          <w:color w:val="231F20"/>
          <w:sz w:val="18"/>
          <w:szCs w:val="18"/>
        </w:rPr>
        <w:softHyphen/>
        <w:t>ных экономиках некоторым конкурсам на право взять в управление государственные активы не удается привлечь заявки от частных инвесторов из-за невозможности рассчитать будущую доходность для разумного бизнес-плана с учетом всех наложенных государством ограничений. В связи с этим представляется, что главным тормозом развития подобного института и в России станет забюрократизи- рованность непосредственного осуществления подобной деятель</w:t>
      </w:r>
      <w:r w:rsidRPr="00B01894">
        <w:rPr>
          <w:rFonts w:ascii="Bookman Old Style" w:eastAsia="Bookman Old Style" w:hAnsi="Bookman Old Style" w:cs="Bookman Old Style"/>
          <w:color w:val="231F20"/>
          <w:sz w:val="18"/>
          <w:szCs w:val="18"/>
        </w:rPr>
        <w:softHyphen/>
        <w:t>ности. Для частных компаний риски связаны также с возможными изменениями в политике государства, неблагоприятными или не</w:t>
      </w:r>
      <w:r w:rsidRPr="00B01894">
        <w:rPr>
          <w:rFonts w:ascii="Bookman Old Style" w:eastAsia="Bookman Old Style" w:hAnsi="Bookman Old Style" w:cs="Bookman Old Style"/>
          <w:color w:val="231F20"/>
          <w:sz w:val="18"/>
          <w:szCs w:val="18"/>
        </w:rPr>
        <w:softHyphen/>
        <w:t>постоянными рыночными условиями, неспособностью или отказом государственного сектора выполнить условия договора.</w:t>
      </w:r>
    </w:p>
    <w:p w14:paraId="01F5C990"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Развитие частно-государственного инвестиционного партнер</w:t>
      </w:r>
      <w:r w:rsidRPr="00B01894">
        <w:rPr>
          <w:rFonts w:ascii="Bookman Old Style" w:eastAsia="Bookman Old Style" w:hAnsi="Bookman Old Style" w:cs="Bookman Old Style"/>
          <w:color w:val="231F20"/>
          <w:sz w:val="18"/>
          <w:szCs w:val="18"/>
        </w:rPr>
        <w:softHyphen/>
        <w:t>ства, которое позволит инвесторам получить гарантии сохранности вложенных средств, может стать действенным способом преодоле</w:t>
      </w:r>
      <w:r w:rsidRPr="00B01894">
        <w:rPr>
          <w:rFonts w:ascii="Bookman Old Style" w:eastAsia="Bookman Old Style" w:hAnsi="Bookman Old Style" w:cs="Bookman Old Style"/>
          <w:color w:val="231F20"/>
          <w:sz w:val="18"/>
          <w:szCs w:val="18"/>
        </w:rPr>
        <w:softHyphen/>
        <w:t>ния фидуциарного барьера для иностранных инвесторов, если будут преодолены следующие проблемы</w:t>
      </w:r>
      <w:r w:rsidRPr="00B01894">
        <w:rPr>
          <w:rFonts w:ascii="Bookman Old Style" w:eastAsia="Bookman Old Style" w:hAnsi="Bookman Old Style" w:cs="Bookman Old Style"/>
          <w:color w:val="00B050"/>
          <w:sz w:val="18"/>
          <w:szCs w:val="18"/>
        </w:rPr>
        <w:t>:</w:t>
      </w:r>
    </w:p>
    <w:p w14:paraId="4D425002" w14:textId="77777777" w:rsidR="00B01894" w:rsidRPr="00B01894" w:rsidRDefault="00B01894" w:rsidP="00B01894">
      <w:pPr>
        <w:widowControl w:val="0"/>
        <w:numPr>
          <w:ilvl w:val="0"/>
          <w:numId w:val="22"/>
        </w:numPr>
        <w:tabs>
          <w:tab w:val="left" w:pos="62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Действенные механизмы частно-государственного партнер</w:t>
      </w:r>
      <w:r w:rsidRPr="00B01894">
        <w:rPr>
          <w:rFonts w:ascii="Bookman Old Style" w:eastAsia="Bookman Old Style" w:hAnsi="Bookman Old Style" w:cs="Bookman Old Style"/>
          <w:color w:val="231F20"/>
          <w:sz w:val="18"/>
          <w:szCs w:val="18"/>
        </w:rPr>
        <w:softHyphen/>
        <w:t>ства в Российской Федерации до сих пор не проработаны на за</w:t>
      </w:r>
      <w:r w:rsidRPr="00B01894">
        <w:rPr>
          <w:rFonts w:ascii="Bookman Old Style" w:eastAsia="Bookman Old Style" w:hAnsi="Bookman Old Style" w:cs="Bookman Old Style"/>
          <w:color w:val="231F20"/>
          <w:sz w:val="18"/>
          <w:szCs w:val="18"/>
        </w:rPr>
        <w:softHyphen/>
        <w:t>конодательном уровне, необходима ясная юридическая позиция относительно собственности, структуры налогообложения и регу</w:t>
      </w:r>
      <w:r w:rsidRPr="00B01894">
        <w:rPr>
          <w:rFonts w:ascii="Bookman Old Style" w:eastAsia="Bookman Old Style" w:hAnsi="Bookman Old Style" w:cs="Bookman Old Style"/>
          <w:color w:val="231F20"/>
          <w:sz w:val="18"/>
          <w:szCs w:val="18"/>
        </w:rPr>
        <w:softHyphen/>
        <w:t>лирования потенциальных взаимных претензий.</w:t>
      </w:r>
    </w:p>
    <w:p w14:paraId="04044D80" w14:textId="77777777" w:rsidR="00B01894" w:rsidRPr="00B01894" w:rsidRDefault="00B01894" w:rsidP="00B01894">
      <w:pPr>
        <w:widowControl w:val="0"/>
        <w:numPr>
          <w:ilvl w:val="0"/>
          <w:numId w:val="22"/>
        </w:numPr>
        <w:tabs>
          <w:tab w:val="left" w:pos="62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Необходимо обеспечить повышение квалификации государ</w:t>
      </w:r>
      <w:r w:rsidRPr="00B01894">
        <w:rPr>
          <w:rFonts w:ascii="Bookman Old Style" w:eastAsia="Bookman Old Style" w:hAnsi="Bookman Old Style" w:cs="Bookman Old Style"/>
          <w:color w:val="231F20"/>
          <w:sz w:val="18"/>
          <w:szCs w:val="18"/>
        </w:rPr>
        <w:softHyphen/>
        <w:t>ственных служащих в плане экономических и юридических компе</w:t>
      </w:r>
      <w:r w:rsidRPr="00B01894">
        <w:rPr>
          <w:rFonts w:ascii="Bookman Old Style" w:eastAsia="Bookman Old Style" w:hAnsi="Bookman Old Style" w:cs="Bookman Old Style"/>
          <w:color w:val="231F20"/>
          <w:sz w:val="18"/>
          <w:szCs w:val="18"/>
        </w:rPr>
        <w:softHyphen/>
        <w:t>тенций, в особенности это касается местных управленцев.</w:t>
      </w:r>
    </w:p>
    <w:p w14:paraId="341DD9C7" w14:textId="77777777" w:rsidR="00B01894" w:rsidRPr="00B01894" w:rsidRDefault="00B01894" w:rsidP="00B01894">
      <w:pPr>
        <w:widowControl w:val="0"/>
        <w:numPr>
          <w:ilvl w:val="0"/>
          <w:numId w:val="22"/>
        </w:numPr>
        <w:tabs>
          <w:tab w:val="left" w:pos="62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Требуется обеспечение прозрачных и равноправных конкурс</w:t>
      </w:r>
      <w:r w:rsidRPr="00B01894">
        <w:rPr>
          <w:rFonts w:ascii="Bookman Old Style" w:eastAsia="Bookman Old Style" w:hAnsi="Bookman Old Style" w:cs="Bookman Old Style"/>
          <w:color w:val="231F20"/>
          <w:sz w:val="18"/>
          <w:szCs w:val="18"/>
        </w:rPr>
        <w:softHyphen/>
        <w:t>ных процедур доступа участников рынка (независимо от организа</w:t>
      </w:r>
      <w:r w:rsidRPr="00B01894">
        <w:rPr>
          <w:rFonts w:ascii="Bookman Old Style" w:eastAsia="Bookman Old Style" w:hAnsi="Bookman Old Style" w:cs="Bookman Old Style"/>
          <w:color w:val="231F20"/>
          <w:sz w:val="18"/>
          <w:szCs w:val="18"/>
        </w:rPr>
        <w:softHyphen/>
        <w:t>ционных форм и юрисдикции) к институту частно-государственно</w:t>
      </w:r>
      <w:r w:rsidRPr="00B01894">
        <w:rPr>
          <w:rFonts w:ascii="Bookman Old Style" w:eastAsia="Bookman Old Style" w:hAnsi="Bookman Old Style" w:cs="Bookman Old Style"/>
          <w:color w:val="231F20"/>
          <w:sz w:val="18"/>
          <w:szCs w:val="18"/>
        </w:rPr>
        <w:softHyphen/>
        <w:t>го партнерства.</w:t>
      </w:r>
    </w:p>
    <w:p w14:paraId="78387C8F" w14:textId="77777777" w:rsidR="00B01894" w:rsidRPr="00B01894" w:rsidRDefault="00B01894" w:rsidP="00B01894">
      <w:pPr>
        <w:widowControl w:val="0"/>
        <w:spacing w:after="351"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Частно-государственное партнерство имеет в России некоторое развитие. </w:t>
      </w:r>
      <w:r w:rsidRPr="00B01894">
        <w:rPr>
          <w:rFonts w:ascii="Bookman Old Style" w:eastAsia="Bookman Old Style" w:hAnsi="Bookman Old Style" w:cs="Bookman Old Style"/>
          <w:color w:val="C00000"/>
          <w:sz w:val="18"/>
          <w:szCs w:val="18"/>
        </w:rPr>
        <w:t>Примером попыток использования подобной структуры может служить Российский фонд прямых инвестиций (РФПИ) — ин</w:t>
      </w:r>
      <w:r w:rsidRPr="00B01894">
        <w:rPr>
          <w:rFonts w:ascii="Bookman Old Style" w:eastAsia="Bookman Old Style" w:hAnsi="Bookman Old Style" w:cs="Bookman Old Style"/>
          <w:color w:val="C00000"/>
          <w:sz w:val="18"/>
          <w:szCs w:val="18"/>
        </w:rPr>
        <w:softHyphen/>
      </w:r>
      <w:bookmarkStart w:id="24" w:name="bookmark24"/>
      <w:r w:rsidRPr="00B01894">
        <w:rPr>
          <w:rFonts w:ascii="Bookman Old Style" w:eastAsia="Bookman Old Style" w:hAnsi="Bookman Old Style" w:cs="Bookman Old Style"/>
          <w:color w:val="C00000"/>
          <w:sz w:val="18"/>
          <w:szCs w:val="18"/>
        </w:rPr>
        <w:t>вестиционный фонд, созданный Правительством РФ для инвести</w:t>
      </w:r>
      <w:r w:rsidRPr="00B01894">
        <w:rPr>
          <w:rFonts w:ascii="Bookman Old Style" w:eastAsia="Bookman Old Style" w:hAnsi="Bookman Old Style" w:cs="Bookman Old Style"/>
          <w:color w:val="C00000"/>
          <w:sz w:val="18"/>
          <w:szCs w:val="18"/>
        </w:rPr>
        <w:softHyphen/>
        <w:t>ций в лидирующие компании наиболее быстрорастущих секторов экономики. Во всех сделках РФПИ выступает соинвестором вместе с крупнейшими в мире институциональными инвесторами — фон</w:t>
      </w:r>
      <w:r w:rsidRPr="00B01894">
        <w:rPr>
          <w:rFonts w:ascii="Bookman Old Style" w:eastAsia="Bookman Old Style" w:hAnsi="Bookman Old Style" w:cs="Bookman Old Style"/>
          <w:color w:val="C00000"/>
          <w:sz w:val="18"/>
          <w:szCs w:val="18"/>
        </w:rPr>
        <w:softHyphen/>
        <w:t>дами прямых инвестиций, суверенными фондами, а также веду</w:t>
      </w:r>
      <w:r w:rsidRPr="00B01894">
        <w:rPr>
          <w:rFonts w:ascii="Bookman Old Style" w:eastAsia="Bookman Old Style" w:hAnsi="Bookman Old Style" w:cs="Bookman Old Style"/>
          <w:color w:val="C00000"/>
          <w:sz w:val="18"/>
          <w:szCs w:val="18"/>
        </w:rPr>
        <w:softHyphen/>
        <w:t>щими отраслевыми компаниями. РФПИ, таким образом, предпо</w:t>
      </w:r>
      <w:r w:rsidRPr="00B01894">
        <w:rPr>
          <w:rFonts w:ascii="Bookman Old Style" w:eastAsia="Bookman Old Style" w:hAnsi="Bookman Old Style" w:cs="Bookman Old Style"/>
          <w:color w:val="C00000"/>
          <w:sz w:val="18"/>
          <w:szCs w:val="18"/>
        </w:rPr>
        <w:softHyphen/>
        <w:t xml:space="preserve">ложительно будет играть важную роль в привлечении инвестиций в экономику России. </w:t>
      </w:r>
      <w:r w:rsidRPr="00B01894">
        <w:rPr>
          <w:rFonts w:ascii="Bookman Old Style" w:eastAsia="Bookman Old Style" w:hAnsi="Bookman Old Style" w:cs="Bookman Old Style"/>
          <w:color w:val="231F20"/>
          <w:sz w:val="18"/>
          <w:szCs w:val="18"/>
        </w:rPr>
        <w:t>Однако следует понимать, что разовые, даже особо крупные проекты не обеспечат в должной степени формиро</w:t>
      </w:r>
      <w:r w:rsidRPr="00B01894">
        <w:rPr>
          <w:rFonts w:ascii="Bookman Old Style" w:eastAsia="Bookman Old Style" w:hAnsi="Bookman Old Style" w:cs="Bookman Old Style"/>
          <w:color w:val="231F20"/>
          <w:sz w:val="18"/>
          <w:szCs w:val="18"/>
        </w:rPr>
        <w:softHyphen/>
        <w:t xml:space="preserve">вания отношения к Российской </w:t>
      </w:r>
      <w:r w:rsidRPr="00B01894">
        <w:rPr>
          <w:rFonts w:ascii="Bookman Old Style" w:eastAsia="Bookman Old Style" w:hAnsi="Bookman Old Style" w:cs="Bookman Old Style"/>
          <w:color w:val="231F20"/>
          <w:sz w:val="18"/>
          <w:szCs w:val="18"/>
        </w:rPr>
        <w:lastRenderedPageBreak/>
        <w:t>Федерации как к стране, предпочти</w:t>
      </w:r>
      <w:r w:rsidRPr="00B01894">
        <w:rPr>
          <w:rFonts w:ascii="Bookman Old Style" w:eastAsia="Bookman Old Style" w:hAnsi="Bookman Old Style" w:cs="Bookman Old Style"/>
          <w:color w:val="231F20"/>
          <w:sz w:val="18"/>
          <w:szCs w:val="18"/>
        </w:rPr>
        <w:softHyphen/>
        <w:t xml:space="preserve">тельной для стратегического </w:t>
      </w:r>
      <w:r w:rsidRPr="00B01894">
        <w:rPr>
          <w:rFonts w:ascii="Bookman Old Style" w:eastAsia="Bookman Old Style" w:hAnsi="Bookman Old Style" w:cs="Bookman Old Style"/>
          <w:color w:val="00B050"/>
          <w:sz w:val="18"/>
          <w:szCs w:val="18"/>
        </w:rPr>
        <w:t xml:space="preserve">(долгосрочного) </w:t>
      </w:r>
      <w:r w:rsidRPr="00B01894">
        <w:rPr>
          <w:rFonts w:ascii="Bookman Old Style" w:eastAsia="Bookman Old Style" w:hAnsi="Bookman Old Style" w:cs="Bookman Old Style"/>
          <w:color w:val="231F20"/>
          <w:sz w:val="18"/>
          <w:szCs w:val="18"/>
        </w:rPr>
        <w:t>инвестирования.</w:t>
      </w:r>
      <w:bookmarkEnd w:id="24"/>
    </w:p>
    <w:p w14:paraId="2A0F6EEA" w14:textId="77777777" w:rsidR="00B01894" w:rsidRPr="00B01894" w:rsidRDefault="00B01894" w:rsidP="00B01894">
      <w:pPr>
        <w:keepNext/>
        <w:keepLines/>
        <w:widowControl w:val="0"/>
        <w:numPr>
          <w:ilvl w:val="0"/>
          <w:numId w:val="24"/>
        </w:numPr>
        <w:tabs>
          <w:tab w:val="left" w:pos="1260"/>
        </w:tabs>
        <w:spacing w:after="209" w:line="336" w:lineRule="exact"/>
        <w:ind w:left="760" w:right="760" w:firstLine="0"/>
        <w:jc w:val="left"/>
        <w:outlineLvl w:val="3"/>
        <w:rPr>
          <w:rFonts w:ascii="Arial Narrow" w:eastAsia="Arial Narrow" w:hAnsi="Arial Narrow" w:cs="Arial Narrow"/>
          <w:b/>
          <w:bCs/>
        </w:rPr>
      </w:pPr>
      <w:bookmarkStart w:id="25" w:name="bookmark25"/>
      <w:r w:rsidRPr="00B01894">
        <w:rPr>
          <w:rFonts w:ascii="Arial Narrow" w:eastAsia="Arial Narrow" w:hAnsi="Arial Narrow" w:cs="Arial Narrow"/>
          <w:b/>
          <w:bCs/>
          <w:color w:val="231F20"/>
        </w:rPr>
        <w:t>Государственные и корпоративные вложения в человеческий капитал: синергетический эффект</w:t>
      </w:r>
      <w:bookmarkEnd w:id="25"/>
    </w:p>
    <w:p w14:paraId="2D1ECF5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положительных результатов экономической политики го</w:t>
      </w:r>
      <w:r w:rsidRPr="00B01894">
        <w:rPr>
          <w:rFonts w:ascii="Bookman Old Style" w:eastAsia="Bookman Old Style" w:hAnsi="Bookman Old Style" w:cs="Bookman Old Style"/>
          <w:color w:val="231F20"/>
          <w:sz w:val="18"/>
          <w:szCs w:val="18"/>
        </w:rPr>
        <w:softHyphen/>
        <w:t>сударства следует четко определить ее цели и задачи. Для любой страны основная цель экономической политики есть достижение максимально возможного при имеющихся ресурсах количествен</w:t>
      </w:r>
      <w:r w:rsidRPr="00B01894">
        <w:rPr>
          <w:rFonts w:ascii="Bookman Old Style" w:eastAsia="Bookman Old Style" w:hAnsi="Bookman Old Style" w:cs="Bookman Old Style"/>
          <w:color w:val="231F20"/>
          <w:sz w:val="18"/>
          <w:szCs w:val="18"/>
        </w:rPr>
        <w:softHyphen/>
        <w:t>ного и качественного экономического роста, который и обеспе</w:t>
      </w:r>
      <w:r w:rsidRPr="00B01894">
        <w:rPr>
          <w:rFonts w:ascii="Bookman Old Style" w:eastAsia="Bookman Old Style" w:hAnsi="Bookman Old Style" w:cs="Bookman Old Style"/>
          <w:color w:val="231F20"/>
          <w:sz w:val="18"/>
          <w:szCs w:val="18"/>
        </w:rPr>
        <w:softHyphen/>
        <w:t>чивает увеличение национального богатства. Соответственно, все стимулирующие мероприятия должны быть направлены на дости</w:t>
      </w:r>
      <w:r w:rsidRPr="00B01894">
        <w:rPr>
          <w:rFonts w:ascii="Bookman Old Style" w:eastAsia="Bookman Old Style" w:hAnsi="Bookman Old Style" w:cs="Bookman Old Style"/>
          <w:color w:val="231F20"/>
          <w:sz w:val="18"/>
          <w:szCs w:val="18"/>
        </w:rPr>
        <w:softHyphen/>
        <w:t>жение этой основополагающей цели. Устойчивый экономический рост обеспечивает продуктивный инвестиционный процесс. На се</w:t>
      </w:r>
      <w:r w:rsidRPr="00B01894">
        <w:rPr>
          <w:rFonts w:ascii="Bookman Old Style" w:eastAsia="Bookman Old Style" w:hAnsi="Bookman Old Style" w:cs="Bookman Old Style"/>
          <w:color w:val="231F20"/>
          <w:sz w:val="18"/>
          <w:szCs w:val="18"/>
        </w:rPr>
        <w:softHyphen/>
        <w:t>годняшний день можно констатировать, что «фиктивный» рост, обусловленный подорожанием сырьевого экспорта, привел к раз</w:t>
      </w:r>
      <w:r w:rsidRPr="00B01894">
        <w:rPr>
          <w:rFonts w:ascii="Bookman Old Style" w:eastAsia="Bookman Old Style" w:hAnsi="Bookman Old Style" w:cs="Bookman Old Style"/>
          <w:color w:val="231F20"/>
          <w:sz w:val="18"/>
          <w:szCs w:val="18"/>
        </w:rPr>
        <w:softHyphen/>
        <w:t>витию в Российской Федерации классического вида «голландской болезни», когда ресурсы экономики сосредотачиваются в опреде</w:t>
      </w:r>
      <w:r w:rsidRPr="00B01894">
        <w:rPr>
          <w:rFonts w:ascii="Bookman Old Style" w:eastAsia="Bookman Old Style" w:hAnsi="Bookman Old Style" w:cs="Bookman Old Style"/>
          <w:color w:val="231F20"/>
          <w:sz w:val="18"/>
          <w:szCs w:val="18"/>
        </w:rPr>
        <w:softHyphen/>
        <w:t>ленных отраслях с избыточными факторами производства, тогда как остальные вынуждены обслуживать эти раздувшиеся сектора.</w:t>
      </w:r>
    </w:p>
    <w:p w14:paraId="120414C5"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 сегодняшний день большое внимание уделяется вопросам интенсификации инвестиционного процесса в России в целях мо</w:t>
      </w:r>
      <w:r w:rsidRPr="00B01894">
        <w:rPr>
          <w:rFonts w:ascii="Bookman Old Style" w:eastAsia="Bookman Old Style" w:hAnsi="Bookman Old Style" w:cs="Bookman Old Style"/>
          <w:color w:val="231F20"/>
          <w:sz w:val="18"/>
          <w:szCs w:val="18"/>
        </w:rPr>
        <w:softHyphen/>
        <w:t>дернизации экономики, однако чаще всего имеется в виду необхо</w:t>
      </w:r>
      <w:r w:rsidRPr="00B01894">
        <w:rPr>
          <w:rFonts w:ascii="Bookman Old Style" w:eastAsia="Bookman Old Style" w:hAnsi="Bookman Old Style" w:cs="Bookman Old Style"/>
          <w:color w:val="231F20"/>
          <w:sz w:val="18"/>
          <w:szCs w:val="18"/>
        </w:rPr>
        <w:softHyphen/>
        <w:t>димость вложений в физический («реальный») капитал, между тем заявленным целям модернизации в большей степени соответствует политика стимулирования инвестиций в человеческий капитал, по</w:t>
      </w:r>
      <w:r w:rsidRPr="00B01894">
        <w:rPr>
          <w:rFonts w:ascii="Bookman Old Style" w:eastAsia="Bookman Old Style" w:hAnsi="Bookman Old Style" w:cs="Bookman Old Style"/>
          <w:color w:val="231F20"/>
          <w:sz w:val="18"/>
          <w:szCs w:val="18"/>
        </w:rPr>
        <w:softHyphen/>
        <w:t>скольку именно они способствуют качественному сдвигу в структу</w:t>
      </w:r>
      <w:r w:rsidRPr="00B01894">
        <w:rPr>
          <w:rFonts w:ascii="Bookman Old Style" w:eastAsia="Bookman Old Style" w:hAnsi="Bookman Old Style" w:cs="Bookman Old Style"/>
          <w:color w:val="231F20"/>
          <w:sz w:val="18"/>
          <w:szCs w:val="18"/>
        </w:rPr>
        <w:softHyphen/>
        <w:t>ре национальной экономики. Для реализации задачи опережающе</w:t>
      </w:r>
      <w:r w:rsidRPr="00B01894">
        <w:rPr>
          <w:rFonts w:ascii="Bookman Old Style" w:eastAsia="Bookman Old Style" w:hAnsi="Bookman Old Style" w:cs="Bookman Old Style"/>
          <w:color w:val="231F20"/>
          <w:sz w:val="18"/>
          <w:szCs w:val="18"/>
        </w:rPr>
        <w:softHyphen/>
        <w:t>го инновационного развития в условиях международных санкций и контрсанкций, подрывающих возможности международного сотрудничества, исключительную значимость приобретают каче</w:t>
      </w:r>
      <w:r w:rsidRPr="00B01894">
        <w:rPr>
          <w:rFonts w:ascii="Bookman Old Style" w:eastAsia="Bookman Old Style" w:hAnsi="Bookman Old Style" w:cs="Bookman Old Style"/>
          <w:color w:val="231F20"/>
          <w:sz w:val="18"/>
          <w:szCs w:val="18"/>
        </w:rPr>
        <w:softHyphen/>
        <w:t>ственные характеристики внутренних факторов производства.</w:t>
      </w:r>
    </w:p>
    <w:p w14:paraId="419D81D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Возрастание роли человеческого капитала и превращение его из статьи затрат в основной производительный фактор развития приводят к формированию концепции, в соответствии с которой ин</w:t>
      </w:r>
      <w:r w:rsidRPr="00B01894">
        <w:rPr>
          <w:rFonts w:ascii="Bookman Old Style" w:eastAsia="Bookman Old Style" w:hAnsi="Bookman Old Style" w:cs="Bookman Old Style"/>
          <w:color w:val="231F20"/>
          <w:sz w:val="18"/>
          <w:szCs w:val="18"/>
        </w:rPr>
        <w:softHyphen/>
        <w:t>вестициям в воспитание, образование, здоровье, обеспечение, без</w:t>
      </w:r>
      <w:r w:rsidRPr="00B01894">
        <w:rPr>
          <w:rFonts w:ascii="Bookman Old Style" w:eastAsia="Bookman Old Style" w:hAnsi="Bookman Old Style" w:cs="Bookman Old Style"/>
          <w:color w:val="231F20"/>
          <w:sz w:val="18"/>
          <w:szCs w:val="18"/>
        </w:rPr>
        <w:softHyphen/>
        <w:t>опасность и обеспечение прав и свобод человека принадлежит веду</w:t>
      </w:r>
      <w:r w:rsidRPr="00B01894">
        <w:rPr>
          <w:rFonts w:ascii="Bookman Old Style" w:eastAsia="Bookman Old Style" w:hAnsi="Bookman Old Style" w:cs="Bookman Old Style"/>
          <w:color w:val="231F20"/>
          <w:sz w:val="18"/>
          <w:szCs w:val="18"/>
        </w:rPr>
        <w:softHyphen/>
        <w:t>щее место в стратегических ориентирах государственной политики.</w:t>
      </w:r>
    </w:p>
    <w:p w14:paraId="528AD86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Как и все прочие виды инвестиций, вложения в человеческий капи</w:t>
      </w:r>
      <w:r w:rsidRPr="00B01894">
        <w:rPr>
          <w:rFonts w:ascii="Bookman Old Style" w:eastAsia="Bookman Old Style" w:hAnsi="Bookman Old Style" w:cs="Bookman Old Style"/>
          <w:color w:val="231F20"/>
          <w:sz w:val="18"/>
          <w:szCs w:val="18"/>
        </w:rPr>
        <w:softHyphen/>
        <w:t>тал могут увеличивать личную и общественную полезность, соответ</w:t>
      </w:r>
      <w:r w:rsidRPr="00B01894">
        <w:rPr>
          <w:rFonts w:ascii="Bookman Old Style" w:eastAsia="Bookman Old Style" w:hAnsi="Bookman Old Style" w:cs="Bookman Old Style"/>
          <w:color w:val="231F20"/>
          <w:sz w:val="18"/>
          <w:szCs w:val="18"/>
        </w:rPr>
        <w:softHyphen/>
        <w:t>ственно, можно различать частные (корпоративные) и государствен</w:t>
      </w:r>
      <w:r w:rsidRPr="00B01894">
        <w:rPr>
          <w:rFonts w:ascii="Bookman Old Style" w:eastAsia="Bookman Old Style" w:hAnsi="Bookman Old Style" w:cs="Bookman Old Style"/>
          <w:color w:val="231F20"/>
          <w:sz w:val="18"/>
          <w:szCs w:val="18"/>
        </w:rPr>
        <w:softHyphen/>
        <w:t>ные инвестиции в человеческий капитал (рис. 2.4). При этом частные инвестиции, имея целью увеличение, соответственно, частной полез</w:t>
      </w:r>
      <w:r w:rsidRPr="00B01894">
        <w:rPr>
          <w:rFonts w:ascii="Bookman Old Style" w:eastAsia="Bookman Old Style" w:hAnsi="Bookman Old Style" w:cs="Bookman Old Style"/>
          <w:color w:val="231F20"/>
          <w:sz w:val="18"/>
          <w:szCs w:val="18"/>
        </w:rPr>
        <w:softHyphen/>
        <w:t xml:space="preserve">ности, могут увеличивать общественные (например, частные затраты на </w:t>
      </w:r>
      <w:r w:rsidRPr="00B01894">
        <w:rPr>
          <w:rFonts w:ascii="Bookman Old Style" w:eastAsia="Bookman Old Style" w:hAnsi="Bookman Old Style" w:cs="Bookman Old Style"/>
          <w:color w:val="231F20"/>
          <w:sz w:val="18"/>
          <w:szCs w:val="18"/>
        </w:rPr>
        <w:lastRenderedPageBreak/>
        <w:t>лечение способствуют улучшению здоровья нации, снижают на</w:t>
      </w:r>
      <w:r w:rsidRPr="00B01894">
        <w:rPr>
          <w:rFonts w:ascii="Bookman Old Style" w:eastAsia="Bookman Old Style" w:hAnsi="Bookman Old Style" w:cs="Bookman Old Style"/>
          <w:color w:val="231F20"/>
          <w:sz w:val="18"/>
          <w:szCs w:val="18"/>
        </w:rPr>
        <w:softHyphen/>
        <w:t>грузку на бюджеты и социальное иждивенчество), а государственные, увеличивая общественные полезности, способствуют, в свою очередь, росту частных (если продолжить пример с затратами на здравоохра</w:t>
      </w:r>
      <w:r w:rsidRPr="00B01894">
        <w:rPr>
          <w:rFonts w:ascii="Bookman Old Style" w:eastAsia="Bookman Old Style" w:hAnsi="Bookman Old Style" w:cs="Bookman Old Style"/>
          <w:color w:val="231F20"/>
          <w:sz w:val="18"/>
          <w:szCs w:val="18"/>
        </w:rPr>
        <w:softHyphen/>
        <w:t>нение, подобные расходы способствуют снижению риска заражения инфекционными заболеваниями, вызывают необходимость дополни</w:t>
      </w:r>
      <w:r w:rsidRPr="00B01894">
        <w:rPr>
          <w:rFonts w:ascii="Bookman Old Style" w:eastAsia="Bookman Old Style" w:hAnsi="Bookman Old Style" w:cs="Bookman Old Style"/>
          <w:color w:val="231F20"/>
          <w:sz w:val="18"/>
          <w:szCs w:val="18"/>
        </w:rPr>
        <w:softHyphen/>
        <w:t>тельных налогов на содержание нетрудоспособных и т. д.).</w:t>
      </w:r>
    </w:p>
    <w:p w14:paraId="339C528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государственные и частные (корпоративные) вложения в человеческий капитал являются взаимосвязанными и взаимозависимыми, однако разница состоит в том, что частные инвестиции преимущественно преследуют частные интересы, а го</w:t>
      </w:r>
      <w:r w:rsidRPr="00B01894">
        <w:rPr>
          <w:rFonts w:ascii="Bookman Old Style" w:eastAsia="Bookman Old Style" w:hAnsi="Bookman Old Style" w:cs="Bookman Old Style"/>
          <w:color w:val="231F20"/>
          <w:sz w:val="18"/>
          <w:szCs w:val="18"/>
        </w:rPr>
        <w:softHyphen/>
        <w:t>сударственные — соответственно, общественные. Здесь уместно вспомнить разницу между частными и общественными благами.</w:t>
      </w:r>
    </w:p>
    <w:p w14:paraId="0F1651C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Общественные блага бывают чистыми и смешанными</w:t>
      </w:r>
      <w:r w:rsidRPr="00B01894">
        <w:rPr>
          <w:rFonts w:ascii="Bookman Old Style" w:eastAsia="Bookman Old Style" w:hAnsi="Bookman Old Style" w:cs="Bookman Old Style"/>
          <w:color w:val="231F20"/>
          <w:sz w:val="18"/>
          <w:szCs w:val="18"/>
          <w:vertAlign w:val="superscript"/>
        </w:rPr>
        <w:footnoteReference w:id="17"/>
      </w:r>
      <w:r w:rsidRPr="00B01894">
        <w:rPr>
          <w:rFonts w:ascii="Bookman Old Style" w:eastAsia="Bookman Old Style" w:hAnsi="Bookman Old Style" w:cs="Bookman Old Style"/>
          <w:color w:val="231F20"/>
          <w:sz w:val="18"/>
          <w:szCs w:val="18"/>
        </w:rPr>
        <w:t>. Чистые блага приносят равные выгоды всем, независимо от количества по</w:t>
      </w:r>
      <w:r w:rsidRPr="00B01894">
        <w:rPr>
          <w:rFonts w:ascii="Bookman Old Style" w:eastAsia="Bookman Old Style" w:hAnsi="Bookman Old Style" w:cs="Bookman Old Style"/>
          <w:color w:val="231F20"/>
          <w:sz w:val="18"/>
          <w:szCs w:val="18"/>
        </w:rPr>
        <w:softHyphen/>
        <w:t>требителей (рис. 2.5).</w:t>
      </w:r>
    </w:p>
    <w:p w14:paraId="664CA94B" w14:textId="77777777" w:rsidR="00B01894" w:rsidRPr="00B01894" w:rsidRDefault="00B01894" w:rsidP="00B01894">
      <w:pPr>
        <w:framePr w:h="3398" w:wrap="notBeside" w:vAnchor="text" w:hAnchor="text" w:xAlign="center" w:y="1"/>
        <w:widowControl w:val="0"/>
        <w:spacing w:line="240" w:lineRule="auto"/>
        <w:ind w:firstLine="0"/>
        <w:jc w:val="center"/>
        <w:rPr>
          <w:sz w:val="2"/>
          <w:szCs w:val="2"/>
        </w:rPr>
      </w:pPr>
      <w:r w:rsidRPr="00B01894">
        <w:rPr>
          <w:noProof/>
          <w:lang w:bidi="ar-SA"/>
        </w:rPr>
        <w:drawing>
          <wp:inline distT="0" distB="0" distL="0" distR="0" wp14:anchorId="40F2DB72" wp14:editId="3FD97437">
            <wp:extent cx="2227580" cy="2161540"/>
            <wp:effectExtent l="0" t="0" r="1270" b="0"/>
            <wp:docPr id="147"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7580" cy="2161540"/>
                    </a:xfrm>
                    <a:prstGeom prst="rect">
                      <a:avLst/>
                    </a:prstGeom>
                    <a:noFill/>
                    <a:ln>
                      <a:noFill/>
                    </a:ln>
                  </pic:spPr>
                </pic:pic>
              </a:graphicData>
            </a:graphic>
          </wp:inline>
        </w:drawing>
      </w:r>
    </w:p>
    <w:p w14:paraId="26078634" w14:textId="77777777" w:rsidR="00B01894" w:rsidRPr="00B01894" w:rsidRDefault="00B01894" w:rsidP="00B01894">
      <w:pPr>
        <w:framePr w:h="3398" w:wrap="notBeside" w:vAnchor="text" w:hAnchor="text" w:xAlign="center" w:y="1"/>
        <w:widowControl w:val="0"/>
        <w:spacing w:line="194" w:lineRule="exact"/>
        <w:ind w:firstLine="0"/>
        <w:jc w:val="left"/>
        <w:rPr>
          <w:rFonts w:ascii="Arial Narrow" w:eastAsia="Arial Narrow" w:hAnsi="Arial Narrow" w:cs="Arial Narrow"/>
          <w:b/>
          <w:bCs/>
          <w:sz w:val="17"/>
          <w:szCs w:val="17"/>
        </w:rPr>
      </w:pPr>
      <w:r w:rsidRPr="00B01894">
        <w:rPr>
          <w:rFonts w:ascii="Arial Narrow" w:eastAsia="Arial Narrow" w:hAnsi="Arial Narrow" w:cs="Arial Narrow"/>
          <w:i/>
          <w:iCs/>
          <w:color w:val="231F20"/>
          <w:sz w:val="17"/>
          <w:szCs w:val="17"/>
        </w:rPr>
        <w:t>Рис. 2.4.</w:t>
      </w:r>
      <w:r w:rsidRPr="00B01894">
        <w:rPr>
          <w:rFonts w:ascii="Arial Narrow" w:eastAsia="Arial Narrow" w:hAnsi="Arial Narrow" w:cs="Arial Narrow"/>
          <w:b/>
          <w:bCs/>
          <w:color w:val="231F20"/>
          <w:sz w:val="17"/>
          <w:szCs w:val="17"/>
        </w:rPr>
        <w:t xml:space="preserve"> Взаимосвязь частных и государственных инвестиций в человеческий капитал</w:t>
      </w:r>
    </w:p>
    <w:p w14:paraId="09B43835" w14:textId="77777777" w:rsidR="00B01894" w:rsidRPr="00B01894" w:rsidRDefault="00B01894" w:rsidP="00B01894">
      <w:pPr>
        <w:widowControl w:val="0"/>
        <w:spacing w:line="240" w:lineRule="auto"/>
        <w:ind w:firstLine="0"/>
        <w:jc w:val="left"/>
      </w:pPr>
      <w:r w:rsidRPr="00B01894">
        <w:br w:type="page"/>
      </w:r>
    </w:p>
    <w:p w14:paraId="61DD0F63" w14:textId="77777777" w:rsidR="00B01894" w:rsidRPr="00B01894" w:rsidRDefault="00B01894" w:rsidP="00B01894">
      <w:pPr>
        <w:widowControl w:val="0"/>
        <w:spacing w:line="240" w:lineRule="auto"/>
        <w:ind w:firstLine="0"/>
        <w:jc w:val="left"/>
      </w:pPr>
      <w:r w:rsidRPr="00B01894">
        <w:rPr>
          <w:noProof/>
          <w:lang w:bidi="ar-SA"/>
        </w:rPr>
        <w:lastRenderedPageBreak/>
        <mc:AlternateContent>
          <mc:Choice Requires="wpg">
            <w:drawing>
              <wp:anchor distT="0" distB="0" distL="114300" distR="114300" simplePos="0" relativeHeight="377504574" behindDoc="0" locked="0" layoutInCell="1" allowOverlap="1" wp14:anchorId="144C269E" wp14:editId="48723D8F">
                <wp:simplePos x="0" y="0"/>
                <wp:positionH relativeFrom="column">
                  <wp:posOffset>1512619</wp:posOffset>
                </wp:positionH>
                <wp:positionV relativeFrom="paragraph">
                  <wp:posOffset>9330</wp:posOffset>
                </wp:positionV>
                <wp:extent cx="2473569" cy="2098430"/>
                <wp:effectExtent l="57150" t="38100" r="79375" b="73660"/>
                <wp:wrapNone/>
                <wp:docPr id="226" name="Группа 226"/>
                <wp:cNvGraphicFramePr/>
                <a:graphic xmlns:a="http://schemas.openxmlformats.org/drawingml/2006/main">
                  <a:graphicData uri="http://schemas.microsoft.com/office/word/2010/wordprocessingGroup">
                    <wpg:wgp>
                      <wpg:cNvGrpSpPr/>
                      <wpg:grpSpPr>
                        <a:xfrm>
                          <a:off x="0" y="0"/>
                          <a:ext cx="2473569" cy="2098430"/>
                          <a:chOff x="0" y="0"/>
                          <a:chExt cx="2473569" cy="2098430"/>
                        </a:xfrm>
                      </wpg:grpSpPr>
                      <wps:wsp>
                        <wps:cNvPr id="219" name="Прямая со стрелкой 219"/>
                        <wps:cNvCnPr/>
                        <wps:spPr>
                          <a:xfrm flipV="1">
                            <a:off x="0" y="0"/>
                            <a:ext cx="11723" cy="2098430"/>
                          </a:xfrm>
                          <a:prstGeom prst="straightConnector1">
                            <a:avLst/>
                          </a:prstGeom>
                          <a:noFill/>
                          <a:ln w="9525" cap="flat" cmpd="sng" algn="ctr">
                            <a:solidFill>
                              <a:sysClr val="windowText" lastClr="000000"/>
                            </a:solidFill>
                            <a:prstDash val="solid"/>
                            <a:tailEnd type="triangle"/>
                          </a:ln>
                          <a:effectLst/>
                        </wps:spPr>
                        <wps:bodyPr/>
                      </wps:wsp>
                      <wps:wsp>
                        <wps:cNvPr id="221" name="Прямая соединительная линия 221"/>
                        <wps:cNvCnPr/>
                        <wps:spPr>
                          <a:xfrm flipV="1">
                            <a:off x="11723" y="744415"/>
                            <a:ext cx="1272247" cy="5862"/>
                          </a:xfrm>
                          <a:prstGeom prst="line">
                            <a:avLst/>
                          </a:prstGeom>
                          <a:noFill/>
                          <a:ln w="9525" cap="flat" cmpd="sng" algn="ctr">
                            <a:solidFill>
                              <a:sysClr val="windowText" lastClr="000000"/>
                            </a:solidFill>
                            <a:prstDash val="solid"/>
                          </a:ln>
                          <a:effectLst/>
                        </wps:spPr>
                        <wps:bodyPr/>
                      </wps:wsp>
                      <wps:wsp>
                        <wps:cNvPr id="220" name="Прямая со стрелкой 220"/>
                        <wps:cNvCnPr/>
                        <wps:spPr>
                          <a:xfrm flipV="1">
                            <a:off x="0" y="2080846"/>
                            <a:ext cx="2473569" cy="17194"/>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49932FA8" id="Группа 226" o:spid="_x0000_s1026" style="position:absolute;margin-left:119.1pt;margin-top:.75pt;width:194.75pt;height:165.25pt;z-index:377504574" coordsize="24735,2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">
                <v:shape id="Прямая со стрелкой 219" o:spid="_x0000_s1027" type="#_x0000_t32" style="position:absolute;width:117;height:20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" strokecolor="windowText">
                  <v:stroke endarrow="block"/>
                </v:shape>
                <v:line id="Прямая соединительная линия 221" o:spid="_x0000_s1028" style="position:absolute;flip:y;visibility:visible;mso-wrap-style:square" from="117,7444" to="1283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" strokecolor="windowText"/>
                <v:shape id="Прямая со стрелкой 220" o:spid="_x0000_s1029" type="#_x0000_t32" style="position:absolute;top:20808;width:24735;height:1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" strokecolor="windowText">
                  <v:stroke endarrow="block"/>
                </v:shape>
              </v:group>
            </w:pict>
          </mc:Fallback>
        </mc:AlternateContent>
      </w:r>
    </w:p>
    <w:p w14:paraId="78A42366" w14:textId="77777777" w:rsidR="00B01894" w:rsidRPr="00B01894" w:rsidRDefault="00B01894" w:rsidP="00B01894">
      <w:pPr>
        <w:widowControl w:val="0"/>
        <w:spacing w:line="240" w:lineRule="auto"/>
        <w:ind w:firstLine="0"/>
        <w:jc w:val="left"/>
      </w:pPr>
    </w:p>
    <w:p w14:paraId="4BEF0979" w14:textId="77777777" w:rsidR="00B01894" w:rsidRPr="00B01894" w:rsidRDefault="00B01894" w:rsidP="00B01894">
      <w:pPr>
        <w:widowControl w:val="0"/>
        <w:spacing w:line="240" w:lineRule="auto"/>
        <w:ind w:firstLine="0"/>
        <w:jc w:val="left"/>
      </w:pPr>
    </w:p>
    <w:p w14:paraId="2C4B45E5" w14:textId="77777777" w:rsidR="00B01894" w:rsidRPr="00B01894" w:rsidRDefault="00B01894" w:rsidP="00B01894">
      <w:pPr>
        <w:widowControl w:val="0"/>
        <w:spacing w:line="240" w:lineRule="auto"/>
        <w:ind w:firstLine="0"/>
        <w:jc w:val="left"/>
      </w:pPr>
    </w:p>
    <w:p w14:paraId="5EC51AFC" w14:textId="77777777" w:rsidR="00B01894" w:rsidRPr="00B01894" w:rsidRDefault="00B01894" w:rsidP="00B01894">
      <w:pPr>
        <w:widowControl w:val="0"/>
        <w:spacing w:line="240" w:lineRule="auto"/>
        <w:ind w:firstLine="0"/>
        <w:jc w:val="left"/>
      </w:pPr>
    </w:p>
    <w:p w14:paraId="4AA9299C" w14:textId="77777777" w:rsidR="00B01894" w:rsidRPr="00B01894" w:rsidRDefault="00B01894" w:rsidP="00B01894">
      <w:pPr>
        <w:widowControl w:val="0"/>
        <w:spacing w:line="240" w:lineRule="auto"/>
        <w:ind w:firstLine="0"/>
        <w:jc w:val="left"/>
      </w:pPr>
    </w:p>
    <w:p w14:paraId="56AE2D5F" w14:textId="77777777" w:rsidR="00B01894" w:rsidRPr="00B01894" w:rsidRDefault="00B01894" w:rsidP="00B01894">
      <w:pPr>
        <w:widowControl w:val="0"/>
        <w:spacing w:line="240" w:lineRule="auto"/>
        <w:ind w:firstLine="0"/>
        <w:jc w:val="left"/>
        <w:rPr>
          <w:sz w:val="2"/>
          <w:szCs w:val="2"/>
        </w:rPr>
      </w:pPr>
    </w:p>
    <w:p w14:paraId="730F7E55" w14:textId="77777777" w:rsidR="00B01894" w:rsidRPr="00B01894" w:rsidRDefault="00B01894" w:rsidP="00B01894">
      <w:pPr>
        <w:widowControl w:val="0"/>
        <w:spacing w:after="258" w:line="192" w:lineRule="exact"/>
        <w:ind w:left="2260" w:firstLine="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Количество потребителей</w:t>
      </w:r>
    </w:p>
    <w:p w14:paraId="346E8781" w14:textId="77777777" w:rsidR="00B01894" w:rsidRPr="00B01894" w:rsidRDefault="00B01894" w:rsidP="00B01894">
      <w:pPr>
        <w:widowControl w:val="0"/>
        <w:spacing w:after="216" w:line="194" w:lineRule="exact"/>
        <w:ind w:firstLine="0"/>
        <w:jc w:val="center"/>
        <w:rPr>
          <w:rFonts w:ascii="Arial Narrow" w:eastAsia="Arial Narrow" w:hAnsi="Arial Narrow" w:cs="Arial Narrow"/>
          <w:b/>
          <w:bCs/>
          <w:sz w:val="17"/>
          <w:szCs w:val="17"/>
        </w:rPr>
      </w:pPr>
      <w:r w:rsidRPr="00B01894">
        <w:rPr>
          <w:rFonts w:ascii="Arial Narrow" w:eastAsia="Arial Narrow" w:hAnsi="Arial Narrow" w:cs="Arial Narrow"/>
          <w:b/>
          <w:bCs/>
          <w:noProof/>
          <w:sz w:val="17"/>
          <w:szCs w:val="17"/>
          <w:lang w:bidi="ar-SA"/>
        </w:rPr>
        <w:drawing>
          <wp:anchor distT="0" distB="0" distL="984250" distR="63500" simplePos="0" relativeHeight="377499454" behindDoc="1" locked="0" layoutInCell="1" allowOverlap="1" wp14:anchorId="61B07FB2" wp14:editId="4B1FCD52">
            <wp:simplePos x="0" y="0"/>
            <wp:positionH relativeFrom="margin">
              <wp:posOffset>993775</wp:posOffset>
            </wp:positionH>
            <wp:positionV relativeFrom="paragraph">
              <wp:posOffset>-1804670</wp:posOffset>
            </wp:positionV>
            <wp:extent cx="106680" cy="1362710"/>
            <wp:effectExtent l="0" t="0" r="7620" b="8890"/>
            <wp:wrapTopAndBottom/>
            <wp:docPr id="205" name="Рисунок 1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 cy="1362710"/>
                    </a:xfrm>
                    <a:prstGeom prst="rect">
                      <a:avLst/>
                    </a:prstGeom>
                    <a:noFill/>
                  </pic:spPr>
                </pic:pic>
              </a:graphicData>
            </a:graphic>
            <wp14:sizeRelH relativeFrom="page">
              <wp14:pctWidth>0</wp14:pctWidth>
            </wp14:sizeRelH>
            <wp14:sizeRelV relativeFrom="page">
              <wp14:pctHeight>0</wp14:pctHeight>
            </wp14:sizeRelV>
          </wp:anchor>
        </w:drawing>
      </w:r>
      <w:r w:rsidRPr="00B01894">
        <w:rPr>
          <w:rFonts w:ascii="Arial Narrow" w:eastAsia="Arial Narrow" w:hAnsi="Arial Narrow" w:cs="Arial Narrow"/>
          <w:i/>
          <w:iCs/>
          <w:color w:val="231F20"/>
          <w:sz w:val="17"/>
          <w:szCs w:val="17"/>
        </w:rPr>
        <w:t>Рис. 2.5.</w:t>
      </w:r>
      <w:r w:rsidRPr="00B01894">
        <w:rPr>
          <w:rFonts w:ascii="Arial Narrow" w:eastAsia="Arial Narrow" w:hAnsi="Arial Narrow" w:cs="Arial Narrow"/>
          <w:b/>
          <w:bCs/>
          <w:color w:val="231F20"/>
          <w:sz w:val="17"/>
          <w:szCs w:val="17"/>
        </w:rPr>
        <w:t xml:space="preserve"> Выгоды потребителей от чистых общественных благ</w:t>
      </w:r>
    </w:p>
    <w:p w14:paraId="0F5126D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Выгоды от таких общественных благ не зависят от количества пользующихся ими. При этом это могут быть локальные или мест</w:t>
      </w:r>
      <w:r w:rsidRPr="00B01894">
        <w:rPr>
          <w:rFonts w:ascii="Bookman Old Style" w:eastAsia="Bookman Old Style" w:hAnsi="Bookman Old Style" w:cs="Bookman Old Style"/>
          <w:color w:val="231F20"/>
          <w:sz w:val="18"/>
          <w:szCs w:val="18"/>
        </w:rPr>
        <w:softHyphen/>
        <w:t>ные общественные блага, т. е. доступные только людям, проживаю</w:t>
      </w:r>
      <w:r w:rsidRPr="00B01894">
        <w:rPr>
          <w:rFonts w:ascii="Bookman Old Style" w:eastAsia="Bookman Old Style" w:hAnsi="Bookman Old Style" w:cs="Bookman Old Style"/>
          <w:color w:val="231F20"/>
          <w:sz w:val="18"/>
          <w:szCs w:val="18"/>
        </w:rPr>
        <w:softHyphen/>
        <w:t>щим в определенной местности (например, районная поликлиника или школа, «привязанная» к микрорайону), но доступны они в рав</w:t>
      </w:r>
      <w:r w:rsidRPr="00B01894">
        <w:rPr>
          <w:rFonts w:ascii="Bookman Old Style" w:eastAsia="Bookman Old Style" w:hAnsi="Bookman Old Style" w:cs="Bookman Old Style"/>
          <w:color w:val="231F20"/>
          <w:sz w:val="18"/>
          <w:szCs w:val="18"/>
        </w:rPr>
        <w:softHyphen/>
        <w:t>ной степени всем без признаков «перегружаемости» (нет очередей на место в детском саду, не надо заранее записываться на прием к врачу и пр.).</w:t>
      </w:r>
    </w:p>
    <w:p w14:paraId="374B20A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отличие от чистых общественных благ перегружаемые бла</w:t>
      </w:r>
      <w:r w:rsidRPr="00B01894">
        <w:rPr>
          <w:rFonts w:ascii="Bookman Old Style" w:eastAsia="Bookman Old Style" w:hAnsi="Bookman Old Style" w:cs="Bookman Old Style"/>
          <w:color w:val="231F20"/>
          <w:sz w:val="18"/>
          <w:szCs w:val="18"/>
        </w:rPr>
        <w:softHyphen/>
        <w:t>га теряют свою полезность для потребителей с ростом их числа (рис. 2.6).</w:t>
      </w:r>
    </w:p>
    <w:p w14:paraId="583082C1" w14:textId="77777777" w:rsidR="00B01894" w:rsidRPr="00B01894" w:rsidRDefault="00B01894" w:rsidP="00B01894">
      <w:pPr>
        <w:widowControl w:val="0"/>
        <w:spacing w:after="128" w:line="250" w:lineRule="exact"/>
        <w:ind w:firstLine="320"/>
        <w:rPr>
          <w:rFonts w:ascii="Bookman Old Style" w:eastAsia="Bookman Old Style" w:hAnsi="Bookman Old Style" w:cs="Bookman Old Style"/>
          <w:color w:val="231F20"/>
          <w:sz w:val="18"/>
          <w:szCs w:val="18"/>
        </w:rPr>
      </w:pPr>
      <w:r w:rsidRPr="00B01894">
        <w:rPr>
          <w:rFonts w:ascii="Bookman Old Style" w:eastAsia="Bookman Old Style" w:hAnsi="Bookman Old Style" w:cs="Bookman Old Style"/>
          <w:color w:val="231F20"/>
          <w:sz w:val="18"/>
          <w:szCs w:val="18"/>
        </w:rPr>
        <w:t>Например, школа с перегруженностью по количеству учеников для каждого из них теряет полезность с точки зрения качества об</w:t>
      </w:r>
      <w:r w:rsidRPr="00B01894">
        <w:rPr>
          <w:rFonts w:ascii="Bookman Old Style" w:eastAsia="Bookman Old Style" w:hAnsi="Bookman Old Style" w:cs="Bookman Old Style"/>
          <w:color w:val="231F20"/>
          <w:sz w:val="18"/>
          <w:szCs w:val="18"/>
        </w:rPr>
        <w:softHyphen/>
        <w:t>учения.</w:t>
      </w:r>
    </w:p>
    <w:p w14:paraId="58150904" w14:textId="77777777" w:rsidR="00B01894" w:rsidRPr="00B01894" w:rsidRDefault="00B01894" w:rsidP="00B01894">
      <w:pPr>
        <w:widowControl w:val="0"/>
        <w:spacing w:after="128" w:line="250" w:lineRule="exact"/>
        <w:ind w:firstLine="320"/>
        <w:rPr>
          <w:rFonts w:ascii="Bookman Old Style" w:eastAsia="Bookman Old Style" w:hAnsi="Bookman Old Style" w:cs="Bookman Old Style"/>
          <w:color w:val="231F20"/>
          <w:sz w:val="18"/>
          <w:szCs w:val="18"/>
        </w:rPr>
      </w:pPr>
    </w:p>
    <w:p w14:paraId="3A07D5AA" w14:textId="77777777" w:rsidR="00B01894" w:rsidRPr="00B01894" w:rsidRDefault="00B01894" w:rsidP="00B01894">
      <w:pPr>
        <w:widowControl w:val="0"/>
        <w:spacing w:after="128"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noProof/>
          <w:sz w:val="18"/>
          <w:szCs w:val="18"/>
          <w:lang w:bidi="ar-SA"/>
        </w:rPr>
        <mc:AlternateContent>
          <mc:Choice Requires="wpg">
            <w:drawing>
              <wp:anchor distT="0" distB="0" distL="114300" distR="114300" simplePos="0" relativeHeight="377505598" behindDoc="0" locked="0" layoutInCell="1" allowOverlap="1" wp14:anchorId="1E148DB8" wp14:editId="158D97E6">
                <wp:simplePos x="0" y="0"/>
                <wp:positionH relativeFrom="column">
                  <wp:posOffset>1418834</wp:posOffset>
                </wp:positionH>
                <wp:positionV relativeFrom="paragraph">
                  <wp:posOffset>79180</wp:posOffset>
                </wp:positionV>
                <wp:extent cx="1822939" cy="1565274"/>
                <wp:effectExtent l="38100" t="38100" r="82550" b="92710"/>
                <wp:wrapNone/>
                <wp:docPr id="225" name="Группа 225"/>
                <wp:cNvGraphicFramePr/>
                <a:graphic xmlns:a="http://schemas.openxmlformats.org/drawingml/2006/main">
                  <a:graphicData uri="http://schemas.microsoft.com/office/word/2010/wordprocessingGroup">
                    <wpg:wgp>
                      <wpg:cNvGrpSpPr/>
                      <wpg:grpSpPr>
                        <a:xfrm>
                          <a:off x="0" y="0"/>
                          <a:ext cx="1822939" cy="1565274"/>
                          <a:chOff x="0" y="0"/>
                          <a:chExt cx="1822939" cy="1565274"/>
                        </a:xfrm>
                      </wpg:grpSpPr>
                      <wps:wsp>
                        <wps:cNvPr id="227" name="Прямая со стрелкой 227"/>
                        <wps:cNvCnPr/>
                        <wps:spPr>
                          <a:xfrm flipV="1">
                            <a:off x="11723" y="0"/>
                            <a:ext cx="23446" cy="1559169"/>
                          </a:xfrm>
                          <a:prstGeom prst="straightConnector1">
                            <a:avLst/>
                          </a:prstGeom>
                          <a:noFill/>
                          <a:ln w="9525" cap="flat" cmpd="sng" algn="ctr">
                            <a:solidFill>
                              <a:sysClr val="windowText" lastClr="000000"/>
                            </a:solidFill>
                            <a:prstDash val="solid"/>
                            <a:tailEnd type="triangle"/>
                          </a:ln>
                          <a:effectLst/>
                        </wps:spPr>
                        <wps:bodyPr/>
                      </wps:wsp>
                      <wps:wsp>
                        <wps:cNvPr id="228" name="Прямая со стрелкой 228"/>
                        <wps:cNvCnPr/>
                        <wps:spPr>
                          <a:xfrm>
                            <a:off x="0" y="1559169"/>
                            <a:ext cx="1822939" cy="6105"/>
                          </a:xfrm>
                          <a:prstGeom prst="straightConnector1">
                            <a:avLst/>
                          </a:prstGeom>
                          <a:noFill/>
                          <a:ln w="9525" cap="flat" cmpd="sng" algn="ctr">
                            <a:solidFill>
                              <a:sysClr val="windowText" lastClr="000000"/>
                            </a:solidFill>
                            <a:prstDash val="solid"/>
                            <a:tailEnd type="triangle"/>
                          </a:ln>
                          <a:effectLst/>
                        </wps:spPr>
                        <wps:bodyPr/>
                      </wps:wsp>
                      <wpg:grpSp>
                        <wpg:cNvPr id="229" name="Группа 229"/>
                        <wpg:cNvGrpSpPr/>
                        <wpg:grpSpPr>
                          <a:xfrm>
                            <a:off x="35169" y="545123"/>
                            <a:ext cx="1307124" cy="873662"/>
                            <a:chOff x="0" y="0"/>
                            <a:chExt cx="1307124" cy="873662"/>
                          </a:xfrm>
                        </wpg:grpSpPr>
                        <wps:wsp>
                          <wps:cNvPr id="230" name="Прямая соединительная линия 230"/>
                          <wps:cNvCnPr/>
                          <wps:spPr>
                            <a:xfrm>
                              <a:off x="0" y="0"/>
                              <a:ext cx="861647" cy="11723"/>
                            </a:xfrm>
                            <a:prstGeom prst="line">
                              <a:avLst/>
                            </a:prstGeom>
                            <a:noFill/>
                            <a:ln w="9525" cap="flat" cmpd="sng" algn="ctr">
                              <a:solidFill>
                                <a:sysClr val="windowText" lastClr="000000"/>
                              </a:solidFill>
                              <a:prstDash val="solid"/>
                            </a:ln>
                            <a:effectLst/>
                          </wps:spPr>
                          <wps:bodyPr/>
                        </wps:wsp>
                        <wps:wsp>
                          <wps:cNvPr id="231" name="Дуга 231"/>
                          <wps:cNvSpPr/>
                          <wps:spPr>
                            <a:xfrm>
                              <a:off x="328247" y="11723"/>
                              <a:ext cx="978877" cy="861939"/>
                            </a:xfrm>
                            <a:prstGeom prst="arc">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5244C1D" id="Группа 225" o:spid="_x0000_s1026" style="position:absolute;margin-left:111.7pt;margin-top:6.25pt;width:143.55pt;height:123.25pt;z-index:377505598" coordsize="18229,1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">
                <v:shape id="Прямая со стрелкой 227" o:spid="_x0000_s1027" type="#_x0000_t32" style="position:absolute;left:117;width:234;height:15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" strokecolor="windowText">
                  <v:stroke endarrow="block"/>
                </v:shape>
                <v:shape id="Прямая со стрелкой 228" o:spid="_x0000_s1028" type="#_x0000_t32" style="position:absolute;top:15591;width:18229;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" strokecolor="windowText">
                  <v:stroke endarrow="block"/>
                </v:shape>
                <v:group id="Группа 229" o:spid="_x0000_s1029" style="position:absolute;left:351;top:5451;width:13071;height:8736" coordsize="13071,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Прямая соединительная линия 230" o:spid="_x0000_s1030" style="position:absolute;visibility:visible;mso-wrap-style:square" from="0,0" to="861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" strokecolor="windowText"/>
                  <v:shape id="Дуга 231" o:spid="_x0000_s1031" style="position:absolute;left:3282;top:117;width:9789;height:8619;visibility:visible;mso-wrap-style:square;v-text-anchor:middle" coordsize="978877,86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" path="m489438,nsc759748,,978877,192952,978877,430970r-489438,c489439,287313,489438,143657,489438,xem489438,nfc759748,,978877,192952,978877,430970e" filled="f" strokecolor="windowText">
                    <v:path arrowok="t" o:connecttype="custom" o:connectlocs="489438,0;978877,430970" o:connectangles="0,0"/>
                  </v:shape>
                </v:group>
              </v:group>
            </w:pict>
          </mc:Fallback>
        </mc:AlternateContent>
      </w:r>
    </w:p>
    <w:p w14:paraId="599CB439" w14:textId="77777777" w:rsidR="00B01894" w:rsidRPr="00B01894" w:rsidRDefault="00B01894" w:rsidP="00B01894">
      <w:pPr>
        <w:widowControl w:val="0"/>
        <w:spacing w:line="240" w:lineRule="exact"/>
        <w:ind w:left="1880" w:firstLine="0"/>
        <w:jc w:val="left"/>
        <w:rPr>
          <w:rFonts w:ascii="Arial Narrow" w:eastAsia="Arial Narrow" w:hAnsi="Arial Narrow" w:cs="Arial Narrow"/>
          <w:b/>
          <w:bCs/>
          <w:sz w:val="21"/>
          <w:szCs w:val="21"/>
        </w:rPr>
      </w:pPr>
      <w:r w:rsidRPr="00B01894">
        <w:rPr>
          <w:rFonts w:ascii="Arial Narrow" w:eastAsia="Arial Narrow" w:hAnsi="Arial Narrow" w:cs="Arial Narrow"/>
          <w:b/>
          <w:bCs/>
          <w:noProof/>
          <w:sz w:val="21"/>
          <w:szCs w:val="21"/>
          <w:lang w:bidi="ar-SA"/>
        </w:rPr>
        <w:drawing>
          <wp:anchor distT="0" distB="237490" distL="1027430" distR="1637030" simplePos="0" relativeHeight="377500478" behindDoc="1" locked="0" layoutInCell="1" allowOverlap="1" wp14:anchorId="7409140A" wp14:editId="1B52BA66">
            <wp:simplePos x="0" y="0"/>
            <wp:positionH relativeFrom="margin">
              <wp:posOffset>1036320</wp:posOffset>
            </wp:positionH>
            <wp:positionV relativeFrom="paragraph">
              <wp:posOffset>125095</wp:posOffset>
            </wp:positionV>
            <wp:extent cx="106680" cy="1362710"/>
            <wp:effectExtent l="0" t="0" r="7620" b="8890"/>
            <wp:wrapTopAndBottom/>
            <wp:docPr id="204" name="Рисунок 1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 cy="1362710"/>
                    </a:xfrm>
                    <a:prstGeom prst="rect">
                      <a:avLst/>
                    </a:prstGeom>
                    <a:noFill/>
                  </pic:spPr>
                </pic:pic>
              </a:graphicData>
            </a:graphic>
            <wp14:sizeRelH relativeFrom="page">
              <wp14:pctWidth>0</wp14:pctWidth>
            </wp14:sizeRelH>
            <wp14:sizeRelV relativeFrom="page">
              <wp14:pctHeight>0</wp14:pctHeight>
            </wp14:sizeRelV>
          </wp:anchor>
        </w:drawing>
      </w:r>
      <w:r w:rsidRPr="00B01894">
        <w:rPr>
          <w:rFonts w:ascii="Arial Narrow" w:eastAsia="Arial Narrow" w:hAnsi="Arial Narrow" w:cs="Arial Narrow"/>
          <w:b/>
          <w:bCs/>
          <w:noProof/>
          <w:sz w:val="21"/>
          <w:szCs w:val="21"/>
          <w:lang w:bidi="ar-SA"/>
        </w:rPr>
        <mc:AlternateContent>
          <mc:Choice Requires="wps">
            <w:drawing>
              <wp:anchor distT="0" distB="0" distL="1444625" distR="176530" simplePos="0" relativeHeight="377501502" behindDoc="1" locked="0" layoutInCell="1" allowOverlap="1" wp14:anchorId="4FC58AC9" wp14:editId="686A0F8B">
                <wp:simplePos x="0" y="0"/>
                <wp:positionH relativeFrom="margin">
                  <wp:posOffset>1454150</wp:posOffset>
                </wp:positionH>
                <wp:positionV relativeFrom="paragraph">
                  <wp:posOffset>1569720</wp:posOffset>
                </wp:positionV>
                <wp:extent cx="1471930" cy="121920"/>
                <wp:effectExtent l="3810" t="4445" r="635" b="0"/>
                <wp:wrapTopAndBottom/>
                <wp:docPr id="2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4818" w14:textId="77777777" w:rsidR="00B01894" w:rsidRDefault="00B01894" w:rsidP="00B01894">
                            <w:pPr>
                              <w:pStyle w:val="80"/>
                              <w:shd w:val="clear" w:color="auto" w:fill="auto"/>
                              <w:spacing w:line="192" w:lineRule="exact"/>
                              <w:ind w:firstLine="0"/>
                            </w:pPr>
                            <w:r>
                              <w:rPr>
                                <w:rStyle w:val="8Exact0"/>
                              </w:rPr>
                              <w:t>Количество потребителей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C58AC9" id="Text Box 18" o:spid="_x0000_s1034" type="#_x0000_t202" style="position:absolute;left:0;text-align:left;margin-left:114.5pt;margin-top:123.6pt;width:115.9pt;height:9.6pt;z-index:-125814978;visibility:visible;mso-wrap-style:square;mso-width-percent:0;mso-height-percent:0;mso-wrap-distance-left:113.75pt;mso-wrap-distance-top:0;mso-wrap-distance-right:1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" filled="f" stroked="f">
                <v:textbox style="mso-fit-shape-to-text:t" inset="0,0,0,0">
                  <w:txbxContent>
                    <w:p w14:paraId="006E4818" w14:textId="77777777" w:rsidR="00B01894" w:rsidRDefault="00B01894" w:rsidP="00B01894">
                      <w:pPr>
                        <w:pStyle w:val="80"/>
                        <w:shd w:val="clear" w:color="auto" w:fill="auto"/>
                        <w:spacing w:line="192" w:lineRule="exact"/>
                        <w:ind w:firstLine="0"/>
                      </w:pPr>
                      <w:r>
                        <w:rPr>
                          <w:rStyle w:val="8Exact0"/>
                        </w:rPr>
                        <w:t>Количество потребителей</w:t>
                      </w:r>
                    </w:p>
                  </w:txbxContent>
                </v:textbox>
                <w10:wrap type="topAndBottom" anchorx="margin"/>
              </v:shape>
            </w:pict>
          </mc:Fallback>
        </mc:AlternateContent>
      </w:r>
    </w:p>
    <w:p w14:paraId="6BBAC3E6" w14:textId="77777777" w:rsidR="00B01894" w:rsidRPr="00B01894" w:rsidRDefault="00B01894" w:rsidP="00B01894">
      <w:pPr>
        <w:widowControl w:val="0"/>
        <w:spacing w:after="236" w:line="194" w:lineRule="exact"/>
        <w:ind w:firstLine="0"/>
        <w:jc w:val="center"/>
        <w:rPr>
          <w:rFonts w:ascii="Arial Narrow" w:eastAsia="Arial Narrow" w:hAnsi="Arial Narrow" w:cs="Arial Narrow"/>
          <w:b/>
          <w:bCs/>
          <w:sz w:val="17"/>
          <w:szCs w:val="17"/>
        </w:rPr>
      </w:pPr>
      <w:r w:rsidRPr="00B01894">
        <w:rPr>
          <w:rFonts w:ascii="Arial Narrow" w:eastAsia="Arial Narrow" w:hAnsi="Arial Narrow" w:cs="Arial Narrow"/>
          <w:i/>
          <w:iCs/>
          <w:color w:val="231F20"/>
          <w:sz w:val="17"/>
          <w:szCs w:val="17"/>
        </w:rPr>
        <w:t>Рис. 2.6.</w:t>
      </w:r>
      <w:r w:rsidRPr="00B01894">
        <w:rPr>
          <w:rFonts w:ascii="Arial Narrow" w:eastAsia="Arial Narrow" w:hAnsi="Arial Narrow" w:cs="Arial Narrow"/>
          <w:b/>
          <w:bCs/>
          <w:color w:val="231F20"/>
          <w:sz w:val="17"/>
          <w:szCs w:val="17"/>
        </w:rPr>
        <w:t xml:space="preserve"> Выгоды потребителей в случае перегружаемых общественных благ</w:t>
      </w:r>
    </w:p>
    <w:p w14:paraId="76FA3C8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Специфика общественных благ состоит также в том, что они равнодоступны для всех потребителей, иначе теряют смысл — один нездоровый субъект в случае инфекционного заболевания способен</w:t>
      </w:r>
      <w:r w:rsidRPr="00B01894">
        <w:rPr>
          <w:rFonts w:ascii="Bookman Old Style" w:eastAsia="Bookman Old Style" w:hAnsi="Bookman Old Style" w:cs="Bookman Old Style"/>
          <w:color w:val="231F20"/>
          <w:sz w:val="18"/>
          <w:szCs w:val="18"/>
        </w:rPr>
        <w:br w:type="page"/>
      </w:r>
      <w:r w:rsidRPr="00B01894">
        <w:rPr>
          <w:rFonts w:ascii="Bookman Old Style" w:eastAsia="Bookman Old Style" w:hAnsi="Bookman Old Style" w:cs="Bookman Old Style"/>
          <w:color w:val="231F20"/>
          <w:sz w:val="18"/>
          <w:szCs w:val="18"/>
        </w:rPr>
        <w:lastRenderedPageBreak/>
        <w:t>заразить неограниченное число других. При этом представляется невозможной ситуация, при которой все члены общества добро</w:t>
      </w:r>
      <w:r w:rsidRPr="00B01894">
        <w:rPr>
          <w:rFonts w:ascii="Bookman Old Style" w:eastAsia="Bookman Old Style" w:hAnsi="Bookman Old Style" w:cs="Bookman Old Style"/>
          <w:color w:val="231F20"/>
          <w:sz w:val="18"/>
          <w:szCs w:val="18"/>
        </w:rPr>
        <w:softHyphen/>
        <w:t>вольно профинансируют производство данных благ, кроме того, непонятно, каким должен быть взнос каждого в силу неравенства доходов и имущественного состояния</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w:t>
      </w:r>
    </w:p>
    <w:p w14:paraId="78F1B99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государственные инвестиции, во-первых, совер</w:t>
      </w:r>
      <w:r w:rsidRPr="00B01894">
        <w:rPr>
          <w:rFonts w:ascii="Bookman Old Style" w:eastAsia="Bookman Old Style" w:hAnsi="Bookman Old Style" w:cs="Bookman Old Style"/>
          <w:color w:val="231F20"/>
          <w:sz w:val="18"/>
          <w:szCs w:val="18"/>
        </w:rPr>
        <w:softHyphen/>
        <w:t>шенно необходимы; во-вторых, должны стремиться производить чистые общественные блага и не допускать их «перегружения».</w:t>
      </w:r>
    </w:p>
    <w:p w14:paraId="6C6919D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интенсификации же корпоративных и частных инвестиций в человеческий капитал необходимо создавать институциональные условия для добросовестных инвесторов или «соинвесторов». При этом данные условия такие же, как и те, которые необходимы для эффективных вложений в физический капитал.</w:t>
      </w:r>
    </w:p>
    <w:p w14:paraId="17111411"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интенсификации вложений именно в человеческий капитал необходимо развивать также некоторые специфические обществен</w:t>
      </w:r>
      <w:r w:rsidRPr="00B01894">
        <w:rPr>
          <w:rFonts w:ascii="Bookman Old Style" w:eastAsia="Bookman Old Style" w:hAnsi="Bookman Old Style" w:cs="Bookman Old Style"/>
          <w:color w:val="231F20"/>
          <w:sz w:val="18"/>
          <w:szCs w:val="18"/>
        </w:rPr>
        <w:softHyphen/>
        <w:t>ные институты. К ним можно отнести следующие.</w:t>
      </w:r>
    </w:p>
    <w:p w14:paraId="053B8441" w14:textId="77777777" w:rsidR="00B01894" w:rsidRPr="00B01894" w:rsidRDefault="00B01894" w:rsidP="00B01894">
      <w:pPr>
        <w:widowControl w:val="0"/>
        <w:numPr>
          <w:ilvl w:val="0"/>
          <w:numId w:val="25"/>
        </w:numPr>
        <w:tabs>
          <w:tab w:val="left" w:pos="65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Национальная система образования.</w:t>
      </w:r>
    </w:p>
    <w:p w14:paraId="574D6E4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процессе эволюции системы образования частное (коммерче</w:t>
      </w:r>
      <w:r w:rsidRPr="00B01894">
        <w:rPr>
          <w:rFonts w:ascii="Bookman Old Style" w:eastAsia="Bookman Old Style" w:hAnsi="Bookman Old Style" w:cs="Bookman Old Style"/>
          <w:color w:val="231F20"/>
          <w:sz w:val="18"/>
          <w:szCs w:val="18"/>
        </w:rPr>
        <w:softHyphen/>
        <w:t>ское) образование постепенно вытеснялось государственно финан</w:t>
      </w:r>
      <w:r w:rsidRPr="00B01894">
        <w:rPr>
          <w:rFonts w:ascii="Bookman Old Style" w:eastAsia="Bookman Old Style" w:hAnsi="Bookman Old Style" w:cs="Bookman Old Style"/>
          <w:color w:val="231F20"/>
          <w:sz w:val="18"/>
          <w:szCs w:val="18"/>
        </w:rPr>
        <w:softHyphen/>
        <w:t>сируемым. Учитывая тот факт, что способности среди населения распределены приблизительно равномерно, а доходы — нет, обще</w:t>
      </w:r>
      <w:r w:rsidRPr="00B01894">
        <w:rPr>
          <w:rFonts w:ascii="Bookman Old Style" w:eastAsia="Bookman Old Style" w:hAnsi="Bookman Old Style" w:cs="Bookman Old Style"/>
          <w:color w:val="231F20"/>
          <w:sz w:val="18"/>
          <w:szCs w:val="18"/>
        </w:rPr>
        <w:softHyphen/>
        <w:t>ственной пользе соответствует равный доступ способных детей к системе образования. На сегодняшний день во многих странах образование уже не только общедоступное, а даже обязательное благо, которым может (и обязан!) воспользоваться каждый граж</w:t>
      </w:r>
      <w:r w:rsidRPr="00B01894">
        <w:rPr>
          <w:rFonts w:ascii="Bookman Old Style" w:eastAsia="Bookman Old Style" w:hAnsi="Bookman Old Style" w:cs="Bookman Old Style"/>
          <w:color w:val="231F20"/>
          <w:sz w:val="18"/>
          <w:szCs w:val="18"/>
        </w:rPr>
        <w:softHyphen/>
        <w:t>данин. На первых порах это было начальное образование, затем среднее, а в некоторых странах уже принимаются концепции о все</w:t>
      </w:r>
      <w:r w:rsidRPr="00B01894">
        <w:rPr>
          <w:rFonts w:ascii="Bookman Old Style" w:eastAsia="Bookman Old Style" w:hAnsi="Bookman Old Style" w:cs="Bookman Old Style"/>
          <w:color w:val="231F20"/>
          <w:sz w:val="18"/>
          <w:szCs w:val="18"/>
        </w:rPr>
        <w:softHyphen/>
        <w:t>общем высшем образовании. При утверждении принципов общедо</w:t>
      </w:r>
      <w:r w:rsidRPr="00B01894">
        <w:rPr>
          <w:rFonts w:ascii="Bookman Old Style" w:eastAsia="Bookman Old Style" w:hAnsi="Bookman Old Style" w:cs="Bookman Old Style"/>
          <w:color w:val="231F20"/>
          <w:sz w:val="18"/>
          <w:szCs w:val="18"/>
        </w:rPr>
        <w:softHyphen/>
        <w:t>ступности и обязательности возрастают как государственные, так и частные инвестиции в образование, поскольку это становится ус</w:t>
      </w:r>
      <w:r w:rsidRPr="00B01894">
        <w:rPr>
          <w:rFonts w:ascii="Bookman Old Style" w:eastAsia="Bookman Old Style" w:hAnsi="Bookman Old Style" w:cs="Bookman Old Style"/>
          <w:color w:val="231F20"/>
          <w:sz w:val="18"/>
          <w:szCs w:val="18"/>
        </w:rPr>
        <w:softHyphen/>
        <w:t>ловием для того, чтобы считаться полноценным членом общества. При этом необходимо поддерживать престиж высшего образования и интеллектуального труда, поскольку даже при государственно фи</w:t>
      </w:r>
      <w:r w:rsidRPr="00B01894">
        <w:rPr>
          <w:rFonts w:ascii="Bookman Old Style" w:eastAsia="Bookman Old Style" w:hAnsi="Bookman Old Style" w:cs="Bookman Old Style"/>
          <w:color w:val="231F20"/>
          <w:sz w:val="18"/>
          <w:szCs w:val="18"/>
        </w:rPr>
        <w:softHyphen/>
        <w:t>нансируемом высшем образовании его получение является отсроч</w:t>
      </w:r>
      <w:r w:rsidRPr="00B01894">
        <w:rPr>
          <w:rFonts w:ascii="Bookman Old Style" w:eastAsia="Bookman Old Style" w:hAnsi="Bookman Old Style" w:cs="Bookman Old Style"/>
          <w:color w:val="231F20"/>
          <w:sz w:val="18"/>
          <w:szCs w:val="18"/>
        </w:rPr>
        <w:softHyphen/>
        <w:t>кой при выходе на рынок труда и зарабатывании доходов экономи</w:t>
      </w:r>
      <w:r w:rsidRPr="00B01894">
        <w:rPr>
          <w:rFonts w:ascii="Bookman Old Style" w:eastAsia="Bookman Old Style" w:hAnsi="Bookman Old Style" w:cs="Bookman Old Style"/>
          <w:color w:val="231F20"/>
          <w:sz w:val="18"/>
          <w:szCs w:val="18"/>
        </w:rPr>
        <w:softHyphen/>
        <w:t>ческими субъектами (рис. 2.7).</w:t>
      </w:r>
    </w:p>
    <w:p w14:paraId="508D851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Если подобная отсрочка будет гарантированно приносить боль</w:t>
      </w:r>
      <w:r w:rsidRPr="00B01894">
        <w:rPr>
          <w:rFonts w:ascii="Bookman Old Style" w:eastAsia="Bookman Old Style" w:hAnsi="Bookman Old Style" w:cs="Bookman Old Style"/>
          <w:color w:val="231F20"/>
          <w:sz w:val="18"/>
          <w:szCs w:val="18"/>
        </w:rPr>
        <w:softHyphen/>
        <w:t>ший доход в будущем одновременно с получением других нематери</w:t>
      </w:r>
      <w:r w:rsidRPr="00B01894">
        <w:rPr>
          <w:rFonts w:ascii="Bookman Old Style" w:eastAsia="Bookman Old Style" w:hAnsi="Bookman Old Style" w:cs="Bookman Old Style"/>
          <w:color w:val="231F20"/>
          <w:sz w:val="18"/>
          <w:szCs w:val="18"/>
        </w:rPr>
        <w:softHyphen/>
        <w:t>альных выгод, то экономический субъект будет склонен софинансировать свою образовательную программу, привлекая к этому других заинтересованных лиц (родственников, потенциальных работодате</w:t>
      </w:r>
      <w:r w:rsidRPr="00B01894">
        <w:rPr>
          <w:rFonts w:ascii="Bookman Old Style" w:eastAsia="Bookman Old Style" w:hAnsi="Bookman Old Style" w:cs="Bookman Old Style"/>
          <w:color w:val="231F20"/>
          <w:sz w:val="18"/>
          <w:szCs w:val="18"/>
        </w:rPr>
        <w:softHyphen/>
        <w:t xml:space="preserve">лей и т. д.). </w:t>
      </w:r>
      <w:r w:rsidRPr="00B01894">
        <w:rPr>
          <w:rFonts w:ascii="Bookman Old Style" w:eastAsia="Bookman Old Style" w:hAnsi="Bookman Old Style" w:cs="Bookman Old Style"/>
          <w:color w:val="231F20"/>
          <w:sz w:val="18"/>
          <w:szCs w:val="18"/>
          <w:vertAlign w:val="superscript"/>
        </w:rPr>
        <w:footnoteReference w:id="18"/>
      </w:r>
    </w:p>
    <w:p w14:paraId="6038C77B" w14:textId="77777777" w:rsidR="00B01894" w:rsidRPr="00B01894" w:rsidRDefault="00B01894" w:rsidP="00B01894">
      <w:pPr>
        <w:framePr w:h="3058" w:wrap="notBeside" w:vAnchor="text" w:hAnchor="text" w:xAlign="center" w:y="1"/>
        <w:widowControl w:val="0"/>
        <w:spacing w:line="240" w:lineRule="auto"/>
        <w:ind w:firstLine="0"/>
        <w:jc w:val="center"/>
        <w:rPr>
          <w:sz w:val="2"/>
          <w:szCs w:val="2"/>
        </w:rPr>
      </w:pPr>
      <w:r w:rsidRPr="00B01894">
        <w:rPr>
          <w:noProof/>
          <w:lang w:bidi="ar-SA"/>
        </w:rPr>
        <w:lastRenderedPageBreak/>
        <w:drawing>
          <wp:inline distT="0" distB="0" distL="0" distR="0" wp14:anchorId="47E32F1F" wp14:editId="71939A1E">
            <wp:extent cx="2360930" cy="1939925"/>
            <wp:effectExtent l="0" t="0" r="1270" b="3175"/>
            <wp:docPr id="146" name="Рисунок 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0930" cy="1939925"/>
                    </a:xfrm>
                    <a:prstGeom prst="rect">
                      <a:avLst/>
                    </a:prstGeom>
                    <a:noFill/>
                    <a:ln>
                      <a:noFill/>
                    </a:ln>
                  </pic:spPr>
                </pic:pic>
              </a:graphicData>
            </a:graphic>
          </wp:inline>
        </w:drawing>
      </w:r>
    </w:p>
    <w:p w14:paraId="7D49B5FC" w14:textId="77777777" w:rsidR="00B01894" w:rsidRPr="00B01894" w:rsidRDefault="00B01894" w:rsidP="00B01894">
      <w:pPr>
        <w:framePr w:h="3058" w:wrap="notBeside" w:vAnchor="text" w:hAnchor="text" w:xAlign="center" w:y="1"/>
        <w:widowControl w:val="0"/>
        <w:spacing w:line="194" w:lineRule="exact"/>
        <w:ind w:firstLine="0"/>
        <w:jc w:val="center"/>
        <w:rPr>
          <w:rFonts w:ascii="Arial Narrow" w:eastAsia="Arial Narrow" w:hAnsi="Arial Narrow" w:cs="Arial Narrow"/>
          <w:b/>
          <w:bCs/>
          <w:sz w:val="17"/>
          <w:szCs w:val="17"/>
        </w:rPr>
      </w:pPr>
      <w:r w:rsidRPr="00B01894">
        <w:rPr>
          <w:rFonts w:ascii="Arial Narrow" w:eastAsia="Arial Narrow" w:hAnsi="Arial Narrow" w:cs="Arial Narrow"/>
          <w:i/>
          <w:iCs/>
          <w:color w:val="231F20"/>
          <w:sz w:val="17"/>
          <w:szCs w:val="17"/>
        </w:rPr>
        <w:t>Рис. 2.7.</w:t>
      </w:r>
      <w:r w:rsidRPr="00B01894">
        <w:rPr>
          <w:rFonts w:ascii="Arial Narrow" w:eastAsia="Arial Narrow" w:hAnsi="Arial Narrow" w:cs="Arial Narrow"/>
          <w:b/>
          <w:bCs/>
          <w:color w:val="231F20"/>
          <w:sz w:val="17"/>
          <w:szCs w:val="17"/>
        </w:rPr>
        <w:t xml:space="preserve"> Доходы субъектов, имеющих высшее и среднее образование</w:t>
      </w:r>
    </w:p>
    <w:p w14:paraId="0FD791DD" w14:textId="77777777" w:rsidR="00B01894" w:rsidRPr="00B01894" w:rsidRDefault="00B01894" w:rsidP="00B01894">
      <w:pPr>
        <w:widowControl w:val="0"/>
        <w:spacing w:line="240" w:lineRule="auto"/>
        <w:ind w:firstLine="0"/>
        <w:jc w:val="left"/>
        <w:rPr>
          <w:sz w:val="2"/>
          <w:szCs w:val="2"/>
        </w:rPr>
      </w:pPr>
    </w:p>
    <w:p w14:paraId="5C0394F0" w14:textId="77777777" w:rsidR="00B01894" w:rsidRPr="00B01894" w:rsidRDefault="00B01894" w:rsidP="00B01894">
      <w:pPr>
        <w:widowControl w:val="0"/>
        <w:numPr>
          <w:ilvl w:val="0"/>
          <w:numId w:val="25"/>
        </w:numPr>
        <w:tabs>
          <w:tab w:val="left" w:pos="645"/>
        </w:tabs>
        <w:spacing w:before="244"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Национальная система здравоохранения.</w:t>
      </w:r>
    </w:p>
    <w:p w14:paraId="1075AA3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Система здравоохранения может быть организована:</w:t>
      </w:r>
    </w:p>
    <w:p w14:paraId="0D107A9E" w14:textId="77777777" w:rsidR="00B01894" w:rsidRPr="00B01894" w:rsidRDefault="00B01894" w:rsidP="00B01894">
      <w:pPr>
        <w:widowControl w:val="0"/>
        <w:numPr>
          <w:ilvl w:val="0"/>
          <w:numId w:val="22"/>
        </w:numPr>
        <w:tabs>
          <w:tab w:val="left" w:pos="645"/>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виде покупки медицинских услуг на рынке;</w:t>
      </w:r>
    </w:p>
    <w:p w14:paraId="4C3CC96D" w14:textId="77777777" w:rsidR="00B01894" w:rsidRPr="00B01894" w:rsidRDefault="00B01894" w:rsidP="00B01894">
      <w:pPr>
        <w:widowControl w:val="0"/>
        <w:numPr>
          <w:ilvl w:val="0"/>
          <w:numId w:val="22"/>
        </w:numPr>
        <w:tabs>
          <w:tab w:val="left" w:pos="645"/>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страхования;</w:t>
      </w:r>
    </w:p>
    <w:p w14:paraId="5308461E" w14:textId="77777777" w:rsidR="00B01894" w:rsidRPr="00B01894" w:rsidRDefault="00B01894" w:rsidP="00B01894">
      <w:pPr>
        <w:widowControl w:val="0"/>
        <w:numPr>
          <w:ilvl w:val="0"/>
          <w:numId w:val="22"/>
        </w:numPr>
        <w:tabs>
          <w:tab w:val="left" w:pos="645"/>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государственной (бесплатной) медицины.</w:t>
      </w:r>
    </w:p>
    <w:p w14:paraId="7F76DFD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зависимости от этого и осуществляется частное и государ</w:t>
      </w:r>
      <w:r w:rsidRPr="00B01894">
        <w:rPr>
          <w:rFonts w:ascii="Bookman Old Style" w:eastAsia="Bookman Old Style" w:hAnsi="Bookman Old Style" w:cs="Bookman Old Style"/>
          <w:color w:val="231F20"/>
          <w:sz w:val="18"/>
          <w:szCs w:val="18"/>
        </w:rPr>
        <w:softHyphen/>
        <w:t>ственное инвестирование в здоровье (рис. 2.8).</w:t>
      </w:r>
    </w:p>
    <w:p w14:paraId="0E76070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разных странах преобладает тот или иной вид медицины. В российском здравоохранении присутствуют все три формы.</w:t>
      </w:r>
    </w:p>
    <w:p w14:paraId="60F7B1B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плане привлечения инвестиций в здравоохранение кажется ло</w:t>
      </w:r>
      <w:r w:rsidRPr="00B01894">
        <w:rPr>
          <w:rFonts w:ascii="Bookman Old Style" w:eastAsia="Bookman Old Style" w:hAnsi="Bookman Old Style" w:cs="Bookman Old Style"/>
          <w:color w:val="231F20"/>
          <w:sz w:val="18"/>
          <w:szCs w:val="18"/>
        </w:rPr>
        <w:softHyphen/>
        <w:t>гичным развитие частной медицины, где инвестор может получить прибыль. Однако во многих случаях частные инвестиции не могут быть эффективными. Например, бесполезно лечить индивидуально заразные болезни, поскольку при контактах с окружающими неиз</w:t>
      </w:r>
      <w:r w:rsidRPr="00B01894">
        <w:rPr>
          <w:rFonts w:ascii="Bookman Old Style" w:eastAsia="Bookman Old Style" w:hAnsi="Bookman Old Style" w:cs="Bookman Old Style"/>
          <w:color w:val="231F20"/>
          <w:sz w:val="18"/>
          <w:szCs w:val="18"/>
        </w:rPr>
        <w:softHyphen/>
        <w:t>бежно возникает рецидив. Кроме того, специфика медицинского обслуживания состоит в том, что больной человек не в состоянии принимать рыночных решений в силу существенного неравновесия переговорных позиций — в случае тяжелого заболевания человек готов отдать любую цену за лечение и легко становится жертвой вымогательства (чем успешно пользуются различные шарлатаны). Велика также ассиметрия информации относительно качества лече</w:t>
      </w:r>
      <w:r w:rsidRPr="00B01894">
        <w:rPr>
          <w:rFonts w:ascii="Bookman Old Style" w:eastAsia="Bookman Old Style" w:hAnsi="Bookman Old Style" w:cs="Bookman Old Style"/>
          <w:color w:val="231F20"/>
          <w:sz w:val="18"/>
          <w:szCs w:val="18"/>
        </w:rPr>
        <w:softHyphen/>
        <w:t>ния — медицинские услуги являются классическим примером дове</w:t>
      </w:r>
      <w:r w:rsidRPr="00B01894">
        <w:rPr>
          <w:rFonts w:ascii="Bookman Old Style" w:eastAsia="Bookman Old Style" w:hAnsi="Bookman Old Style" w:cs="Bookman Old Style"/>
          <w:color w:val="231F20"/>
          <w:sz w:val="18"/>
          <w:szCs w:val="18"/>
        </w:rPr>
        <w:softHyphen/>
        <w:t>рительного товара, когда невозможно изначально быть уверенным в эффективности лечения, т. е. в качестве предоставляемого това</w:t>
      </w:r>
      <w:r w:rsidRPr="00B01894">
        <w:rPr>
          <w:rFonts w:ascii="Bookman Old Style" w:eastAsia="Bookman Old Style" w:hAnsi="Bookman Old Style" w:cs="Bookman Old Style"/>
          <w:color w:val="231F20"/>
          <w:sz w:val="18"/>
          <w:szCs w:val="18"/>
        </w:rPr>
        <w:softHyphen/>
        <w:t>ра. Таким образом, спрос на медицинскую помощь нечувствителен к цене. В силу сказанного выше по крайней мере экстренная и базо</w:t>
      </w:r>
      <w:r w:rsidRPr="00B01894">
        <w:rPr>
          <w:rFonts w:ascii="Bookman Old Style" w:eastAsia="Bookman Old Style" w:hAnsi="Bookman Old Style" w:cs="Bookman Old Style"/>
          <w:color w:val="231F20"/>
          <w:sz w:val="18"/>
          <w:szCs w:val="18"/>
        </w:rPr>
        <w:softHyphen/>
        <w:t>вая медицинская помощь должна быть проинвестирована государ</w:t>
      </w:r>
      <w:r w:rsidRPr="00B01894">
        <w:rPr>
          <w:rFonts w:ascii="Bookman Old Style" w:eastAsia="Bookman Old Style" w:hAnsi="Bookman Old Style" w:cs="Bookman Old Style"/>
          <w:color w:val="231F20"/>
          <w:sz w:val="18"/>
          <w:szCs w:val="18"/>
        </w:rPr>
        <w:softHyphen/>
        <w:t>ством в виде либо прямого финансирования, либо обязательного страхования. Частные же инвестиции возможны при опробирова</w:t>
      </w:r>
      <w:r w:rsidRPr="00B01894">
        <w:rPr>
          <w:rFonts w:ascii="Bookman Old Style" w:eastAsia="Bookman Old Style" w:hAnsi="Bookman Old Style" w:cs="Bookman Old Style"/>
          <w:color w:val="231F20"/>
          <w:sz w:val="18"/>
          <w:szCs w:val="18"/>
        </w:rPr>
        <w:softHyphen/>
        <w:t>нии новых методов лечения, создании дополнительного комфор</w:t>
      </w:r>
      <w:r w:rsidRPr="00B01894">
        <w:rPr>
          <w:rFonts w:ascii="Bookman Old Style" w:eastAsia="Bookman Old Style" w:hAnsi="Bookman Old Style" w:cs="Bookman Old Style"/>
          <w:color w:val="231F20"/>
          <w:sz w:val="18"/>
          <w:szCs w:val="18"/>
        </w:rPr>
        <w:softHyphen/>
        <w:t>та для пациентов и т. д. Страховая медицина снимает некоторые институциональные проблемы, однако интересы общества заклю</w:t>
      </w:r>
      <w:r w:rsidRPr="00B01894">
        <w:rPr>
          <w:rFonts w:ascii="Bookman Old Style" w:eastAsia="Bookman Old Style" w:hAnsi="Bookman Old Style" w:cs="Bookman Old Style"/>
          <w:color w:val="231F20"/>
          <w:sz w:val="18"/>
          <w:szCs w:val="18"/>
        </w:rPr>
        <w:softHyphen/>
        <w:t xml:space="preserve">чаются в том, чтобы охват медицины был стопроцентным, тогда как наличие </w:t>
      </w:r>
      <w:r w:rsidRPr="00B01894">
        <w:rPr>
          <w:rFonts w:ascii="Bookman Old Style" w:eastAsia="Bookman Old Style" w:hAnsi="Bookman Old Style" w:cs="Bookman Old Style"/>
          <w:color w:val="231F20"/>
          <w:sz w:val="18"/>
          <w:szCs w:val="18"/>
        </w:rPr>
        <w:lastRenderedPageBreak/>
        <w:t>или отсутствие полиса может быть критерием предоставле</w:t>
      </w:r>
      <w:r w:rsidRPr="00B01894">
        <w:rPr>
          <w:rFonts w:ascii="Bookman Old Style" w:eastAsia="Bookman Old Style" w:hAnsi="Bookman Old Style" w:cs="Bookman Old Style"/>
          <w:color w:val="231F20"/>
          <w:sz w:val="18"/>
          <w:szCs w:val="18"/>
        </w:rPr>
        <w:softHyphen/>
        <w:t>ния или непредоставления помощи. Поэтому базовое медицинское обслуживание — это предмет государственного инвестирования, поскольку является классическим видом общественного блага.</w:t>
      </w:r>
    </w:p>
    <w:p w14:paraId="19699917" w14:textId="77777777" w:rsidR="00B01894" w:rsidRPr="00B01894" w:rsidRDefault="00B01894" w:rsidP="00B01894">
      <w:pPr>
        <w:framePr w:h="3518" w:wrap="notBeside" w:vAnchor="text" w:hAnchor="text" w:xAlign="center" w:y="1"/>
        <w:widowControl w:val="0"/>
        <w:spacing w:line="240" w:lineRule="auto"/>
        <w:ind w:firstLine="0"/>
        <w:jc w:val="center"/>
        <w:rPr>
          <w:sz w:val="2"/>
          <w:szCs w:val="2"/>
        </w:rPr>
      </w:pPr>
      <w:r w:rsidRPr="00B01894">
        <w:rPr>
          <w:noProof/>
          <w:lang w:bidi="ar-SA"/>
        </w:rPr>
        <w:drawing>
          <wp:inline distT="0" distB="0" distL="0" distR="0" wp14:anchorId="468C5347" wp14:editId="1063B7AB">
            <wp:extent cx="4184015" cy="2233295"/>
            <wp:effectExtent l="0" t="0" r="6985" b="0"/>
            <wp:docPr id="145" name="Рисунок 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4015" cy="2233295"/>
                    </a:xfrm>
                    <a:prstGeom prst="rect">
                      <a:avLst/>
                    </a:prstGeom>
                    <a:noFill/>
                    <a:ln>
                      <a:noFill/>
                    </a:ln>
                  </pic:spPr>
                </pic:pic>
              </a:graphicData>
            </a:graphic>
          </wp:inline>
        </w:drawing>
      </w:r>
    </w:p>
    <w:p w14:paraId="0322D882" w14:textId="77777777" w:rsidR="00B01894" w:rsidRPr="00B01894" w:rsidRDefault="00B01894" w:rsidP="00B01894">
      <w:pPr>
        <w:framePr w:h="3518" w:wrap="notBeside" w:vAnchor="text" w:hAnchor="text" w:xAlign="center" w:y="1"/>
        <w:widowControl w:val="0"/>
        <w:spacing w:line="240" w:lineRule="exact"/>
        <w:ind w:firstLine="0"/>
        <w:jc w:val="center"/>
        <w:rPr>
          <w:rFonts w:ascii="Arial Narrow" w:eastAsia="Arial Narrow" w:hAnsi="Arial Narrow" w:cs="Arial Narrow"/>
          <w:b/>
          <w:bCs/>
          <w:sz w:val="17"/>
          <w:szCs w:val="17"/>
        </w:rPr>
      </w:pPr>
      <w:r w:rsidRPr="00B01894">
        <w:rPr>
          <w:rFonts w:ascii="Arial Narrow" w:eastAsia="Arial Narrow" w:hAnsi="Arial Narrow" w:cs="Arial Narrow"/>
          <w:i/>
          <w:iCs/>
          <w:color w:val="231F20"/>
          <w:sz w:val="17"/>
          <w:szCs w:val="17"/>
        </w:rPr>
        <w:t>Рис. 2.8.</w:t>
      </w:r>
      <w:r w:rsidRPr="00B01894">
        <w:rPr>
          <w:rFonts w:ascii="Arial Narrow" w:eastAsia="Arial Narrow" w:hAnsi="Arial Narrow" w:cs="Arial Narrow"/>
          <w:b/>
          <w:bCs/>
          <w:color w:val="231F20"/>
          <w:sz w:val="17"/>
          <w:szCs w:val="17"/>
        </w:rPr>
        <w:t xml:space="preserve"> Классификация инвестиций в здравоохранение в зависимости от субъекта вложений</w:t>
      </w:r>
    </w:p>
    <w:p w14:paraId="6AD89BD6" w14:textId="77777777" w:rsidR="00B01894" w:rsidRPr="00B01894" w:rsidRDefault="00B01894" w:rsidP="00B01894">
      <w:pPr>
        <w:widowControl w:val="0"/>
        <w:spacing w:line="240" w:lineRule="auto"/>
        <w:ind w:firstLine="0"/>
        <w:jc w:val="left"/>
        <w:rPr>
          <w:sz w:val="2"/>
          <w:szCs w:val="2"/>
        </w:rPr>
      </w:pPr>
    </w:p>
    <w:p w14:paraId="12DF4BD2" w14:textId="77777777" w:rsidR="00B01894" w:rsidRPr="00B01894" w:rsidRDefault="00B01894" w:rsidP="00B01894">
      <w:pPr>
        <w:widowControl w:val="0"/>
        <w:spacing w:before="178"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в принципе разумная комбинация различных ви</w:t>
      </w:r>
      <w:r w:rsidRPr="00B01894">
        <w:rPr>
          <w:rFonts w:ascii="Bookman Old Style" w:eastAsia="Bookman Old Style" w:hAnsi="Bookman Old Style" w:cs="Bookman Old Style"/>
          <w:color w:val="231F20"/>
          <w:sz w:val="18"/>
          <w:szCs w:val="18"/>
        </w:rPr>
        <w:softHyphen/>
        <w:t>дов медицины — частной, страховой и государственной, существу</w:t>
      </w:r>
      <w:r w:rsidRPr="00B01894">
        <w:rPr>
          <w:rFonts w:ascii="Bookman Old Style" w:eastAsia="Bookman Old Style" w:hAnsi="Bookman Old Style" w:cs="Bookman Old Style"/>
          <w:color w:val="231F20"/>
          <w:sz w:val="18"/>
          <w:szCs w:val="18"/>
        </w:rPr>
        <w:softHyphen/>
        <w:t>ющих сейчас в Российской Федерации параллельно, может стать примером эффективного развития капитала здоровья.</w:t>
      </w:r>
    </w:p>
    <w:p w14:paraId="1B6C7110" w14:textId="77777777" w:rsidR="00B01894" w:rsidRPr="00B01894" w:rsidRDefault="00B01894" w:rsidP="00B01894">
      <w:pPr>
        <w:widowControl w:val="0"/>
        <w:numPr>
          <w:ilvl w:val="0"/>
          <w:numId w:val="25"/>
        </w:numPr>
        <w:tabs>
          <w:tab w:val="left" w:pos="661"/>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Система социального обеспечения.</w:t>
      </w:r>
    </w:p>
    <w:p w14:paraId="2A3A2803"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Социальное обеспечение появилось среди обязанностей госу</w:t>
      </w:r>
      <w:r w:rsidRPr="00B01894">
        <w:rPr>
          <w:rFonts w:ascii="Bookman Old Style" w:eastAsia="Bookman Old Style" w:hAnsi="Bookman Old Style" w:cs="Bookman Old Style"/>
          <w:color w:val="231F20"/>
          <w:sz w:val="18"/>
          <w:szCs w:val="18"/>
        </w:rPr>
        <w:softHyphen/>
        <w:t>дарства относительно недавно. Наиболее полно данная категория была продемонстрирована в доктрине «социального рыночного хозяйства» Л. Эрхарда, что позволило послевоенной Германии, бу</w:t>
      </w:r>
      <w:r w:rsidRPr="00B01894">
        <w:rPr>
          <w:rFonts w:ascii="Bookman Old Style" w:eastAsia="Bookman Old Style" w:hAnsi="Bookman Old Style" w:cs="Bookman Old Style"/>
          <w:color w:val="231F20"/>
          <w:sz w:val="18"/>
          <w:szCs w:val="18"/>
        </w:rPr>
        <w:softHyphen/>
        <w:t>дучи побежденной, разрушенной страной, потерявшей огромные территории, за короткий срок восстановить экономику. Это явле</w:t>
      </w:r>
      <w:r w:rsidRPr="00B01894">
        <w:rPr>
          <w:rFonts w:ascii="Bookman Old Style" w:eastAsia="Bookman Old Style" w:hAnsi="Bookman Old Style" w:cs="Bookman Old Style"/>
          <w:color w:val="231F20"/>
          <w:sz w:val="18"/>
          <w:szCs w:val="18"/>
        </w:rPr>
        <w:softHyphen/>
        <w:t>ние вошло в историю под названием «немецкого экономического чуда». Данный опыт наглядно показал, что право человека на жи</w:t>
      </w:r>
      <w:r w:rsidRPr="00B01894">
        <w:rPr>
          <w:rFonts w:ascii="Bookman Old Style" w:eastAsia="Bookman Old Style" w:hAnsi="Bookman Old Style" w:cs="Bookman Old Style"/>
          <w:color w:val="231F20"/>
          <w:sz w:val="18"/>
          <w:szCs w:val="18"/>
        </w:rPr>
        <w:softHyphen/>
        <w:t>лье, достойный уровень пособий и т. д. не только не тормозит эко</w:t>
      </w:r>
      <w:r w:rsidRPr="00B01894">
        <w:rPr>
          <w:rFonts w:ascii="Bookman Old Style" w:eastAsia="Bookman Old Style" w:hAnsi="Bookman Old Style" w:cs="Bookman Old Style"/>
          <w:color w:val="231F20"/>
          <w:sz w:val="18"/>
          <w:szCs w:val="18"/>
        </w:rPr>
        <w:softHyphen/>
        <w:t>номический рост, но и служит в некотором смысле «подушкой без</w:t>
      </w:r>
      <w:r w:rsidRPr="00B01894">
        <w:rPr>
          <w:rFonts w:ascii="Bookman Old Style" w:eastAsia="Bookman Old Style" w:hAnsi="Bookman Old Style" w:cs="Bookman Old Style"/>
          <w:color w:val="231F20"/>
          <w:sz w:val="18"/>
          <w:szCs w:val="18"/>
        </w:rPr>
        <w:softHyphen/>
        <w:t>опасности» при снижении экономической активности. Кроме того, инвестиции в социальное обеспечение помогают преодолеть демо</w:t>
      </w:r>
      <w:r w:rsidRPr="00B01894">
        <w:rPr>
          <w:rFonts w:ascii="Bookman Old Style" w:eastAsia="Bookman Old Style" w:hAnsi="Bookman Old Style" w:cs="Bookman Old Style"/>
          <w:color w:val="231F20"/>
          <w:sz w:val="18"/>
          <w:szCs w:val="18"/>
        </w:rPr>
        <w:softHyphen/>
        <w:t>графические проблемы, которые становятся основополагающими для промышленно развитых стран. Вместе с тем забота государства о старшем поколении позволяет молодым работать более эффектив</w:t>
      </w:r>
      <w:r w:rsidRPr="00B01894">
        <w:rPr>
          <w:rFonts w:ascii="Bookman Old Style" w:eastAsia="Bookman Old Style" w:hAnsi="Bookman Old Style" w:cs="Bookman Old Style"/>
          <w:color w:val="231F20"/>
          <w:sz w:val="18"/>
          <w:szCs w:val="18"/>
        </w:rPr>
        <w:softHyphen/>
        <w:t>но, поскольку часть семейных обязанностей может исполнить ква</w:t>
      </w:r>
      <w:r w:rsidRPr="00B01894">
        <w:rPr>
          <w:rFonts w:ascii="Bookman Old Style" w:eastAsia="Bookman Old Style" w:hAnsi="Bookman Old Style" w:cs="Bookman Old Style"/>
          <w:color w:val="231F20"/>
          <w:sz w:val="18"/>
          <w:szCs w:val="18"/>
        </w:rPr>
        <w:softHyphen/>
        <w:t>лифицированный социальный работник.</w:t>
      </w:r>
    </w:p>
    <w:p w14:paraId="141DD395" w14:textId="77777777" w:rsidR="00B01894" w:rsidRPr="00B01894" w:rsidRDefault="00B01894" w:rsidP="00B01894">
      <w:pPr>
        <w:widowControl w:val="0"/>
        <w:numPr>
          <w:ilvl w:val="0"/>
          <w:numId w:val="25"/>
        </w:numPr>
        <w:tabs>
          <w:tab w:val="left" w:pos="662"/>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Система пенсионного обеспечения.</w:t>
      </w:r>
    </w:p>
    <w:p w14:paraId="574AC27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Подобно системе здравоохранения, пенсионная система также может быть инвестирована государством, корпорациями или част</w:t>
      </w:r>
      <w:r w:rsidRPr="00B01894">
        <w:rPr>
          <w:rFonts w:ascii="Bookman Old Style" w:eastAsia="Bookman Old Style" w:hAnsi="Bookman Old Style" w:cs="Bookman Old Style"/>
          <w:color w:val="231F20"/>
          <w:sz w:val="18"/>
          <w:szCs w:val="18"/>
        </w:rPr>
        <w:softHyphen/>
        <w:t>ными субъектами. По форме пенсия может быть «базовой», стра</w:t>
      </w:r>
      <w:r w:rsidRPr="00B01894">
        <w:rPr>
          <w:rFonts w:ascii="Bookman Old Style" w:eastAsia="Bookman Old Style" w:hAnsi="Bookman Old Style" w:cs="Bookman Old Style"/>
          <w:color w:val="231F20"/>
          <w:sz w:val="18"/>
          <w:szCs w:val="18"/>
        </w:rPr>
        <w:softHyphen/>
        <w:t xml:space="preserve">ховой и накопительной (в России, опять же, присутствуют все три варианта). </w:t>
      </w:r>
      <w:r w:rsidRPr="00B01894">
        <w:rPr>
          <w:rFonts w:ascii="Bookman Old Style" w:eastAsia="Bookman Old Style" w:hAnsi="Bookman Old Style" w:cs="Bookman Old Style"/>
          <w:color w:val="231F20"/>
          <w:sz w:val="18"/>
          <w:szCs w:val="18"/>
        </w:rPr>
        <w:lastRenderedPageBreak/>
        <w:t>Соответственно, государственные пенсии являются общественным благом, так как обеспечивают равные права на до</w:t>
      </w:r>
      <w:r w:rsidRPr="00B01894">
        <w:rPr>
          <w:rFonts w:ascii="Bookman Old Style" w:eastAsia="Bookman Old Style" w:hAnsi="Bookman Old Style" w:cs="Bookman Old Style"/>
          <w:color w:val="231F20"/>
          <w:sz w:val="18"/>
          <w:szCs w:val="18"/>
        </w:rPr>
        <w:softHyphen/>
        <w:t>стойную старость всем членам общества, независимо от трудового стажа и является формой пособия. Страховая пенсия формируется из взносов работодателей и является инвестированием в будущие периоды нетрудоспособности экономического субъекта. Такая пен</w:t>
      </w:r>
      <w:r w:rsidRPr="00B01894">
        <w:rPr>
          <w:rFonts w:ascii="Bookman Old Style" w:eastAsia="Bookman Old Style" w:hAnsi="Bookman Old Style" w:cs="Bookman Old Style"/>
          <w:color w:val="231F20"/>
          <w:sz w:val="18"/>
          <w:szCs w:val="18"/>
        </w:rPr>
        <w:softHyphen/>
        <w:t>сия представляет собой классическое страхование, с одной сторо</w:t>
      </w:r>
      <w:r w:rsidRPr="00B01894">
        <w:rPr>
          <w:rFonts w:ascii="Bookman Old Style" w:eastAsia="Bookman Old Style" w:hAnsi="Bookman Old Style" w:cs="Bookman Old Style"/>
          <w:color w:val="231F20"/>
          <w:sz w:val="18"/>
          <w:szCs w:val="18"/>
        </w:rPr>
        <w:softHyphen/>
        <w:t>ны, и вложения в будущие доходы (поскольку все экономические субъекты, как правило, намереваются воспользоваться данной «страховкой») — с другой. Вариант же накопительной пенсионной системы — это инвестирование будущего благосостояния в чистом виде, поскольку представляет собой формирование наследуемых банковских счетов. Здесь также возможна комбинация трех ви</w:t>
      </w:r>
      <w:r w:rsidRPr="00B01894">
        <w:rPr>
          <w:rFonts w:ascii="Bookman Old Style" w:eastAsia="Bookman Old Style" w:hAnsi="Bookman Old Style" w:cs="Bookman Old Style"/>
          <w:color w:val="231F20"/>
          <w:sz w:val="18"/>
          <w:szCs w:val="18"/>
        </w:rPr>
        <w:softHyphen/>
        <w:t>дов формирования будущей пенсии, каждый из которых взаимо</w:t>
      </w:r>
      <w:r w:rsidRPr="00B01894">
        <w:rPr>
          <w:rFonts w:ascii="Bookman Old Style" w:eastAsia="Bookman Old Style" w:hAnsi="Bookman Old Style" w:cs="Bookman Old Style"/>
          <w:color w:val="231F20"/>
          <w:sz w:val="18"/>
          <w:szCs w:val="18"/>
        </w:rPr>
        <w:softHyphen/>
        <w:t>дополняем. Базовая пенсия обеспечивает прожиточный минимум, позволяющий лицам, потерявшим трудоспособность, сохранять определенный уровень потребления. Страховая пенсия побуждает стремиться к наибольшему доходу в настоящем, чтобы при выходе на пенсию не очень сильно менять привычный уровень потребле</w:t>
      </w:r>
      <w:r w:rsidRPr="00B01894">
        <w:rPr>
          <w:rFonts w:ascii="Bookman Old Style" w:eastAsia="Bookman Old Style" w:hAnsi="Bookman Old Style" w:cs="Bookman Old Style"/>
          <w:color w:val="231F20"/>
          <w:sz w:val="18"/>
          <w:szCs w:val="18"/>
        </w:rPr>
        <w:softHyphen/>
        <w:t>ния. Накопительная пенсия кроме возможности повысить в буду</w:t>
      </w:r>
      <w:r w:rsidRPr="00B01894">
        <w:rPr>
          <w:rFonts w:ascii="Bookman Old Style" w:eastAsia="Bookman Old Style" w:hAnsi="Bookman Old Style" w:cs="Bookman Old Style"/>
          <w:color w:val="231F20"/>
          <w:sz w:val="18"/>
          <w:szCs w:val="18"/>
        </w:rPr>
        <w:softHyphen/>
        <w:t>щем пенсионные выплаты способствует дополнительным инвести</w:t>
      </w:r>
      <w:r w:rsidRPr="00B01894">
        <w:rPr>
          <w:rFonts w:ascii="Bookman Old Style" w:eastAsia="Bookman Old Style" w:hAnsi="Bookman Old Style" w:cs="Bookman Old Style"/>
          <w:color w:val="231F20"/>
          <w:sz w:val="18"/>
          <w:szCs w:val="18"/>
        </w:rPr>
        <w:softHyphen/>
        <w:t>циям на фондовом рынке страны.</w:t>
      </w:r>
    </w:p>
    <w:p w14:paraId="6A12FFB5" w14:textId="77777777" w:rsidR="00B01894" w:rsidRPr="00B01894" w:rsidRDefault="00B01894" w:rsidP="00B01894">
      <w:pPr>
        <w:widowControl w:val="0"/>
        <w:numPr>
          <w:ilvl w:val="0"/>
          <w:numId w:val="25"/>
        </w:numPr>
        <w:tabs>
          <w:tab w:val="left" w:pos="662"/>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Инновационно-научная система.</w:t>
      </w:r>
    </w:p>
    <w:p w14:paraId="75E8B09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Фундаментальная наука не может быть объектом коммерче</w:t>
      </w:r>
      <w:r w:rsidRPr="00B01894">
        <w:rPr>
          <w:rFonts w:ascii="Bookman Old Style" w:eastAsia="Bookman Old Style" w:hAnsi="Bookman Old Style" w:cs="Bookman Old Style"/>
          <w:color w:val="231F20"/>
          <w:sz w:val="18"/>
          <w:szCs w:val="18"/>
        </w:rPr>
        <w:softHyphen/>
        <w:t>ских инвестиций в силу слишком большого периода окупаемости и ее низкой вероятности. Поэтому это предмет вложений мецена</w:t>
      </w:r>
      <w:r w:rsidRPr="00B01894">
        <w:rPr>
          <w:rFonts w:ascii="Bookman Old Style" w:eastAsia="Bookman Old Style" w:hAnsi="Bookman Old Style" w:cs="Bookman Old Style"/>
          <w:color w:val="231F20"/>
          <w:sz w:val="18"/>
          <w:szCs w:val="18"/>
        </w:rPr>
        <w:softHyphen/>
        <w:t>тов или государства. Практическая наука же в виде производства инноваций представляет собой хоть и весьма рискованный, но по</w:t>
      </w:r>
      <w:r w:rsidRPr="00B01894">
        <w:rPr>
          <w:rFonts w:ascii="Bookman Old Style" w:eastAsia="Bookman Old Style" w:hAnsi="Bookman Old Style" w:cs="Bookman Old Style"/>
          <w:color w:val="231F20"/>
          <w:sz w:val="18"/>
          <w:szCs w:val="18"/>
        </w:rPr>
        <w:softHyphen/>
        <w:t>тенциально прибыльный бизнес. Для инвестирования в инновации необходимо создавать системы дополнительного стимулирования (налогового, инфраструктурного и пр.). Хорошо себя зарекомен</w:t>
      </w:r>
      <w:r w:rsidRPr="00B01894">
        <w:rPr>
          <w:rFonts w:ascii="Bookman Old Style" w:eastAsia="Bookman Old Style" w:hAnsi="Bookman Old Style" w:cs="Bookman Old Style"/>
          <w:color w:val="231F20"/>
          <w:sz w:val="18"/>
          <w:szCs w:val="18"/>
        </w:rPr>
        <w:softHyphen/>
        <w:t>довало создание специальных территориальных зон (технопарков, наукоградов), обладающих особым статусом и пользующихся госу</w:t>
      </w:r>
      <w:r w:rsidRPr="00B01894">
        <w:rPr>
          <w:rFonts w:ascii="Bookman Old Style" w:eastAsia="Bookman Old Style" w:hAnsi="Bookman Old Style" w:cs="Bookman Old Style"/>
          <w:color w:val="231F20"/>
          <w:sz w:val="18"/>
          <w:szCs w:val="18"/>
        </w:rPr>
        <w:softHyphen/>
        <w:t>дарственной поддержкой.</w:t>
      </w:r>
    </w:p>
    <w:p w14:paraId="7ACBC25B" w14:textId="77777777" w:rsidR="00B01894" w:rsidRPr="00B01894" w:rsidRDefault="00B01894" w:rsidP="00B01894">
      <w:pPr>
        <w:widowControl w:val="0"/>
        <w:numPr>
          <w:ilvl w:val="0"/>
          <w:numId w:val="25"/>
        </w:numPr>
        <w:tabs>
          <w:tab w:val="left" w:pos="662"/>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Система миграции труда.</w:t>
      </w:r>
    </w:p>
    <w:p w14:paraId="75EC2919"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Общеизвестно, что лидеры по качеству человеческого капита</w:t>
      </w:r>
      <w:r w:rsidRPr="00B01894">
        <w:rPr>
          <w:rFonts w:ascii="Bookman Old Style" w:eastAsia="Bookman Old Style" w:hAnsi="Bookman Old Style" w:cs="Bookman Old Style"/>
          <w:color w:val="231F20"/>
          <w:sz w:val="18"/>
          <w:szCs w:val="18"/>
        </w:rPr>
        <w:softHyphen/>
        <w:t>ла — это страны с активной иммиграцией ученых, изобретателей, конструкторов. В связи с этим инвестиции в иммиграцию могут да</w:t>
      </w:r>
      <w:r w:rsidRPr="00B01894">
        <w:rPr>
          <w:rFonts w:ascii="Bookman Old Style" w:eastAsia="Bookman Old Style" w:hAnsi="Bookman Old Style" w:cs="Bookman Old Style"/>
          <w:color w:val="231F20"/>
          <w:sz w:val="18"/>
          <w:szCs w:val="18"/>
        </w:rPr>
        <w:softHyphen/>
        <w:t>вать долговременный положительный эффект. Это могут быть гран</w:t>
      </w:r>
      <w:r w:rsidRPr="00B01894">
        <w:rPr>
          <w:rFonts w:ascii="Bookman Old Style" w:eastAsia="Bookman Old Style" w:hAnsi="Bookman Old Style" w:cs="Bookman Old Style"/>
          <w:color w:val="231F20"/>
          <w:sz w:val="18"/>
          <w:szCs w:val="18"/>
        </w:rPr>
        <w:softHyphen/>
        <w:t>ты молодым перспективным студентам, создание международных лабораторий, системы преференций для въезжающих в страну лиц интеллектуального труда — «носителей» технологий, знаний и на</w:t>
      </w:r>
      <w:r w:rsidRPr="00B01894">
        <w:rPr>
          <w:rFonts w:ascii="Bookman Old Style" w:eastAsia="Bookman Old Style" w:hAnsi="Bookman Old Style" w:cs="Bookman Old Style"/>
          <w:color w:val="231F20"/>
          <w:sz w:val="18"/>
          <w:szCs w:val="18"/>
        </w:rPr>
        <w:softHyphen/>
        <w:t>выков. Для России, к сожалению, характерен выезд подобного рода трудовых ресурсов и въезд неквалифицированных работников, что в целом способствует деградации человеческого капитала. Это свя</w:t>
      </w:r>
      <w:r w:rsidRPr="00B01894">
        <w:rPr>
          <w:rFonts w:ascii="Bookman Old Style" w:eastAsia="Bookman Old Style" w:hAnsi="Bookman Old Style" w:cs="Bookman Old Style"/>
          <w:color w:val="231F20"/>
          <w:sz w:val="18"/>
          <w:szCs w:val="18"/>
        </w:rPr>
        <w:softHyphen/>
        <w:t xml:space="preserve">зано и с падением престижа интеллектуального труда, и с тяжелой экономической ситуацией в сопредельных странах, удешевляющей их труд, что препятствует </w:t>
      </w:r>
      <w:r w:rsidRPr="00B01894">
        <w:rPr>
          <w:rFonts w:ascii="Bookman Old Style" w:eastAsia="Bookman Old Style" w:hAnsi="Bookman Old Style" w:cs="Bookman Old Style"/>
          <w:color w:val="231F20"/>
          <w:sz w:val="18"/>
          <w:szCs w:val="18"/>
        </w:rPr>
        <w:lastRenderedPageBreak/>
        <w:t>замещению труда капиталом. Данную си</w:t>
      </w:r>
      <w:r w:rsidRPr="00B01894">
        <w:rPr>
          <w:rFonts w:ascii="Bookman Old Style" w:eastAsia="Bookman Old Style" w:hAnsi="Bookman Old Style" w:cs="Bookman Old Style"/>
          <w:color w:val="231F20"/>
          <w:sz w:val="18"/>
          <w:szCs w:val="18"/>
        </w:rPr>
        <w:softHyphen/>
        <w:t>туацию необходимо менять в самое ближайшее время, иначе вме</w:t>
      </w:r>
      <w:r w:rsidRPr="00B01894">
        <w:rPr>
          <w:rFonts w:ascii="Bookman Old Style" w:eastAsia="Bookman Old Style" w:hAnsi="Bookman Old Style" w:cs="Bookman Old Style"/>
          <w:color w:val="231F20"/>
          <w:sz w:val="18"/>
          <w:szCs w:val="18"/>
        </w:rPr>
        <w:softHyphen/>
        <w:t>сто инновационного развития в стране окончательно установится курс на технологическую деградацию.</w:t>
      </w:r>
    </w:p>
    <w:p w14:paraId="7FF190A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Следует понимать, что современное экономическое разви</w:t>
      </w:r>
      <w:r w:rsidRPr="00B01894">
        <w:rPr>
          <w:rFonts w:ascii="Bookman Old Style" w:eastAsia="Bookman Old Style" w:hAnsi="Bookman Old Style" w:cs="Bookman Old Style"/>
          <w:color w:val="231F20"/>
          <w:sz w:val="18"/>
          <w:szCs w:val="18"/>
        </w:rPr>
        <w:softHyphen/>
        <w:t>тие в большинстве промышленно развитых стран осуществляется на фоне снижающихся либо вообще отрицательных темпов демо</w:t>
      </w:r>
      <w:r w:rsidRPr="00B01894">
        <w:rPr>
          <w:rFonts w:ascii="Bookman Old Style" w:eastAsia="Bookman Old Style" w:hAnsi="Bookman Old Style" w:cs="Bookman Old Style"/>
          <w:color w:val="231F20"/>
          <w:sz w:val="18"/>
          <w:szCs w:val="18"/>
        </w:rPr>
        <w:softHyphen/>
        <w:t>графического роста, во многом компенсируемых за счет иммигра</w:t>
      </w:r>
      <w:r w:rsidRPr="00B01894">
        <w:rPr>
          <w:rFonts w:ascii="Bookman Old Style" w:eastAsia="Bookman Old Style" w:hAnsi="Bookman Old Style" w:cs="Bookman Old Style"/>
          <w:color w:val="231F20"/>
          <w:sz w:val="18"/>
          <w:szCs w:val="18"/>
        </w:rPr>
        <w:softHyphen/>
        <w:t>ции. Применительно к нашей стране ситуация развивается схожим образом.</w:t>
      </w:r>
    </w:p>
    <w:p w14:paraId="7147382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Активная демографическая политика (финансовое стимулирова</w:t>
      </w:r>
      <w:r w:rsidRPr="00B01894">
        <w:rPr>
          <w:rFonts w:ascii="Bookman Old Style" w:eastAsia="Bookman Old Style" w:hAnsi="Bookman Old Style" w:cs="Bookman Old Style"/>
          <w:color w:val="231F20"/>
          <w:sz w:val="18"/>
          <w:szCs w:val="18"/>
        </w:rPr>
        <w:softHyphen/>
        <w:t>ние, повышение престижа многодетных семей и пр.) дает свои пло</w:t>
      </w:r>
      <w:r w:rsidRPr="00B01894">
        <w:rPr>
          <w:rFonts w:ascii="Bookman Old Style" w:eastAsia="Bookman Old Style" w:hAnsi="Bookman Old Style" w:cs="Bookman Old Style"/>
          <w:color w:val="231F20"/>
          <w:sz w:val="18"/>
          <w:szCs w:val="18"/>
        </w:rPr>
        <w:softHyphen/>
        <w:t>ды, однако высокие темпы демографического роста оцениваются как значимый фактор долгосрочного экономического роста при ус</w:t>
      </w:r>
      <w:r w:rsidRPr="00B01894">
        <w:rPr>
          <w:rFonts w:ascii="Bookman Old Style" w:eastAsia="Bookman Old Style" w:hAnsi="Bookman Old Style" w:cs="Bookman Old Style"/>
          <w:color w:val="231F20"/>
          <w:sz w:val="18"/>
          <w:szCs w:val="18"/>
        </w:rPr>
        <w:softHyphen/>
        <w:t>ловии проведения успешных институциональных реформ. В против</w:t>
      </w:r>
      <w:r w:rsidRPr="00B01894">
        <w:rPr>
          <w:rFonts w:ascii="Bookman Old Style" w:eastAsia="Bookman Old Style" w:hAnsi="Bookman Old Style" w:cs="Bookman Old Style"/>
          <w:color w:val="231F20"/>
          <w:sz w:val="18"/>
          <w:szCs w:val="18"/>
        </w:rPr>
        <w:softHyphen/>
        <w:t>ном случае снижение темпов роста рождаемости на фоне прогресса современной медицины закономерно приведет к старению населе</w:t>
      </w:r>
      <w:r w:rsidRPr="00B01894">
        <w:rPr>
          <w:rFonts w:ascii="Bookman Old Style" w:eastAsia="Bookman Old Style" w:hAnsi="Bookman Old Style" w:cs="Bookman Old Style"/>
          <w:color w:val="231F20"/>
          <w:sz w:val="18"/>
          <w:szCs w:val="18"/>
        </w:rPr>
        <w:softHyphen/>
        <w:t>ния, что, в свою очередь, ведет к ряду социально-экономических следствий:</w:t>
      </w:r>
    </w:p>
    <w:p w14:paraId="5441EFC8" w14:textId="77777777" w:rsidR="00B01894" w:rsidRPr="00B01894" w:rsidRDefault="00B01894" w:rsidP="00B01894">
      <w:pPr>
        <w:widowControl w:val="0"/>
        <w:numPr>
          <w:ilvl w:val="0"/>
          <w:numId w:val="26"/>
        </w:numPr>
        <w:tabs>
          <w:tab w:val="left" w:pos="65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снижению производительности труда;</w:t>
      </w:r>
    </w:p>
    <w:p w14:paraId="0098ADBE" w14:textId="77777777" w:rsidR="00B01894" w:rsidRPr="00B01894" w:rsidRDefault="00B01894" w:rsidP="00B01894">
      <w:pPr>
        <w:widowControl w:val="0"/>
        <w:numPr>
          <w:ilvl w:val="0"/>
          <w:numId w:val="26"/>
        </w:numPr>
        <w:tabs>
          <w:tab w:val="left" w:pos="65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уменьшению потенциала инновационного развития;</w:t>
      </w:r>
    </w:p>
    <w:p w14:paraId="7C4DFC94" w14:textId="77777777" w:rsidR="00B01894" w:rsidRPr="00B01894" w:rsidRDefault="00B01894" w:rsidP="00B01894">
      <w:pPr>
        <w:widowControl w:val="0"/>
        <w:numPr>
          <w:ilvl w:val="0"/>
          <w:numId w:val="26"/>
        </w:numPr>
        <w:tabs>
          <w:tab w:val="left" w:pos="65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обострению проблем пенсионного обеспечения;</w:t>
      </w:r>
    </w:p>
    <w:p w14:paraId="56DFC090" w14:textId="77777777" w:rsidR="00B01894" w:rsidRPr="00B01894" w:rsidRDefault="00B01894" w:rsidP="00B01894">
      <w:pPr>
        <w:widowControl w:val="0"/>
        <w:numPr>
          <w:ilvl w:val="0"/>
          <w:numId w:val="26"/>
        </w:numPr>
        <w:tabs>
          <w:tab w:val="left" w:pos="65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массовому притоку мигрантов, провоцирующему нарастание этнокультурных конфликтов;</w:t>
      </w:r>
    </w:p>
    <w:p w14:paraId="60EB30FF" w14:textId="77777777" w:rsidR="00B01894" w:rsidRPr="00B01894" w:rsidRDefault="00B01894" w:rsidP="00B01894">
      <w:pPr>
        <w:widowControl w:val="0"/>
        <w:numPr>
          <w:ilvl w:val="0"/>
          <w:numId w:val="26"/>
        </w:numPr>
        <w:tabs>
          <w:tab w:val="left" w:pos="650"/>
        </w:tabs>
        <w:spacing w:line="250"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угрозе национальной безопасности.</w:t>
      </w:r>
    </w:p>
    <w:p w14:paraId="39C39AED"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Основная проблема продуктивной реализации демографическо</w:t>
      </w:r>
      <w:r w:rsidRPr="00B01894">
        <w:rPr>
          <w:rFonts w:ascii="Bookman Old Style" w:eastAsia="Bookman Old Style" w:hAnsi="Bookman Old Style" w:cs="Bookman Old Style"/>
          <w:color w:val="231F20"/>
          <w:sz w:val="18"/>
          <w:szCs w:val="18"/>
        </w:rPr>
        <w:softHyphen/>
        <w:t>го потенциала связана не просто с естественным приростом на</w:t>
      </w:r>
      <w:r w:rsidRPr="00B01894">
        <w:rPr>
          <w:rFonts w:ascii="Bookman Old Style" w:eastAsia="Bookman Old Style" w:hAnsi="Bookman Old Style" w:cs="Bookman Old Style"/>
          <w:color w:val="231F20"/>
          <w:sz w:val="18"/>
          <w:szCs w:val="18"/>
        </w:rPr>
        <w:softHyphen/>
        <w:t>селения, а прежде всего с возможностью его трансформации в со</w:t>
      </w:r>
      <w:r w:rsidRPr="00B01894">
        <w:rPr>
          <w:rFonts w:ascii="Bookman Old Style" w:eastAsia="Bookman Old Style" w:hAnsi="Bookman Old Style" w:cs="Bookman Old Style"/>
          <w:color w:val="231F20"/>
          <w:sz w:val="18"/>
          <w:szCs w:val="18"/>
        </w:rPr>
        <w:softHyphen/>
        <w:t>временный человеческий капитал. Способность (неспособность) подобной трансформации порождает в конечном счете различные сценарии развития социально-экономической ситуации, к наиболее значимым из которых можно отнести следующие:</w:t>
      </w:r>
    </w:p>
    <w:p w14:paraId="201B4C5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негативный — отсутствие вложений в человеческий капитал, порождающее преимущественно депрессивную нестабильную эко</w:t>
      </w:r>
      <w:r w:rsidRPr="00B01894">
        <w:rPr>
          <w:rFonts w:ascii="Bookman Old Style" w:eastAsia="Bookman Old Style" w:hAnsi="Bookman Old Style" w:cs="Bookman Old Style"/>
          <w:color w:val="231F20"/>
          <w:sz w:val="18"/>
          <w:szCs w:val="18"/>
        </w:rPr>
        <w:softHyphen/>
        <w:t>номику с высокой безработицей и отсталой структурой хозяйство</w:t>
      </w:r>
      <w:r w:rsidRPr="00B01894">
        <w:rPr>
          <w:rFonts w:ascii="Bookman Old Style" w:eastAsia="Bookman Old Style" w:hAnsi="Bookman Old Style" w:cs="Bookman Old Style"/>
          <w:color w:val="231F20"/>
          <w:sz w:val="18"/>
          <w:szCs w:val="18"/>
        </w:rPr>
        <w:softHyphen/>
        <w:t>вания;</w:t>
      </w:r>
    </w:p>
    <w:p w14:paraId="524C8211" w14:textId="77777777" w:rsidR="00B01894" w:rsidRPr="00B01894" w:rsidRDefault="00B01894" w:rsidP="00B01894">
      <w:pPr>
        <w:widowControl w:val="0"/>
        <w:numPr>
          <w:ilvl w:val="0"/>
          <w:numId w:val="22"/>
        </w:numPr>
        <w:tabs>
          <w:tab w:val="left" w:pos="645"/>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нейтральный — вложения в человеческий капитал при недо</w:t>
      </w:r>
      <w:r w:rsidRPr="00B01894">
        <w:rPr>
          <w:rFonts w:ascii="Bookman Old Style" w:eastAsia="Bookman Old Style" w:hAnsi="Bookman Old Style" w:cs="Bookman Old Style"/>
          <w:color w:val="231F20"/>
          <w:sz w:val="18"/>
          <w:szCs w:val="18"/>
        </w:rPr>
        <w:softHyphen/>
        <w:t>статочных инвестициях в новые рабочие места будут способство</w:t>
      </w:r>
      <w:r w:rsidRPr="00B01894">
        <w:rPr>
          <w:rFonts w:ascii="Bookman Old Style" w:eastAsia="Bookman Old Style" w:hAnsi="Bookman Old Style" w:cs="Bookman Old Style"/>
          <w:color w:val="231F20"/>
          <w:sz w:val="18"/>
          <w:szCs w:val="18"/>
        </w:rPr>
        <w:softHyphen/>
        <w:t>вать лишь эмиграции и потере затрат;</w:t>
      </w:r>
    </w:p>
    <w:p w14:paraId="5C26A58F" w14:textId="77777777" w:rsidR="00B01894" w:rsidRPr="00B01894" w:rsidRDefault="00B01894" w:rsidP="00B01894">
      <w:pPr>
        <w:widowControl w:val="0"/>
        <w:numPr>
          <w:ilvl w:val="0"/>
          <w:numId w:val="22"/>
        </w:numPr>
        <w:tabs>
          <w:tab w:val="left" w:pos="645"/>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позитивный — одновременные вложения в человеческий ка</w:t>
      </w:r>
      <w:r w:rsidRPr="00B01894">
        <w:rPr>
          <w:rFonts w:ascii="Bookman Old Style" w:eastAsia="Bookman Old Style" w:hAnsi="Bookman Old Style" w:cs="Bookman Old Style"/>
          <w:color w:val="231F20"/>
          <w:sz w:val="18"/>
          <w:szCs w:val="18"/>
        </w:rPr>
        <w:softHyphen/>
        <w:t>питал и создание новых рабочих мест, способствующие комплекс</w:t>
      </w:r>
      <w:r w:rsidRPr="00B01894">
        <w:rPr>
          <w:rFonts w:ascii="Bookman Old Style" w:eastAsia="Bookman Old Style" w:hAnsi="Bookman Old Style" w:cs="Bookman Old Style"/>
          <w:color w:val="231F20"/>
          <w:sz w:val="18"/>
          <w:szCs w:val="18"/>
        </w:rPr>
        <w:softHyphen/>
        <w:t>ному экономическому развитию территории, росту ее межрегио</w:t>
      </w:r>
      <w:r w:rsidRPr="00B01894">
        <w:rPr>
          <w:rFonts w:ascii="Bookman Old Style" w:eastAsia="Bookman Old Style" w:hAnsi="Bookman Old Style" w:cs="Bookman Old Style"/>
          <w:color w:val="231F20"/>
          <w:sz w:val="18"/>
          <w:szCs w:val="18"/>
        </w:rPr>
        <w:softHyphen/>
        <w:t>нальной и мировой конкурентоспособности, пропорциональному росту производительности и оплаты труда.</w:t>
      </w:r>
    </w:p>
    <w:p w14:paraId="51AA418E"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Проблема трансформации демографического потенциала в чело</w:t>
      </w:r>
      <w:r w:rsidRPr="00B01894">
        <w:rPr>
          <w:rFonts w:ascii="Bookman Old Style" w:eastAsia="Bookman Old Style" w:hAnsi="Bookman Old Style" w:cs="Bookman Old Style"/>
          <w:color w:val="231F20"/>
          <w:sz w:val="18"/>
          <w:szCs w:val="18"/>
        </w:rPr>
        <w:softHyphen/>
        <w:t>веческий капитал в долгосрочной перспективе может успешно ре</w:t>
      </w:r>
      <w:r w:rsidRPr="00B01894">
        <w:rPr>
          <w:rFonts w:ascii="Bookman Old Style" w:eastAsia="Bookman Old Style" w:hAnsi="Bookman Old Style" w:cs="Bookman Old Style"/>
          <w:color w:val="231F20"/>
          <w:sz w:val="18"/>
          <w:szCs w:val="18"/>
        </w:rPr>
        <w:softHyphen/>
        <w:t>шаться благодаря реализации комплексного подхода, сопряженно</w:t>
      </w:r>
      <w:r w:rsidRPr="00B01894">
        <w:rPr>
          <w:rFonts w:ascii="Bookman Old Style" w:eastAsia="Bookman Old Style" w:hAnsi="Bookman Old Style" w:cs="Bookman Old Style"/>
          <w:color w:val="231F20"/>
          <w:sz w:val="18"/>
          <w:szCs w:val="18"/>
        </w:rPr>
        <w:softHyphen/>
        <w:t>го не только с обеспечением реализации указанных выше условий. Предельно значимыми являются и собственно активное привлече</w:t>
      </w:r>
      <w:r w:rsidRPr="00B01894">
        <w:rPr>
          <w:rFonts w:ascii="Bookman Old Style" w:eastAsia="Bookman Old Style" w:hAnsi="Bookman Old Style" w:cs="Bookman Old Style"/>
          <w:color w:val="231F20"/>
          <w:sz w:val="18"/>
          <w:szCs w:val="18"/>
        </w:rPr>
        <w:softHyphen/>
        <w:t xml:space="preserve">ние как государственных, так и частных инвестиций в экономику регионов, </w:t>
      </w:r>
      <w:r w:rsidRPr="00B01894">
        <w:rPr>
          <w:rFonts w:ascii="Bookman Old Style" w:eastAsia="Bookman Old Style" w:hAnsi="Bookman Old Style" w:cs="Bookman Old Style"/>
          <w:color w:val="231F20"/>
          <w:sz w:val="18"/>
          <w:szCs w:val="18"/>
        </w:rPr>
        <w:lastRenderedPageBreak/>
        <w:t>профилактика роста коррупции и административных барьеров, рост конкурентоспособности продукции российских ре</w:t>
      </w:r>
      <w:r w:rsidRPr="00B01894">
        <w:rPr>
          <w:rFonts w:ascii="Bookman Old Style" w:eastAsia="Bookman Old Style" w:hAnsi="Bookman Old Style" w:cs="Bookman Old Style"/>
          <w:color w:val="231F20"/>
          <w:sz w:val="18"/>
          <w:szCs w:val="18"/>
        </w:rPr>
        <w:softHyphen/>
        <w:t>гионов.</w:t>
      </w:r>
    </w:p>
    <w:p w14:paraId="0BA1BFED"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Человеческий капитал обладает способностью аккумулировать</w:t>
      </w:r>
      <w:r w:rsidRPr="00B01894">
        <w:rPr>
          <w:rFonts w:ascii="Bookman Old Style" w:eastAsia="Bookman Old Style" w:hAnsi="Bookman Old Style" w:cs="Bookman Old Style"/>
          <w:color w:val="231F20"/>
          <w:sz w:val="18"/>
          <w:szCs w:val="18"/>
        </w:rPr>
        <w:softHyphen/>
        <w:t>ся, самовозрастать и являться источником дополнительного дохода для его владельца. Это, в свою очередь, стабилизирует социально</w:t>
      </w:r>
      <w:r w:rsidRPr="00B01894">
        <w:rPr>
          <w:rFonts w:ascii="Bookman Old Style" w:eastAsia="Bookman Old Style" w:hAnsi="Bookman Old Style" w:cs="Bookman Old Style"/>
          <w:color w:val="231F20"/>
          <w:sz w:val="18"/>
          <w:szCs w:val="18"/>
        </w:rPr>
        <w:softHyphen/>
        <w:t>экономическую ситуацию в регионе и гарантирует дальнейший подъем экономики. Движущей силой воспроизводственных процес</w:t>
      </w:r>
      <w:r w:rsidRPr="00B01894">
        <w:rPr>
          <w:rFonts w:ascii="Bookman Old Style" w:eastAsia="Bookman Old Style" w:hAnsi="Bookman Old Style" w:cs="Bookman Old Style"/>
          <w:color w:val="231F20"/>
          <w:sz w:val="18"/>
          <w:szCs w:val="18"/>
        </w:rPr>
        <w:softHyphen/>
        <w:t>сов в период становления экономики постиндустриального периода становится не накопление материальных благ, а стремление приоб</w:t>
      </w:r>
      <w:r w:rsidRPr="00B01894">
        <w:rPr>
          <w:rFonts w:ascii="Bookman Old Style" w:eastAsia="Bookman Old Style" w:hAnsi="Bookman Old Style" w:cs="Bookman Old Style"/>
          <w:color w:val="231F20"/>
          <w:sz w:val="18"/>
          <w:szCs w:val="18"/>
        </w:rPr>
        <w:softHyphen/>
        <w:t>рести и расширить знания, чтобы с их помощью прожить долгую и здоровую жизнь, обеспечить ее достойный уровень. Для макси</w:t>
      </w:r>
      <w:r w:rsidRPr="00B01894">
        <w:rPr>
          <w:rFonts w:ascii="Bookman Old Style" w:eastAsia="Bookman Old Style" w:hAnsi="Bookman Old Style" w:cs="Bookman Old Style"/>
          <w:color w:val="231F20"/>
          <w:sz w:val="18"/>
          <w:szCs w:val="18"/>
        </w:rPr>
        <w:softHyphen/>
        <w:t>мизации эффекта, получаемого при использовании человеческого капитала, необходимо создать ситуацию, мотивирующую наиболее полно использовать имеющиеся у каждого члена общества образо</w:t>
      </w:r>
      <w:r w:rsidRPr="00B01894">
        <w:rPr>
          <w:rFonts w:ascii="Bookman Old Style" w:eastAsia="Bookman Old Style" w:hAnsi="Bookman Old Style" w:cs="Bookman Old Style"/>
          <w:color w:val="231F20"/>
          <w:sz w:val="18"/>
          <w:szCs w:val="18"/>
        </w:rPr>
        <w:softHyphen/>
        <w:t>вание, навыки и опыт.</w:t>
      </w:r>
    </w:p>
    <w:p w14:paraId="574CAAAF"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Субъектами инвестиции в человеческий капитал являются:</w:t>
      </w:r>
    </w:p>
    <w:p w14:paraId="333CCF45" w14:textId="77777777" w:rsidR="00B01894" w:rsidRPr="00B01894" w:rsidRDefault="00B01894" w:rsidP="00B01894">
      <w:pPr>
        <w:widowControl w:val="0"/>
        <w:numPr>
          <w:ilvl w:val="0"/>
          <w:numId w:val="22"/>
        </w:numPr>
        <w:tabs>
          <w:tab w:val="left" w:pos="645"/>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домохозяйства;</w:t>
      </w:r>
    </w:p>
    <w:p w14:paraId="3EE85FC9" w14:textId="77777777" w:rsidR="00B01894" w:rsidRPr="00B01894" w:rsidRDefault="00B01894" w:rsidP="00B01894">
      <w:pPr>
        <w:widowControl w:val="0"/>
        <w:numPr>
          <w:ilvl w:val="0"/>
          <w:numId w:val="22"/>
        </w:numPr>
        <w:tabs>
          <w:tab w:val="left" w:pos="645"/>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корпорации;</w:t>
      </w:r>
    </w:p>
    <w:p w14:paraId="73AF7410" w14:textId="77777777" w:rsidR="00B01894" w:rsidRPr="00B01894" w:rsidRDefault="00B01894" w:rsidP="00B01894">
      <w:pPr>
        <w:widowControl w:val="0"/>
        <w:numPr>
          <w:ilvl w:val="0"/>
          <w:numId w:val="22"/>
        </w:numPr>
        <w:tabs>
          <w:tab w:val="left" w:pos="645"/>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государство;</w:t>
      </w:r>
    </w:p>
    <w:p w14:paraId="2D04860C" w14:textId="77777777" w:rsidR="00B01894" w:rsidRPr="00B01894" w:rsidRDefault="00B01894" w:rsidP="00B01894">
      <w:pPr>
        <w:widowControl w:val="0"/>
        <w:numPr>
          <w:ilvl w:val="0"/>
          <w:numId w:val="22"/>
        </w:numPr>
        <w:tabs>
          <w:tab w:val="left" w:pos="645"/>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зарубежные инвесторы.</w:t>
      </w:r>
    </w:p>
    <w:p w14:paraId="21973422"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Как было указано, каждый из источников по-своему важен и не</w:t>
      </w:r>
      <w:r w:rsidRPr="00B01894">
        <w:rPr>
          <w:rFonts w:ascii="Bookman Old Style" w:eastAsia="Bookman Old Style" w:hAnsi="Bookman Old Style" w:cs="Bookman Old Style"/>
          <w:color w:val="231F20"/>
          <w:sz w:val="18"/>
          <w:szCs w:val="18"/>
        </w:rPr>
        <w:softHyphen/>
        <w:t>обходим.</w:t>
      </w:r>
    </w:p>
    <w:p w14:paraId="40B7B18D"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Домохозяйства являются первичными инвесторами, корпоратив</w:t>
      </w:r>
      <w:r w:rsidRPr="00B01894">
        <w:rPr>
          <w:rFonts w:ascii="Bookman Old Style" w:eastAsia="Bookman Old Style" w:hAnsi="Bookman Old Style" w:cs="Bookman Old Style"/>
          <w:color w:val="231F20"/>
          <w:sz w:val="18"/>
          <w:szCs w:val="18"/>
        </w:rPr>
        <w:softHyphen/>
        <w:t>ные инвестиции помогают делать их более целенаправленными, государственные — отвечают задачам социально-экономическо</w:t>
      </w:r>
      <w:r w:rsidRPr="00B01894">
        <w:rPr>
          <w:rFonts w:ascii="Bookman Old Style" w:eastAsia="Bookman Old Style" w:hAnsi="Bookman Old Style" w:cs="Bookman Old Style"/>
          <w:color w:val="231F20"/>
          <w:sz w:val="18"/>
          <w:szCs w:val="18"/>
        </w:rPr>
        <w:softHyphen/>
        <w:t>го развития страны, а иностранные — позволяют соответствовать международным достижениям в этой области и достигать глобаль</w:t>
      </w:r>
      <w:r w:rsidRPr="00B01894">
        <w:rPr>
          <w:rFonts w:ascii="Bookman Old Style" w:eastAsia="Bookman Old Style" w:hAnsi="Bookman Old Style" w:cs="Bookman Old Style"/>
          <w:color w:val="231F20"/>
          <w:sz w:val="18"/>
          <w:szCs w:val="18"/>
        </w:rPr>
        <w:softHyphen/>
        <w:t>ной конкурентоспособности.</w:t>
      </w:r>
    </w:p>
    <w:p w14:paraId="622346B6"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Корпоративные инвестиции в человеческий капитал были до</w:t>
      </w:r>
      <w:r w:rsidRPr="00B01894">
        <w:rPr>
          <w:rFonts w:ascii="Bookman Old Style" w:eastAsia="Bookman Old Style" w:hAnsi="Bookman Old Style" w:cs="Bookman Old Style"/>
          <w:color w:val="231F20"/>
          <w:sz w:val="18"/>
          <w:szCs w:val="18"/>
        </w:rPr>
        <w:softHyphen/>
        <w:t>статочно широко развиты во времена СССР, когда это регламен</w:t>
      </w:r>
      <w:r w:rsidRPr="00B01894">
        <w:rPr>
          <w:rFonts w:ascii="Bookman Old Style" w:eastAsia="Bookman Old Style" w:hAnsi="Bookman Old Style" w:cs="Bookman Old Style"/>
          <w:color w:val="231F20"/>
          <w:sz w:val="18"/>
          <w:szCs w:val="18"/>
        </w:rPr>
        <w:softHyphen/>
        <w:t>тировалось государством. После рыночных преобразований, к со</w:t>
      </w:r>
      <w:r w:rsidRPr="00B01894">
        <w:rPr>
          <w:rFonts w:ascii="Bookman Old Style" w:eastAsia="Bookman Old Style" w:hAnsi="Bookman Old Style" w:cs="Bookman Old Style"/>
          <w:color w:val="231F20"/>
          <w:sz w:val="18"/>
          <w:szCs w:val="18"/>
        </w:rPr>
        <w:softHyphen/>
        <w:t>жалению, предпринимательский класс был озабочен извлечением сиюминутной прибыли и практически устранился от данного рода вложений. Сейчас потихоньку возвращается понимание социаль</w:t>
      </w:r>
      <w:r w:rsidRPr="00B01894">
        <w:rPr>
          <w:rFonts w:ascii="Bookman Old Style" w:eastAsia="Bookman Old Style" w:hAnsi="Bookman Old Style" w:cs="Bookman Old Style"/>
          <w:color w:val="231F20"/>
          <w:sz w:val="18"/>
          <w:szCs w:val="18"/>
        </w:rPr>
        <w:softHyphen/>
        <w:t>ной ответственности бизнеса, которое было присуще еще знамени</w:t>
      </w:r>
      <w:r w:rsidRPr="00B01894">
        <w:rPr>
          <w:rFonts w:ascii="Bookman Old Style" w:eastAsia="Bookman Old Style" w:hAnsi="Bookman Old Style" w:cs="Bookman Old Style"/>
          <w:color w:val="231F20"/>
          <w:sz w:val="18"/>
          <w:szCs w:val="18"/>
        </w:rPr>
        <w:softHyphen/>
        <w:t>тым купцам и промышленникам Российской империи, но проблемы переходного периода еще долго будут давать о себе знать, поскольку понятия о деловой этике и социальной ответственности формиру</w:t>
      </w:r>
      <w:r w:rsidRPr="00B01894">
        <w:rPr>
          <w:rFonts w:ascii="Bookman Old Style" w:eastAsia="Bookman Old Style" w:hAnsi="Bookman Old Style" w:cs="Bookman Old Style"/>
          <w:color w:val="231F20"/>
          <w:sz w:val="18"/>
          <w:szCs w:val="18"/>
        </w:rPr>
        <w:softHyphen/>
        <w:t>ются еще со школьной скамьи, и, видимо, стоит ждать нового по</w:t>
      </w:r>
      <w:r w:rsidRPr="00B01894">
        <w:rPr>
          <w:rFonts w:ascii="Bookman Old Style" w:eastAsia="Bookman Old Style" w:hAnsi="Bookman Old Style" w:cs="Bookman Old Style"/>
          <w:color w:val="231F20"/>
          <w:sz w:val="18"/>
          <w:szCs w:val="18"/>
        </w:rPr>
        <w:softHyphen/>
        <w:t>коления бизнес-элиты, чтобы возлагать надежды на значимые кор</w:t>
      </w:r>
      <w:r w:rsidRPr="00B01894">
        <w:rPr>
          <w:rFonts w:ascii="Bookman Old Style" w:eastAsia="Bookman Old Style" w:hAnsi="Bookman Old Style" w:cs="Bookman Old Style"/>
          <w:color w:val="231F20"/>
          <w:sz w:val="18"/>
          <w:szCs w:val="18"/>
        </w:rPr>
        <w:softHyphen/>
        <w:t>поративные вложения в человеческий капитал.</w:t>
      </w:r>
    </w:p>
    <w:p w14:paraId="7E5CA1C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Основным инвестором в человеческий капитал является, безус</w:t>
      </w:r>
      <w:r w:rsidRPr="00B01894">
        <w:rPr>
          <w:rFonts w:ascii="Bookman Old Style" w:eastAsia="Bookman Old Style" w:hAnsi="Bookman Old Style" w:cs="Bookman Old Style"/>
          <w:color w:val="231F20"/>
          <w:sz w:val="18"/>
          <w:szCs w:val="18"/>
        </w:rPr>
        <w:softHyphen/>
        <w:t>ловно, государство. Системы образования, здравоохранения и со</w:t>
      </w:r>
      <w:r w:rsidRPr="00B01894">
        <w:rPr>
          <w:rFonts w:ascii="Bookman Old Style" w:eastAsia="Bookman Old Style" w:hAnsi="Bookman Old Style" w:cs="Bookman Old Style"/>
          <w:color w:val="231F20"/>
          <w:sz w:val="18"/>
          <w:szCs w:val="18"/>
        </w:rPr>
        <w:softHyphen/>
        <w:t>циального обеспечения являются традиционными «товарами» об</w:t>
      </w:r>
      <w:r w:rsidRPr="00B01894">
        <w:rPr>
          <w:rFonts w:ascii="Bookman Old Style" w:eastAsia="Bookman Old Style" w:hAnsi="Bookman Old Style" w:cs="Bookman Old Style"/>
          <w:color w:val="231F20"/>
          <w:sz w:val="18"/>
          <w:szCs w:val="18"/>
        </w:rPr>
        <w:softHyphen/>
        <w:t>щественного сектора, которые необходимо производить в нужном количестве при безусловно необходимой конкуренции частных структур. В сложившейся на сегодняшний день не слишком благо</w:t>
      </w:r>
      <w:r w:rsidRPr="00B01894">
        <w:rPr>
          <w:rFonts w:ascii="Bookman Old Style" w:eastAsia="Bookman Old Style" w:hAnsi="Bookman Old Style" w:cs="Bookman Old Style"/>
          <w:color w:val="231F20"/>
          <w:sz w:val="18"/>
          <w:szCs w:val="18"/>
        </w:rPr>
        <w:softHyphen/>
        <w:t xml:space="preserve">приятной </w:t>
      </w:r>
      <w:r w:rsidRPr="00B01894">
        <w:rPr>
          <w:rFonts w:ascii="Bookman Old Style" w:eastAsia="Bookman Old Style" w:hAnsi="Bookman Old Style" w:cs="Bookman Old Style"/>
          <w:color w:val="231F20"/>
          <w:sz w:val="18"/>
          <w:szCs w:val="18"/>
        </w:rPr>
        <w:lastRenderedPageBreak/>
        <w:t>ситуации необходимо более фундаментально проработать концепцию человеческого капитала как основы для разработки и практической реализации социально-экономической полити</w:t>
      </w:r>
      <w:r w:rsidRPr="00B01894">
        <w:rPr>
          <w:rFonts w:ascii="Bookman Old Style" w:eastAsia="Bookman Old Style" w:hAnsi="Bookman Old Style" w:cs="Bookman Old Style"/>
          <w:color w:val="231F20"/>
          <w:sz w:val="18"/>
          <w:szCs w:val="18"/>
        </w:rPr>
        <w:softHyphen/>
        <w:t>ки на перспективу, т. е., безусловно, наибольший «выхлоп» дают инвестиции в подрастающее поколение. Несмотря на вступление российского общества в этап устойчивого развития, значительная часть молодого поколения, находясь на начальном этапе жизненно</w:t>
      </w:r>
      <w:r w:rsidRPr="00B01894">
        <w:rPr>
          <w:rFonts w:ascii="Bookman Old Style" w:eastAsia="Bookman Old Style" w:hAnsi="Bookman Old Style" w:cs="Bookman Old Style"/>
          <w:color w:val="231F20"/>
          <w:sz w:val="18"/>
          <w:szCs w:val="18"/>
        </w:rPr>
        <w:softHyphen/>
        <w:t>го пути, рискует не получить достойного образования, испытывает трудности, связанные с поиском работы, попадает под влияние раз</w:t>
      </w:r>
      <w:r w:rsidRPr="00B01894">
        <w:rPr>
          <w:rFonts w:ascii="Bookman Old Style" w:eastAsia="Bookman Old Style" w:hAnsi="Bookman Old Style" w:cs="Bookman Old Style"/>
          <w:color w:val="231F20"/>
          <w:sz w:val="18"/>
          <w:szCs w:val="18"/>
        </w:rPr>
        <w:softHyphen/>
        <w:t>личных асоциальных и маргинальных групп. Особенно это касается учащихся общеобразовательных школ, студентов средних специаль</w:t>
      </w:r>
      <w:r w:rsidRPr="00B01894">
        <w:rPr>
          <w:rFonts w:ascii="Bookman Old Style" w:eastAsia="Bookman Old Style" w:hAnsi="Bookman Old Style" w:cs="Bookman Old Style"/>
          <w:color w:val="231F20"/>
          <w:sz w:val="18"/>
          <w:szCs w:val="18"/>
        </w:rPr>
        <w:softHyphen/>
        <w:t>ных и высших учебных заведений, которые не имеют достаточного профессионального и жизненного опыта.</w:t>
      </w:r>
    </w:p>
    <w:p w14:paraId="42B87F6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При уменьшающемся равенстве возможностей особую остроту среди молодежи приобретают проблемы получения образования, устройства на работу по специальности, боязнь потерять уже име</w:t>
      </w:r>
      <w:r w:rsidRPr="00B01894">
        <w:rPr>
          <w:rFonts w:ascii="Bookman Old Style" w:eastAsia="Bookman Old Style" w:hAnsi="Bookman Old Style" w:cs="Bookman Old Style"/>
          <w:color w:val="231F20"/>
          <w:sz w:val="18"/>
          <w:szCs w:val="18"/>
        </w:rPr>
        <w:softHyphen/>
        <w:t>ющуюся работу. Вопросы занятости молодежи обостряются в связи с отсутствием баланса между спросом на рынке труда и теми специ</w:t>
      </w:r>
      <w:r w:rsidRPr="00B01894">
        <w:rPr>
          <w:rFonts w:ascii="Bookman Old Style" w:eastAsia="Bookman Old Style" w:hAnsi="Bookman Old Style" w:cs="Bookman Old Style"/>
          <w:color w:val="231F20"/>
          <w:sz w:val="18"/>
          <w:szCs w:val="18"/>
        </w:rPr>
        <w:softHyphen/>
        <w:t>альностями, по которым вузы страны готовят сегодня специалистов с высшим образованием.</w:t>
      </w:r>
    </w:p>
    <w:p w14:paraId="3AFC805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Сейчас ситуация в обществе такова, что система высшего и сред</w:t>
      </w:r>
      <w:r w:rsidRPr="00B01894">
        <w:rPr>
          <w:rFonts w:ascii="Bookman Old Style" w:eastAsia="Bookman Old Style" w:hAnsi="Bookman Old Style" w:cs="Bookman Old Style"/>
          <w:color w:val="231F20"/>
          <w:sz w:val="18"/>
          <w:szCs w:val="18"/>
        </w:rPr>
        <w:softHyphen/>
        <w:t>него профессионального образования не гарантирует получения желаемой работы по профессии. Неуверенность молодых людей в том, что они смогут получить хорошую работу, даже при нали</w:t>
      </w:r>
      <w:r w:rsidRPr="00B01894">
        <w:rPr>
          <w:rFonts w:ascii="Bookman Old Style" w:eastAsia="Bookman Old Style" w:hAnsi="Bookman Old Style" w:cs="Bookman Old Style"/>
          <w:color w:val="231F20"/>
          <w:sz w:val="18"/>
          <w:szCs w:val="18"/>
        </w:rPr>
        <w:softHyphen/>
        <w:t>чии профессионального образования, является питательной средой для маргинализации молодежи и различных социальных патологий. Между тем именно молодежь быстрее других категорий населения адаптируется к изменяющимся рыночным условиям. Сегодня можно констатировать, что жизненные позиции и устремления молодого поколения существенно изменились. Современная российская мо</w:t>
      </w:r>
      <w:r w:rsidRPr="00B01894">
        <w:rPr>
          <w:rFonts w:ascii="Bookman Old Style" w:eastAsia="Bookman Old Style" w:hAnsi="Bookman Old Style" w:cs="Bookman Old Style"/>
          <w:color w:val="231F20"/>
          <w:sz w:val="18"/>
          <w:szCs w:val="18"/>
        </w:rPr>
        <w:softHyphen/>
        <w:t>лодежь выделяет в виде главной ценности «стремление выполнять интересную работу». Такие позиции, как «наличие денег» и «обшир</w:t>
      </w:r>
      <w:r w:rsidRPr="00B01894">
        <w:rPr>
          <w:rFonts w:ascii="Bookman Old Style" w:eastAsia="Bookman Old Style" w:hAnsi="Bookman Old Style" w:cs="Bookman Old Style"/>
          <w:color w:val="231F20"/>
          <w:sz w:val="18"/>
          <w:szCs w:val="18"/>
        </w:rPr>
        <w:softHyphen/>
        <w:t>ные знания», выступают для молодежи не столько как цели, сколько как средства реализации главных жизненных планов — получение работы и создание хорошей семьи. Одним словом, молодежь — важ</w:t>
      </w:r>
      <w:r w:rsidRPr="00B01894">
        <w:rPr>
          <w:rFonts w:ascii="Bookman Old Style" w:eastAsia="Bookman Old Style" w:hAnsi="Bookman Old Style" w:cs="Bookman Old Style"/>
          <w:color w:val="231F20"/>
          <w:sz w:val="18"/>
          <w:szCs w:val="18"/>
        </w:rPr>
        <w:softHyphen/>
        <w:t>ный фактор поступательного развития региона, тот стратегический резерв, который определяет, какой быть России уже через несколь</w:t>
      </w:r>
      <w:r w:rsidRPr="00B01894">
        <w:rPr>
          <w:rFonts w:ascii="Bookman Old Style" w:eastAsia="Bookman Old Style" w:hAnsi="Bookman Old Style" w:cs="Bookman Old Style"/>
          <w:color w:val="231F20"/>
          <w:sz w:val="18"/>
          <w:szCs w:val="18"/>
        </w:rPr>
        <w:softHyphen/>
        <w:t>ко лет. Любые преобразования, происходящие в экономике сегодня, в значительной степени зависят от участия в них молодого поколе</w:t>
      </w:r>
      <w:r w:rsidRPr="00B01894">
        <w:rPr>
          <w:rFonts w:ascii="Bookman Old Style" w:eastAsia="Bookman Old Style" w:hAnsi="Bookman Old Style" w:cs="Bookman Old Style"/>
          <w:color w:val="231F20"/>
          <w:sz w:val="18"/>
          <w:szCs w:val="18"/>
        </w:rPr>
        <w:softHyphen/>
        <w:t>ния. Именно молодежь будет той силой, которая сможет вывести Россию на передовые рубежи мировой цивилизации после заверше</w:t>
      </w:r>
      <w:r w:rsidRPr="00B01894">
        <w:rPr>
          <w:rFonts w:ascii="Bookman Old Style" w:eastAsia="Bookman Old Style" w:hAnsi="Bookman Old Style" w:cs="Bookman Old Style"/>
          <w:color w:val="231F20"/>
          <w:sz w:val="18"/>
          <w:szCs w:val="18"/>
        </w:rPr>
        <w:softHyphen/>
        <w:t>ния в стране процессов формирования информационной рыночной экономики. На период молодости приходятся основные инвестиции в человеческий капитал, которые формируют социально значимый капитал молодежи: трудовой, интеллектуальный, общественно-по- литический</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w:t>
      </w:r>
    </w:p>
    <w:p w14:paraId="03D44EFE"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Человеческий капитал обладает внутренней структурой, которая включает:</w:t>
      </w:r>
    </w:p>
    <w:p w14:paraId="02E72165" w14:textId="77777777" w:rsidR="00B01894" w:rsidRPr="00B01894" w:rsidRDefault="00B01894" w:rsidP="00B01894">
      <w:pPr>
        <w:widowControl w:val="0"/>
        <w:numPr>
          <w:ilvl w:val="0"/>
          <w:numId w:val="22"/>
        </w:numPr>
        <w:tabs>
          <w:tab w:val="left" w:pos="65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lastRenderedPageBreak/>
        <w:t>капитал образования;</w:t>
      </w:r>
    </w:p>
    <w:p w14:paraId="77F8DF3A" w14:textId="77777777" w:rsidR="00B01894" w:rsidRPr="00B01894" w:rsidRDefault="00B01894" w:rsidP="00B01894">
      <w:pPr>
        <w:widowControl w:val="0"/>
        <w:numPr>
          <w:ilvl w:val="0"/>
          <w:numId w:val="22"/>
        </w:numPr>
        <w:tabs>
          <w:tab w:val="left" w:pos="65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капитал здоровья;</w:t>
      </w:r>
    </w:p>
    <w:p w14:paraId="2198B57A" w14:textId="77777777" w:rsidR="00B01894" w:rsidRPr="00B01894" w:rsidRDefault="00B01894" w:rsidP="00B01894">
      <w:pPr>
        <w:widowControl w:val="0"/>
        <w:numPr>
          <w:ilvl w:val="0"/>
          <w:numId w:val="22"/>
        </w:numPr>
        <w:tabs>
          <w:tab w:val="left" w:pos="65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капитал культуры;</w:t>
      </w:r>
    </w:p>
    <w:p w14:paraId="7A76C808" w14:textId="77777777" w:rsidR="00B01894" w:rsidRPr="00B01894" w:rsidRDefault="00B01894" w:rsidP="00B01894">
      <w:pPr>
        <w:widowControl w:val="0"/>
        <w:numPr>
          <w:ilvl w:val="0"/>
          <w:numId w:val="22"/>
        </w:numPr>
        <w:tabs>
          <w:tab w:val="left" w:pos="65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интеллектуальный капитал;</w:t>
      </w:r>
    </w:p>
    <w:p w14:paraId="39E4DC62" w14:textId="77777777" w:rsidR="00B01894" w:rsidRPr="00B01894" w:rsidRDefault="00B01894" w:rsidP="00B01894">
      <w:pPr>
        <w:widowControl w:val="0"/>
        <w:numPr>
          <w:ilvl w:val="0"/>
          <w:numId w:val="22"/>
        </w:numPr>
        <w:tabs>
          <w:tab w:val="left" w:pos="65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информационный капитал;</w:t>
      </w:r>
    </w:p>
    <w:p w14:paraId="1BE770A6" w14:textId="77777777" w:rsidR="00B01894" w:rsidRPr="00B01894" w:rsidRDefault="00B01894" w:rsidP="00B01894">
      <w:pPr>
        <w:widowControl w:val="0"/>
        <w:numPr>
          <w:ilvl w:val="0"/>
          <w:numId w:val="22"/>
        </w:numPr>
        <w:tabs>
          <w:tab w:val="left" w:pos="657"/>
        </w:tabs>
        <w:spacing w:line="250" w:lineRule="exact"/>
        <w:ind w:firstLine="34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коммуникационный капитал.</w:t>
      </w:r>
    </w:p>
    <w:p w14:paraId="18D94A01" w14:textId="77777777" w:rsidR="00B01894" w:rsidRPr="00B01894" w:rsidRDefault="00B01894" w:rsidP="00B01894">
      <w:pPr>
        <w:widowControl w:val="0"/>
        <w:spacing w:line="250" w:lineRule="exact"/>
        <w:ind w:firstLine="34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Человек на протяжении всей жизни является объектом инве</w:t>
      </w:r>
      <w:r w:rsidRPr="00B01894">
        <w:rPr>
          <w:rFonts w:ascii="Bookman Old Style" w:eastAsia="Bookman Old Style" w:hAnsi="Bookman Old Style" w:cs="Bookman Old Style"/>
          <w:color w:val="231F20"/>
          <w:sz w:val="18"/>
          <w:szCs w:val="18"/>
        </w:rPr>
        <w:softHyphen/>
        <w:t>стиций. Существование человека без инвестирования в него зна</w:t>
      </w:r>
      <w:r w:rsidRPr="00B01894">
        <w:rPr>
          <w:rFonts w:ascii="Bookman Old Style" w:eastAsia="Bookman Old Style" w:hAnsi="Bookman Old Style" w:cs="Bookman Old Style"/>
          <w:color w:val="231F20"/>
          <w:sz w:val="18"/>
          <w:szCs w:val="18"/>
        </w:rPr>
        <w:softHyphen/>
        <w:t>чительных по объему и времени средств в современных условиях становится просто невозможным. Инвестиции в человеческий ка</w:t>
      </w:r>
      <w:r w:rsidRPr="00B01894">
        <w:rPr>
          <w:rFonts w:ascii="Bookman Old Style" w:eastAsia="Bookman Old Style" w:hAnsi="Bookman Old Style" w:cs="Bookman Old Style"/>
          <w:color w:val="231F20"/>
          <w:sz w:val="18"/>
          <w:szCs w:val="18"/>
        </w:rPr>
        <w:softHyphen/>
        <w:t>питал начинаются с момента появления на свет ребенка. Само его рождение в современных условиях требует значительных средств. Именно тогда происходит формирование капитала здоровья, про</w:t>
      </w:r>
      <w:r w:rsidRPr="00B01894">
        <w:rPr>
          <w:rFonts w:ascii="Bookman Old Style" w:eastAsia="Bookman Old Style" w:hAnsi="Bookman Old Style" w:cs="Bookman Old Style"/>
          <w:color w:val="231F20"/>
          <w:sz w:val="18"/>
          <w:szCs w:val="18"/>
        </w:rPr>
        <w:softHyphen/>
        <w:t>должающееся в течение всей жизни человека. Первые инвестиции в человека производят семья, домашнее хозяйство. В семье у ре</w:t>
      </w:r>
      <w:r w:rsidRPr="00B01894">
        <w:rPr>
          <w:rFonts w:ascii="Bookman Old Style" w:eastAsia="Bookman Old Style" w:hAnsi="Bookman Old Style" w:cs="Bookman Old Style"/>
          <w:color w:val="231F20"/>
          <w:sz w:val="18"/>
          <w:szCs w:val="18"/>
        </w:rPr>
        <w:softHyphen/>
        <w:t>бенка происходит формирование первичных знаний о природе и обществе, его окружающем. Домашние хозяйства определяют направление, структуру, качество и количество первоначальных инвестиций в человеческий капитал. Чем выше образовательный уровень, уровень доходов семьи, тем больший объем инвестиций осуществляется в процессе формирования человеческого капита</w:t>
      </w:r>
      <w:r w:rsidRPr="00B01894">
        <w:rPr>
          <w:rFonts w:ascii="Bookman Old Style" w:eastAsia="Bookman Old Style" w:hAnsi="Bookman Old Style" w:cs="Bookman Old Style"/>
          <w:color w:val="231F20"/>
          <w:sz w:val="18"/>
          <w:szCs w:val="18"/>
        </w:rPr>
        <w:softHyphen/>
        <w:t>ла. Государство призвано создавать всем членам общества равные стартовые возможности в формировании человеческого капитала.</w:t>
      </w:r>
      <w:r w:rsidRPr="00B01894">
        <w:rPr>
          <w:rFonts w:ascii="Bookman Old Style" w:eastAsia="Bookman Old Style" w:hAnsi="Bookman Old Style" w:cs="Bookman Old Style"/>
          <w:color w:val="231F20"/>
          <w:sz w:val="18"/>
          <w:szCs w:val="18"/>
          <w:vertAlign w:val="superscript"/>
        </w:rPr>
        <w:t xml:space="preserve"> </w:t>
      </w:r>
      <w:r w:rsidRPr="00B01894">
        <w:rPr>
          <w:rFonts w:ascii="Bookman Old Style" w:eastAsia="Bookman Old Style" w:hAnsi="Bookman Old Style" w:cs="Bookman Old Style"/>
          <w:color w:val="00B050"/>
          <w:sz w:val="18"/>
          <w:szCs w:val="18"/>
          <w:vertAlign w:val="superscript"/>
        </w:rPr>
        <w:footnoteReference w:id="19"/>
      </w:r>
      <w:r w:rsidRPr="00B01894">
        <w:rPr>
          <w:rFonts w:ascii="Bookman Old Style" w:eastAsia="Bookman Old Style" w:hAnsi="Bookman Old Style" w:cs="Bookman Old Style"/>
          <w:color w:val="231F20"/>
          <w:sz w:val="18"/>
          <w:szCs w:val="18"/>
        </w:rPr>
        <w:t xml:space="preserve"> Эффективность и размеры вложений в молодежную составляющую человеческого капитала зависят не только от волеизъявления чело</w:t>
      </w:r>
      <w:r w:rsidRPr="00B01894">
        <w:rPr>
          <w:rFonts w:ascii="Bookman Old Style" w:eastAsia="Bookman Old Style" w:hAnsi="Bookman Old Style" w:cs="Bookman Old Style"/>
          <w:color w:val="231F20"/>
          <w:sz w:val="18"/>
          <w:szCs w:val="18"/>
        </w:rPr>
        <w:softHyphen/>
        <w:t>века, но и от проводимой государством политики по сбережению, воспроизводству, формированию, развитию и активному исполь</w:t>
      </w:r>
      <w:r w:rsidRPr="00B01894">
        <w:rPr>
          <w:rFonts w:ascii="Bookman Old Style" w:eastAsia="Bookman Old Style" w:hAnsi="Bookman Old Style" w:cs="Bookman Old Style"/>
          <w:color w:val="231F20"/>
          <w:sz w:val="18"/>
          <w:szCs w:val="18"/>
        </w:rPr>
        <w:softHyphen/>
        <w:t>зованию человеческого потенциала. От качества данной социаль</w:t>
      </w:r>
      <w:r w:rsidRPr="00B01894">
        <w:rPr>
          <w:rFonts w:ascii="Bookman Old Style" w:eastAsia="Bookman Old Style" w:hAnsi="Bookman Old Style" w:cs="Bookman Old Style"/>
          <w:color w:val="231F20"/>
          <w:sz w:val="18"/>
          <w:szCs w:val="18"/>
        </w:rPr>
        <w:softHyphen/>
        <w:t>но-демографической группы зависят либо прогрессивное развитие общества, либо его деградация.</w:t>
      </w:r>
    </w:p>
    <w:p w14:paraId="62F8B698"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Участие человека в развитии региона в настоящее время требует получения длительного по времени и качественного образования. Капитал образования, который призвана сформировать система образования, по всем параметрам должен отвечать потребностям современного инновационного производства. Только в этом случае средства, вложенные в человека, начнут давать отдачу в виде ро</w:t>
      </w:r>
      <w:r w:rsidRPr="00B01894">
        <w:rPr>
          <w:rFonts w:ascii="Bookman Old Style" w:eastAsia="Bookman Old Style" w:hAnsi="Bookman Old Style" w:cs="Bookman Old Style"/>
          <w:color w:val="231F20"/>
          <w:sz w:val="18"/>
          <w:szCs w:val="18"/>
        </w:rPr>
        <w:softHyphen/>
        <w:t>ста производительности труда, повышения качества и количества производимых инноваций, товаров и услуг, роста дохода носителя капитала и обеспечивать экономический рост в масштабах всего общества.</w:t>
      </w:r>
    </w:p>
    <w:p w14:paraId="7A81C1D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Таким образом, основную нагрузку при формировании челове</w:t>
      </w:r>
      <w:r w:rsidRPr="00B01894">
        <w:rPr>
          <w:rFonts w:ascii="Bookman Old Style" w:eastAsia="Bookman Old Style" w:hAnsi="Bookman Old Style" w:cs="Bookman Old Style"/>
          <w:color w:val="231F20"/>
          <w:sz w:val="18"/>
          <w:szCs w:val="18"/>
        </w:rPr>
        <w:softHyphen/>
        <w:t>ческого капитала несут на себе государство (федеральный, регио</w:t>
      </w:r>
      <w:r w:rsidRPr="00B01894">
        <w:rPr>
          <w:rFonts w:ascii="Bookman Old Style" w:eastAsia="Bookman Old Style" w:hAnsi="Bookman Old Style" w:cs="Bookman Old Style"/>
          <w:color w:val="231F20"/>
          <w:sz w:val="18"/>
          <w:szCs w:val="18"/>
        </w:rPr>
        <w:softHyphen/>
        <w:t>нальный и муниципальный уровни) и домохозяйства.</w:t>
      </w:r>
    </w:p>
    <w:p w14:paraId="5EF5CF56"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Из всех видов инвестиций в человеческий капитал наиболее </w:t>
      </w:r>
      <w:r w:rsidRPr="00B01894">
        <w:rPr>
          <w:rFonts w:ascii="Bookman Old Style" w:eastAsia="Bookman Old Style" w:hAnsi="Bookman Old Style" w:cs="Bookman Old Style"/>
          <w:color w:val="231F20"/>
          <w:sz w:val="18"/>
          <w:szCs w:val="18"/>
        </w:rPr>
        <w:lastRenderedPageBreak/>
        <w:t>важными являются вложения в здоровье и образование. Общее и специальное образование улучшают качество, повышают уровень и запас знаний человека, тем самым увеличивая объем и качество человеческого капитала. Инвестиции в высшее образование способ</w:t>
      </w:r>
      <w:r w:rsidRPr="00B01894">
        <w:rPr>
          <w:rFonts w:ascii="Bookman Old Style" w:eastAsia="Bookman Old Style" w:hAnsi="Bookman Old Style" w:cs="Bookman Old Style"/>
          <w:color w:val="231F20"/>
          <w:sz w:val="18"/>
          <w:szCs w:val="18"/>
        </w:rPr>
        <w:softHyphen/>
        <w:t>ствуют формированию высококвалифицированных специалистов, труд которых оказывает наибольшее влияние на темпы экономи</w:t>
      </w:r>
      <w:r w:rsidRPr="00B01894">
        <w:rPr>
          <w:rFonts w:ascii="Bookman Old Style" w:eastAsia="Bookman Old Style" w:hAnsi="Bookman Old Style" w:cs="Bookman Old Style"/>
          <w:color w:val="231F20"/>
          <w:sz w:val="18"/>
          <w:szCs w:val="18"/>
        </w:rPr>
        <w:softHyphen/>
        <w:t>ческого роста.</w:t>
      </w:r>
    </w:p>
    <w:p w14:paraId="171FF0AF"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Конституция РФ</w:t>
      </w:r>
      <w:r w:rsidRPr="00B01894">
        <w:rPr>
          <w:rFonts w:ascii="Bookman Old Style" w:eastAsia="Bookman Old Style" w:hAnsi="Bookman Old Style" w:cs="Bookman Old Style"/>
          <w:color w:val="231F20"/>
          <w:sz w:val="18"/>
          <w:szCs w:val="18"/>
          <w:vertAlign w:val="superscript"/>
        </w:rPr>
        <w:t>1</w:t>
      </w:r>
      <w:r w:rsidRPr="00B01894">
        <w:rPr>
          <w:rFonts w:ascii="Bookman Old Style" w:eastAsia="Bookman Old Style" w:hAnsi="Bookman Old Style" w:cs="Bookman Old Style"/>
          <w:color w:val="231F20"/>
          <w:sz w:val="18"/>
          <w:szCs w:val="18"/>
        </w:rPr>
        <w:t xml:space="preserve"> провозглашает право на образование, а также вытекающую из этого ценность повышения уровня образованности населения. Однако первые лица государства официально заявляют о необходимости сокращения в России числа высших учебных заве</w:t>
      </w:r>
      <w:r w:rsidRPr="00B01894">
        <w:rPr>
          <w:rFonts w:ascii="Bookman Old Style" w:eastAsia="Bookman Old Style" w:hAnsi="Bookman Old Style" w:cs="Bookman Old Style"/>
          <w:color w:val="231F20"/>
          <w:sz w:val="18"/>
          <w:szCs w:val="18"/>
        </w:rPr>
        <w:softHyphen/>
        <w:t>дений и людей с высшим образованием. Все это происходит на фоне того, как в Японии, например, обсуждается введение конституцио</w:t>
      </w:r>
      <w:r w:rsidRPr="00B01894">
        <w:rPr>
          <w:rFonts w:ascii="Bookman Old Style" w:eastAsia="Bookman Old Style" w:hAnsi="Bookman Old Style" w:cs="Bookman Old Style"/>
          <w:color w:val="231F20"/>
          <w:sz w:val="18"/>
          <w:szCs w:val="18"/>
        </w:rPr>
        <w:softHyphen/>
        <w:t>нальной нормы об обязательном высшем образовании. Проводи</w:t>
      </w:r>
      <w:r w:rsidRPr="00B01894">
        <w:rPr>
          <w:rFonts w:ascii="Bookman Old Style" w:eastAsia="Bookman Old Style" w:hAnsi="Bookman Old Style" w:cs="Bookman Old Style"/>
          <w:color w:val="231F20"/>
          <w:sz w:val="18"/>
          <w:szCs w:val="18"/>
        </w:rPr>
        <w:softHyphen/>
        <w:t>мые реформы базируются на представлении системы образования, как рыночной структуры, оказывающей услуги населению. Пред</w:t>
      </w:r>
      <w:r w:rsidRPr="00B01894">
        <w:rPr>
          <w:rFonts w:ascii="Bookman Old Style" w:eastAsia="Bookman Old Style" w:hAnsi="Bookman Old Style" w:cs="Bookman Old Style"/>
          <w:color w:val="231F20"/>
          <w:sz w:val="18"/>
          <w:szCs w:val="18"/>
        </w:rPr>
        <w:softHyphen/>
        <w:t>ставляется, что для целей инновационного развития государства такой подход неприменим, поскольку без высокообразованного на</w:t>
      </w:r>
      <w:r w:rsidRPr="00B01894">
        <w:rPr>
          <w:rFonts w:ascii="Bookman Old Style" w:eastAsia="Bookman Old Style" w:hAnsi="Bookman Old Style" w:cs="Bookman Old Style"/>
          <w:color w:val="231F20"/>
          <w:sz w:val="18"/>
          <w:szCs w:val="18"/>
        </w:rPr>
        <w:softHyphen/>
        <w:t xml:space="preserve">селения построить инновационную экономику невозможно в принципе. </w:t>
      </w:r>
      <w:r w:rsidRPr="00B01894">
        <w:rPr>
          <w:rFonts w:ascii="Bookman Old Style" w:eastAsia="Bookman Old Style" w:hAnsi="Bookman Old Style" w:cs="Bookman Old Style"/>
          <w:color w:val="00B050"/>
          <w:sz w:val="18"/>
          <w:szCs w:val="18"/>
          <w:vertAlign w:val="superscript"/>
        </w:rPr>
        <w:footnoteReference w:id="20"/>
      </w:r>
      <w:r w:rsidRPr="00B01894">
        <w:rPr>
          <w:rFonts w:ascii="Bookman Old Style" w:eastAsia="Bookman Old Style" w:hAnsi="Bookman Old Style" w:cs="Bookman Old Style"/>
          <w:color w:val="231F20"/>
          <w:sz w:val="18"/>
          <w:szCs w:val="18"/>
        </w:rPr>
        <w:t xml:space="preserve"> Поэтому государство является не менее заинтересованной стороной в плане уровня образования и, следовательно, образо</w:t>
      </w:r>
      <w:r w:rsidRPr="00B01894">
        <w:rPr>
          <w:rFonts w:ascii="Bookman Old Style" w:eastAsia="Bookman Old Style" w:hAnsi="Bookman Old Style" w:cs="Bookman Old Style"/>
          <w:color w:val="231F20"/>
          <w:sz w:val="18"/>
          <w:szCs w:val="18"/>
        </w:rPr>
        <w:softHyphen/>
        <w:t>вание — это не услуга, как полагают в Министерстве образования и науки РФ, а важнейшая государственная функция, по своей значи</w:t>
      </w:r>
      <w:r w:rsidRPr="00B01894">
        <w:rPr>
          <w:rFonts w:ascii="Bookman Old Style" w:eastAsia="Bookman Old Style" w:hAnsi="Bookman Old Style" w:cs="Bookman Old Style"/>
          <w:color w:val="231F20"/>
          <w:sz w:val="18"/>
          <w:szCs w:val="18"/>
        </w:rPr>
        <w:softHyphen/>
        <w:t>мости не уступающая функции обеспечения безопасности.</w:t>
      </w:r>
    </w:p>
    <w:p w14:paraId="3F61264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Финансирование фундаментальной науки с учетом инфляции практически не менялось. Эта ситуация оказывает негативное вли</w:t>
      </w:r>
      <w:r w:rsidRPr="00B01894">
        <w:rPr>
          <w:rFonts w:ascii="Bookman Old Style" w:eastAsia="Bookman Old Style" w:hAnsi="Bookman Old Style" w:cs="Bookman Old Style"/>
          <w:color w:val="231F20"/>
          <w:sz w:val="18"/>
          <w:szCs w:val="18"/>
        </w:rPr>
        <w:softHyphen/>
        <w:t>яние как на состояние собственно фундаментальной науки, так и прикладной науки и образования. Вложения в подготовку, как правило, усиленно производятся в молодые годы и постепенно пада</w:t>
      </w:r>
      <w:r w:rsidRPr="00B01894">
        <w:rPr>
          <w:rFonts w:ascii="Bookman Old Style" w:eastAsia="Bookman Old Style" w:hAnsi="Bookman Old Style" w:cs="Bookman Old Style"/>
          <w:color w:val="231F20"/>
          <w:sz w:val="18"/>
          <w:szCs w:val="18"/>
        </w:rPr>
        <w:softHyphen/>
        <w:t>ют с течением времени. Но при современном уровне развития тех</w:t>
      </w:r>
      <w:r w:rsidRPr="00B01894">
        <w:rPr>
          <w:rFonts w:ascii="Bookman Old Style" w:eastAsia="Bookman Old Style" w:hAnsi="Bookman Old Style" w:cs="Bookman Old Style"/>
          <w:color w:val="231F20"/>
          <w:sz w:val="18"/>
          <w:szCs w:val="18"/>
        </w:rPr>
        <w:softHyphen/>
        <w:t>ники и технологии процесс обновления знаний должен быть непре</w:t>
      </w:r>
      <w:r w:rsidRPr="00B01894">
        <w:rPr>
          <w:rFonts w:ascii="Bookman Old Style" w:eastAsia="Bookman Old Style" w:hAnsi="Bookman Old Style" w:cs="Bookman Old Style"/>
          <w:color w:val="231F20"/>
          <w:sz w:val="18"/>
          <w:szCs w:val="18"/>
        </w:rPr>
        <w:softHyphen/>
        <w:t xml:space="preserve">рывным. Необходимость постоянной переподготовки работников </w:t>
      </w:r>
      <w:r w:rsidRPr="00B01894">
        <w:rPr>
          <w:rFonts w:ascii="Bookman Old Style" w:eastAsia="Bookman Old Style" w:hAnsi="Bookman Old Style" w:cs="Bookman Old Style"/>
          <w:color w:val="00B050"/>
          <w:sz w:val="18"/>
          <w:szCs w:val="18"/>
        </w:rPr>
        <w:t>общепризнана</w:t>
      </w:r>
      <w:r w:rsidRPr="00B01894">
        <w:rPr>
          <w:rFonts w:ascii="Bookman Old Style" w:eastAsia="Bookman Old Style" w:hAnsi="Bookman Old Style" w:cs="Bookman Old Style"/>
          <w:color w:val="231F20"/>
          <w:sz w:val="18"/>
          <w:szCs w:val="18"/>
        </w:rPr>
        <w:t xml:space="preserve"> </w:t>
      </w:r>
      <w:r w:rsidRPr="00B01894">
        <w:rPr>
          <w:rFonts w:ascii="Bookman Old Style" w:eastAsia="Bookman Old Style" w:hAnsi="Bookman Old Style" w:cs="Bookman Old Style"/>
          <w:color w:val="C00000"/>
          <w:sz w:val="18"/>
          <w:szCs w:val="18"/>
        </w:rPr>
        <w:t>общепризнанна</w:t>
      </w:r>
      <w:r w:rsidRPr="00B01894">
        <w:rPr>
          <w:rFonts w:ascii="Bookman Old Style" w:eastAsia="Bookman Old Style" w:hAnsi="Bookman Old Style" w:cs="Bookman Old Style"/>
          <w:color w:val="231F20"/>
          <w:sz w:val="18"/>
          <w:szCs w:val="18"/>
        </w:rPr>
        <w:t>, переподготовка работника более выгодна, чем его замена. При повышении уровня образования эффективность тру</w:t>
      </w:r>
      <w:r w:rsidRPr="00B01894">
        <w:rPr>
          <w:rFonts w:ascii="Bookman Old Style" w:eastAsia="Bookman Old Style" w:hAnsi="Bookman Old Style" w:cs="Bookman Old Style"/>
          <w:color w:val="231F20"/>
          <w:sz w:val="18"/>
          <w:szCs w:val="18"/>
        </w:rPr>
        <w:softHyphen/>
        <w:t>да работников повышается. За последние десятилетия инвестиции в образование, подготовку и переподготовку кадров стали воспри</w:t>
      </w:r>
      <w:r w:rsidRPr="00B01894">
        <w:rPr>
          <w:rFonts w:ascii="Bookman Old Style" w:eastAsia="Bookman Old Style" w:hAnsi="Bookman Old Style" w:cs="Bookman Old Style"/>
          <w:color w:val="231F20"/>
          <w:sz w:val="18"/>
          <w:szCs w:val="18"/>
        </w:rPr>
        <w:softHyphen/>
        <w:t>ниматься общественным мнением, руководителями предприятий как наиболее эффективный объект вложений, а не как производ</w:t>
      </w:r>
      <w:r w:rsidRPr="00B01894">
        <w:rPr>
          <w:rFonts w:ascii="Bookman Old Style" w:eastAsia="Bookman Old Style" w:hAnsi="Bookman Old Style" w:cs="Bookman Old Style"/>
          <w:color w:val="231F20"/>
          <w:sz w:val="18"/>
          <w:szCs w:val="18"/>
        </w:rPr>
        <w:softHyphen/>
        <w:t>ственная необходимость. Сегодня в странах с развитой рыночной экономикой большое внимание уделяется расходам на профессио</w:t>
      </w:r>
      <w:r w:rsidRPr="00B01894">
        <w:rPr>
          <w:rFonts w:ascii="Bookman Old Style" w:eastAsia="Bookman Old Style" w:hAnsi="Bookman Old Style" w:cs="Bookman Old Style"/>
          <w:color w:val="231F20"/>
          <w:sz w:val="18"/>
          <w:szCs w:val="18"/>
        </w:rPr>
        <w:softHyphen/>
        <w:t>нальную подготовку на производстве и курсы переподготовки как одному из важнейших элементов вложений в человеческий капи</w:t>
      </w:r>
      <w:r w:rsidRPr="00B01894">
        <w:rPr>
          <w:rFonts w:ascii="Bookman Old Style" w:eastAsia="Bookman Old Style" w:hAnsi="Bookman Old Style" w:cs="Bookman Old Style"/>
          <w:color w:val="231F20"/>
          <w:sz w:val="18"/>
          <w:szCs w:val="18"/>
        </w:rPr>
        <w:softHyphen/>
        <w:t xml:space="preserve">тал. Курсы </w:t>
      </w:r>
      <w:r w:rsidRPr="00B01894">
        <w:rPr>
          <w:rFonts w:ascii="Bookman Old Style" w:eastAsia="Bookman Old Style" w:hAnsi="Bookman Old Style" w:cs="Bookman Old Style"/>
          <w:color w:val="231F20"/>
          <w:sz w:val="18"/>
          <w:szCs w:val="18"/>
        </w:rPr>
        <w:lastRenderedPageBreak/>
        <w:t>переподготовки предоставляют работникам возмож</w:t>
      </w:r>
      <w:r w:rsidRPr="00B01894">
        <w:rPr>
          <w:rFonts w:ascii="Bookman Old Style" w:eastAsia="Bookman Old Style" w:hAnsi="Bookman Old Style" w:cs="Bookman Old Style"/>
          <w:color w:val="231F20"/>
          <w:sz w:val="18"/>
          <w:szCs w:val="18"/>
        </w:rPr>
        <w:softHyphen/>
        <w:t>ность приобретения знаний по новым перспективным направлени</w:t>
      </w:r>
      <w:r w:rsidRPr="00B01894">
        <w:rPr>
          <w:rFonts w:ascii="Bookman Old Style" w:eastAsia="Bookman Old Style" w:hAnsi="Bookman Old Style" w:cs="Bookman Old Style"/>
          <w:color w:val="231F20"/>
          <w:sz w:val="18"/>
          <w:szCs w:val="18"/>
        </w:rPr>
        <w:softHyphen/>
        <w:t>ям в рамках имеющейся специальности. Непрерывное обновление квалификации является условием для выживания в условиях конку</w:t>
      </w:r>
      <w:r w:rsidRPr="00B01894">
        <w:rPr>
          <w:rFonts w:ascii="Bookman Old Style" w:eastAsia="Bookman Old Style" w:hAnsi="Bookman Old Style" w:cs="Bookman Old Style"/>
          <w:color w:val="231F20"/>
          <w:sz w:val="18"/>
          <w:szCs w:val="18"/>
        </w:rPr>
        <w:softHyphen/>
        <w:t>ренции на рынке труда для специалистов таких профессий, как ис</w:t>
      </w:r>
      <w:r w:rsidRPr="00B01894">
        <w:rPr>
          <w:rFonts w:ascii="Bookman Old Style" w:eastAsia="Bookman Old Style" w:hAnsi="Bookman Old Style" w:cs="Bookman Old Style"/>
          <w:color w:val="231F20"/>
          <w:sz w:val="18"/>
          <w:szCs w:val="18"/>
        </w:rPr>
        <w:softHyphen/>
        <w:t>следователи, учителя, инженеры, эксперты по компьютерам и т. д.</w:t>
      </w:r>
    </w:p>
    <w:p w14:paraId="0D05DD7E"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Необходимо отметить, что выгоды от образования могут быть не только прямыми, но и косвенными, направленными на третьих лиц, не принимающих непосредственного участия в образовании. Например, при повышении общего уровня образования населения снижается уровень преступности. Повышение образовательного уровня способствует ускорению научно-технического прогресса, улучшению качества жизни, росту благотворительности. Образо</w:t>
      </w:r>
      <w:r w:rsidRPr="00B01894">
        <w:rPr>
          <w:rFonts w:ascii="Bookman Old Style" w:eastAsia="Bookman Old Style" w:hAnsi="Bookman Old Style" w:cs="Bookman Old Style"/>
          <w:color w:val="231F20"/>
          <w:sz w:val="18"/>
          <w:szCs w:val="18"/>
        </w:rPr>
        <w:softHyphen/>
        <w:t>вание укорачивает протяженность во времени между совершением открытий и их всеобщим применением, другими словами, сокраща</w:t>
      </w:r>
      <w:r w:rsidRPr="00B01894">
        <w:rPr>
          <w:rFonts w:ascii="Bookman Old Style" w:eastAsia="Bookman Old Style" w:hAnsi="Bookman Old Style" w:cs="Bookman Old Style"/>
          <w:color w:val="231F20"/>
          <w:sz w:val="18"/>
          <w:szCs w:val="18"/>
        </w:rPr>
        <w:softHyphen/>
        <w:t>ет разрыв между теоретическим и практическим уровнем развития технологии.</w:t>
      </w:r>
    </w:p>
    <w:p w14:paraId="350ED5A2"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Конечной целью государственной молодежной политики в об</w:t>
      </w:r>
      <w:r w:rsidRPr="00B01894">
        <w:rPr>
          <w:rFonts w:ascii="Bookman Old Style" w:eastAsia="Bookman Old Style" w:hAnsi="Bookman Old Style" w:cs="Bookman Old Style"/>
          <w:color w:val="231F20"/>
          <w:sz w:val="18"/>
          <w:szCs w:val="18"/>
        </w:rPr>
        <w:softHyphen/>
        <w:t>ласти образования на средне- и долгосрочную перспективу являет</w:t>
      </w:r>
      <w:r w:rsidRPr="00B01894">
        <w:rPr>
          <w:rFonts w:ascii="Bookman Old Style" w:eastAsia="Bookman Old Style" w:hAnsi="Bookman Old Style" w:cs="Bookman Old Style"/>
          <w:color w:val="231F20"/>
          <w:sz w:val="18"/>
          <w:szCs w:val="18"/>
        </w:rPr>
        <w:softHyphen/>
        <w:t>ся создание условий для роста человеческого капитала молодежи с тем, чтобы обеспечить экономический рост и повышение конку</w:t>
      </w:r>
      <w:r w:rsidRPr="00B01894">
        <w:rPr>
          <w:rFonts w:ascii="Bookman Old Style" w:eastAsia="Bookman Old Style" w:hAnsi="Bookman Old Style" w:cs="Bookman Old Style"/>
          <w:color w:val="231F20"/>
          <w:sz w:val="18"/>
          <w:szCs w:val="18"/>
        </w:rPr>
        <w:softHyphen/>
        <w:t>рентоспособности России в глобальном мире.</w:t>
      </w:r>
    </w:p>
    <w:p w14:paraId="15267DC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bookmarkStart w:id="26" w:name="bookmark26"/>
      <w:r w:rsidRPr="00B01894">
        <w:rPr>
          <w:rFonts w:ascii="Bookman Old Style" w:eastAsia="Bookman Old Style" w:hAnsi="Bookman Old Style" w:cs="Bookman Old Style"/>
          <w:color w:val="231F20"/>
          <w:sz w:val="18"/>
          <w:szCs w:val="18"/>
        </w:rPr>
        <w:t>Успехи развитых стран, их технологический прорыв заключают</w:t>
      </w:r>
      <w:r w:rsidRPr="00B01894">
        <w:rPr>
          <w:rFonts w:ascii="Bookman Old Style" w:eastAsia="Bookman Old Style" w:hAnsi="Bookman Old Style" w:cs="Bookman Old Style"/>
          <w:color w:val="231F20"/>
          <w:sz w:val="18"/>
          <w:szCs w:val="18"/>
        </w:rPr>
        <w:softHyphen/>
        <w:t>ся в выпуске наукоемкой продукции, что говорит о наличии в этих странах человеческого капитала высокого качества. При этом меж</w:t>
      </w:r>
      <w:r w:rsidRPr="00B01894">
        <w:rPr>
          <w:rFonts w:ascii="Bookman Old Style" w:eastAsia="Bookman Old Style" w:hAnsi="Bookman Old Style" w:cs="Bookman Old Style"/>
          <w:color w:val="231F20"/>
          <w:sz w:val="18"/>
          <w:szCs w:val="18"/>
        </w:rPr>
        <w:softHyphen/>
        <w:t>дународное взаимовыгодное стратегическое сотрудничество может отчасти решить проблему недофинансирования в человеческий капитал, проявляющуюся в Российской Федерации на протяжении последнего времени. Стратегические иностранные инвестиции под</w:t>
      </w:r>
      <w:r w:rsidRPr="00B01894">
        <w:rPr>
          <w:rFonts w:ascii="Bookman Old Style" w:eastAsia="Bookman Old Style" w:hAnsi="Bookman Old Style" w:cs="Bookman Old Style"/>
          <w:color w:val="231F20"/>
          <w:sz w:val="18"/>
          <w:szCs w:val="18"/>
        </w:rPr>
        <w:softHyphen/>
        <w:t>разумевают трансфер технологий и переобучение персонала, вы</w:t>
      </w:r>
      <w:r w:rsidRPr="00B01894">
        <w:rPr>
          <w:rFonts w:ascii="Bookman Old Style" w:eastAsia="Bookman Old Style" w:hAnsi="Bookman Old Style" w:cs="Bookman Old Style"/>
          <w:color w:val="231F20"/>
          <w:sz w:val="18"/>
          <w:szCs w:val="18"/>
        </w:rPr>
        <w:softHyphen/>
        <w:t>равнивание качества человеческого капитала, что делает подобное сотрудничество стратегически необходимым. Концепция привлече</w:t>
      </w:r>
      <w:r w:rsidRPr="00B01894">
        <w:rPr>
          <w:rFonts w:ascii="Bookman Old Style" w:eastAsia="Bookman Old Style" w:hAnsi="Bookman Old Style" w:cs="Bookman Old Style"/>
          <w:color w:val="231F20"/>
          <w:sz w:val="18"/>
          <w:szCs w:val="18"/>
        </w:rPr>
        <w:softHyphen/>
        <w:t>ния иностранных инвестиций должна быть адаптирована к совре</w:t>
      </w:r>
      <w:r w:rsidRPr="00B01894">
        <w:rPr>
          <w:rFonts w:ascii="Bookman Old Style" w:eastAsia="Bookman Old Style" w:hAnsi="Bookman Old Style" w:cs="Bookman Old Style"/>
          <w:color w:val="231F20"/>
          <w:sz w:val="18"/>
          <w:szCs w:val="18"/>
        </w:rPr>
        <w:softHyphen/>
        <w:t>менным потребностям экономики России.</w:t>
      </w:r>
      <w:bookmarkEnd w:id="26"/>
    </w:p>
    <w:p w14:paraId="00B4BBB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эффективного международного сотрудничества нельзя также довольствоваться созданием благоприятных условий, необходимы действенные усилия по привлечению стратегических инвестиций, поскольку за производительный капитал в мире идет ожесточенная борьба.</w:t>
      </w:r>
    </w:p>
    <w:p w14:paraId="30918B89" w14:textId="77777777" w:rsidR="00B01894" w:rsidRPr="00B01894" w:rsidRDefault="00B01894" w:rsidP="00B01894">
      <w:pPr>
        <w:widowControl w:val="0"/>
        <w:spacing w:after="401"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Итак, для осуществления инновационного рывка экономики Рос</w:t>
      </w:r>
      <w:r w:rsidRPr="00B01894">
        <w:rPr>
          <w:rFonts w:ascii="Bookman Old Style" w:eastAsia="Bookman Old Style" w:hAnsi="Bookman Old Style" w:cs="Bookman Old Style"/>
          <w:color w:val="231F20"/>
          <w:sz w:val="18"/>
          <w:szCs w:val="18"/>
        </w:rPr>
        <w:softHyphen/>
        <w:t>сии необходимы следующие усилия: одновременные эффективные вложения в человеческий капитал и рабочие места со стороны до</w:t>
      </w:r>
      <w:r w:rsidRPr="00B01894">
        <w:rPr>
          <w:rFonts w:ascii="Bookman Old Style" w:eastAsia="Bookman Old Style" w:hAnsi="Bookman Old Style" w:cs="Bookman Old Style"/>
          <w:color w:val="231F20"/>
          <w:sz w:val="18"/>
          <w:szCs w:val="18"/>
        </w:rPr>
        <w:softHyphen/>
        <w:t>мохозяйств, бизнеса и государства; привлечение стратегического иностранного капитала и развитие других форм международного сотрудничества; поддержание климата, благоприятного для само</w:t>
      </w:r>
      <w:r w:rsidRPr="00B01894">
        <w:rPr>
          <w:rFonts w:ascii="Bookman Old Style" w:eastAsia="Bookman Old Style" w:hAnsi="Bookman Old Style" w:cs="Bookman Old Style"/>
          <w:color w:val="231F20"/>
          <w:sz w:val="18"/>
          <w:szCs w:val="18"/>
        </w:rPr>
        <w:softHyphen/>
        <w:t>реализации интеллектуально-творческого потенциала. При соблю</w:t>
      </w:r>
      <w:r w:rsidRPr="00B01894">
        <w:rPr>
          <w:rFonts w:ascii="Bookman Old Style" w:eastAsia="Bookman Old Style" w:hAnsi="Bookman Old Style" w:cs="Bookman Old Style"/>
          <w:color w:val="231F20"/>
          <w:sz w:val="18"/>
          <w:szCs w:val="18"/>
        </w:rPr>
        <w:softHyphen/>
        <w:t>дении данных условий возможна реструктуризация экономики Рос</w:t>
      </w:r>
      <w:r w:rsidRPr="00B01894">
        <w:rPr>
          <w:rFonts w:ascii="Bookman Old Style" w:eastAsia="Bookman Old Style" w:hAnsi="Bookman Old Style" w:cs="Bookman Old Style"/>
          <w:color w:val="231F20"/>
          <w:sz w:val="18"/>
          <w:szCs w:val="18"/>
        </w:rPr>
        <w:softHyphen/>
        <w:t xml:space="preserve">сии и выход ее в </w:t>
      </w:r>
      <w:r w:rsidRPr="00B01894">
        <w:rPr>
          <w:rFonts w:ascii="Bookman Old Style" w:eastAsia="Bookman Old Style" w:hAnsi="Bookman Old Style" w:cs="Bookman Old Style"/>
          <w:color w:val="231F20"/>
          <w:sz w:val="18"/>
          <w:szCs w:val="18"/>
        </w:rPr>
        <w:lastRenderedPageBreak/>
        <w:t>мировые лидеры инновационного развития.</w:t>
      </w:r>
    </w:p>
    <w:p w14:paraId="5AA2C183" w14:textId="77777777" w:rsidR="00B01894" w:rsidRPr="00B01894" w:rsidRDefault="00B01894" w:rsidP="00B01894">
      <w:pPr>
        <w:keepNext/>
        <w:keepLines/>
        <w:widowControl w:val="0"/>
        <w:spacing w:after="180" w:line="274" w:lineRule="exact"/>
        <w:ind w:firstLine="0"/>
        <w:jc w:val="center"/>
        <w:outlineLvl w:val="3"/>
        <w:rPr>
          <w:rFonts w:ascii="Arial Narrow" w:eastAsia="Arial Narrow" w:hAnsi="Arial Narrow" w:cs="Arial Narrow"/>
          <w:b/>
          <w:bCs/>
        </w:rPr>
      </w:pPr>
      <w:bookmarkStart w:id="27" w:name="bookmark27"/>
      <w:r w:rsidRPr="00B01894">
        <w:rPr>
          <w:rFonts w:ascii="Arial Narrow" w:eastAsia="Arial Narrow" w:hAnsi="Arial Narrow" w:cs="Arial Narrow"/>
          <w:b/>
          <w:bCs/>
          <w:color w:val="231F20"/>
        </w:rPr>
        <w:t>Выводы</w:t>
      </w:r>
      <w:bookmarkEnd w:id="27"/>
    </w:p>
    <w:p w14:paraId="30E6B384"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Протекционизм — это не просто защита национального произ</w:t>
      </w:r>
      <w:r w:rsidRPr="00B01894">
        <w:rPr>
          <w:rFonts w:ascii="Bookman Old Style" w:eastAsia="Bookman Old Style" w:hAnsi="Bookman Old Style" w:cs="Bookman Old Style"/>
          <w:color w:val="231F20"/>
          <w:sz w:val="18"/>
          <w:szCs w:val="18"/>
        </w:rPr>
        <w:softHyphen/>
        <w:t>водителя от иностранной конкуренции, это комплекс мер поощре</w:t>
      </w:r>
      <w:r w:rsidRPr="00B01894">
        <w:rPr>
          <w:rFonts w:ascii="Bookman Old Style" w:eastAsia="Bookman Old Style" w:hAnsi="Bookman Old Style" w:cs="Bookman Old Style"/>
          <w:color w:val="231F20"/>
          <w:sz w:val="18"/>
          <w:szCs w:val="18"/>
        </w:rPr>
        <w:softHyphen/>
        <w:t>ния и поддержки отечественной промышленности как внутри стра</w:t>
      </w:r>
      <w:r w:rsidRPr="00B01894">
        <w:rPr>
          <w:rFonts w:ascii="Bookman Old Style" w:eastAsia="Bookman Old Style" w:hAnsi="Bookman Old Style" w:cs="Bookman Old Style"/>
          <w:color w:val="231F20"/>
          <w:sz w:val="18"/>
          <w:szCs w:val="18"/>
        </w:rPr>
        <w:softHyphen/>
        <w:t>ны, так и за рубежом.</w:t>
      </w:r>
    </w:p>
    <w:p w14:paraId="1D81A6EC"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Последовательная поддержка и помощь национальному произ</w:t>
      </w:r>
      <w:r w:rsidRPr="00B01894">
        <w:rPr>
          <w:rFonts w:ascii="Bookman Old Style" w:eastAsia="Bookman Old Style" w:hAnsi="Bookman Old Style" w:cs="Bookman Old Style"/>
          <w:color w:val="231F20"/>
          <w:sz w:val="18"/>
          <w:szCs w:val="18"/>
        </w:rPr>
        <w:softHyphen/>
        <w:t>водителю является необходимым, но недостаточным условием про</w:t>
      </w:r>
      <w:r w:rsidRPr="00B01894">
        <w:rPr>
          <w:rFonts w:ascii="Bookman Old Style" w:eastAsia="Bookman Old Style" w:hAnsi="Bookman Old Style" w:cs="Bookman Old Style"/>
          <w:color w:val="231F20"/>
          <w:sz w:val="18"/>
          <w:szCs w:val="18"/>
        </w:rPr>
        <w:softHyphen/>
        <w:t>грессивного роста национальной экономики. Нужно создавать ус</w:t>
      </w:r>
      <w:r w:rsidRPr="00B01894">
        <w:rPr>
          <w:rFonts w:ascii="Bookman Old Style" w:eastAsia="Bookman Old Style" w:hAnsi="Bookman Old Style" w:cs="Bookman Old Style"/>
          <w:color w:val="231F20"/>
          <w:sz w:val="18"/>
          <w:szCs w:val="18"/>
        </w:rPr>
        <w:softHyphen/>
        <w:t>ловия и для комфортного ведения бизнеса в стране, и для развития международного сотрудничества.</w:t>
      </w:r>
    </w:p>
    <w:p w14:paraId="11ED68A7" w14:textId="77777777" w:rsidR="00B01894" w:rsidRPr="00B01894" w:rsidRDefault="00B01894" w:rsidP="00B01894">
      <w:pPr>
        <w:widowControl w:val="0"/>
        <w:spacing w:line="250"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В международной экономике не стоит рассчитывать на честные и постоянные правила игры и нужно всегда помнить о базовых принципах экономической безопасности, которые сформулировал </w:t>
      </w:r>
      <w:r w:rsidRPr="00B01894">
        <w:rPr>
          <w:rFonts w:ascii="Bookman Old Style" w:eastAsia="Bookman Old Style" w:hAnsi="Bookman Old Style" w:cs="Bookman Old Style"/>
          <w:color w:val="00B050"/>
          <w:sz w:val="18"/>
          <w:szCs w:val="18"/>
        </w:rPr>
        <w:t>еще</w:t>
      </w:r>
      <w:r w:rsidRPr="00B01894">
        <w:rPr>
          <w:rFonts w:ascii="Bookman Old Style" w:eastAsia="Bookman Old Style" w:hAnsi="Bookman Old Style" w:cs="Bookman Old Style"/>
          <w:color w:val="231F20"/>
          <w:sz w:val="18"/>
          <w:szCs w:val="18"/>
        </w:rPr>
        <w:t xml:space="preserve"> великий русский ученый Д. И. Менделеев, отмечавший важность производства как один из факторов обеспечения национального благосостояния.</w:t>
      </w:r>
    </w:p>
    <w:p w14:paraId="5BD49BFE"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bookmarkStart w:id="28" w:name="bookmark28"/>
      <w:r w:rsidRPr="00B01894">
        <w:rPr>
          <w:rFonts w:ascii="Bookman Old Style" w:eastAsia="Bookman Old Style" w:hAnsi="Bookman Old Style" w:cs="Bookman Old Style"/>
          <w:color w:val="231F20"/>
          <w:sz w:val="18"/>
          <w:szCs w:val="18"/>
        </w:rPr>
        <w:t>Одной из ключевых проблем национальной экономики на сегод</w:t>
      </w:r>
      <w:r w:rsidRPr="00B01894">
        <w:rPr>
          <w:rFonts w:ascii="Bookman Old Style" w:eastAsia="Bookman Old Style" w:hAnsi="Bookman Old Style" w:cs="Bookman Old Style"/>
          <w:color w:val="231F20"/>
          <w:sz w:val="18"/>
          <w:szCs w:val="18"/>
        </w:rPr>
        <w:softHyphen/>
        <w:t>няшний день является инвестиционная недостаточность.</w:t>
      </w:r>
      <w:bookmarkEnd w:id="28"/>
    </w:p>
    <w:p w14:paraId="06714A80"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Для осуществления задач ускоренной модернизации и импорто- замещения необходимы массированные капиталовложения как вну</w:t>
      </w:r>
      <w:r w:rsidRPr="00B01894">
        <w:rPr>
          <w:rFonts w:ascii="Bookman Old Style" w:eastAsia="Bookman Old Style" w:hAnsi="Bookman Old Style" w:cs="Bookman Old Style"/>
          <w:color w:val="231F20"/>
          <w:sz w:val="18"/>
          <w:szCs w:val="18"/>
        </w:rPr>
        <w:softHyphen/>
        <w:t>тренних, так и иностранных стратегических инвесторов.</w:t>
      </w:r>
    </w:p>
    <w:p w14:paraId="4343C134"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Система институциональных условий для стимулирования инве</w:t>
      </w:r>
      <w:r w:rsidRPr="00B01894">
        <w:rPr>
          <w:rFonts w:ascii="Bookman Old Style" w:eastAsia="Bookman Old Style" w:hAnsi="Bookman Old Style" w:cs="Bookman Old Style"/>
          <w:color w:val="231F20"/>
          <w:sz w:val="18"/>
          <w:szCs w:val="18"/>
        </w:rPr>
        <w:softHyphen/>
        <w:t>стиционного процесса включает в себя следующие составляющие:</w:t>
      </w:r>
    </w:p>
    <w:p w14:paraId="1957C448" w14:textId="77777777" w:rsidR="00B01894" w:rsidRPr="00B01894" w:rsidRDefault="00B01894" w:rsidP="00B01894">
      <w:pPr>
        <w:widowControl w:val="0"/>
        <w:numPr>
          <w:ilvl w:val="0"/>
          <w:numId w:val="22"/>
        </w:numPr>
        <w:tabs>
          <w:tab w:val="left" w:pos="613"/>
        </w:tabs>
        <w:spacing w:line="254"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институты конкурентного рынка;</w:t>
      </w:r>
    </w:p>
    <w:p w14:paraId="5711B035" w14:textId="77777777" w:rsidR="00B01894" w:rsidRPr="00B01894" w:rsidRDefault="00B01894" w:rsidP="00B01894">
      <w:pPr>
        <w:widowControl w:val="0"/>
        <w:numPr>
          <w:ilvl w:val="0"/>
          <w:numId w:val="22"/>
        </w:numPr>
        <w:tabs>
          <w:tab w:val="left" w:pos="613"/>
        </w:tabs>
        <w:spacing w:line="254"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институты формальных и неформальных правил;</w:t>
      </w:r>
    </w:p>
    <w:p w14:paraId="5CA1C7FB" w14:textId="77777777" w:rsidR="00B01894" w:rsidRPr="00B01894" w:rsidRDefault="00B01894" w:rsidP="00B01894">
      <w:pPr>
        <w:widowControl w:val="0"/>
        <w:numPr>
          <w:ilvl w:val="0"/>
          <w:numId w:val="22"/>
        </w:numPr>
        <w:tabs>
          <w:tab w:val="left" w:pos="613"/>
        </w:tabs>
        <w:spacing w:line="254"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институты принуждения;</w:t>
      </w:r>
    </w:p>
    <w:p w14:paraId="4581C326" w14:textId="77777777" w:rsidR="00B01894" w:rsidRPr="00B01894" w:rsidRDefault="00B01894" w:rsidP="00B01894">
      <w:pPr>
        <w:widowControl w:val="0"/>
        <w:numPr>
          <w:ilvl w:val="0"/>
          <w:numId w:val="22"/>
        </w:numPr>
        <w:tabs>
          <w:tab w:val="left" w:pos="613"/>
        </w:tabs>
        <w:spacing w:line="254" w:lineRule="exact"/>
        <w:ind w:firstLine="320"/>
        <w:jc w:val="left"/>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институты информации.</w:t>
      </w:r>
    </w:p>
    <w:p w14:paraId="1E284FEA"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 условиях глобализации и нарастания конкуренции за капитал политика государства должна быть не просто «благоприятствую</w:t>
      </w:r>
      <w:r w:rsidRPr="00B01894">
        <w:rPr>
          <w:rFonts w:ascii="Bookman Old Style" w:eastAsia="Bookman Old Style" w:hAnsi="Bookman Old Style" w:cs="Bookman Old Style"/>
          <w:color w:val="231F20"/>
          <w:sz w:val="18"/>
          <w:szCs w:val="18"/>
        </w:rPr>
        <w:softHyphen/>
        <w:t>щей», а именно «активно стимулирующей».</w:t>
      </w:r>
    </w:p>
    <w:p w14:paraId="0B8E85F3"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Заявленным целям модернизации в большей степени соответ</w:t>
      </w:r>
      <w:r w:rsidRPr="00B01894">
        <w:rPr>
          <w:rFonts w:ascii="Bookman Old Style" w:eastAsia="Bookman Old Style" w:hAnsi="Bookman Old Style" w:cs="Bookman Old Style"/>
          <w:color w:val="231F20"/>
          <w:sz w:val="18"/>
          <w:szCs w:val="18"/>
        </w:rPr>
        <w:softHyphen/>
        <w:t>ствует политика стимулирования инвестиций в человеческий ка</w:t>
      </w:r>
      <w:r w:rsidRPr="00B01894">
        <w:rPr>
          <w:rFonts w:ascii="Bookman Old Style" w:eastAsia="Bookman Old Style" w:hAnsi="Bookman Old Style" w:cs="Bookman Old Style"/>
          <w:color w:val="231F20"/>
          <w:sz w:val="18"/>
          <w:szCs w:val="18"/>
        </w:rPr>
        <w:softHyphen/>
        <w:t>питал, а не в реальный, поскольку именно они способствуют каче</w:t>
      </w:r>
      <w:r w:rsidRPr="00B01894">
        <w:rPr>
          <w:rFonts w:ascii="Bookman Old Style" w:eastAsia="Bookman Old Style" w:hAnsi="Bookman Old Style" w:cs="Bookman Old Style"/>
          <w:color w:val="231F20"/>
          <w:sz w:val="18"/>
          <w:szCs w:val="18"/>
        </w:rPr>
        <w:softHyphen/>
        <w:t>ственному сдвигу в структуре национальной экономики.</w:t>
      </w:r>
    </w:p>
    <w:p w14:paraId="75B568C2"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Частные инвестиции в человеческий капитал, имея целью увели</w:t>
      </w:r>
      <w:r w:rsidRPr="00B01894">
        <w:rPr>
          <w:rFonts w:ascii="Bookman Old Style" w:eastAsia="Bookman Old Style" w:hAnsi="Bookman Old Style" w:cs="Bookman Old Style"/>
          <w:color w:val="231F20"/>
          <w:sz w:val="18"/>
          <w:szCs w:val="18"/>
        </w:rPr>
        <w:softHyphen/>
        <w:t>чение частной полезности, могут увеличивать общественные, а го</w:t>
      </w:r>
      <w:r w:rsidRPr="00B01894">
        <w:rPr>
          <w:rFonts w:ascii="Bookman Old Style" w:eastAsia="Bookman Old Style" w:hAnsi="Bookman Old Style" w:cs="Bookman Old Style"/>
          <w:color w:val="231F20"/>
          <w:sz w:val="18"/>
          <w:szCs w:val="18"/>
        </w:rPr>
        <w:softHyphen/>
        <w:t>сударственные инвестиции, увеличивая общественные полезности, способствуют, в свою очередь, росту частных.</w:t>
      </w:r>
    </w:p>
    <w:p w14:paraId="4B80BE21" w14:textId="77777777" w:rsidR="00B01894" w:rsidRPr="00B01894" w:rsidRDefault="00B01894" w:rsidP="00B01894">
      <w:pPr>
        <w:widowControl w:val="0"/>
        <w:spacing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Государство участвует в формировании человеческого капитала путем создания национальных систем образования, здравоохране</w:t>
      </w:r>
      <w:r w:rsidRPr="00B01894">
        <w:rPr>
          <w:rFonts w:ascii="Bookman Old Style" w:eastAsia="Bookman Old Style" w:hAnsi="Bookman Old Style" w:cs="Bookman Old Style"/>
          <w:color w:val="231F20"/>
          <w:sz w:val="18"/>
          <w:szCs w:val="18"/>
        </w:rPr>
        <w:softHyphen/>
        <w:t>ния, пенсионного и социального обеспечения, регулирования ми</w:t>
      </w:r>
      <w:r w:rsidRPr="00B01894">
        <w:rPr>
          <w:rFonts w:ascii="Bookman Old Style" w:eastAsia="Bookman Old Style" w:hAnsi="Bookman Old Style" w:cs="Bookman Old Style"/>
          <w:color w:val="231F20"/>
          <w:sz w:val="18"/>
          <w:szCs w:val="18"/>
        </w:rPr>
        <w:softHyphen/>
        <w:t>грации труда.</w:t>
      </w:r>
    </w:p>
    <w:p w14:paraId="250AE84F" w14:textId="77777777" w:rsidR="00B01894" w:rsidRPr="00B01894" w:rsidRDefault="00B01894" w:rsidP="00B01894">
      <w:pPr>
        <w:widowControl w:val="0"/>
        <w:spacing w:after="404" w:line="254" w:lineRule="exact"/>
        <w:ind w:firstLine="320"/>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 xml:space="preserve">Основную нагрузку при формировании человеческого капитала </w:t>
      </w:r>
      <w:r w:rsidRPr="00B01894">
        <w:rPr>
          <w:rFonts w:ascii="Bookman Old Style" w:eastAsia="Bookman Old Style" w:hAnsi="Bookman Old Style" w:cs="Bookman Old Style"/>
          <w:color w:val="231F20"/>
          <w:sz w:val="18"/>
          <w:szCs w:val="18"/>
        </w:rPr>
        <w:lastRenderedPageBreak/>
        <w:t>несут на себе государство (федеральный, региональный и муници</w:t>
      </w:r>
      <w:r w:rsidRPr="00B01894">
        <w:rPr>
          <w:rFonts w:ascii="Bookman Old Style" w:eastAsia="Bookman Old Style" w:hAnsi="Bookman Old Style" w:cs="Bookman Old Style"/>
          <w:color w:val="231F20"/>
          <w:sz w:val="18"/>
          <w:szCs w:val="18"/>
        </w:rPr>
        <w:softHyphen/>
        <w:t>пальный уровни) и домохозяйства.</w:t>
      </w:r>
    </w:p>
    <w:p w14:paraId="2E7EDCE4" w14:textId="77777777" w:rsidR="00B01894" w:rsidRPr="00B01894" w:rsidRDefault="00B01894" w:rsidP="00B01894">
      <w:pPr>
        <w:keepNext/>
        <w:keepLines/>
        <w:widowControl w:val="0"/>
        <w:spacing w:after="178" w:line="274" w:lineRule="exact"/>
        <w:ind w:firstLine="0"/>
        <w:jc w:val="center"/>
        <w:outlineLvl w:val="3"/>
        <w:rPr>
          <w:rFonts w:ascii="Arial Narrow" w:eastAsia="Arial Narrow" w:hAnsi="Arial Narrow" w:cs="Arial Narrow"/>
          <w:b/>
          <w:bCs/>
        </w:rPr>
      </w:pPr>
      <w:bookmarkStart w:id="29" w:name="bookmark29"/>
      <w:r w:rsidRPr="00B01894">
        <w:rPr>
          <w:rFonts w:ascii="Arial Narrow" w:eastAsia="Arial Narrow" w:hAnsi="Arial Narrow" w:cs="Arial Narrow"/>
          <w:b/>
          <w:bCs/>
          <w:color w:val="231F20"/>
        </w:rPr>
        <w:t>Практикум</w:t>
      </w:r>
      <w:bookmarkEnd w:id="29"/>
    </w:p>
    <w:p w14:paraId="53ECE786" w14:textId="77777777" w:rsidR="00B01894" w:rsidRPr="00B01894" w:rsidRDefault="00B01894" w:rsidP="00B01894">
      <w:pPr>
        <w:widowControl w:val="0"/>
        <w:spacing w:after="101" w:line="202"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Вопросы и задания для самоконтроля</w:t>
      </w:r>
    </w:p>
    <w:p w14:paraId="427AF192" w14:textId="77777777" w:rsidR="00B01894" w:rsidRPr="00B01894" w:rsidRDefault="00B01894" w:rsidP="00B01894">
      <w:pPr>
        <w:widowControl w:val="0"/>
        <w:numPr>
          <w:ilvl w:val="0"/>
          <w:numId w:val="27"/>
        </w:numPr>
        <w:tabs>
          <w:tab w:val="left" w:pos="613"/>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В чем опасность форсированного открытия границ для импорта?</w:t>
      </w:r>
    </w:p>
    <w:p w14:paraId="01924B7B" w14:textId="77777777" w:rsidR="00B01894" w:rsidRPr="00B01894" w:rsidRDefault="00B01894" w:rsidP="00B01894">
      <w:pPr>
        <w:widowControl w:val="0"/>
        <w:numPr>
          <w:ilvl w:val="0"/>
          <w:numId w:val="27"/>
        </w:numPr>
        <w:tabs>
          <w:tab w:val="left" w:pos="613"/>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Когда возникла концепция свободной торговли? Какие цели пресле</w:t>
      </w:r>
      <w:r w:rsidRPr="00B01894">
        <w:rPr>
          <w:rFonts w:ascii="Bookman Old Style" w:eastAsia="Bookman Old Style" w:hAnsi="Bookman Old Style" w:cs="Bookman Old Style"/>
          <w:color w:val="231F20"/>
          <w:sz w:val="17"/>
          <w:szCs w:val="17"/>
        </w:rPr>
        <w:softHyphen/>
        <w:t>довала политика фритрейдерства Великобритании и позднее США?</w:t>
      </w:r>
    </w:p>
    <w:p w14:paraId="64664E33" w14:textId="77777777" w:rsidR="00B01894" w:rsidRPr="00B01894" w:rsidRDefault="00B01894" w:rsidP="00B01894">
      <w:pPr>
        <w:widowControl w:val="0"/>
        <w:numPr>
          <w:ilvl w:val="0"/>
          <w:numId w:val="27"/>
        </w:numPr>
        <w:tabs>
          <w:tab w:val="left" w:pos="613"/>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Расскажите о положительных и отрицательных последствиях про</w:t>
      </w:r>
      <w:r w:rsidRPr="00B01894">
        <w:rPr>
          <w:rFonts w:ascii="Bookman Old Style" w:eastAsia="Bookman Old Style" w:hAnsi="Bookman Old Style" w:cs="Bookman Old Style"/>
          <w:color w:val="231F20"/>
          <w:sz w:val="17"/>
          <w:szCs w:val="17"/>
        </w:rPr>
        <w:softHyphen/>
        <w:t>текционизма для национальной экономики.</w:t>
      </w:r>
    </w:p>
    <w:p w14:paraId="43D2F449" w14:textId="77777777" w:rsidR="00B01894" w:rsidRPr="00B01894" w:rsidRDefault="00B01894" w:rsidP="00B01894">
      <w:pPr>
        <w:widowControl w:val="0"/>
        <w:numPr>
          <w:ilvl w:val="0"/>
          <w:numId w:val="27"/>
        </w:numPr>
        <w:tabs>
          <w:tab w:val="left" w:pos="613"/>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В каких ситуациях протекционизм оправдан и необходим?</w:t>
      </w:r>
    </w:p>
    <w:p w14:paraId="0EF28032" w14:textId="77777777" w:rsidR="00B01894" w:rsidRPr="00B01894" w:rsidRDefault="00B01894" w:rsidP="00B01894">
      <w:pPr>
        <w:widowControl w:val="0"/>
        <w:numPr>
          <w:ilvl w:val="0"/>
          <w:numId w:val="27"/>
        </w:numPr>
        <w:tabs>
          <w:tab w:val="left" w:pos="613"/>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О чем говорит история протекционизма в России?</w:t>
      </w:r>
    </w:p>
    <w:p w14:paraId="082CB251" w14:textId="77777777" w:rsidR="00B01894" w:rsidRPr="00B01894" w:rsidRDefault="00B01894" w:rsidP="00B01894">
      <w:pPr>
        <w:widowControl w:val="0"/>
        <w:numPr>
          <w:ilvl w:val="0"/>
          <w:numId w:val="27"/>
        </w:numPr>
        <w:tabs>
          <w:tab w:val="left" w:pos="613"/>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Какой может быть протекционистская защита?</w:t>
      </w:r>
    </w:p>
    <w:p w14:paraId="35C19116" w14:textId="77777777" w:rsidR="00B01894" w:rsidRPr="00B01894" w:rsidRDefault="00B01894" w:rsidP="00B01894">
      <w:pPr>
        <w:widowControl w:val="0"/>
        <w:numPr>
          <w:ilvl w:val="0"/>
          <w:numId w:val="27"/>
        </w:numPr>
        <w:tabs>
          <w:tab w:val="left" w:pos="613"/>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Какие методы защиты используются на сегодняшний день экономи</w:t>
      </w:r>
      <w:r w:rsidRPr="00B01894">
        <w:rPr>
          <w:rFonts w:ascii="Bookman Old Style" w:eastAsia="Bookman Old Style" w:hAnsi="Bookman Old Style" w:cs="Bookman Old Style"/>
          <w:color w:val="231F20"/>
          <w:sz w:val="17"/>
          <w:szCs w:val="17"/>
        </w:rPr>
        <w:softHyphen/>
        <w:t>чески развитыми странами?</w:t>
      </w:r>
    </w:p>
    <w:p w14:paraId="5DE7D3A7" w14:textId="77777777" w:rsidR="00B01894" w:rsidRPr="00B01894" w:rsidRDefault="00B01894" w:rsidP="00B01894">
      <w:pPr>
        <w:widowControl w:val="0"/>
        <w:numPr>
          <w:ilvl w:val="0"/>
          <w:numId w:val="27"/>
        </w:numPr>
        <w:tabs>
          <w:tab w:val="left" w:pos="613"/>
        </w:tabs>
        <w:spacing w:line="22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Как членство в международных организациях и интеграционных объединениях может отразиться на национальной промышленности?</w:t>
      </w:r>
    </w:p>
    <w:p w14:paraId="21AFA5A1" w14:textId="77777777" w:rsidR="00B01894" w:rsidRPr="00B01894" w:rsidRDefault="00B01894" w:rsidP="00B01894">
      <w:pPr>
        <w:widowControl w:val="0"/>
        <w:numPr>
          <w:ilvl w:val="0"/>
          <w:numId w:val="27"/>
        </w:numPr>
        <w:tabs>
          <w:tab w:val="left" w:pos="591"/>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Назовите главную задачу государства для интенсификации процесса внутреннего и международного инвестирования в Российской Федерации.</w:t>
      </w:r>
    </w:p>
    <w:p w14:paraId="6A71E3E8" w14:textId="77777777" w:rsidR="00B01894" w:rsidRPr="00B01894" w:rsidRDefault="00B01894" w:rsidP="00B01894">
      <w:pPr>
        <w:widowControl w:val="0"/>
        <w:numPr>
          <w:ilvl w:val="0"/>
          <w:numId w:val="27"/>
        </w:numPr>
        <w:tabs>
          <w:tab w:val="left" w:pos="658"/>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Что представляют собой институты конкурентного рынка? Насколько они развиты в России?</w:t>
      </w:r>
    </w:p>
    <w:p w14:paraId="2E4133FE" w14:textId="77777777" w:rsidR="00B01894" w:rsidRPr="00B01894" w:rsidRDefault="00B01894" w:rsidP="00B01894">
      <w:pPr>
        <w:widowControl w:val="0"/>
        <w:numPr>
          <w:ilvl w:val="0"/>
          <w:numId w:val="27"/>
        </w:numPr>
        <w:tabs>
          <w:tab w:val="left" w:pos="686"/>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Что включают в себя институты формальных и неформальных правил?</w:t>
      </w:r>
    </w:p>
    <w:p w14:paraId="167462A7" w14:textId="77777777" w:rsidR="00B01894" w:rsidRPr="00B01894" w:rsidRDefault="00B01894" w:rsidP="00B01894">
      <w:pPr>
        <w:widowControl w:val="0"/>
        <w:numPr>
          <w:ilvl w:val="0"/>
          <w:numId w:val="27"/>
        </w:numPr>
        <w:tabs>
          <w:tab w:val="left" w:pos="690"/>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Каковы системы принуждения к исполнению правил?</w:t>
      </w:r>
    </w:p>
    <w:p w14:paraId="09F9702C" w14:textId="77777777" w:rsidR="00B01894" w:rsidRPr="00B01894" w:rsidRDefault="00B01894" w:rsidP="00B01894">
      <w:pPr>
        <w:widowControl w:val="0"/>
        <w:numPr>
          <w:ilvl w:val="0"/>
          <w:numId w:val="27"/>
        </w:numPr>
        <w:tabs>
          <w:tab w:val="left" w:pos="690"/>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Что имеется в виду под институтами информации?</w:t>
      </w:r>
    </w:p>
    <w:p w14:paraId="4150F0BF" w14:textId="77777777" w:rsidR="00B01894" w:rsidRPr="00B01894" w:rsidRDefault="00B01894" w:rsidP="00B01894">
      <w:pPr>
        <w:widowControl w:val="0"/>
        <w:numPr>
          <w:ilvl w:val="0"/>
          <w:numId w:val="27"/>
        </w:numPr>
        <w:tabs>
          <w:tab w:val="left" w:pos="663"/>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Назовите инструменты, которые могут помочь преодолеть фидуци</w:t>
      </w:r>
      <w:r w:rsidRPr="00B01894">
        <w:rPr>
          <w:rFonts w:ascii="Bookman Old Style" w:eastAsia="Bookman Old Style" w:hAnsi="Bookman Old Style" w:cs="Bookman Old Style"/>
          <w:color w:val="231F20"/>
          <w:sz w:val="17"/>
          <w:szCs w:val="17"/>
        </w:rPr>
        <w:softHyphen/>
        <w:t>арный барьер между государством и инвесторами.</w:t>
      </w:r>
    </w:p>
    <w:p w14:paraId="5930A208" w14:textId="77777777" w:rsidR="00B01894" w:rsidRPr="00B01894" w:rsidRDefault="00B01894" w:rsidP="00B01894">
      <w:pPr>
        <w:widowControl w:val="0"/>
        <w:numPr>
          <w:ilvl w:val="0"/>
          <w:numId w:val="27"/>
        </w:numPr>
        <w:tabs>
          <w:tab w:val="left" w:pos="668"/>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 xml:space="preserve">Возможна ли модернизация экономики исключительно с помощью инвестирования </w:t>
      </w:r>
      <w:r w:rsidRPr="00B01894">
        <w:rPr>
          <w:rFonts w:ascii="Bookman Old Style" w:eastAsia="Bookman Old Style" w:hAnsi="Bookman Old Style" w:cs="Bookman Old Style"/>
          <w:color w:val="00B050"/>
          <w:sz w:val="17"/>
          <w:szCs w:val="17"/>
        </w:rPr>
        <w:t xml:space="preserve">в реальный капитал </w:t>
      </w:r>
      <w:r w:rsidRPr="00B01894">
        <w:rPr>
          <w:rFonts w:ascii="Bookman Old Style" w:eastAsia="Bookman Old Style" w:hAnsi="Bookman Old Style" w:cs="Bookman Old Style"/>
          <w:color w:val="C00000"/>
          <w:sz w:val="17"/>
          <w:szCs w:val="17"/>
        </w:rPr>
        <w:t>реального капитала</w:t>
      </w:r>
      <w:r w:rsidRPr="00B01894">
        <w:rPr>
          <w:rFonts w:ascii="Bookman Old Style" w:eastAsia="Bookman Old Style" w:hAnsi="Bookman Old Style" w:cs="Bookman Old Style"/>
          <w:color w:val="231F20"/>
          <w:sz w:val="17"/>
          <w:szCs w:val="17"/>
        </w:rPr>
        <w:t>?</w:t>
      </w:r>
    </w:p>
    <w:p w14:paraId="39C4F428" w14:textId="77777777" w:rsidR="00B01894" w:rsidRPr="00B01894" w:rsidRDefault="00B01894" w:rsidP="00B01894">
      <w:pPr>
        <w:widowControl w:val="0"/>
        <w:numPr>
          <w:ilvl w:val="0"/>
          <w:numId w:val="27"/>
        </w:numPr>
        <w:tabs>
          <w:tab w:val="left" w:pos="690"/>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Являются ли вложения в человеческий капитал общественным благом?</w:t>
      </w:r>
    </w:p>
    <w:p w14:paraId="53D787E9" w14:textId="77777777" w:rsidR="00B01894" w:rsidRPr="00B01894" w:rsidRDefault="00B01894" w:rsidP="00B01894">
      <w:pPr>
        <w:widowControl w:val="0"/>
        <w:numPr>
          <w:ilvl w:val="0"/>
          <w:numId w:val="27"/>
        </w:numPr>
        <w:tabs>
          <w:tab w:val="left" w:pos="668"/>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Каким образом строится взаимодействие частного и государственного инвестирования в человеческий капитал?</w:t>
      </w:r>
    </w:p>
    <w:p w14:paraId="0E85C645" w14:textId="77777777" w:rsidR="00B01894" w:rsidRPr="00B01894" w:rsidRDefault="00B01894" w:rsidP="00B01894">
      <w:pPr>
        <w:widowControl w:val="0"/>
        <w:numPr>
          <w:ilvl w:val="0"/>
          <w:numId w:val="27"/>
        </w:numPr>
        <w:tabs>
          <w:tab w:val="left" w:pos="663"/>
        </w:tabs>
        <w:spacing w:after="191"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Какие системы инвестирования в человеческий капитал следует создавать на национальном уровне?</w:t>
      </w:r>
    </w:p>
    <w:p w14:paraId="3D1409A0" w14:textId="77777777" w:rsidR="00B01894" w:rsidRPr="00B01894" w:rsidRDefault="00B01894" w:rsidP="00B01894">
      <w:pPr>
        <w:widowControl w:val="0"/>
        <w:spacing w:line="202"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Задания</w:t>
      </w:r>
    </w:p>
    <w:p w14:paraId="44C220AF" w14:textId="77777777" w:rsidR="00B01894" w:rsidRPr="00B01894" w:rsidRDefault="00B01894" w:rsidP="00B01894">
      <w:pPr>
        <w:widowControl w:val="0"/>
        <w:numPr>
          <w:ilvl w:val="0"/>
          <w:numId w:val="28"/>
        </w:numPr>
        <w:tabs>
          <w:tab w:val="left" w:pos="591"/>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Мировая цена на автомобильные комплектующие составляет 10 тыс. евро. Затраты на аренду, проценты по займам, заработную плату и пред</w:t>
      </w:r>
      <w:r w:rsidRPr="00B01894">
        <w:rPr>
          <w:rFonts w:ascii="Bookman Old Style" w:eastAsia="Bookman Old Style" w:hAnsi="Bookman Old Style" w:cs="Bookman Old Style"/>
          <w:color w:val="231F20"/>
          <w:sz w:val="17"/>
          <w:szCs w:val="17"/>
        </w:rPr>
        <w:softHyphen/>
        <w:t>принимательскую прибыль также 10 тыс. евро. Для защиты отечественного производителя правительство вводит импортную пошлину сначала 20 % от таможенной стоимости автомобиля, потом — 20 % от таможенной стои</w:t>
      </w:r>
      <w:r w:rsidRPr="00B01894">
        <w:rPr>
          <w:rFonts w:ascii="Bookman Old Style" w:eastAsia="Bookman Old Style" w:hAnsi="Bookman Old Style" w:cs="Bookman Old Style"/>
          <w:color w:val="231F20"/>
          <w:sz w:val="17"/>
          <w:szCs w:val="17"/>
        </w:rPr>
        <w:softHyphen/>
        <w:t>мости комплектующих. Определите эффективный уровень протекционизма в первом и во втором случае и определите критерий эффективности про</w:t>
      </w:r>
      <w:r w:rsidRPr="00B01894">
        <w:rPr>
          <w:rFonts w:ascii="Bookman Old Style" w:eastAsia="Bookman Old Style" w:hAnsi="Bookman Old Style" w:cs="Bookman Old Style"/>
          <w:color w:val="231F20"/>
          <w:sz w:val="17"/>
          <w:szCs w:val="17"/>
        </w:rPr>
        <w:softHyphen/>
        <w:t>текционистской политики.</w:t>
      </w:r>
    </w:p>
    <w:p w14:paraId="666CA014" w14:textId="77777777" w:rsidR="00B01894" w:rsidRPr="00B01894" w:rsidRDefault="00B01894" w:rsidP="00B01894">
      <w:pPr>
        <w:widowControl w:val="0"/>
        <w:numPr>
          <w:ilvl w:val="0"/>
          <w:numId w:val="28"/>
        </w:numPr>
        <w:tabs>
          <w:tab w:val="left" w:pos="591"/>
        </w:tabs>
        <w:spacing w:after="191"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Разработайте систему государственного стимулирования корпора</w:t>
      </w:r>
      <w:r w:rsidRPr="00B01894">
        <w:rPr>
          <w:rFonts w:ascii="Bookman Old Style" w:eastAsia="Bookman Old Style" w:hAnsi="Bookman Old Style" w:cs="Bookman Old Style"/>
          <w:color w:val="231F20"/>
          <w:sz w:val="17"/>
          <w:szCs w:val="17"/>
        </w:rPr>
        <w:softHyphen/>
        <w:t>тивных и частных инвестиций в человеческий капитал на уровне законо</w:t>
      </w:r>
      <w:r w:rsidRPr="00B01894">
        <w:rPr>
          <w:rFonts w:ascii="Bookman Old Style" w:eastAsia="Bookman Old Style" w:hAnsi="Bookman Old Style" w:cs="Bookman Old Style"/>
          <w:color w:val="231F20"/>
          <w:sz w:val="17"/>
          <w:szCs w:val="17"/>
        </w:rPr>
        <w:softHyphen/>
        <w:t>дательства.</w:t>
      </w:r>
    </w:p>
    <w:p w14:paraId="70461C8B" w14:textId="77777777" w:rsidR="00B01894" w:rsidRPr="00B01894" w:rsidRDefault="00B01894" w:rsidP="00B01894">
      <w:pPr>
        <w:widowControl w:val="0"/>
        <w:spacing w:line="202" w:lineRule="exact"/>
        <w:ind w:firstLine="0"/>
        <w:jc w:val="center"/>
        <w:rPr>
          <w:rFonts w:ascii="Bookman Old Style" w:eastAsia="Bookman Old Style" w:hAnsi="Bookman Old Style" w:cs="Bookman Old Style"/>
          <w:sz w:val="18"/>
          <w:szCs w:val="18"/>
        </w:rPr>
      </w:pPr>
      <w:r w:rsidRPr="00B01894">
        <w:rPr>
          <w:rFonts w:ascii="Bookman Old Style" w:eastAsia="Bookman Old Style" w:hAnsi="Bookman Old Style" w:cs="Bookman Old Style"/>
          <w:color w:val="231F20"/>
          <w:sz w:val="18"/>
          <w:szCs w:val="18"/>
        </w:rPr>
        <w:t>Кейсы</w:t>
      </w:r>
    </w:p>
    <w:p w14:paraId="4CC1F54F" w14:textId="77777777" w:rsidR="00B01894" w:rsidRPr="00B01894" w:rsidRDefault="00B01894" w:rsidP="00B01894">
      <w:pPr>
        <w:widowControl w:val="0"/>
        <w:numPr>
          <w:ilvl w:val="0"/>
          <w:numId w:val="29"/>
        </w:numPr>
        <w:tabs>
          <w:tab w:val="left" w:pos="591"/>
        </w:tabs>
        <w:spacing w:line="216" w:lineRule="exact"/>
        <w:ind w:firstLine="32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lastRenderedPageBreak/>
        <w:t>Письмо Россельхознадзора от 18 января 2011 г. № ФС-НВ-2/355 гласит:</w:t>
      </w:r>
    </w:p>
    <w:p w14:paraId="47ECB86E" w14:textId="77777777" w:rsidR="00B01894" w:rsidRPr="00B01894" w:rsidRDefault="00B01894" w:rsidP="00B01894">
      <w:pPr>
        <w:widowControl w:val="0"/>
        <w:spacing w:line="216" w:lineRule="exact"/>
        <w:ind w:firstLine="320"/>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«В связи с регистрацией на территории Болгарии случаев заболевания</w:t>
      </w:r>
    </w:p>
    <w:p w14:paraId="5F6C40E8" w14:textId="77777777" w:rsidR="00B01894" w:rsidRPr="00B01894" w:rsidRDefault="00B01894" w:rsidP="00B01894">
      <w:pPr>
        <w:widowControl w:val="0"/>
        <w:spacing w:line="216" w:lineRule="exact"/>
        <w:ind w:firstLine="0"/>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животным ящуром с 21 января 2011 г. вводятся временные ограничения на ввоз в Российскую Федерацию говядины, баранины, свинины, молока и молочных продуктов, включая готовые изделия, а также кормов живот</w:t>
      </w:r>
      <w:r w:rsidRPr="00B01894">
        <w:rPr>
          <w:rFonts w:ascii="Bookman Old Style" w:eastAsia="Bookman Old Style" w:hAnsi="Bookman Old Style" w:cs="Bookman Old Style"/>
          <w:color w:val="231F20"/>
          <w:sz w:val="17"/>
          <w:szCs w:val="17"/>
        </w:rPr>
        <w:softHyphen/>
        <w:t>ного происхождения».</w:t>
      </w:r>
    </w:p>
    <w:p w14:paraId="5702E22A" w14:textId="77777777" w:rsidR="00B01894" w:rsidRPr="00B01894" w:rsidRDefault="00B01894" w:rsidP="00B01894">
      <w:pPr>
        <w:widowControl w:val="0"/>
        <w:spacing w:line="216" w:lineRule="exact"/>
        <w:ind w:firstLine="320"/>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22 февраля 2011 г. агентство «Балтинфо» сообщило: «Сотни машин с ви</w:t>
      </w:r>
      <w:r w:rsidRPr="00B01894">
        <w:rPr>
          <w:rFonts w:ascii="Bookman Old Style" w:eastAsia="Bookman Old Style" w:hAnsi="Bookman Old Style" w:cs="Bookman Old Style"/>
          <w:color w:val="231F20"/>
          <w:sz w:val="17"/>
          <w:szCs w:val="17"/>
        </w:rPr>
        <w:softHyphen/>
        <w:t>ном застряли на границе Латвии с Россией. Импортеры вина обеспокоены, что качество продукта может ухудшиться от переохлаждения».</w:t>
      </w:r>
    </w:p>
    <w:p w14:paraId="24AB55F4" w14:textId="77777777" w:rsidR="00B01894" w:rsidRPr="00B01894" w:rsidRDefault="00B01894" w:rsidP="00B01894">
      <w:pPr>
        <w:widowControl w:val="0"/>
        <w:spacing w:line="216" w:lineRule="exact"/>
        <w:ind w:firstLine="32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Как вы думаете, являются ли подобные ситуации примерами нетариф</w:t>
      </w:r>
      <w:r w:rsidRPr="00B01894">
        <w:rPr>
          <w:rFonts w:ascii="Bookman Old Style" w:eastAsia="Bookman Old Style" w:hAnsi="Bookman Old Style" w:cs="Bookman Old Style"/>
          <w:i/>
          <w:iCs/>
          <w:color w:val="231F20"/>
          <w:sz w:val="17"/>
          <w:szCs w:val="17"/>
        </w:rPr>
        <w:softHyphen/>
        <w:t>ного протекционизма?</w:t>
      </w:r>
    </w:p>
    <w:p w14:paraId="5C0D2C4F" w14:textId="77777777" w:rsidR="00B01894" w:rsidRPr="00B01894" w:rsidRDefault="00B01894" w:rsidP="00B01894">
      <w:pPr>
        <w:widowControl w:val="0"/>
        <w:spacing w:line="216" w:lineRule="exact"/>
        <w:ind w:firstLine="32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Является ли введенное Россией в 2014 г. продовольственное эмбарго для стран ЕС, США, Канады и Австралии продолжением «сельхозпротек- ционизма</w:t>
      </w:r>
      <w:r w:rsidRPr="00B01894">
        <w:rPr>
          <w:rFonts w:ascii="Bookman Old Style" w:eastAsia="Bookman Old Style" w:hAnsi="Bookman Old Style" w:cs="Bookman Old Style"/>
          <w:color w:val="231F20"/>
          <w:sz w:val="17"/>
          <w:szCs w:val="17"/>
        </w:rPr>
        <w:t>»?</w:t>
      </w:r>
    </w:p>
    <w:p w14:paraId="0069B529" w14:textId="77777777" w:rsidR="00B01894" w:rsidRPr="00B01894" w:rsidRDefault="00B01894" w:rsidP="00B01894">
      <w:pPr>
        <w:widowControl w:val="0"/>
        <w:spacing w:line="216" w:lineRule="exact"/>
        <w:ind w:firstLine="32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Приведите другие примеры нетарифной защиты, практикуемые в стра</w:t>
      </w:r>
      <w:r w:rsidRPr="00B01894">
        <w:rPr>
          <w:rFonts w:ascii="Bookman Old Style" w:eastAsia="Bookman Old Style" w:hAnsi="Bookman Old Style" w:cs="Bookman Old Style"/>
          <w:i/>
          <w:iCs/>
          <w:color w:val="231F20"/>
          <w:sz w:val="17"/>
          <w:szCs w:val="17"/>
        </w:rPr>
        <w:softHyphen/>
        <w:t>нах ЕС, США, РФ.</w:t>
      </w:r>
    </w:p>
    <w:p w14:paraId="72578CEE" w14:textId="77777777" w:rsidR="00B01894" w:rsidRPr="00B01894" w:rsidRDefault="00B01894" w:rsidP="00B01894">
      <w:pPr>
        <w:widowControl w:val="0"/>
        <w:numPr>
          <w:ilvl w:val="0"/>
          <w:numId w:val="29"/>
        </w:numPr>
        <w:tabs>
          <w:tab w:val="left" w:pos="591"/>
        </w:tabs>
        <w:spacing w:line="216" w:lineRule="exact"/>
        <w:ind w:firstLine="320"/>
        <w:jc w:val="left"/>
        <w:rPr>
          <w:rFonts w:ascii="Bookman Old Style" w:eastAsia="Bookman Old Style" w:hAnsi="Bookman Old Style" w:cs="Bookman Old Style"/>
          <w:sz w:val="17"/>
          <w:szCs w:val="17"/>
        </w:rPr>
        <w:sectPr w:rsidR="00B01894" w:rsidRPr="00B01894">
          <w:type w:val="continuous"/>
          <w:pgSz w:w="8789" w:h="13493"/>
          <w:pgMar w:top="853" w:right="1066" w:bottom="1057" w:left="1061" w:header="0" w:footer="3" w:gutter="0"/>
          <w:cols w:space="720"/>
          <w:noEndnote/>
          <w:docGrid w:linePitch="360"/>
        </w:sectPr>
      </w:pPr>
      <w:r w:rsidRPr="00B01894">
        <w:rPr>
          <w:rFonts w:ascii="Bookman Old Style" w:eastAsia="Bookman Old Style" w:hAnsi="Bookman Old Style" w:cs="Bookman Old Style"/>
          <w:color w:val="231F20"/>
          <w:sz w:val="17"/>
          <w:szCs w:val="17"/>
        </w:rPr>
        <w:t>В 2010 г. велись переговоры по поводу реализации инвестиционного проекта «Энергоэффективный квартал», задачей которого являлось повы</w:t>
      </w:r>
      <w:r w:rsidRPr="00B01894">
        <w:rPr>
          <w:rFonts w:ascii="Bookman Old Style" w:eastAsia="Bookman Old Style" w:hAnsi="Bookman Old Style" w:cs="Bookman Old Style"/>
          <w:color w:val="231F20"/>
          <w:sz w:val="17"/>
          <w:szCs w:val="17"/>
        </w:rPr>
        <w:softHyphen/>
        <w:t>шение энергоэффективности и стимулирование энергосбережения жилых зданий г. Санкт-Петербурга.</w:t>
      </w:r>
    </w:p>
    <w:p w14:paraId="23C678A8" w14:textId="77777777" w:rsidR="00B01894" w:rsidRPr="00B01894" w:rsidRDefault="00B01894" w:rsidP="00B01894">
      <w:pPr>
        <w:widowControl w:val="0"/>
        <w:spacing w:line="216" w:lineRule="exact"/>
        <w:ind w:firstLine="340"/>
        <w:rPr>
          <w:rFonts w:ascii="Bookman Old Style" w:eastAsia="Bookman Old Style" w:hAnsi="Bookman Old Style" w:cs="Bookman Old Style"/>
          <w:sz w:val="17"/>
          <w:szCs w:val="17"/>
        </w:rPr>
      </w:pPr>
      <w:bookmarkStart w:id="30" w:name="bookmark30"/>
      <w:r w:rsidRPr="00B01894">
        <w:rPr>
          <w:rFonts w:ascii="Bookman Old Style" w:eastAsia="Bookman Old Style" w:hAnsi="Bookman Old Style" w:cs="Bookman Old Style"/>
          <w:color w:val="231F20"/>
          <w:sz w:val="17"/>
          <w:szCs w:val="17"/>
        </w:rPr>
        <w:lastRenderedPageBreak/>
        <w:t>Северная экологическая финансовая корпорация (</w:t>
      </w:r>
      <w:r w:rsidRPr="00B01894">
        <w:rPr>
          <w:rFonts w:ascii="Bookman Old Style" w:eastAsia="Bookman Old Style" w:hAnsi="Bookman Old Style" w:cs="Bookman Old Style"/>
          <w:i/>
          <w:iCs/>
          <w:color w:val="231F20"/>
          <w:sz w:val="17"/>
          <w:szCs w:val="17"/>
          <w:lang w:val="en-US" w:eastAsia="en-US" w:bidi="en-US"/>
        </w:rPr>
        <w:t>Nordic</w:t>
      </w:r>
      <w:r w:rsidRPr="00B01894">
        <w:rPr>
          <w:rFonts w:ascii="Bookman Old Style" w:eastAsia="Bookman Old Style" w:hAnsi="Bookman Old Style" w:cs="Bookman Old Style"/>
          <w:i/>
          <w:iCs/>
          <w:color w:val="231F20"/>
          <w:sz w:val="17"/>
          <w:szCs w:val="17"/>
          <w:lang w:eastAsia="en-US" w:bidi="en-US"/>
        </w:rPr>
        <w:t xml:space="preserve"> </w:t>
      </w:r>
      <w:r w:rsidRPr="00B01894">
        <w:rPr>
          <w:rFonts w:ascii="Bookman Old Style" w:eastAsia="Bookman Old Style" w:hAnsi="Bookman Old Style" w:cs="Bookman Old Style"/>
          <w:i/>
          <w:iCs/>
          <w:color w:val="231F20"/>
          <w:sz w:val="17"/>
          <w:szCs w:val="17"/>
          <w:lang w:val="en-US" w:eastAsia="en-US" w:bidi="en-US"/>
        </w:rPr>
        <w:t>Enviroment</w:t>
      </w:r>
      <w:r w:rsidRPr="00B01894">
        <w:rPr>
          <w:rFonts w:ascii="Bookman Old Style" w:eastAsia="Bookman Old Style" w:hAnsi="Bookman Old Style" w:cs="Bookman Old Style"/>
          <w:i/>
          <w:iCs/>
          <w:color w:val="231F20"/>
          <w:sz w:val="17"/>
          <w:szCs w:val="17"/>
          <w:lang w:eastAsia="en-US" w:bidi="en-US"/>
        </w:rPr>
        <w:t xml:space="preserve"> </w:t>
      </w:r>
      <w:r w:rsidRPr="00B01894">
        <w:rPr>
          <w:rFonts w:ascii="Bookman Old Style" w:eastAsia="Bookman Old Style" w:hAnsi="Bookman Old Style" w:cs="Bookman Old Style"/>
          <w:i/>
          <w:iCs/>
          <w:color w:val="231F20"/>
          <w:sz w:val="17"/>
          <w:szCs w:val="17"/>
          <w:lang w:val="en-US" w:eastAsia="en-US" w:bidi="en-US"/>
        </w:rPr>
        <w:t>Finance</w:t>
      </w:r>
      <w:r w:rsidRPr="00B01894">
        <w:rPr>
          <w:rFonts w:ascii="Bookman Old Style" w:eastAsia="Bookman Old Style" w:hAnsi="Bookman Old Style" w:cs="Bookman Old Style"/>
          <w:i/>
          <w:iCs/>
          <w:color w:val="231F20"/>
          <w:sz w:val="17"/>
          <w:szCs w:val="17"/>
          <w:lang w:eastAsia="en-US" w:bidi="en-US"/>
        </w:rPr>
        <w:t xml:space="preserve"> </w:t>
      </w:r>
      <w:r w:rsidRPr="00B01894">
        <w:rPr>
          <w:rFonts w:ascii="Bookman Old Style" w:eastAsia="Bookman Old Style" w:hAnsi="Bookman Old Style" w:cs="Bookman Old Style"/>
          <w:i/>
          <w:iCs/>
          <w:color w:val="231F20"/>
          <w:sz w:val="17"/>
          <w:szCs w:val="17"/>
          <w:lang w:val="en-US" w:eastAsia="en-US" w:bidi="en-US"/>
        </w:rPr>
        <w:t>Corporation</w:t>
      </w:r>
      <w:r w:rsidRPr="00B01894">
        <w:rPr>
          <w:rFonts w:ascii="Bookman Old Style" w:eastAsia="Bookman Old Style" w:hAnsi="Bookman Old Style" w:cs="Bookman Old Style"/>
          <w:color w:val="231F20"/>
          <w:sz w:val="17"/>
          <w:szCs w:val="17"/>
          <w:lang w:eastAsia="en-US" w:bidi="en-US"/>
        </w:rPr>
        <w:t xml:space="preserve"> — </w:t>
      </w:r>
      <w:r w:rsidRPr="00B01894">
        <w:rPr>
          <w:rFonts w:ascii="Bookman Old Style" w:eastAsia="Bookman Old Style" w:hAnsi="Bookman Old Style" w:cs="Bookman Old Style"/>
          <w:i/>
          <w:iCs/>
          <w:color w:val="231F20"/>
          <w:sz w:val="17"/>
          <w:szCs w:val="17"/>
          <w:lang w:val="en-US" w:eastAsia="en-US" w:bidi="en-US"/>
        </w:rPr>
        <w:t>NTFCo</w:t>
      </w:r>
      <w:r w:rsidRPr="00B01894">
        <w:rPr>
          <w:rFonts w:ascii="Bookman Old Style" w:eastAsia="Bookman Old Style" w:hAnsi="Bookman Old Style" w:cs="Bookman Old Style"/>
          <w:color w:val="231F20"/>
          <w:sz w:val="17"/>
          <w:szCs w:val="17"/>
          <w:lang w:eastAsia="en-US" w:bidi="en-US"/>
        </w:rPr>
        <w:t xml:space="preserve">) </w:t>
      </w:r>
      <w:r w:rsidRPr="00B01894">
        <w:rPr>
          <w:rFonts w:ascii="Bookman Old Style" w:eastAsia="Bookman Old Style" w:hAnsi="Bookman Old Style" w:cs="Bookman Old Style"/>
          <w:color w:val="231F20"/>
          <w:sz w:val="17"/>
          <w:szCs w:val="17"/>
        </w:rPr>
        <w:t xml:space="preserve">в </w:t>
      </w:r>
      <w:r w:rsidRPr="00B01894">
        <w:rPr>
          <w:rFonts w:ascii="Bookman Old Style" w:eastAsia="Bookman Old Style" w:hAnsi="Bookman Old Style" w:cs="Bookman Old Style"/>
          <w:color w:val="231F20"/>
          <w:sz w:val="17"/>
          <w:szCs w:val="17"/>
          <w:lang w:eastAsia="en-US" w:bidi="en-US"/>
        </w:rPr>
        <w:t xml:space="preserve">2010 </w:t>
      </w:r>
      <w:r w:rsidRPr="00B01894">
        <w:rPr>
          <w:rFonts w:ascii="Bookman Old Style" w:eastAsia="Bookman Old Style" w:hAnsi="Bookman Old Style" w:cs="Bookman Old Style"/>
          <w:color w:val="231F20"/>
          <w:sz w:val="17"/>
          <w:szCs w:val="17"/>
        </w:rPr>
        <w:t>г. выражала заинтересованность в фи</w:t>
      </w:r>
      <w:r w:rsidRPr="00B01894">
        <w:rPr>
          <w:rFonts w:ascii="Bookman Old Style" w:eastAsia="Bookman Old Style" w:hAnsi="Bookman Old Style" w:cs="Bookman Old Style"/>
          <w:color w:val="231F20"/>
          <w:sz w:val="17"/>
          <w:szCs w:val="17"/>
        </w:rPr>
        <w:softHyphen/>
        <w:t>нансировании проекта «Энергоэффективный квартал» в г. Санкт-Петербурге в рамках различных фондов, администрируемых НЕФКО, включая инвести</w:t>
      </w:r>
      <w:r w:rsidRPr="00B01894">
        <w:rPr>
          <w:rFonts w:ascii="Bookman Old Style" w:eastAsia="Bookman Old Style" w:hAnsi="Bookman Old Style" w:cs="Bookman Old Style"/>
          <w:color w:val="231F20"/>
          <w:sz w:val="17"/>
          <w:szCs w:val="17"/>
        </w:rPr>
        <w:softHyphen/>
        <w:t>ционный фонд, и готова была предоставить кредит под 5 % годовых в раз</w:t>
      </w:r>
      <w:r w:rsidRPr="00B01894">
        <w:rPr>
          <w:rFonts w:ascii="Bookman Old Style" w:eastAsia="Bookman Old Style" w:hAnsi="Bookman Old Style" w:cs="Bookman Old Style"/>
          <w:color w:val="231F20"/>
          <w:sz w:val="17"/>
          <w:szCs w:val="17"/>
        </w:rPr>
        <w:softHyphen/>
        <w:t>мере 5 млн евро некоммерческому партнерству «Городское объединение домовладельцев» (члены объединения — ТСЖ).</w:t>
      </w:r>
      <w:bookmarkEnd w:id="30"/>
    </w:p>
    <w:p w14:paraId="100F8001" w14:textId="77777777" w:rsidR="00B01894" w:rsidRPr="00B01894" w:rsidRDefault="00B01894" w:rsidP="00B01894">
      <w:pPr>
        <w:widowControl w:val="0"/>
        <w:spacing w:line="216" w:lineRule="exact"/>
        <w:ind w:firstLine="340"/>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Нерешенной оказалась задача обеспечения возврата средств, поскольку «Городское объединение домовладельцев» собственного имущества не имеет.</w:t>
      </w:r>
    </w:p>
    <w:p w14:paraId="3DAE57F7" w14:textId="77777777" w:rsidR="00B01894" w:rsidRPr="00B01894" w:rsidRDefault="00B01894" w:rsidP="00B01894">
      <w:pPr>
        <w:widowControl w:val="0"/>
        <w:spacing w:line="216" w:lineRule="exact"/>
        <w:ind w:firstLine="34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Как можно было бы решить данный вопрос?</w:t>
      </w:r>
    </w:p>
    <w:p w14:paraId="64718202" w14:textId="77777777" w:rsidR="00B01894" w:rsidRPr="00B01894" w:rsidRDefault="00B01894" w:rsidP="00B01894">
      <w:pPr>
        <w:widowControl w:val="0"/>
        <w:spacing w:line="216" w:lineRule="exact"/>
        <w:ind w:firstLine="34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Каким образом государство может стимулировать реализацию подобных проектов</w:t>
      </w:r>
      <w:r w:rsidRPr="00B01894">
        <w:rPr>
          <w:rFonts w:ascii="Bookman Old Style" w:eastAsia="Bookman Old Style" w:hAnsi="Bookman Old Style" w:cs="Bookman Old Style"/>
          <w:color w:val="231F20"/>
          <w:sz w:val="17"/>
          <w:szCs w:val="17"/>
        </w:rPr>
        <w:t>?</w:t>
      </w:r>
    </w:p>
    <w:p w14:paraId="71957A6A" w14:textId="77777777" w:rsidR="00B01894" w:rsidRPr="00B01894" w:rsidRDefault="00B01894" w:rsidP="00B01894">
      <w:pPr>
        <w:widowControl w:val="0"/>
        <w:spacing w:line="216" w:lineRule="exact"/>
        <w:ind w:firstLine="34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Какие инструменты можно использовать для осуществления инфра</w:t>
      </w:r>
      <w:r w:rsidRPr="00B01894">
        <w:rPr>
          <w:rFonts w:ascii="Bookman Old Style" w:eastAsia="Bookman Old Style" w:hAnsi="Bookman Old Style" w:cs="Bookman Old Style"/>
          <w:i/>
          <w:iCs/>
          <w:color w:val="231F20"/>
          <w:sz w:val="17"/>
          <w:szCs w:val="17"/>
        </w:rPr>
        <w:softHyphen/>
        <w:t>структурных, экологических, социально значимых проектов, невыгодных для частного бизнеса</w:t>
      </w:r>
      <w:r w:rsidRPr="00B01894">
        <w:rPr>
          <w:rFonts w:ascii="Bookman Old Style" w:eastAsia="Bookman Old Style" w:hAnsi="Bookman Old Style" w:cs="Bookman Old Style"/>
          <w:color w:val="231F20"/>
          <w:sz w:val="17"/>
          <w:szCs w:val="17"/>
        </w:rPr>
        <w:t>?</w:t>
      </w:r>
    </w:p>
    <w:p w14:paraId="0E861FBC" w14:textId="77777777" w:rsidR="00B01894" w:rsidRPr="00B01894" w:rsidRDefault="00B01894" w:rsidP="00B01894">
      <w:pPr>
        <w:widowControl w:val="0"/>
        <w:numPr>
          <w:ilvl w:val="0"/>
          <w:numId w:val="29"/>
        </w:numPr>
        <w:tabs>
          <w:tab w:val="left" w:pos="58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Практика повышения квалификации персонала за счет фирмы являет</w:t>
      </w:r>
      <w:r w:rsidRPr="00B01894">
        <w:rPr>
          <w:rFonts w:ascii="Bookman Old Style" w:eastAsia="Bookman Old Style" w:hAnsi="Bookman Old Style" w:cs="Bookman Old Style"/>
          <w:color w:val="231F20"/>
          <w:sz w:val="17"/>
          <w:szCs w:val="17"/>
        </w:rPr>
        <w:softHyphen/>
        <w:t>ся достаточно распространенной. Например, компания «Газпром» оплачивает обучение своих сотрудников в магистратуре СПбГЭУ. При этом всегда есть риск потери затрат на подготовку специалистов, поскольку, получив новые знания и компетенции, они могут получить более выгодное предложение на рынке труда.</w:t>
      </w:r>
    </w:p>
    <w:p w14:paraId="4A7C2013" w14:textId="77777777" w:rsidR="00B01894" w:rsidRPr="00B01894" w:rsidRDefault="00B01894" w:rsidP="00B01894">
      <w:pPr>
        <w:widowControl w:val="0"/>
        <w:spacing w:line="216" w:lineRule="exact"/>
        <w:ind w:firstLine="34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Каким образом можно решить этот вопрос</w:t>
      </w:r>
      <w:r w:rsidRPr="00B01894">
        <w:rPr>
          <w:rFonts w:ascii="Bookman Old Style" w:eastAsia="Bookman Old Style" w:hAnsi="Bookman Old Style" w:cs="Bookman Old Style"/>
          <w:color w:val="231F20"/>
          <w:sz w:val="17"/>
          <w:szCs w:val="17"/>
        </w:rPr>
        <w:t>?</w:t>
      </w:r>
    </w:p>
    <w:p w14:paraId="16E75C43" w14:textId="77777777" w:rsidR="00B01894" w:rsidRPr="00B01894" w:rsidRDefault="00B01894" w:rsidP="00B01894">
      <w:pPr>
        <w:widowControl w:val="0"/>
        <w:spacing w:line="216" w:lineRule="exact"/>
        <w:ind w:firstLine="34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Должны ли корпорации заниматься переобучением сотрудников?</w:t>
      </w:r>
    </w:p>
    <w:p w14:paraId="44CB2445" w14:textId="77777777" w:rsidR="00B01894" w:rsidRPr="00B01894" w:rsidRDefault="00B01894" w:rsidP="00B01894">
      <w:pPr>
        <w:widowControl w:val="0"/>
        <w:spacing w:line="216" w:lineRule="exact"/>
        <w:ind w:firstLine="34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На чем следует сосредоточиться: на тщательном отборе кадров или об</w:t>
      </w:r>
      <w:r w:rsidRPr="00B01894">
        <w:rPr>
          <w:rFonts w:ascii="Bookman Old Style" w:eastAsia="Bookman Old Style" w:hAnsi="Bookman Old Style" w:cs="Bookman Old Style"/>
          <w:i/>
          <w:iCs/>
          <w:color w:val="231F20"/>
          <w:sz w:val="17"/>
          <w:szCs w:val="17"/>
        </w:rPr>
        <w:softHyphen/>
        <w:t>учении персонала</w:t>
      </w:r>
      <w:r w:rsidRPr="00B01894">
        <w:rPr>
          <w:rFonts w:ascii="Bookman Old Style" w:eastAsia="Bookman Old Style" w:hAnsi="Bookman Old Style" w:cs="Bookman Old Style"/>
          <w:color w:val="231F20"/>
          <w:sz w:val="17"/>
          <w:szCs w:val="17"/>
        </w:rPr>
        <w:t>?</w:t>
      </w:r>
    </w:p>
    <w:p w14:paraId="403B522B" w14:textId="77777777" w:rsidR="00B01894" w:rsidRPr="00B01894" w:rsidRDefault="00B01894" w:rsidP="00B01894">
      <w:pPr>
        <w:widowControl w:val="0"/>
        <w:spacing w:after="414" w:line="216" w:lineRule="exact"/>
        <w:ind w:firstLine="340"/>
        <w:rPr>
          <w:rFonts w:ascii="Bookman Old Style" w:eastAsia="Bookman Old Style" w:hAnsi="Bookman Old Style" w:cs="Bookman Old Style"/>
          <w:i/>
          <w:iCs/>
          <w:sz w:val="17"/>
          <w:szCs w:val="17"/>
        </w:rPr>
      </w:pPr>
      <w:r w:rsidRPr="00B01894">
        <w:rPr>
          <w:rFonts w:ascii="Bookman Old Style" w:eastAsia="Bookman Old Style" w:hAnsi="Bookman Old Style" w:cs="Bookman Old Style"/>
          <w:i/>
          <w:iCs/>
          <w:color w:val="231F20"/>
          <w:sz w:val="17"/>
          <w:szCs w:val="17"/>
        </w:rPr>
        <w:t>Подойдет ли для России система пожизненного найма?</w:t>
      </w:r>
    </w:p>
    <w:p w14:paraId="3ECC1310" w14:textId="77777777" w:rsidR="00B01894" w:rsidRPr="00B01894" w:rsidRDefault="00B01894" w:rsidP="00B01894">
      <w:pPr>
        <w:keepNext/>
        <w:keepLines/>
        <w:widowControl w:val="0"/>
        <w:spacing w:after="166" w:line="274" w:lineRule="exact"/>
        <w:ind w:firstLine="0"/>
        <w:jc w:val="center"/>
        <w:outlineLvl w:val="3"/>
        <w:rPr>
          <w:rFonts w:ascii="Arial Narrow" w:eastAsia="Arial Narrow" w:hAnsi="Arial Narrow" w:cs="Arial Narrow"/>
          <w:b/>
          <w:bCs/>
        </w:rPr>
      </w:pPr>
      <w:bookmarkStart w:id="31" w:name="bookmark31"/>
      <w:r w:rsidRPr="00B01894">
        <w:rPr>
          <w:rFonts w:ascii="Arial Narrow" w:eastAsia="Arial Narrow" w:hAnsi="Arial Narrow" w:cs="Arial Narrow"/>
          <w:b/>
          <w:bCs/>
          <w:color w:val="231F20"/>
        </w:rPr>
        <w:t>Литература</w:t>
      </w:r>
      <w:bookmarkEnd w:id="31"/>
    </w:p>
    <w:p w14:paraId="360425AE" w14:textId="77777777" w:rsidR="00B01894" w:rsidRPr="00B01894" w:rsidRDefault="00B01894" w:rsidP="00B01894">
      <w:pPr>
        <w:widowControl w:val="0"/>
        <w:numPr>
          <w:ilvl w:val="0"/>
          <w:numId w:val="30"/>
        </w:numPr>
        <w:tabs>
          <w:tab w:val="left" w:pos="58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Кузьминов</w:t>
      </w:r>
      <w:r w:rsidRPr="00B01894">
        <w:rPr>
          <w:rFonts w:ascii="Bookman Old Style" w:eastAsia="Bookman Old Style" w:hAnsi="Bookman Old Style" w:cs="Bookman Old Style"/>
          <w:color w:val="231F20"/>
          <w:sz w:val="17"/>
          <w:szCs w:val="17"/>
        </w:rPr>
        <w:t xml:space="preserve">, </w:t>
      </w:r>
      <w:r w:rsidRPr="00B01894">
        <w:rPr>
          <w:rFonts w:ascii="Bookman Old Style" w:eastAsia="Bookman Old Style" w:hAnsi="Bookman Old Style" w:cs="Bookman Old Style"/>
          <w:i/>
          <w:iCs/>
          <w:color w:val="231F20"/>
          <w:sz w:val="17"/>
          <w:szCs w:val="17"/>
        </w:rPr>
        <w:t>Я. И.</w:t>
      </w:r>
      <w:r w:rsidRPr="00B01894">
        <w:rPr>
          <w:rFonts w:ascii="Bookman Old Style" w:eastAsia="Bookman Old Style" w:hAnsi="Bookman Old Style" w:cs="Bookman Old Style"/>
          <w:color w:val="231F20"/>
          <w:sz w:val="17"/>
          <w:szCs w:val="17"/>
        </w:rPr>
        <w:t xml:space="preserve"> Курс институциональной экономики: Институты, сети, трансакционные издержки и контракты / Я. И. Кузьминов, К. А. Бен</w:t>
      </w:r>
      <w:r w:rsidRPr="00B01894">
        <w:rPr>
          <w:rFonts w:ascii="Bookman Old Style" w:eastAsia="Bookman Old Style" w:hAnsi="Bookman Old Style" w:cs="Bookman Old Style"/>
          <w:color w:val="231F20"/>
          <w:sz w:val="17"/>
          <w:szCs w:val="17"/>
        </w:rPr>
        <w:softHyphen/>
        <w:t>дукидзе, М. М. Юдкевич. — М. : Изд. дом ГУ ВШЭ, 2006.</w:t>
      </w:r>
    </w:p>
    <w:p w14:paraId="58264805" w14:textId="77777777" w:rsidR="00B01894" w:rsidRPr="00B01894" w:rsidRDefault="00B01894" w:rsidP="00B01894">
      <w:pPr>
        <w:widowControl w:val="0"/>
        <w:numPr>
          <w:ilvl w:val="0"/>
          <w:numId w:val="30"/>
        </w:numPr>
        <w:tabs>
          <w:tab w:val="left" w:pos="58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Медведь, А. А.</w:t>
      </w:r>
      <w:r w:rsidRPr="00B01894">
        <w:rPr>
          <w:rFonts w:ascii="Bookman Old Style" w:eastAsia="Bookman Old Style" w:hAnsi="Bookman Old Style" w:cs="Bookman Old Style"/>
          <w:color w:val="231F20"/>
          <w:sz w:val="17"/>
          <w:szCs w:val="17"/>
        </w:rPr>
        <w:t xml:space="preserve"> Институциональная основа инвестиционного процесса в национальной экономике РФ / А. А. Медведь. — М. : Изд-во СПбГЭУ, 2019.</w:t>
      </w:r>
    </w:p>
    <w:p w14:paraId="4FA5D06A" w14:textId="77777777" w:rsidR="00B01894" w:rsidRPr="00B01894" w:rsidRDefault="00B01894" w:rsidP="00B01894">
      <w:pPr>
        <w:widowControl w:val="0"/>
        <w:numPr>
          <w:ilvl w:val="0"/>
          <w:numId w:val="30"/>
        </w:numPr>
        <w:tabs>
          <w:tab w:val="left" w:pos="58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Медведь, П. А.</w:t>
      </w:r>
      <w:r w:rsidRPr="00B01894">
        <w:rPr>
          <w:rFonts w:ascii="Bookman Old Style" w:eastAsia="Bookman Old Style" w:hAnsi="Bookman Old Style" w:cs="Bookman Old Style"/>
          <w:color w:val="231F20"/>
          <w:sz w:val="17"/>
          <w:szCs w:val="17"/>
        </w:rPr>
        <w:t xml:space="preserve"> Институт креативного образования как способ инве</w:t>
      </w:r>
      <w:r w:rsidRPr="00B01894">
        <w:rPr>
          <w:rFonts w:ascii="Bookman Old Style" w:eastAsia="Bookman Old Style" w:hAnsi="Bookman Old Style" w:cs="Bookman Old Style"/>
          <w:color w:val="231F20"/>
          <w:sz w:val="17"/>
          <w:szCs w:val="17"/>
        </w:rPr>
        <w:softHyphen/>
        <w:t>стирования в человеческий капитал РФ / П. А. Медведь, А. А. Медведь // Научный журнал НИУ ИТМО. — Серия «Экономика и экологический менед</w:t>
      </w:r>
      <w:r w:rsidRPr="00B01894">
        <w:rPr>
          <w:rFonts w:ascii="Bookman Old Style" w:eastAsia="Bookman Old Style" w:hAnsi="Bookman Old Style" w:cs="Bookman Old Style"/>
          <w:color w:val="231F20"/>
          <w:sz w:val="17"/>
          <w:szCs w:val="17"/>
        </w:rPr>
        <w:softHyphen/>
        <w:t>жмент». — 2015. — № 4 (23). — С. 136—144.</w:t>
      </w:r>
    </w:p>
    <w:p w14:paraId="2739623A" w14:textId="77777777" w:rsidR="00B01894" w:rsidRPr="00B01894" w:rsidRDefault="00B01894" w:rsidP="00B01894">
      <w:pPr>
        <w:widowControl w:val="0"/>
        <w:numPr>
          <w:ilvl w:val="0"/>
          <w:numId w:val="30"/>
        </w:numPr>
        <w:tabs>
          <w:tab w:val="left" w:pos="58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Нарышкин, С. Е.</w:t>
      </w:r>
      <w:r w:rsidRPr="00B01894">
        <w:rPr>
          <w:rFonts w:ascii="Bookman Old Style" w:eastAsia="Bookman Old Style" w:hAnsi="Bookman Old Style" w:cs="Bookman Old Style"/>
          <w:color w:val="231F20"/>
          <w:sz w:val="17"/>
          <w:szCs w:val="17"/>
        </w:rPr>
        <w:t xml:space="preserve"> Привлечение иностранных инвестиций: экономиче</w:t>
      </w:r>
      <w:r w:rsidRPr="00B01894">
        <w:rPr>
          <w:rFonts w:ascii="Bookman Old Style" w:eastAsia="Bookman Old Style" w:hAnsi="Bookman Old Style" w:cs="Bookman Old Style"/>
          <w:color w:val="231F20"/>
          <w:sz w:val="17"/>
          <w:szCs w:val="17"/>
        </w:rPr>
        <w:softHyphen/>
        <w:t>ская стратегия и развитие регионов России : монография. — М. : Контракт, 2009.</w:t>
      </w:r>
    </w:p>
    <w:p w14:paraId="5F7A1E3D" w14:textId="77777777" w:rsidR="00B01894" w:rsidRPr="00B01894" w:rsidRDefault="00B01894" w:rsidP="00B01894">
      <w:pPr>
        <w:widowControl w:val="0"/>
        <w:numPr>
          <w:ilvl w:val="0"/>
          <w:numId w:val="30"/>
        </w:numPr>
        <w:tabs>
          <w:tab w:val="left" w:pos="58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Норт</w:t>
      </w:r>
      <w:r w:rsidRPr="00B01894">
        <w:rPr>
          <w:rFonts w:ascii="Bookman Old Style" w:eastAsia="Bookman Old Style" w:hAnsi="Bookman Old Style" w:cs="Bookman Old Style"/>
          <w:color w:val="231F20"/>
          <w:sz w:val="17"/>
          <w:szCs w:val="17"/>
        </w:rPr>
        <w:t xml:space="preserve">, </w:t>
      </w:r>
      <w:r w:rsidRPr="00B01894">
        <w:rPr>
          <w:rFonts w:ascii="Bookman Old Style" w:eastAsia="Bookman Old Style" w:hAnsi="Bookman Old Style" w:cs="Bookman Old Style"/>
          <w:i/>
          <w:iCs/>
          <w:color w:val="231F20"/>
          <w:sz w:val="17"/>
          <w:szCs w:val="17"/>
        </w:rPr>
        <w:t>Д.</w:t>
      </w:r>
      <w:r w:rsidRPr="00B01894">
        <w:rPr>
          <w:rFonts w:ascii="Bookman Old Style" w:eastAsia="Bookman Old Style" w:hAnsi="Bookman Old Style" w:cs="Bookman Old Style"/>
          <w:color w:val="231F20"/>
          <w:sz w:val="17"/>
          <w:szCs w:val="17"/>
        </w:rPr>
        <w:t xml:space="preserve"> Институты, институциональные изменения и функциони</w:t>
      </w:r>
      <w:r w:rsidRPr="00B01894">
        <w:rPr>
          <w:rFonts w:ascii="Bookman Old Style" w:eastAsia="Bookman Old Style" w:hAnsi="Bookman Old Style" w:cs="Bookman Old Style"/>
          <w:color w:val="231F20"/>
          <w:sz w:val="17"/>
          <w:szCs w:val="17"/>
        </w:rPr>
        <w:softHyphen/>
        <w:t>рование экономики : пер. с англ. / Д. Норт. — М. : Фонд экономической книги «Начало», 1997.</w:t>
      </w:r>
    </w:p>
    <w:p w14:paraId="6AE6FBD3" w14:textId="77777777" w:rsidR="00B01894" w:rsidRPr="00B01894" w:rsidRDefault="00B01894" w:rsidP="00B01894">
      <w:pPr>
        <w:widowControl w:val="0"/>
        <w:numPr>
          <w:ilvl w:val="0"/>
          <w:numId w:val="30"/>
        </w:numPr>
        <w:tabs>
          <w:tab w:val="left" w:pos="61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 xml:space="preserve">Россия в цифрах. </w:t>
      </w:r>
      <w:r w:rsidRPr="00B01894">
        <w:rPr>
          <w:rFonts w:ascii="Bookman Old Style" w:eastAsia="Bookman Old Style" w:hAnsi="Bookman Old Style" w:cs="Bookman Old Style"/>
          <w:color w:val="231F20"/>
          <w:sz w:val="17"/>
          <w:szCs w:val="17"/>
          <w:lang w:val="en-US" w:eastAsia="en-US" w:bidi="en-US"/>
        </w:rPr>
        <w:t>URL</w:t>
      </w:r>
      <w:r w:rsidRPr="00B01894">
        <w:rPr>
          <w:rFonts w:ascii="Bookman Old Style" w:eastAsia="Bookman Old Style" w:hAnsi="Bookman Old Style" w:cs="Bookman Old Style"/>
          <w:color w:val="231F20"/>
          <w:sz w:val="17"/>
          <w:szCs w:val="17"/>
          <w:lang w:eastAsia="en-US" w:bidi="en-US"/>
        </w:rPr>
        <w:t xml:space="preserve">: </w:t>
      </w:r>
      <w:hyperlink r:id="rId22" w:history="1">
        <w:r w:rsidRPr="00B01894">
          <w:rPr>
            <w:rFonts w:ascii="Bookman Old Style" w:eastAsia="Bookman Old Style" w:hAnsi="Bookman Old Style" w:cs="Bookman Old Style"/>
            <w:color w:val="231F20"/>
            <w:sz w:val="17"/>
            <w:szCs w:val="17"/>
            <w:lang w:val="en-US" w:eastAsia="en-US" w:bidi="en-US"/>
          </w:rPr>
          <w:t>http</w:t>
        </w:r>
        <w:r w:rsidRPr="00B01894">
          <w:rPr>
            <w:rFonts w:ascii="Bookman Old Style" w:eastAsia="Bookman Old Style" w:hAnsi="Bookman Old Style" w:cs="Bookman Old Style"/>
            <w:color w:val="231F20"/>
            <w:sz w:val="17"/>
            <w:szCs w:val="17"/>
            <w:lang w:eastAsia="en-US" w:bidi="en-US"/>
          </w:rPr>
          <w:t>://</w:t>
        </w:r>
        <w:r w:rsidRPr="00B01894">
          <w:rPr>
            <w:rFonts w:ascii="Bookman Old Style" w:eastAsia="Bookman Old Style" w:hAnsi="Bookman Old Style" w:cs="Bookman Old Style"/>
            <w:color w:val="231F20"/>
            <w:sz w:val="17"/>
            <w:szCs w:val="17"/>
            <w:lang w:val="en-US" w:eastAsia="en-US" w:bidi="en-US"/>
          </w:rPr>
          <w:t>www</w:t>
        </w:r>
        <w:r w:rsidRPr="00B01894">
          <w:rPr>
            <w:rFonts w:ascii="Bookman Old Style" w:eastAsia="Bookman Old Style" w:hAnsi="Bookman Old Style" w:cs="Bookman Old Style"/>
            <w:color w:val="231F20"/>
            <w:sz w:val="17"/>
            <w:szCs w:val="17"/>
            <w:lang w:eastAsia="en-US" w:bidi="en-US"/>
          </w:rPr>
          <w:t>.</w:t>
        </w:r>
        <w:r w:rsidRPr="00B01894">
          <w:rPr>
            <w:rFonts w:ascii="Bookman Old Style" w:eastAsia="Bookman Old Style" w:hAnsi="Bookman Old Style" w:cs="Bookman Old Style"/>
            <w:color w:val="231F20"/>
            <w:sz w:val="17"/>
            <w:szCs w:val="17"/>
            <w:lang w:val="en-US" w:eastAsia="en-US" w:bidi="en-US"/>
          </w:rPr>
          <w:t>gks</w:t>
        </w:r>
        <w:r w:rsidRPr="00B01894">
          <w:rPr>
            <w:rFonts w:ascii="Bookman Old Style" w:eastAsia="Bookman Old Style" w:hAnsi="Bookman Old Style" w:cs="Bookman Old Style"/>
            <w:color w:val="231F20"/>
            <w:sz w:val="17"/>
            <w:szCs w:val="17"/>
            <w:lang w:eastAsia="en-US" w:bidi="en-US"/>
          </w:rPr>
          <w:t>.</w:t>
        </w:r>
        <w:r w:rsidRPr="00B01894">
          <w:rPr>
            <w:rFonts w:ascii="Bookman Old Style" w:eastAsia="Bookman Old Style" w:hAnsi="Bookman Old Style" w:cs="Bookman Old Style"/>
            <w:color w:val="231F20"/>
            <w:sz w:val="17"/>
            <w:szCs w:val="17"/>
            <w:lang w:val="en-US" w:eastAsia="en-US" w:bidi="en-US"/>
          </w:rPr>
          <w:t>ru</w:t>
        </w:r>
      </w:hyperlink>
      <w:r w:rsidRPr="00B01894">
        <w:rPr>
          <w:rFonts w:ascii="Bookman Old Style" w:eastAsia="Bookman Old Style" w:hAnsi="Bookman Old Style" w:cs="Bookman Old Style"/>
          <w:color w:val="231F20"/>
          <w:sz w:val="17"/>
          <w:szCs w:val="17"/>
          <w:lang w:eastAsia="en-US" w:bidi="en-US"/>
        </w:rPr>
        <w:t>.</w:t>
      </w:r>
    </w:p>
    <w:p w14:paraId="3A57BC8C" w14:textId="77777777" w:rsidR="00B01894" w:rsidRPr="00B01894" w:rsidRDefault="00B01894" w:rsidP="00B01894">
      <w:pPr>
        <w:widowControl w:val="0"/>
        <w:numPr>
          <w:ilvl w:val="0"/>
          <w:numId w:val="30"/>
        </w:numPr>
        <w:tabs>
          <w:tab w:val="left" w:pos="61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color w:val="231F20"/>
          <w:sz w:val="17"/>
          <w:szCs w:val="17"/>
        </w:rPr>
        <w:t xml:space="preserve">Статистика </w:t>
      </w:r>
      <w:r w:rsidRPr="00B01894">
        <w:rPr>
          <w:rFonts w:ascii="Bookman Old Style" w:eastAsia="Bookman Old Style" w:hAnsi="Bookman Old Style" w:cs="Bookman Old Style"/>
          <w:color w:val="231F20"/>
          <w:sz w:val="17"/>
          <w:szCs w:val="17"/>
          <w:lang w:val="en-US" w:eastAsia="en-US" w:bidi="en-US"/>
        </w:rPr>
        <w:t>UNCTAD</w:t>
      </w:r>
      <w:r w:rsidRPr="00B01894">
        <w:rPr>
          <w:rFonts w:ascii="Bookman Old Style" w:eastAsia="Bookman Old Style" w:hAnsi="Bookman Old Style" w:cs="Bookman Old Style"/>
          <w:color w:val="231F20"/>
          <w:sz w:val="17"/>
          <w:szCs w:val="17"/>
          <w:lang w:eastAsia="en-US" w:bidi="en-US"/>
        </w:rPr>
        <w:t xml:space="preserve">. </w:t>
      </w:r>
      <w:r w:rsidRPr="00B01894">
        <w:rPr>
          <w:rFonts w:ascii="Bookman Old Style" w:eastAsia="Bookman Old Style" w:hAnsi="Bookman Old Style" w:cs="Bookman Old Style"/>
          <w:color w:val="231F20"/>
          <w:sz w:val="17"/>
          <w:szCs w:val="17"/>
          <w:lang w:val="en-US" w:eastAsia="en-US" w:bidi="en-US"/>
        </w:rPr>
        <w:t>URL</w:t>
      </w:r>
      <w:r w:rsidRPr="00B01894">
        <w:rPr>
          <w:rFonts w:ascii="Bookman Old Style" w:eastAsia="Bookman Old Style" w:hAnsi="Bookman Old Style" w:cs="Bookman Old Style"/>
          <w:color w:val="231F20"/>
          <w:sz w:val="17"/>
          <w:szCs w:val="17"/>
          <w:lang w:eastAsia="en-US" w:bidi="en-US"/>
        </w:rPr>
        <w:t xml:space="preserve">: </w:t>
      </w:r>
      <w:hyperlink r:id="rId23" w:history="1">
        <w:r w:rsidRPr="00B01894">
          <w:rPr>
            <w:rFonts w:ascii="Bookman Old Style" w:eastAsia="Bookman Old Style" w:hAnsi="Bookman Old Style" w:cs="Bookman Old Style"/>
            <w:color w:val="231F20"/>
            <w:sz w:val="17"/>
            <w:szCs w:val="17"/>
            <w:lang w:val="en-US" w:eastAsia="en-US" w:bidi="en-US"/>
          </w:rPr>
          <w:t>www</w:t>
        </w:r>
        <w:r w:rsidRPr="00B01894">
          <w:rPr>
            <w:rFonts w:ascii="Bookman Old Style" w:eastAsia="Bookman Old Style" w:hAnsi="Bookman Old Style" w:cs="Bookman Old Style"/>
            <w:color w:val="231F20"/>
            <w:sz w:val="17"/>
            <w:szCs w:val="17"/>
            <w:lang w:eastAsia="en-US" w:bidi="en-US"/>
          </w:rPr>
          <w:t>.</w:t>
        </w:r>
        <w:r w:rsidRPr="00B01894">
          <w:rPr>
            <w:rFonts w:ascii="Bookman Old Style" w:eastAsia="Bookman Old Style" w:hAnsi="Bookman Old Style" w:cs="Bookman Old Style"/>
            <w:color w:val="231F20"/>
            <w:sz w:val="17"/>
            <w:szCs w:val="17"/>
            <w:lang w:val="en-US" w:eastAsia="en-US" w:bidi="en-US"/>
          </w:rPr>
          <w:t>unctad</w:t>
        </w:r>
        <w:r w:rsidRPr="00B01894">
          <w:rPr>
            <w:rFonts w:ascii="Bookman Old Style" w:eastAsia="Bookman Old Style" w:hAnsi="Bookman Old Style" w:cs="Bookman Old Style"/>
            <w:color w:val="231F20"/>
            <w:sz w:val="17"/>
            <w:szCs w:val="17"/>
            <w:lang w:eastAsia="en-US" w:bidi="en-US"/>
          </w:rPr>
          <w:t>.</w:t>
        </w:r>
        <w:r w:rsidRPr="00B01894">
          <w:rPr>
            <w:rFonts w:ascii="Bookman Old Style" w:eastAsia="Bookman Old Style" w:hAnsi="Bookman Old Style" w:cs="Bookman Old Style"/>
            <w:color w:val="231F20"/>
            <w:sz w:val="17"/>
            <w:szCs w:val="17"/>
            <w:lang w:val="en-US" w:eastAsia="en-US" w:bidi="en-US"/>
          </w:rPr>
          <w:t>org</w:t>
        </w:r>
      </w:hyperlink>
      <w:r w:rsidRPr="00B01894">
        <w:rPr>
          <w:rFonts w:ascii="Bookman Old Style" w:eastAsia="Bookman Old Style" w:hAnsi="Bookman Old Style" w:cs="Bookman Old Style"/>
          <w:color w:val="231F20"/>
          <w:sz w:val="17"/>
          <w:szCs w:val="17"/>
          <w:lang w:eastAsia="en-US" w:bidi="en-US"/>
        </w:rPr>
        <w:t>.</w:t>
      </w:r>
    </w:p>
    <w:p w14:paraId="52E91A1B" w14:textId="77777777" w:rsidR="00B01894" w:rsidRPr="00B01894" w:rsidRDefault="00B01894" w:rsidP="00B01894">
      <w:pPr>
        <w:widowControl w:val="0"/>
        <w:numPr>
          <w:ilvl w:val="0"/>
          <w:numId w:val="30"/>
        </w:numPr>
        <w:tabs>
          <w:tab w:val="left" w:pos="589"/>
        </w:tabs>
        <w:spacing w:line="216" w:lineRule="exact"/>
        <w:ind w:firstLine="340"/>
        <w:jc w:val="left"/>
        <w:rPr>
          <w:rFonts w:ascii="Bookman Old Style" w:eastAsia="Bookman Old Style" w:hAnsi="Bookman Old Style" w:cs="Bookman Old Style"/>
          <w:sz w:val="17"/>
          <w:szCs w:val="17"/>
        </w:rPr>
      </w:pPr>
      <w:r w:rsidRPr="00B01894">
        <w:rPr>
          <w:rFonts w:ascii="Bookman Old Style" w:eastAsia="Bookman Old Style" w:hAnsi="Bookman Old Style" w:cs="Bookman Old Style"/>
          <w:i/>
          <w:iCs/>
          <w:color w:val="231F20"/>
          <w:sz w:val="17"/>
          <w:szCs w:val="17"/>
        </w:rPr>
        <w:t>Шаститко, А. Е.</w:t>
      </w:r>
      <w:r w:rsidRPr="00B01894">
        <w:rPr>
          <w:rFonts w:ascii="Bookman Old Style" w:eastAsia="Bookman Old Style" w:hAnsi="Bookman Old Style" w:cs="Bookman Old Style"/>
          <w:color w:val="231F20"/>
          <w:sz w:val="17"/>
          <w:szCs w:val="17"/>
        </w:rPr>
        <w:t xml:space="preserve"> Новая институциональная экономическая теория / А. Е. Шаститко. — М. : ТЕИС, 2002.</w:t>
      </w:r>
    </w:p>
    <w:p w14:paraId="291657D7" w14:textId="77777777" w:rsidR="00350396" w:rsidRPr="00350396" w:rsidRDefault="00350396" w:rsidP="00350396">
      <w:pPr>
        <w:keepNext/>
        <w:keepLines/>
        <w:widowControl w:val="0"/>
        <w:spacing w:line="475" w:lineRule="exact"/>
        <w:ind w:firstLine="0"/>
        <w:jc w:val="center"/>
        <w:outlineLvl w:val="1"/>
        <w:rPr>
          <w:rFonts w:ascii="Arial Narrow" w:eastAsia="Arial Narrow" w:hAnsi="Arial Narrow" w:cs="Arial Narrow"/>
          <w:b/>
          <w:bCs/>
          <w:sz w:val="32"/>
          <w:szCs w:val="32"/>
        </w:rPr>
      </w:pPr>
      <w:bookmarkStart w:id="32" w:name="bookmark46"/>
      <w:bookmarkEnd w:id="19"/>
      <w:r w:rsidRPr="00350396">
        <w:rPr>
          <w:rFonts w:ascii="Arial Narrow" w:eastAsia="Arial Narrow" w:hAnsi="Arial Narrow" w:cs="Arial Narrow"/>
          <w:b/>
          <w:bCs/>
          <w:color w:val="231F20"/>
          <w:sz w:val="32"/>
          <w:szCs w:val="32"/>
        </w:rPr>
        <w:lastRenderedPageBreak/>
        <w:t>Глава 3</w:t>
      </w:r>
    </w:p>
    <w:p w14:paraId="593497E3" w14:textId="77777777" w:rsidR="00350396" w:rsidRPr="00350396" w:rsidRDefault="00350396" w:rsidP="00350396">
      <w:pPr>
        <w:keepNext/>
        <w:keepLines/>
        <w:widowControl w:val="0"/>
        <w:spacing w:after="380" w:line="475" w:lineRule="exact"/>
        <w:ind w:firstLine="0"/>
        <w:jc w:val="center"/>
        <w:outlineLvl w:val="1"/>
        <w:rPr>
          <w:rFonts w:ascii="Arial Narrow" w:eastAsia="Arial Narrow" w:hAnsi="Arial Narrow" w:cs="Arial Narrow"/>
          <w:b/>
          <w:bCs/>
          <w:sz w:val="32"/>
          <w:szCs w:val="32"/>
        </w:rPr>
      </w:pPr>
      <w:bookmarkStart w:id="33" w:name="bookmark33"/>
      <w:r w:rsidRPr="00350396">
        <w:rPr>
          <w:rFonts w:ascii="Arial Narrow" w:eastAsia="Arial Narrow" w:hAnsi="Arial Narrow" w:cs="Arial Narrow"/>
          <w:b/>
          <w:bCs/>
          <w:color w:val="231F20"/>
          <w:sz w:val="32"/>
          <w:szCs w:val="32"/>
        </w:rPr>
        <w:t>СОЦИАЛЬНОЕ ПАРТНЕРСТВО ВЛАСТИ,</w:t>
      </w:r>
      <w:r w:rsidRPr="00350396">
        <w:rPr>
          <w:rFonts w:ascii="Arial Narrow" w:eastAsia="Arial Narrow" w:hAnsi="Arial Narrow" w:cs="Arial Narrow"/>
          <w:b/>
          <w:bCs/>
          <w:color w:val="231F20"/>
          <w:sz w:val="32"/>
          <w:szCs w:val="32"/>
        </w:rPr>
        <w:br/>
        <w:t>БИЗНЕСА И ОБЩЕСТВА КАК ФАКТОР</w:t>
      </w:r>
      <w:r w:rsidRPr="00350396">
        <w:rPr>
          <w:rFonts w:ascii="Arial Narrow" w:eastAsia="Arial Narrow" w:hAnsi="Arial Narrow" w:cs="Arial Narrow"/>
          <w:b/>
          <w:bCs/>
          <w:color w:val="231F20"/>
          <w:sz w:val="32"/>
          <w:szCs w:val="32"/>
        </w:rPr>
        <w:br/>
        <w:t>СОЦИАЛЬНО-ЭКОНОМИЧЕСКОГО РАЗВИТИЯ</w:t>
      </w:r>
      <w:bookmarkEnd w:id="33"/>
    </w:p>
    <w:p w14:paraId="51B3D5ED" w14:textId="77777777" w:rsidR="00350396" w:rsidRPr="00350396" w:rsidRDefault="00350396" w:rsidP="00350396">
      <w:pPr>
        <w:widowControl w:val="0"/>
        <w:spacing w:line="226" w:lineRule="exact"/>
        <w:ind w:firstLine="340"/>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В результате изучения данной главы студент должен:</w:t>
      </w:r>
    </w:p>
    <w:p w14:paraId="7B22C59A" w14:textId="77777777" w:rsidR="00350396" w:rsidRPr="00350396" w:rsidRDefault="00350396" w:rsidP="00350396">
      <w:pPr>
        <w:widowControl w:val="0"/>
        <w:spacing w:line="226" w:lineRule="exact"/>
        <w:ind w:firstLine="340"/>
        <w:rPr>
          <w:rFonts w:ascii="Bookman Old Style" w:eastAsia="Bookman Old Style" w:hAnsi="Bookman Old Style" w:cs="Bookman Old Style"/>
          <w:b/>
          <w:bCs/>
          <w:i/>
          <w:iCs/>
          <w:sz w:val="16"/>
          <w:szCs w:val="16"/>
        </w:rPr>
      </w:pPr>
      <w:r w:rsidRPr="00350396">
        <w:rPr>
          <w:rFonts w:ascii="Bookman Old Style" w:eastAsia="Bookman Old Style" w:hAnsi="Bookman Old Style" w:cs="Bookman Old Style"/>
          <w:b/>
          <w:bCs/>
          <w:i/>
          <w:iCs/>
          <w:color w:val="231F20"/>
          <w:sz w:val="16"/>
          <w:szCs w:val="16"/>
        </w:rPr>
        <w:t>знать</w:t>
      </w:r>
    </w:p>
    <w:p w14:paraId="0003A35B" w14:textId="77777777" w:rsidR="00350396" w:rsidRPr="00350396" w:rsidRDefault="00350396" w:rsidP="00350396">
      <w:pPr>
        <w:widowControl w:val="0"/>
        <w:numPr>
          <w:ilvl w:val="0"/>
          <w:numId w:val="22"/>
        </w:numPr>
        <w:tabs>
          <w:tab w:val="left" w:pos="592"/>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понятие социального партнерства и его основные формы;</w:t>
      </w:r>
    </w:p>
    <w:p w14:paraId="269E77A8" w14:textId="77777777" w:rsidR="00350396" w:rsidRPr="00350396" w:rsidRDefault="00350396" w:rsidP="00350396">
      <w:pPr>
        <w:widowControl w:val="0"/>
        <w:numPr>
          <w:ilvl w:val="0"/>
          <w:numId w:val="22"/>
        </w:numPr>
        <w:tabs>
          <w:tab w:val="left" w:pos="563"/>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практику применения форм социального партнерства в различных институциональных секторах экономики;</w:t>
      </w:r>
    </w:p>
    <w:p w14:paraId="28613835" w14:textId="77777777" w:rsidR="00350396" w:rsidRPr="00350396" w:rsidRDefault="00350396" w:rsidP="00350396">
      <w:pPr>
        <w:widowControl w:val="0"/>
        <w:numPr>
          <w:ilvl w:val="0"/>
          <w:numId w:val="22"/>
        </w:numPr>
        <w:tabs>
          <w:tab w:val="left" w:pos="563"/>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историю формирования предпосылок современных моделей социаль</w:t>
      </w:r>
      <w:r w:rsidRPr="00350396">
        <w:rPr>
          <w:rFonts w:ascii="Bookman Old Style" w:eastAsia="Bookman Old Style" w:hAnsi="Bookman Old Style" w:cs="Bookman Old Style"/>
          <w:color w:val="231F20"/>
          <w:sz w:val="17"/>
          <w:szCs w:val="17"/>
        </w:rPr>
        <w:softHyphen/>
        <w:t>ного партнерства и их научного изучения;</w:t>
      </w:r>
    </w:p>
    <w:p w14:paraId="34B61831" w14:textId="77777777" w:rsidR="00350396" w:rsidRPr="00350396" w:rsidRDefault="00350396" w:rsidP="00350396">
      <w:pPr>
        <w:widowControl w:val="0"/>
        <w:numPr>
          <w:ilvl w:val="0"/>
          <w:numId w:val="22"/>
        </w:numPr>
        <w:tabs>
          <w:tab w:val="left" w:pos="563"/>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особенности применения социального партнерства в различных странах;</w:t>
      </w:r>
    </w:p>
    <w:p w14:paraId="48CAE435" w14:textId="77777777" w:rsidR="00350396" w:rsidRPr="00350396" w:rsidRDefault="00350396" w:rsidP="00350396">
      <w:pPr>
        <w:widowControl w:val="0"/>
        <w:numPr>
          <w:ilvl w:val="0"/>
          <w:numId w:val="22"/>
        </w:numPr>
        <w:tabs>
          <w:tab w:val="left" w:pos="592"/>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политэкономические модели социального партнерства;</w:t>
      </w:r>
    </w:p>
    <w:p w14:paraId="2AA1A3A1" w14:textId="77777777" w:rsidR="00350396" w:rsidRPr="00350396" w:rsidRDefault="00350396" w:rsidP="00350396">
      <w:pPr>
        <w:widowControl w:val="0"/>
        <w:spacing w:line="226" w:lineRule="exact"/>
        <w:ind w:firstLine="340"/>
        <w:rPr>
          <w:rFonts w:ascii="Bookman Old Style" w:eastAsia="Bookman Old Style" w:hAnsi="Bookman Old Style" w:cs="Bookman Old Style"/>
          <w:b/>
          <w:bCs/>
          <w:i/>
          <w:iCs/>
          <w:sz w:val="16"/>
          <w:szCs w:val="16"/>
        </w:rPr>
      </w:pPr>
      <w:r w:rsidRPr="00350396">
        <w:rPr>
          <w:rFonts w:ascii="Bookman Old Style" w:eastAsia="Bookman Old Style" w:hAnsi="Bookman Old Style" w:cs="Bookman Old Style"/>
          <w:b/>
          <w:bCs/>
          <w:i/>
          <w:iCs/>
          <w:color w:val="231F20"/>
          <w:sz w:val="16"/>
          <w:szCs w:val="16"/>
        </w:rPr>
        <w:t>уметь</w:t>
      </w:r>
    </w:p>
    <w:p w14:paraId="160F1588" w14:textId="77777777" w:rsidR="00350396" w:rsidRPr="00350396" w:rsidRDefault="00350396" w:rsidP="00350396">
      <w:pPr>
        <w:widowControl w:val="0"/>
        <w:numPr>
          <w:ilvl w:val="0"/>
          <w:numId w:val="22"/>
        </w:numPr>
        <w:tabs>
          <w:tab w:val="left" w:pos="563"/>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формулировать проблемы, стоящие перед участниками социального взаимодействия;</w:t>
      </w:r>
    </w:p>
    <w:p w14:paraId="5BB9C52A" w14:textId="77777777" w:rsidR="00350396" w:rsidRPr="00350396" w:rsidRDefault="00350396" w:rsidP="00350396">
      <w:pPr>
        <w:widowControl w:val="0"/>
        <w:numPr>
          <w:ilvl w:val="0"/>
          <w:numId w:val="22"/>
        </w:numPr>
        <w:tabs>
          <w:tab w:val="left" w:pos="592"/>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классифицировать опыт применения социального партнерства;</w:t>
      </w:r>
    </w:p>
    <w:p w14:paraId="00CDD665" w14:textId="77777777" w:rsidR="00350396" w:rsidRPr="00350396" w:rsidRDefault="00350396" w:rsidP="00350396">
      <w:pPr>
        <w:widowControl w:val="0"/>
        <w:numPr>
          <w:ilvl w:val="0"/>
          <w:numId w:val="22"/>
        </w:numPr>
        <w:tabs>
          <w:tab w:val="left" w:pos="592"/>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использовать источники информации для сбора данных и их анализа;</w:t>
      </w:r>
    </w:p>
    <w:p w14:paraId="73A69703" w14:textId="77777777" w:rsidR="00350396" w:rsidRPr="00350396" w:rsidRDefault="00350396" w:rsidP="00350396">
      <w:pPr>
        <w:widowControl w:val="0"/>
        <w:spacing w:line="226" w:lineRule="exact"/>
        <w:ind w:firstLine="340"/>
        <w:rPr>
          <w:rFonts w:ascii="Bookman Old Style" w:eastAsia="Bookman Old Style" w:hAnsi="Bookman Old Style" w:cs="Bookman Old Style"/>
          <w:b/>
          <w:bCs/>
          <w:i/>
          <w:iCs/>
          <w:sz w:val="16"/>
          <w:szCs w:val="16"/>
        </w:rPr>
      </w:pPr>
      <w:r w:rsidRPr="00350396">
        <w:rPr>
          <w:rFonts w:ascii="Bookman Old Style" w:eastAsia="Bookman Old Style" w:hAnsi="Bookman Old Style" w:cs="Bookman Old Style"/>
          <w:b/>
          <w:bCs/>
          <w:i/>
          <w:iCs/>
          <w:color w:val="231F20"/>
          <w:sz w:val="16"/>
          <w:szCs w:val="16"/>
        </w:rPr>
        <w:t>владеть</w:t>
      </w:r>
    </w:p>
    <w:p w14:paraId="58FC4261" w14:textId="77777777" w:rsidR="00350396" w:rsidRPr="00350396" w:rsidRDefault="00350396" w:rsidP="00350396">
      <w:pPr>
        <w:widowControl w:val="0"/>
        <w:numPr>
          <w:ilvl w:val="0"/>
          <w:numId w:val="22"/>
        </w:numPr>
        <w:tabs>
          <w:tab w:val="left" w:pos="592"/>
        </w:tabs>
        <w:spacing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технологиями анализа и выявления причин социальных конфликтов;</w:t>
      </w:r>
    </w:p>
    <w:p w14:paraId="608B6505" w14:textId="77777777" w:rsidR="00350396" w:rsidRPr="00350396" w:rsidRDefault="00350396" w:rsidP="00350396">
      <w:pPr>
        <w:widowControl w:val="0"/>
        <w:numPr>
          <w:ilvl w:val="0"/>
          <w:numId w:val="22"/>
        </w:numPr>
        <w:tabs>
          <w:tab w:val="left" w:pos="563"/>
        </w:tabs>
        <w:spacing w:after="521" w:line="226" w:lineRule="exact"/>
        <w:ind w:firstLine="34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методами разрешения социальных конфликтов путем применения опыта социального партнерства.</w:t>
      </w:r>
    </w:p>
    <w:p w14:paraId="5EAF4C3A" w14:textId="77777777" w:rsidR="00350396" w:rsidRPr="00350396" w:rsidRDefault="00350396" w:rsidP="00350396">
      <w:pPr>
        <w:keepNext/>
        <w:keepLines/>
        <w:widowControl w:val="0"/>
        <w:numPr>
          <w:ilvl w:val="0"/>
          <w:numId w:val="31"/>
        </w:numPr>
        <w:tabs>
          <w:tab w:val="left" w:pos="885"/>
        </w:tabs>
        <w:spacing w:after="200" w:line="274" w:lineRule="exact"/>
        <w:ind w:firstLine="340"/>
        <w:jc w:val="left"/>
        <w:outlineLvl w:val="3"/>
        <w:rPr>
          <w:rFonts w:ascii="Arial Narrow" w:eastAsia="Arial Narrow" w:hAnsi="Arial Narrow" w:cs="Arial Narrow"/>
          <w:b/>
          <w:bCs/>
        </w:rPr>
      </w:pPr>
      <w:bookmarkStart w:id="34" w:name="bookmark34"/>
      <w:r w:rsidRPr="00350396">
        <w:rPr>
          <w:rFonts w:ascii="Arial Narrow" w:eastAsia="Arial Narrow" w:hAnsi="Arial Narrow" w:cs="Arial Narrow"/>
          <w:b/>
          <w:bCs/>
          <w:color w:val="231F20"/>
        </w:rPr>
        <w:t>Теоретические предпосылки социального партнерства</w:t>
      </w:r>
      <w:bookmarkEnd w:id="34"/>
    </w:p>
    <w:p w14:paraId="060C3DFE"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западной обществоведческой литературе и на практике сложи</w:t>
      </w:r>
      <w:r w:rsidRPr="00350396">
        <w:rPr>
          <w:rFonts w:ascii="Bookman Old Style" w:eastAsia="Bookman Old Style" w:hAnsi="Bookman Old Style" w:cs="Bookman Old Style"/>
          <w:color w:val="231F20"/>
          <w:sz w:val="18"/>
          <w:szCs w:val="18"/>
        </w:rPr>
        <w:softHyphen/>
        <w:t>лась традиция подразделения общества на три основных сектора:</w:t>
      </w:r>
    </w:p>
    <w:p w14:paraId="1EB2E27D" w14:textId="77777777" w:rsidR="00350396" w:rsidRPr="00350396" w:rsidRDefault="00350396" w:rsidP="00350396">
      <w:pPr>
        <w:widowControl w:val="0"/>
        <w:numPr>
          <w:ilvl w:val="0"/>
          <w:numId w:val="32"/>
        </w:numPr>
        <w:tabs>
          <w:tab w:val="left" w:pos="753"/>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государство;</w:t>
      </w:r>
    </w:p>
    <w:p w14:paraId="4FA78524" w14:textId="77777777" w:rsidR="00350396" w:rsidRPr="00350396" w:rsidRDefault="00350396" w:rsidP="00350396">
      <w:pPr>
        <w:widowControl w:val="0"/>
        <w:numPr>
          <w:ilvl w:val="0"/>
          <w:numId w:val="32"/>
        </w:numPr>
        <w:tabs>
          <w:tab w:val="left" w:pos="753"/>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частный бизнес;</w:t>
      </w:r>
    </w:p>
    <w:p w14:paraId="68AB849A" w14:textId="77777777" w:rsidR="00350396" w:rsidRPr="00350396" w:rsidRDefault="00350396" w:rsidP="00350396">
      <w:pPr>
        <w:widowControl w:val="0"/>
        <w:numPr>
          <w:ilvl w:val="0"/>
          <w:numId w:val="32"/>
        </w:numPr>
        <w:tabs>
          <w:tab w:val="left" w:pos="753"/>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некоммерческие организации.</w:t>
      </w:r>
    </w:p>
    <w:p w14:paraId="170AEF93"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Первый сектор — это органы государственной власти и местного самоуправления, государственные и муниципальные предприятия, а также организации в любой сфере деятельности, основанные на государственной и смешанной формах собственности, с преоб</w:t>
      </w:r>
      <w:r w:rsidRPr="00350396">
        <w:rPr>
          <w:rFonts w:ascii="Bookman Old Style" w:eastAsia="Bookman Old Style" w:hAnsi="Bookman Old Style" w:cs="Bookman Old Style"/>
          <w:color w:val="231F20"/>
          <w:sz w:val="18"/>
          <w:szCs w:val="18"/>
        </w:rPr>
        <w:softHyphen/>
        <w:t>ладающей долей государственного участия.</w:t>
      </w:r>
    </w:p>
    <w:p w14:paraId="199595E6"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Ко второму сектору относятся такие структуры, как фирмы и банки.</w:t>
      </w:r>
    </w:p>
    <w:p w14:paraId="1AA45493"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Третий сектор называют негосударственным или неправитель</w:t>
      </w:r>
      <w:r w:rsidRPr="00350396">
        <w:rPr>
          <w:rFonts w:ascii="Bookman Old Style" w:eastAsia="Bookman Old Style" w:hAnsi="Bookman Old Style" w:cs="Bookman Old Style"/>
          <w:color w:val="231F20"/>
          <w:sz w:val="18"/>
          <w:szCs w:val="18"/>
        </w:rPr>
        <w:softHyphen/>
        <w:t>ственным. Он также обозначается как независимый, некоммерче</w:t>
      </w:r>
      <w:r w:rsidRPr="00350396">
        <w:rPr>
          <w:rFonts w:ascii="Bookman Old Style" w:eastAsia="Bookman Old Style" w:hAnsi="Bookman Old Style" w:cs="Bookman Old Style"/>
          <w:color w:val="231F20"/>
          <w:sz w:val="18"/>
          <w:szCs w:val="18"/>
        </w:rPr>
        <w:softHyphen/>
        <w:t xml:space="preserve">ский или неприбыльный, благотворительный, а также как сектор </w:t>
      </w:r>
      <w:r w:rsidRPr="00350396">
        <w:rPr>
          <w:rFonts w:ascii="Bookman Old Style" w:eastAsia="Bookman Old Style" w:hAnsi="Bookman Old Style" w:cs="Bookman Old Style"/>
          <w:color w:val="231F20"/>
          <w:sz w:val="18"/>
          <w:szCs w:val="18"/>
        </w:rPr>
        <w:lastRenderedPageBreak/>
        <w:t>добровольной активности (волонтерский, добровольческий), фи</w:t>
      </w:r>
      <w:r w:rsidRPr="00350396">
        <w:rPr>
          <w:rFonts w:ascii="Bookman Old Style" w:eastAsia="Bookman Old Style" w:hAnsi="Bookman Old Style" w:cs="Bookman Old Style"/>
          <w:color w:val="231F20"/>
          <w:sz w:val="18"/>
          <w:szCs w:val="18"/>
        </w:rPr>
        <w:softHyphen/>
        <w:t>лантропический. В России входящие в него организации называют чаще всего некоммерческими (НКО).</w:t>
      </w:r>
    </w:p>
    <w:p w14:paraId="2D4D51D6"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Официально третий, или некоммерческий, сектор — </w:t>
      </w:r>
      <w:r w:rsidRPr="00350396">
        <w:rPr>
          <w:rFonts w:ascii="Bookman Old Style" w:eastAsia="Bookman Old Style" w:hAnsi="Bookman Old Style" w:cs="Bookman Old Style"/>
          <w:i/>
          <w:iCs/>
          <w:color w:val="231F20"/>
          <w:sz w:val="18"/>
          <w:szCs w:val="18"/>
        </w:rPr>
        <w:t>«сектор некоммерческих организаций, обслуживающих домашние хозяй</w:t>
      </w:r>
      <w:r w:rsidRPr="00350396">
        <w:rPr>
          <w:rFonts w:ascii="Bookman Old Style" w:eastAsia="Bookman Old Style" w:hAnsi="Bookman Old Style" w:cs="Bookman Old Style"/>
          <w:i/>
          <w:iCs/>
          <w:color w:val="231F20"/>
          <w:sz w:val="18"/>
          <w:szCs w:val="18"/>
        </w:rPr>
        <w:softHyphen/>
        <w:t>ства</w:t>
      </w:r>
      <w:r w:rsidRPr="00350396">
        <w:rPr>
          <w:rFonts w:ascii="Bookman Old Style" w:eastAsia="Bookman Old Style" w:hAnsi="Bookman Old Style" w:cs="Bookman Old Style"/>
          <w:color w:val="231F20"/>
          <w:sz w:val="18"/>
          <w:szCs w:val="18"/>
        </w:rPr>
        <w:t>» — принято рассматривать в качестве одного из шести секто</w:t>
      </w:r>
      <w:r w:rsidRPr="00350396">
        <w:rPr>
          <w:rFonts w:ascii="Bookman Old Style" w:eastAsia="Bookman Old Style" w:hAnsi="Bookman Old Style" w:cs="Bookman Old Style"/>
          <w:color w:val="231F20"/>
          <w:sz w:val="18"/>
          <w:szCs w:val="18"/>
        </w:rPr>
        <w:softHyphen/>
        <w:t>ров экономики. Это согласуется с международной статистической системой — Системой национальных счетов, где в одном ряду пере</w:t>
      </w:r>
      <w:r w:rsidRPr="00350396">
        <w:rPr>
          <w:rFonts w:ascii="Bookman Old Style" w:eastAsia="Bookman Old Style" w:hAnsi="Bookman Old Style" w:cs="Bookman Old Style"/>
          <w:color w:val="231F20"/>
          <w:sz w:val="18"/>
          <w:szCs w:val="18"/>
        </w:rPr>
        <w:softHyphen/>
        <w:t>числяются фирмы, банки, государство, домохозяйства, «зарубежье» и некоммерческий сектор. Третий сектор наряду с первым (государ</w:t>
      </w:r>
      <w:r w:rsidRPr="00350396">
        <w:rPr>
          <w:rFonts w:ascii="Bookman Old Style" w:eastAsia="Bookman Old Style" w:hAnsi="Bookman Old Style" w:cs="Bookman Old Style"/>
          <w:color w:val="231F20"/>
          <w:sz w:val="18"/>
          <w:szCs w:val="18"/>
        </w:rPr>
        <w:softHyphen/>
        <w:t>ством) и третьим (сферой бизнеса) принято выделять в социологии и политологии</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0A494EB2"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Согласно стандартной промышленной классификации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SIC</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ООН деятельность НКО должна быть отнесена к девятой группе товаров и услуг — «услуги связи, коммунальные, общественные и личные виды услуг». В соответствии с системой деления экономики на три сектора, предложенной в 1957 г. К. Кларком, они будут локализова</w:t>
      </w:r>
      <w:r w:rsidRPr="00350396">
        <w:rPr>
          <w:rFonts w:ascii="Bookman Old Style" w:eastAsia="Bookman Old Style" w:hAnsi="Bookman Old Style" w:cs="Bookman Old Style"/>
          <w:color w:val="231F20"/>
          <w:sz w:val="18"/>
          <w:szCs w:val="18"/>
        </w:rPr>
        <w:softHyphen/>
        <w:t xml:space="preserve">ны </w:t>
      </w:r>
      <w:r w:rsidRPr="00350396">
        <w:rPr>
          <w:rFonts w:ascii="Bookman Old Style" w:eastAsia="Bookman Old Style" w:hAnsi="Bookman Old Style" w:cs="Bookman Old Style"/>
          <w:i/>
          <w:iCs/>
          <w:color w:val="231F20"/>
          <w:sz w:val="18"/>
          <w:szCs w:val="18"/>
        </w:rPr>
        <w:t>«третичным сектором»</w:t>
      </w:r>
      <w:r w:rsidRPr="00350396">
        <w:rPr>
          <w:rFonts w:ascii="Bookman Old Style" w:eastAsia="Bookman Old Style" w:hAnsi="Bookman Old Style" w:cs="Bookman Old Style"/>
          <w:color w:val="231F20"/>
          <w:sz w:val="18"/>
          <w:szCs w:val="18"/>
        </w:rPr>
        <w:t xml:space="preserve"> — сферой услуг</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395CAEDF"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Государство, бизнес и общество в лице некоммерческого сектора являются основными элементами системы социального партнерства (СП), призванной стабилизировать общество через компромиссные договорные отношения и перераспределение части произведенного общественного продукта.</w:t>
      </w:r>
    </w:p>
    <w:p w14:paraId="33AD814C"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Одну из первых попыток системного анализа социальных кон</w:t>
      </w:r>
      <w:r w:rsidRPr="00350396">
        <w:rPr>
          <w:rFonts w:ascii="Bookman Old Style" w:eastAsia="Bookman Old Style" w:hAnsi="Bookman Old Style" w:cs="Bookman Old Style"/>
          <w:color w:val="231F20"/>
          <w:sz w:val="18"/>
          <w:szCs w:val="18"/>
        </w:rPr>
        <w:softHyphen/>
        <w:t xml:space="preserve">фликтов и способа воздействия на них предпринял итальянский теоретик и государственный деятель </w:t>
      </w:r>
      <w:r w:rsidRPr="00350396">
        <w:rPr>
          <w:rFonts w:ascii="Bookman Old Style" w:eastAsia="Bookman Old Style" w:hAnsi="Bookman Old Style" w:cs="Bookman Old Style"/>
          <w:i/>
          <w:iCs/>
          <w:color w:val="231F20"/>
          <w:sz w:val="18"/>
          <w:szCs w:val="18"/>
        </w:rPr>
        <w:t>Никколо Макиавелли</w:t>
      </w:r>
      <w:r w:rsidRPr="00350396">
        <w:rPr>
          <w:rFonts w:ascii="Bookman Old Style" w:eastAsia="Bookman Old Style" w:hAnsi="Bookman Old Style" w:cs="Bookman Old Style"/>
          <w:color w:val="231F20"/>
          <w:sz w:val="18"/>
          <w:szCs w:val="18"/>
        </w:rPr>
        <w:t xml:space="preserve"> (1469— 1527). Он видел в конфликте не только разрушительную, но и со</w:t>
      </w:r>
      <w:r w:rsidRPr="00350396">
        <w:rPr>
          <w:rFonts w:ascii="Bookman Old Style" w:eastAsia="Bookman Old Style" w:hAnsi="Bookman Old Style" w:cs="Bookman Old Style"/>
          <w:color w:val="231F20"/>
          <w:sz w:val="18"/>
          <w:szCs w:val="18"/>
        </w:rPr>
        <w:softHyphen/>
        <w:t>зидательную функцию, считая, что нужно уметь правильно воздей</w:t>
      </w:r>
      <w:r w:rsidRPr="00350396">
        <w:rPr>
          <w:rFonts w:ascii="Bookman Old Style" w:eastAsia="Bookman Old Style" w:hAnsi="Bookman Old Style" w:cs="Bookman Old Style"/>
          <w:color w:val="231F20"/>
          <w:sz w:val="18"/>
          <w:szCs w:val="18"/>
        </w:rPr>
        <w:softHyphen/>
        <w:t>ствовать на конфликт. Эту миссию, по мнению мыслителя, призвано выполнять государство.</w:t>
      </w:r>
    </w:p>
    <w:p w14:paraId="224603BF"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Теоретический анализ системы социально-трудовых отношений впервые осуществил английский философ </w:t>
      </w:r>
      <w:r w:rsidRPr="00350396">
        <w:rPr>
          <w:rFonts w:ascii="Bookman Old Style" w:eastAsia="Bookman Old Style" w:hAnsi="Bookman Old Style" w:cs="Bookman Old Style"/>
          <w:i/>
          <w:iCs/>
          <w:color w:val="231F20"/>
          <w:sz w:val="18"/>
          <w:szCs w:val="18"/>
        </w:rPr>
        <w:t>Фрэнсис Бэкон</w:t>
      </w:r>
      <w:r w:rsidRPr="00350396">
        <w:rPr>
          <w:rFonts w:ascii="Bookman Old Style" w:eastAsia="Bookman Old Style" w:hAnsi="Bookman Old Style" w:cs="Bookman Old Style"/>
          <w:color w:val="231F20"/>
          <w:sz w:val="18"/>
          <w:szCs w:val="18"/>
        </w:rPr>
        <w:t xml:space="preserve"> (1561— 1626). Он убедительно показал, что пренебрежение мнениями со</w:t>
      </w:r>
      <w:r w:rsidRPr="00350396">
        <w:rPr>
          <w:rFonts w:ascii="Bookman Old Style" w:eastAsia="Bookman Old Style" w:hAnsi="Bookman Old Style" w:cs="Bookman Old Style"/>
          <w:color w:val="231F20"/>
          <w:sz w:val="18"/>
          <w:szCs w:val="18"/>
        </w:rPr>
        <w:softHyphen/>
        <w:t xml:space="preserve">циальных сословий, ошибки в управлении, распространение слухов и кривотолков ведут к возникновению конфликтов в обществе. </w:t>
      </w:r>
      <w:r w:rsidRPr="00350396">
        <w:rPr>
          <w:rFonts w:ascii="Bookman Old Style" w:eastAsia="Bookman Old Style" w:hAnsi="Bookman Old Style" w:cs="Bookman Old Style"/>
          <w:color w:val="231F20"/>
          <w:sz w:val="18"/>
          <w:szCs w:val="18"/>
          <w:vertAlign w:val="superscript"/>
        </w:rPr>
        <w:footnoteReference w:id="21"/>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22"/>
      </w:r>
    </w:p>
    <w:p w14:paraId="730A86A2"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Идеи о необходимости оформления общественного договора между людьми в целях самосохранения и вечности частной соб</w:t>
      </w:r>
      <w:r w:rsidRPr="00350396">
        <w:rPr>
          <w:rFonts w:ascii="Bookman Old Style" w:eastAsia="Bookman Old Style" w:hAnsi="Bookman Old Style" w:cs="Bookman Old Style"/>
          <w:color w:val="231F20"/>
          <w:sz w:val="18"/>
          <w:szCs w:val="18"/>
        </w:rPr>
        <w:softHyphen/>
        <w:t xml:space="preserve">ственности сформулированы в трудах </w:t>
      </w:r>
      <w:r w:rsidRPr="00350396">
        <w:rPr>
          <w:rFonts w:ascii="Bookman Old Style" w:eastAsia="Bookman Old Style" w:hAnsi="Bookman Old Style" w:cs="Bookman Old Style"/>
          <w:i/>
          <w:iCs/>
          <w:color w:val="231F20"/>
          <w:sz w:val="18"/>
          <w:szCs w:val="18"/>
        </w:rPr>
        <w:t>Томаса Гоббса</w:t>
      </w:r>
      <w:r w:rsidRPr="00350396">
        <w:rPr>
          <w:rFonts w:ascii="Bookman Old Style" w:eastAsia="Bookman Old Style" w:hAnsi="Bookman Old Style" w:cs="Bookman Old Style"/>
          <w:color w:val="231F20"/>
          <w:sz w:val="18"/>
          <w:szCs w:val="18"/>
        </w:rPr>
        <w:t xml:space="preserve"> (1588—1679) «Левиафан» и «Философские элементы учения о гражданине».</w:t>
      </w:r>
    </w:p>
    <w:p w14:paraId="75DBE34B"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Одной из первых работ, посвященных сущности и условиям общественного согласия, является труд </w:t>
      </w:r>
      <w:r w:rsidRPr="00350396">
        <w:rPr>
          <w:rFonts w:ascii="Bookman Old Style" w:eastAsia="Bookman Old Style" w:hAnsi="Bookman Old Style" w:cs="Bookman Old Style"/>
          <w:i/>
          <w:iCs/>
          <w:color w:val="231F20"/>
          <w:sz w:val="18"/>
          <w:szCs w:val="18"/>
        </w:rPr>
        <w:t>Ж.-Ж. Руссо</w:t>
      </w:r>
      <w:r w:rsidRPr="00350396">
        <w:rPr>
          <w:rFonts w:ascii="Bookman Old Style" w:eastAsia="Bookman Old Style" w:hAnsi="Bookman Old Style" w:cs="Bookman Old Style"/>
          <w:color w:val="231F20"/>
          <w:sz w:val="18"/>
          <w:szCs w:val="18"/>
        </w:rPr>
        <w:t xml:space="preserve"> (1712—1778) «Об общественном договоре, или принципы политического права». В этом </w:t>
      </w:r>
      <w:r w:rsidRPr="00350396">
        <w:rPr>
          <w:rFonts w:ascii="Bookman Old Style" w:eastAsia="Bookman Old Style" w:hAnsi="Bookman Old Style" w:cs="Bookman Old Style"/>
          <w:color w:val="231F20"/>
          <w:sz w:val="18"/>
          <w:szCs w:val="18"/>
        </w:rPr>
        <w:lastRenderedPageBreak/>
        <w:t>трактате, опубликованном в 1762 г., рассматривается обще</w:t>
      </w:r>
      <w:r w:rsidRPr="00350396">
        <w:rPr>
          <w:rFonts w:ascii="Bookman Old Style" w:eastAsia="Bookman Old Style" w:hAnsi="Bookman Old Style" w:cs="Bookman Old Style"/>
          <w:color w:val="231F20"/>
          <w:sz w:val="18"/>
          <w:szCs w:val="18"/>
        </w:rPr>
        <w:softHyphen/>
        <w:t>ство, основанное на законах, перед которыми все равны и которые сохраняют личную свободу каждого гражданина. По мнению Руссо, совершенное законодательство нельзя создать в результате борьбы партий, члены общества могут выступать только от своего имени, законы принимаются в результате плебисцита, государство должно быть небольшим по территории (образец — Швейцария). Важным условием функционирования общественного договора является вы</w:t>
      </w:r>
      <w:r w:rsidRPr="00350396">
        <w:rPr>
          <w:rFonts w:ascii="Bookman Old Style" w:eastAsia="Bookman Old Style" w:hAnsi="Bookman Old Style" w:cs="Bookman Old Style"/>
          <w:color w:val="231F20"/>
          <w:sz w:val="18"/>
          <w:szCs w:val="18"/>
        </w:rPr>
        <w:softHyphen/>
        <w:t>сокий уровень гражданской зрелости населения</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0FABAA90"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Впервые взаимоотношения наемного работника и капиталиста- работодателя изучены в трудах </w:t>
      </w:r>
      <w:r w:rsidRPr="00350396">
        <w:rPr>
          <w:rFonts w:ascii="Bookman Old Style" w:eastAsia="Bookman Old Style" w:hAnsi="Bookman Old Style" w:cs="Bookman Old Style"/>
          <w:i/>
          <w:iCs/>
          <w:color w:val="231F20"/>
          <w:sz w:val="18"/>
          <w:szCs w:val="18"/>
        </w:rPr>
        <w:t>Адама Смита</w:t>
      </w:r>
      <w:r w:rsidRPr="00350396">
        <w:rPr>
          <w:rFonts w:ascii="Bookman Old Style" w:eastAsia="Bookman Old Style" w:hAnsi="Bookman Old Style" w:cs="Bookman Old Style"/>
          <w:color w:val="231F20"/>
          <w:sz w:val="18"/>
          <w:szCs w:val="18"/>
        </w:rPr>
        <w:t xml:space="preserve"> (1723—1790). При</w:t>
      </w:r>
      <w:r w:rsidRPr="00350396">
        <w:rPr>
          <w:rFonts w:ascii="Bookman Old Style" w:eastAsia="Bookman Old Style" w:hAnsi="Bookman Old Style" w:cs="Bookman Old Style"/>
          <w:color w:val="231F20"/>
          <w:sz w:val="18"/>
          <w:szCs w:val="18"/>
        </w:rPr>
        <w:softHyphen/>
        <w:t>знавая корыстный интерес основным мотивом хозяйственной де</w:t>
      </w:r>
      <w:r w:rsidRPr="00350396">
        <w:rPr>
          <w:rFonts w:ascii="Bookman Old Style" w:eastAsia="Bookman Old Style" w:hAnsi="Bookman Old Style" w:cs="Bookman Old Style"/>
          <w:color w:val="231F20"/>
          <w:sz w:val="18"/>
          <w:szCs w:val="18"/>
        </w:rPr>
        <w:softHyphen/>
        <w:t>ятельности, он считал «естественным порядком» экономической жизни свободную конкуренцию, господство частной собственно</w:t>
      </w:r>
      <w:r w:rsidRPr="00350396">
        <w:rPr>
          <w:rFonts w:ascii="Bookman Old Style" w:eastAsia="Bookman Old Style" w:hAnsi="Bookman Old Style" w:cs="Bookman Old Style"/>
          <w:color w:val="231F20"/>
          <w:sz w:val="18"/>
          <w:szCs w:val="18"/>
        </w:rPr>
        <w:softHyphen/>
        <w:t>сти, свободу торговли, невмешательство государства в экономику. Противоборство между наемными работниками и капиталистами А. Смит рассматривал как источник поступательного развития об</w:t>
      </w:r>
      <w:r w:rsidRPr="00350396">
        <w:rPr>
          <w:rFonts w:ascii="Bookman Old Style" w:eastAsia="Bookman Old Style" w:hAnsi="Bookman Old Style" w:cs="Bookman Old Style"/>
          <w:color w:val="231F20"/>
          <w:sz w:val="18"/>
          <w:szCs w:val="18"/>
        </w:rPr>
        <w:softHyphen/>
        <w:t>щества, а соперничество — как определенное благо человечества.</w:t>
      </w:r>
    </w:p>
    <w:p w14:paraId="47BB0298"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Немецкие философы </w:t>
      </w:r>
      <w:r w:rsidRPr="00350396">
        <w:rPr>
          <w:rFonts w:ascii="Bookman Old Style" w:eastAsia="Bookman Old Style" w:hAnsi="Bookman Old Style" w:cs="Bookman Old Style"/>
          <w:i/>
          <w:iCs/>
          <w:color w:val="231F20"/>
          <w:sz w:val="18"/>
          <w:szCs w:val="18"/>
        </w:rPr>
        <w:t>Готфрид Лейбниц</w:t>
      </w:r>
      <w:r w:rsidRPr="00350396">
        <w:rPr>
          <w:rFonts w:ascii="Bookman Old Style" w:eastAsia="Bookman Old Style" w:hAnsi="Bookman Old Style" w:cs="Bookman Old Style"/>
          <w:color w:val="231F20"/>
          <w:sz w:val="18"/>
          <w:szCs w:val="18"/>
        </w:rPr>
        <w:t xml:space="preserve"> (1646—1716) и </w:t>
      </w:r>
      <w:r w:rsidRPr="00350396">
        <w:rPr>
          <w:rFonts w:ascii="Bookman Old Style" w:eastAsia="Bookman Old Style" w:hAnsi="Bookman Old Style" w:cs="Bookman Old Style"/>
          <w:i/>
          <w:iCs/>
          <w:color w:val="231F20"/>
          <w:sz w:val="18"/>
          <w:szCs w:val="18"/>
        </w:rPr>
        <w:t>Иммануил Кант</w:t>
      </w:r>
      <w:r w:rsidRPr="00350396">
        <w:rPr>
          <w:rFonts w:ascii="Bookman Old Style" w:eastAsia="Bookman Old Style" w:hAnsi="Bookman Old Style" w:cs="Bookman Old Style"/>
          <w:color w:val="231F20"/>
          <w:sz w:val="18"/>
          <w:szCs w:val="18"/>
        </w:rPr>
        <w:t xml:space="preserve"> (1724</w:t>
      </w:r>
      <w:r w:rsidRPr="00350396">
        <w:rPr>
          <w:rFonts w:ascii="Bookman Old Style" w:eastAsia="Bookman Old Style" w:hAnsi="Bookman Old Style" w:cs="Bookman Old Style"/>
          <w:color w:val="595657"/>
          <w:sz w:val="18"/>
          <w:szCs w:val="18"/>
        </w:rPr>
        <w:t>—</w:t>
      </w:r>
      <w:r w:rsidRPr="00350396">
        <w:rPr>
          <w:rFonts w:ascii="Bookman Old Style" w:eastAsia="Bookman Old Style" w:hAnsi="Bookman Old Style" w:cs="Bookman Old Style"/>
          <w:color w:val="231F20"/>
          <w:sz w:val="18"/>
          <w:szCs w:val="18"/>
        </w:rPr>
        <w:t>1804) считали, что состояние мира и согласия между людьми должно устанавливаться на основе договора и достижения компромисса в общественно-экономической жизни. Кант, анализи</w:t>
      </w:r>
      <w:r w:rsidRPr="00350396">
        <w:rPr>
          <w:rFonts w:ascii="Bookman Old Style" w:eastAsia="Bookman Old Style" w:hAnsi="Bookman Old Style" w:cs="Bookman Old Style"/>
          <w:color w:val="231F20"/>
          <w:sz w:val="18"/>
          <w:szCs w:val="18"/>
        </w:rPr>
        <w:softHyphen/>
        <w:t>руя проблему связи соотносящихся сторон, рассматривал человече</w:t>
      </w:r>
      <w:r w:rsidRPr="00350396">
        <w:rPr>
          <w:rFonts w:ascii="Bookman Old Style" w:eastAsia="Bookman Old Style" w:hAnsi="Bookman Old Style" w:cs="Bookman Old Style"/>
          <w:color w:val="231F20"/>
          <w:sz w:val="18"/>
          <w:szCs w:val="18"/>
        </w:rPr>
        <w:softHyphen/>
        <w:t>ские отношения как систему их взаимодействия.</w:t>
      </w:r>
    </w:p>
    <w:p w14:paraId="6C5F6878"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Концепции справедливого обмена между товаропроизводителя</w:t>
      </w:r>
      <w:r w:rsidRPr="00350396">
        <w:rPr>
          <w:rFonts w:ascii="Bookman Old Style" w:eastAsia="Bookman Old Style" w:hAnsi="Bookman Old Style" w:cs="Bookman Old Style"/>
          <w:color w:val="231F20"/>
          <w:sz w:val="18"/>
          <w:szCs w:val="18"/>
        </w:rPr>
        <w:softHyphen/>
        <w:t xml:space="preserve">ми, идеи борьбы различных социальных сил исследовал </w:t>
      </w:r>
      <w:r w:rsidRPr="00350396">
        <w:rPr>
          <w:rFonts w:ascii="Bookman Old Style" w:eastAsia="Bookman Old Style" w:hAnsi="Bookman Old Style" w:cs="Bookman Old Style"/>
          <w:i/>
          <w:iCs/>
          <w:color w:val="231F20"/>
          <w:sz w:val="18"/>
          <w:szCs w:val="18"/>
        </w:rPr>
        <w:t>Пьер Жозеф Прудон</w:t>
      </w:r>
      <w:r w:rsidRPr="00350396">
        <w:rPr>
          <w:rFonts w:ascii="Bookman Old Style" w:eastAsia="Bookman Old Style" w:hAnsi="Bookman Old Style" w:cs="Bookman Old Style"/>
          <w:color w:val="231F20"/>
          <w:sz w:val="18"/>
          <w:szCs w:val="18"/>
        </w:rPr>
        <w:t xml:space="preserve"> (1809—1865).</w:t>
      </w:r>
    </w:p>
    <w:p w14:paraId="2337A8F9"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Французский утопист, участник двух революций 1830 и 1848 гг. </w:t>
      </w:r>
      <w:r w:rsidRPr="00350396">
        <w:rPr>
          <w:rFonts w:ascii="Bookman Old Style" w:eastAsia="Bookman Old Style" w:hAnsi="Bookman Old Style" w:cs="Bookman Old Style"/>
          <w:i/>
          <w:iCs/>
          <w:color w:val="231F20"/>
          <w:sz w:val="18"/>
          <w:szCs w:val="18"/>
        </w:rPr>
        <w:t>Луи Огюст Бланки</w:t>
      </w:r>
      <w:r w:rsidRPr="00350396">
        <w:rPr>
          <w:rFonts w:ascii="Bookman Old Style" w:eastAsia="Bookman Old Style" w:hAnsi="Bookman Old Style" w:cs="Bookman Old Style"/>
          <w:color w:val="231F20"/>
          <w:sz w:val="18"/>
          <w:szCs w:val="18"/>
        </w:rPr>
        <w:t xml:space="preserve"> (1805—1881), проведший почти половину жиз</w:t>
      </w:r>
      <w:r w:rsidRPr="00350396">
        <w:rPr>
          <w:rFonts w:ascii="Bookman Old Style" w:eastAsia="Bookman Old Style" w:hAnsi="Bookman Old Style" w:cs="Bookman Old Style"/>
          <w:color w:val="231F20"/>
          <w:sz w:val="18"/>
          <w:szCs w:val="18"/>
        </w:rPr>
        <w:softHyphen/>
        <w:t>ни в заключении, дважды приговоренный к смертной казни, резко критикуя капиталистическое общество, раскрывал борьбу нацио</w:t>
      </w:r>
      <w:r w:rsidRPr="00350396">
        <w:rPr>
          <w:rFonts w:ascii="Bookman Old Style" w:eastAsia="Bookman Old Style" w:hAnsi="Bookman Old Style" w:cs="Bookman Old Style"/>
          <w:color w:val="231F20"/>
          <w:sz w:val="18"/>
          <w:szCs w:val="18"/>
        </w:rPr>
        <w:softHyphen/>
        <w:t>нальных сил и объяснял исторический прогресс распространением просвещения и формированием на этой основе цивилизованных общественных отношений.</w:t>
      </w:r>
    </w:p>
    <w:p w14:paraId="295A2928"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Теоретико-концептуальные основы социального партнерства на</w:t>
      </w:r>
      <w:r w:rsidRPr="00350396">
        <w:rPr>
          <w:rFonts w:ascii="Bookman Old Style" w:eastAsia="Bookman Old Style" w:hAnsi="Bookman Old Style" w:cs="Bookman Old Style"/>
          <w:color w:val="231F20"/>
          <w:sz w:val="18"/>
          <w:szCs w:val="18"/>
        </w:rPr>
        <w:softHyphen/>
        <w:t xml:space="preserve">ходят воплощение в разработке теорий социального действия </w:t>
      </w:r>
      <w:r w:rsidRPr="00350396">
        <w:rPr>
          <w:rFonts w:ascii="Bookman Old Style" w:eastAsia="Bookman Old Style" w:hAnsi="Bookman Old Style" w:cs="Bookman Old Style"/>
          <w:i/>
          <w:iCs/>
          <w:color w:val="231F20"/>
          <w:sz w:val="18"/>
          <w:szCs w:val="18"/>
        </w:rPr>
        <w:t xml:space="preserve">(Макс </w:t>
      </w:r>
      <w:r w:rsidRPr="00350396">
        <w:rPr>
          <w:rFonts w:ascii="Bookman Old Style" w:eastAsia="Bookman Old Style" w:hAnsi="Bookman Old Style" w:cs="Bookman Old Style"/>
          <w:i/>
          <w:iCs/>
          <w:color w:val="231F20"/>
          <w:sz w:val="18"/>
          <w:szCs w:val="18"/>
          <w:vertAlign w:val="superscript"/>
        </w:rPr>
        <w:footnoteReference w:id="23"/>
      </w:r>
    </w:p>
    <w:p w14:paraId="02E9AF10" w14:textId="77777777" w:rsidR="00350396" w:rsidRPr="00350396" w:rsidRDefault="00350396" w:rsidP="00350396">
      <w:pPr>
        <w:widowControl w:val="0"/>
        <w:spacing w:line="250" w:lineRule="exact"/>
        <w:ind w:firstLine="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Вебер, Толкотт Парсонс),</w:t>
      </w:r>
      <w:r w:rsidRPr="00350396">
        <w:rPr>
          <w:rFonts w:ascii="Bookman Old Style" w:eastAsia="Bookman Old Style" w:hAnsi="Bookman Old Style" w:cs="Bookman Old Style"/>
          <w:color w:val="231F20"/>
          <w:sz w:val="18"/>
          <w:szCs w:val="18"/>
        </w:rPr>
        <w:t xml:space="preserve"> социальной солидарности (</w:t>
      </w:r>
      <w:r w:rsidRPr="00350396">
        <w:rPr>
          <w:rFonts w:ascii="Bookman Old Style" w:eastAsia="Bookman Old Style" w:hAnsi="Bookman Old Style" w:cs="Bookman Old Style"/>
          <w:i/>
          <w:iCs/>
          <w:color w:val="231F20"/>
          <w:sz w:val="18"/>
          <w:szCs w:val="18"/>
        </w:rPr>
        <w:t>Эмиль Дюрк- гейм),</w:t>
      </w:r>
      <w:r w:rsidRPr="00350396">
        <w:rPr>
          <w:rFonts w:ascii="Bookman Old Style" w:eastAsia="Bookman Old Style" w:hAnsi="Bookman Old Style" w:cs="Bookman Old Style"/>
          <w:color w:val="231F20"/>
          <w:sz w:val="18"/>
          <w:szCs w:val="18"/>
        </w:rPr>
        <w:t xml:space="preserve"> а также таких близких и довольно часто употребляемых по</w:t>
      </w:r>
      <w:r w:rsidRPr="00350396">
        <w:rPr>
          <w:rFonts w:ascii="Bookman Old Style" w:eastAsia="Bookman Old Style" w:hAnsi="Bookman Old Style" w:cs="Bookman Old Style"/>
          <w:color w:val="231F20"/>
          <w:sz w:val="18"/>
          <w:szCs w:val="18"/>
        </w:rPr>
        <w:softHyphen/>
        <w:t>нятий, как социальное согласие, социальная сплоченность</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59EDAFE2"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Проблемы согласования интересов социальных групп были цен</w:t>
      </w:r>
      <w:r w:rsidRPr="00350396">
        <w:rPr>
          <w:rFonts w:ascii="Bookman Old Style" w:eastAsia="Bookman Old Style" w:hAnsi="Bookman Old Style" w:cs="Bookman Old Style"/>
          <w:color w:val="231F20"/>
          <w:sz w:val="18"/>
          <w:szCs w:val="18"/>
        </w:rPr>
        <w:softHyphen/>
        <w:t xml:space="preserve">тральными в публикациях и практической деятельности </w:t>
      </w:r>
      <w:r w:rsidRPr="00350396">
        <w:rPr>
          <w:rFonts w:ascii="Bookman Old Style" w:eastAsia="Bookman Old Style" w:hAnsi="Bookman Old Style" w:cs="Bookman Old Style"/>
          <w:i/>
          <w:iCs/>
          <w:color w:val="231F20"/>
          <w:sz w:val="18"/>
          <w:szCs w:val="18"/>
        </w:rPr>
        <w:t>Шарля Фу</w:t>
      </w:r>
      <w:r w:rsidRPr="00350396">
        <w:rPr>
          <w:rFonts w:ascii="Bookman Old Style" w:eastAsia="Bookman Old Style" w:hAnsi="Bookman Old Style" w:cs="Bookman Old Style"/>
          <w:i/>
          <w:iCs/>
          <w:color w:val="231F20"/>
          <w:sz w:val="18"/>
          <w:szCs w:val="18"/>
        </w:rPr>
        <w:softHyphen/>
        <w:t>рье</w:t>
      </w:r>
      <w:r w:rsidRPr="00350396">
        <w:rPr>
          <w:rFonts w:ascii="Bookman Old Style" w:eastAsia="Bookman Old Style" w:hAnsi="Bookman Old Style" w:cs="Bookman Old Style"/>
          <w:color w:val="231F20"/>
          <w:sz w:val="18"/>
          <w:szCs w:val="18"/>
        </w:rPr>
        <w:t xml:space="preserve"> (1772—1837), </w:t>
      </w:r>
      <w:r w:rsidRPr="00350396">
        <w:rPr>
          <w:rFonts w:ascii="Bookman Old Style" w:eastAsia="Bookman Old Style" w:hAnsi="Bookman Old Style" w:cs="Bookman Old Style"/>
          <w:i/>
          <w:iCs/>
          <w:color w:val="231F20"/>
          <w:sz w:val="18"/>
          <w:szCs w:val="18"/>
        </w:rPr>
        <w:t>Анри Сен-Симона</w:t>
      </w:r>
      <w:r w:rsidRPr="00350396">
        <w:rPr>
          <w:rFonts w:ascii="Bookman Old Style" w:eastAsia="Bookman Old Style" w:hAnsi="Bookman Old Style" w:cs="Bookman Old Style"/>
          <w:color w:val="231F20"/>
          <w:sz w:val="18"/>
          <w:szCs w:val="18"/>
        </w:rPr>
        <w:t xml:space="preserve"> (1760—1825), </w:t>
      </w:r>
      <w:r w:rsidRPr="00350396">
        <w:rPr>
          <w:rFonts w:ascii="Bookman Old Style" w:eastAsia="Bookman Old Style" w:hAnsi="Bookman Old Style" w:cs="Bookman Old Style"/>
          <w:i/>
          <w:iCs/>
          <w:color w:val="231F20"/>
          <w:sz w:val="18"/>
          <w:szCs w:val="18"/>
        </w:rPr>
        <w:t xml:space="preserve">Роберта Оуэна </w:t>
      </w:r>
      <w:r w:rsidRPr="00350396">
        <w:rPr>
          <w:rFonts w:ascii="Bookman Old Style" w:eastAsia="Bookman Old Style" w:hAnsi="Bookman Old Style" w:cs="Bookman Old Style"/>
          <w:color w:val="231F20"/>
          <w:sz w:val="18"/>
          <w:szCs w:val="18"/>
        </w:rPr>
        <w:t>(1771—1858). Их идеи охватывают важнейшие сферы жизни обще</w:t>
      </w:r>
      <w:r w:rsidRPr="00350396">
        <w:rPr>
          <w:rFonts w:ascii="Bookman Old Style" w:eastAsia="Bookman Old Style" w:hAnsi="Bookman Old Style" w:cs="Bookman Old Style"/>
          <w:color w:val="231F20"/>
          <w:sz w:val="18"/>
          <w:szCs w:val="18"/>
        </w:rPr>
        <w:softHyphen/>
        <w:t xml:space="preserve">ства: производство, обмен, распределение, воспитание, обучение, быт и др. В </w:t>
      </w:r>
      <w:r w:rsidRPr="00350396">
        <w:rPr>
          <w:rFonts w:ascii="Bookman Old Style" w:eastAsia="Bookman Old Style" w:hAnsi="Bookman Old Style" w:cs="Bookman Old Style"/>
          <w:color w:val="231F20"/>
          <w:sz w:val="18"/>
          <w:szCs w:val="18"/>
        </w:rPr>
        <w:lastRenderedPageBreak/>
        <w:t>частности, Фурье предлагал делить чистый доход между капиталом, талантом и трудом в пропорции 4/12, 3/12, 5/12 соот</w:t>
      </w:r>
      <w:r w:rsidRPr="00350396">
        <w:rPr>
          <w:rFonts w:ascii="Bookman Old Style" w:eastAsia="Bookman Old Style" w:hAnsi="Bookman Old Style" w:cs="Bookman Old Style"/>
          <w:color w:val="231F20"/>
          <w:sz w:val="18"/>
          <w:szCs w:val="18"/>
        </w:rPr>
        <w:softHyphen/>
        <w:t>ветственно. Работы Фурье, Сен-Симона, Оуэна оказали существен</w:t>
      </w:r>
      <w:r w:rsidRPr="00350396">
        <w:rPr>
          <w:rFonts w:ascii="Bookman Old Style" w:eastAsia="Bookman Old Style" w:hAnsi="Bookman Old Style" w:cs="Bookman Old Style"/>
          <w:color w:val="231F20"/>
          <w:sz w:val="18"/>
          <w:szCs w:val="18"/>
        </w:rPr>
        <w:softHyphen/>
        <w:t>ное влияние на многих экономистов, в том числе одного из круп</w:t>
      </w:r>
      <w:r w:rsidRPr="00350396">
        <w:rPr>
          <w:rFonts w:ascii="Bookman Old Style" w:eastAsia="Bookman Old Style" w:hAnsi="Bookman Old Style" w:cs="Bookman Old Style"/>
          <w:color w:val="231F20"/>
          <w:sz w:val="18"/>
          <w:szCs w:val="18"/>
        </w:rPr>
        <w:softHyphen/>
        <w:t>нейших идеологов XIX в. — Джона Стюарта Милля, считавшего достоинством предложений Фурье обеспечение конструктивного сотрудничества труда и капитала.</w:t>
      </w:r>
    </w:p>
    <w:p w14:paraId="0E815E5A"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По-видимому, </w:t>
      </w:r>
      <w:r w:rsidRPr="00350396">
        <w:rPr>
          <w:rFonts w:ascii="Bookman Old Style" w:eastAsia="Bookman Old Style" w:hAnsi="Bookman Old Style" w:cs="Bookman Old Style"/>
          <w:i/>
          <w:iCs/>
          <w:color w:val="231F20"/>
          <w:sz w:val="18"/>
          <w:szCs w:val="18"/>
        </w:rPr>
        <w:t>Джон Стюарт Милль</w:t>
      </w:r>
      <w:r w:rsidRPr="00350396">
        <w:rPr>
          <w:rFonts w:ascii="Bookman Old Style" w:eastAsia="Bookman Old Style" w:hAnsi="Bookman Old Style" w:cs="Bookman Old Style"/>
          <w:color w:val="231F20"/>
          <w:sz w:val="18"/>
          <w:szCs w:val="18"/>
        </w:rPr>
        <w:t xml:space="preserve"> (1806—1873) был одним из первых, кто использовал термин «партнерство» для социальных отношений. По этому поводу он писал: «Отношения... между хозяй</w:t>
      </w:r>
      <w:r w:rsidRPr="00350396">
        <w:rPr>
          <w:rFonts w:ascii="Bookman Old Style" w:eastAsia="Bookman Old Style" w:hAnsi="Bookman Old Style" w:cs="Bookman Old Style"/>
          <w:color w:val="231F20"/>
          <w:sz w:val="18"/>
          <w:szCs w:val="18"/>
        </w:rPr>
        <w:softHyphen/>
        <w:t>ками и работниками будут постепенно вытеснены отношениями партнерства в одной из двух форм; в некоторых случаях произой</w:t>
      </w:r>
      <w:r w:rsidRPr="00350396">
        <w:rPr>
          <w:rFonts w:ascii="Bookman Old Style" w:eastAsia="Bookman Old Style" w:hAnsi="Bookman Old Style" w:cs="Bookman Old Style"/>
          <w:color w:val="231F20"/>
          <w:sz w:val="18"/>
          <w:szCs w:val="18"/>
        </w:rPr>
        <w:softHyphen/>
        <w:t>дет объединение рабочих с капиталистами, в других. объединение рабочих между собой».</w:t>
      </w:r>
    </w:p>
    <w:p w14:paraId="140D66BC"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Он описал уже складывающуюся практику партнерства на рын</w:t>
      </w:r>
      <w:r w:rsidRPr="00350396">
        <w:rPr>
          <w:rFonts w:ascii="Bookman Old Style" w:eastAsia="Bookman Old Style" w:hAnsi="Bookman Old Style" w:cs="Bookman Old Style"/>
          <w:color w:val="231F20"/>
          <w:sz w:val="18"/>
          <w:szCs w:val="18"/>
        </w:rPr>
        <w:softHyphen/>
        <w:t>ке труда: «Другой проект, нашедший много защитников среди рабочих лидеров, состоит в создании советов, в Англии получив</w:t>
      </w:r>
      <w:r w:rsidRPr="00350396">
        <w:rPr>
          <w:rFonts w:ascii="Bookman Old Style" w:eastAsia="Bookman Old Style" w:hAnsi="Bookman Old Style" w:cs="Bookman Old Style"/>
          <w:color w:val="231F20"/>
          <w:sz w:val="18"/>
          <w:szCs w:val="18"/>
        </w:rPr>
        <w:softHyphen/>
        <w:t xml:space="preserve">ших название «местные промышленные советы», во Франции —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conseildesprudkommes</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(«посреднические советы») и др. В такие советы входили бы делегаты от рабочих и предпринимателей, ко</w:t>
      </w:r>
      <w:r w:rsidRPr="00350396">
        <w:rPr>
          <w:rFonts w:ascii="Bookman Old Style" w:eastAsia="Bookman Old Style" w:hAnsi="Bookman Old Style" w:cs="Bookman Old Style"/>
          <w:color w:val="231F20"/>
          <w:sz w:val="18"/>
          <w:szCs w:val="18"/>
        </w:rPr>
        <w:softHyphen/>
        <w:t>торые, собравшись на конференцию, договаривались бы относи</w:t>
      </w:r>
      <w:r w:rsidRPr="00350396">
        <w:rPr>
          <w:rFonts w:ascii="Bookman Old Style" w:eastAsia="Bookman Old Style" w:hAnsi="Bookman Old Style" w:cs="Bookman Old Style"/>
          <w:color w:val="231F20"/>
          <w:sz w:val="18"/>
          <w:szCs w:val="18"/>
        </w:rPr>
        <w:softHyphen/>
        <w:t>тельно нормы заработной платы и с помощью правительственной власти провозглашали бы эту норму обязательной как для пред</w:t>
      </w:r>
      <w:r w:rsidRPr="00350396">
        <w:rPr>
          <w:rFonts w:ascii="Bookman Old Style" w:eastAsia="Bookman Old Style" w:hAnsi="Bookman Old Style" w:cs="Bookman Old Style"/>
          <w:color w:val="231F20"/>
          <w:sz w:val="18"/>
          <w:szCs w:val="18"/>
        </w:rPr>
        <w:softHyphen/>
        <w:t>принимателей, так и для рабочих. Основой для таких соглашений должно служить не состояние рынка рабочей силы, а естественная справедливость. Совет должен обеспечить, чтобы рабочие получа</w:t>
      </w:r>
      <w:r w:rsidRPr="00350396">
        <w:rPr>
          <w:rFonts w:ascii="Bookman Old Style" w:eastAsia="Bookman Old Style" w:hAnsi="Bookman Old Style" w:cs="Bookman Old Style"/>
          <w:color w:val="231F20"/>
          <w:sz w:val="18"/>
          <w:szCs w:val="18"/>
        </w:rPr>
        <w:softHyphen/>
        <w:t xml:space="preserve">ли </w:t>
      </w:r>
      <w:r w:rsidRPr="00350396">
        <w:rPr>
          <w:rFonts w:ascii="Bookman Old Style" w:eastAsia="Bookman Old Style" w:hAnsi="Bookman Old Style" w:cs="Bookman Old Style"/>
          <w:i/>
          <w:iCs/>
          <w:color w:val="231F20"/>
          <w:sz w:val="18"/>
          <w:szCs w:val="18"/>
        </w:rPr>
        <w:t>справедливую</w:t>
      </w:r>
      <w:r w:rsidRPr="00350396">
        <w:rPr>
          <w:rFonts w:ascii="Bookman Old Style" w:eastAsia="Bookman Old Style" w:hAnsi="Bookman Old Style" w:cs="Bookman Old Style"/>
          <w:color w:val="231F20"/>
          <w:sz w:val="18"/>
          <w:szCs w:val="18"/>
        </w:rPr>
        <w:t xml:space="preserve"> заработную плату, а капиталисты — справедливую прибыль»</w:t>
      </w:r>
      <w:r w:rsidRPr="00350396">
        <w:rPr>
          <w:rFonts w:ascii="Bookman Old Style" w:eastAsia="Bookman Old Style" w:hAnsi="Bookman Old Style" w:cs="Bookman Old Style"/>
          <w:color w:val="231F20"/>
          <w:sz w:val="18"/>
          <w:szCs w:val="18"/>
          <w:vertAlign w:val="superscript"/>
        </w:rPr>
        <w:footnoteReference w:id="24"/>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25"/>
      </w:r>
      <w:r w:rsidRPr="00350396">
        <w:rPr>
          <w:rFonts w:ascii="Bookman Old Style" w:eastAsia="Bookman Old Style" w:hAnsi="Bookman Old Style" w:cs="Bookman Old Style"/>
          <w:color w:val="231F20"/>
          <w:sz w:val="18"/>
          <w:szCs w:val="18"/>
        </w:rPr>
        <w:t>.</w:t>
      </w:r>
    </w:p>
    <w:p w14:paraId="612AEB13"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Существенное внимание уделено проблемам сотрудничества труда и капитала в работах </w:t>
      </w:r>
      <w:r w:rsidRPr="00350396">
        <w:rPr>
          <w:rFonts w:ascii="Bookman Old Style" w:eastAsia="Bookman Old Style" w:hAnsi="Bookman Old Style" w:cs="Bookman Old Style"/>
          <w:i/>
          <w:iCs/>
          <w:color w:val="231F20"/>
          <w:sz w:val="18"/>
          <w:szCs w:val="18"/>
        </w:rPr>
        <w:t>Альфреда Маршалла</w:t>
      </w:r>
      <w:r w:rsidRPr="00350396">
        <w:rPr>
          <w:rFonts w:ascii="Bookman Old Style" w:eastAsia="Bookman Old Style" w:hAnsi="Bookman Old Style" w:cs="Bookman Old Style"/>
          <w:color w:val="231F20"/>
          <w:sz w:val="18"/>
          <w:szCs w:val="18"/>
        </w:rPr>
        <w:t xml:space="preserve"> (1842—1924), ко</w:t>
      </w:r>
      <w:r w:rsidRPr="00350396">
        <w:rPr>
          <w:rFonts w:ascii="Bookman Old Style" w:eastAsia="Bookman Old Style" w:hAnsi="Bookman Old Style" w:cs="Bookman Old Style"/>
          <w:color w:val="231F20"/>
          <w:sz w:val="18"/>
          <w:szCs w:val="18"/>
        </w:rPr>
        <w:softHyphen/>
        <w:t xml:space="preserve">торый подчеркивал, что доходы рабочих зависят от авансирования труда капиталом. Он пишет: </w:t>
      </w:r>
      <w:r w:rsidRPr="00350396">
        <w:rPr>
          <w:rFonts w:ascii="Bookman Old Style" w:eastAsia="Bookman Old Style" w:hAnsi="Bookman Old Style" w:cs="Bookman Old Style"/>
          <w:color w:val="231F20"/>
          <w:sz w:val="18"/>
          <w:szCs w:val="18"/>
          <w:highlight w:val="green"/>
        </w:rPr>
        <w:t>«благодаря</w:t>
      </w:r>
      <w:r w:rsidRPr="00350396">
        <w:rPr>
          <w:rFonts w:ascii="Bookman Old Style" w:eastAsia="Bookman Old Style" w:hAnsi="Bookman Old Style" w:cs="Bookman Old Style"/>
          <w:color w:val="231F20"/>
          <w:sz w:val="18"/>
          <w:szCs w:val="18"/>
        </w:rPr>
        <w:t xml:space="preserve"> капиталу и знаниям ря</w:t>
      </w:r>
      <w:r w:rsidRPr="00350396">
        <w:rPr>
          <w:rFonts w:ascii="Bookman Old Style" w:eastAsia="Bookman Old Style" w:hAnsi="Bookman Old Style" w:cs="Bookman Old Style"/>
          <w:color w:val="231F20"/>
          <w:sz w:val="18"/>
          <w:szCs w:val="18"/>
        </w:rPr>
        <w:softHyphen/>
        <w:t>довой рабочий западного мира питается, одевается и даже обеспе</w:t>
      </w:r>
      <w:r w:rsidRPr="00350396">
        <w:rPr>
          <w:rFonts w:ascii="Bookman Old Style" w:eastAsia="Bookman Old Style" w:hAnsi="Bookman Old Style" w:cs="Bookman Old Style"/>
          <w:color w:val="231F20"/>
          <w:sz w:val="18"/>
          <w:szCs w:val="18"/>
        </w:rPr>
        <w:softHyphen/>
        <w:t>чен жильем во многих отношениях лучше, чем принцы в прежние времена. Сотрудничество столь же обязательно, как и сотрудниче</w:t>
      </w:r>
      <w:r w:rsidRPr="00350396">
        <w:rPr>
          <w:rFonts w:ascii="Bookman Old Style" w:eastAsia="Bookman Old Style" w:hAnsi="Bookman Old Style" w:cs="Bookman Old Style"/>
          <w:color w:val="231F20"/>
          <w:sz w:val="18"/>
          <w:szCs w:val="18"/>
        </w:rPr>
        <w:softHyphen/>
      </w:r>
      <w:bookmarkStart w:id="35" w:name="bookmark35"/>
      <w:r w:rsidRPr="00350396">
        <w:rPr>
          <w:rFonts w:ascii="Bookman Old Style" w:eastAsia="Bookman Old Style" w:hAnsi="Bookman Old Style" w:cs="Bookman Old Style"/>
          <w:color w:val="231F20"/>
          <w:sz w:val="18"/>
          <w:szCs w:val="18"/>
        </w:rPr>
        <w:t>ство между прядильщиками и ткачами»</w:t>
      </w:r>
      <w:r w:rsidRPr="00350396">
        <w:rPr>
          <w:rFonts w:ascii="Bookman Old Style" w:eastAsia="Bookman Old Style" w:hAnsi="Bookman Old Style" w:cs="Bookman Old Style"/>
          <w:color w:val="231F20"/>
          <w:sz w:val="18"/>
          <w:szCs w:val="18"/>
          <w:vertAlign w:val="superscript"/>
        </w:rPr>
        <w:footnoteReference w:id="26"/>
      </w:r>
      <w:r w:rsidRPr="00350396">
        <w:rPr>
          <w:rFonts w:ascii="Bookman Old Style" w:eastAsia="Bookman Old Style" w:hAnsi="Bookman Old Style" w:cs="Bookman Old Style"/>
          <w:color w:val="231F20"/>
          <w:sz w:val="18"/>
          <w:szCs w:val="18"/>
        </w:rPr>
        <w:t>. Он критически оценивал общественные результаты конкуренции. Писал, в частности, что даже если конкуренция созидательна, она приносит меньше поль</w:t>
      </w:r>
      <w:r w:rsidRPr="00350396">
        <w:rPr>
          <w:rFonts w:ascii="Bookman Old Style" w:eastAsia="Bookman Old Style" w:hAnsi="Bookman Old Style" w:cs="Bookman Old Style"/>
          <w:color w:val="231F20"/>
          <w:sz w:val="18"/>
          <w:szCs w:val="18"/>
        </w:rPr>
        <w:softHyphen/>
        <w:t>зы, чем сотрудничество: «Термин “конкуренция” отдает слишком большим привкусом зла, он стал подразумевать известную долю эгоизма и безразличия к благополучию других людей»</w:t>
      </w:r>
      <w:r w:rsidRPr="00350396">
        <w:rPr>
          <w:rFonts w:ascii="Bookman Old Style" w:eastAsia="Bookman Old Style" w:hAnsi="Bookman Old Style" w:cs="Bookman Old Style"/>
          <w:color w:val="231F20"/>
          <w:sz w:val="18"/>
          <w:szCs w:val="18"/>
          <w:vertAlign w:val="superscript"/>
        </w:rPr>
        <w:footnoteReference w:id="27"/>
      </w:r>
      <w:r w:rsidRPr="00350396">
        <w:rPr>
          <w:rFonts w:ascii="Bookman Old Style" w:eastAsia="Bookman Old Style" w:hAnsi="Bookman Old Style" w:cs="Bookman Old Style"/>
          <w:color w:val="231F20"/>
          <w:sz w:val="18"/>
          <w:szCs w:val="18"/>
        </w:rPr>
        <w:t>.</w:t>
      </w:r>
      <w:bookmarkEnd w:id="35"/>
    </w:p>
    <w:p w14:paraId="46891B42"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Поскольку основной целью социального партнерства является обеспечение устойчивого эволюционного развития общества, важ</w:t>
      </w:r>
      <w:r w:rsidRPr="00350396">
        <w:rPr>
          <w:rFonts w:ascii="Bookman Old Style" w:eastAsia="Bookman Old Style" w:hAnsi="Bookman Old Style" w:cs="Bookman Old Style"/>
          <w:color w:val="231F20"/>
          <w:sz w:val="18"/>
          <w:szCs w:val="18"/>
        </w:rPr>
        <w:softHyphen/>
        <w:t xml:space="preserve">но определение условий, при которых такое развитие может стать возможным. Эти условия были рассмотрены еще в 1920-х гг. </w:t>
      </w:r>
      <w:r w:rsidRPr="00350396">
        <w:rPr>
          <w:rFonts w:ascii="Bookman Old Style" w:eastAsia="Bookman Old Style" w:hAnsi="Bookman Old Style" w:cs="Bookman Old Style"/>
          <w:i/>
          <w:iCs/>
          <w:color w:val="231F20"/>
          <w:sz w:val="18"/>
          <w:szCs w:val="18"/>
        </w:rPr>
        <w:t xml:space="preserve">Пити- </w:t>
      </w:r>
      <w:r w:rsidRPr="00350396">
        <w:rPr>
          <w:rFonts w:ascii="Bookman Old Style" w:eastAsia="Bookman Old Style" w:hAnsi="Bookman Old Style" w:cs="Bookman Old Style"/>
          <w:i/>
          <w:iCs/>
          <w:color w:val="231F20"/>
          <w:sz w:val="18"/>
          <w:szCs w:val="18"/>
        </w:rPr>
        <w:lastRenderedPageBreak/>
        <w:t>римом Сорокин</w:t>
      </w:r>
      <w:r w:rsidRPr="00350396">
        <w:rPr>
          <w:rFonts w:ascii="Bookman Old Style" w:eastAsia="Bookman Old Style" w:hAnsi="Bookman Old Style" w:cs="Bookman Old Style"/>
          <w:i/>
          <w:iCs/>
          <w:color w:val="B2B1B2"/>
          <w:sz w:val="18"/>
          <w:szCs w:val="18"/>
        </w:rPr>
        <w:t>ы</w:t>
      </w:r>
      <w:r w:rsidRPr="00350396">
        <w:rPr>
          <w:rFonts w:ascii="Bookman Old Style" w:eastAsia="Bookman Old Style" w:hAnsi="Bookman Old Style" w:cs="Bookman Old Style"/>
          <w:i/>
          <w:iCs/>
          <w:color w:val="231F20"/>
          <w:sz w:val="18"/>
          <w:szCs w:val="18"/>
        </w:rPr>
        <w:t>м</w:t>
      </w:r>
      <w:r w:rsidRPr="00350396">
        <w:rPr>
          <w:rFonts w:ascii="Bookman Old Style" w:eastAsia="Bookman Old Style" w:hAnsi="Bookman Old Style" w:cs="Bookman Old Style"/>
          <w:color w:val="231F20"/>
          <w:sz w:val="18"/>
          <w:szCs w:val="18"/>
        </w:rPr>
        <w:t xml:space="preserve"> (1889—1968). Он установил, что устойчивость общественной системы зависит от двух основных параметров — уровня жизни большинства населения и степени дифференциации доходов. Чем ниже уровень жизни и чем больше различия между богатыми и бедными, тем популярнее призывы к свержению вла</w:t>
      </w:r>
      <w:r w:rsidRPr="00350396">
        <w:rPr>
          <w:rFonts w:ascii="Bookman Old Style" w:eastAsia="Bookman Old Style" w:hAnsi="Bookman Old Style" w:cs="Bookman Old Style"/>
          <w:color w:val="231F20"/>
          <w:sz w:val="18"/>
          <w:szCs w:val="18"/>
        </w:rPr>
        <w:softHyphen/>
        <w:t>сти и переделу собственности с соответствующими практическими действиями. Свои выводы П. Сорокин иллюстрировал примера</w:t>
      </w:r>
      <w:r w:rsidRPr="00350396">
        <w:rPr>
          <w:rFonts w:ascii="Bookman Old Style" w:eastAsia="Bookman Old Style" w:hAnsi="Bookman Old Style" w:cs="Bookman Old Style"/>
          <w:color w:val="231F20"/>
          <w:sz w:val="18"/>
          <w:szCs w:val="18"/>
        </w:rPr>
        <w:softHyphen/>
        <w:t>ми из истории Древнего мира, Средних веков, Новейшей истории и истории церкви. При этом во всех случаях оказывалось, что идео</w:t>
      </w:r>
      <w:r w:rsidRPr="00350396">
        <w:rPr>
          <w:rFonts w:ascii="Bookman Old Style" w:eastAsia="Bookman Old Style" w:hAnsi="Bookman Old Style" w:cs="Bookman Old Style"/>
          <w:color w:val="231F20"/>
          <w:sz w:val="18"/>
          <w:szCs w:val="18"/>
        </w:rPr>
        <w:softHyphen/>
        <w:t>логи и вожди бедноты после захвата власти достаточно быстро ме</w:t>
      </w:r>
      <w:r w:rsidRPr="00350396">
        <w:rPr>
          <w:rFonts w:ascii="Bookman Old Style" w:eastAsia="Bookman Old Style" w:hAnsi="Bookman Old Style" w:cs="Bookman Old Style"/>
          <w:color w:val="231F20"/>
          <w:sz w:val="18"/>
          <w:szCs w:val="18"/>
        </w:rPr>
        <w:softHyphen/>
        <w:t>няли свои уравнительные убеждения, становились богатыми людь</w:t>
      </w:r>
      <w:r w:rsidRPr="00350396">
        <w:rPr>
          <w:rFonts w:ascii="Bookman Old Style" w:eastAsia="Bookman Old Style" w:hAnsi="Bookman Old Style" w:cs="Bookman Old Style"/>
          <w:color w:val="231F20"/>
          <w:sz w:val="18"/>
          <w:szCs w:val="18"/>
        </w:rPr>
        <w:softHyphen/>
        <w:t>ми и ярыми защитниками привилегий хозяев.</w:t>
      </w:r>
    </w:p>
    <w:p w14:paraId="14E78746" w14:textId="77777777" w:rsidR="00350396" w:rsidRPr="00350396" w:rsidRDefault="00350396" w:rsidP="00350396">
      <w:pPr>
        <w:widowControl w:val="0"/>
        <w:spacing w:after="521"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Существенное влияние на развитие идеи социального партнер</w:t>
      </w:r>
      <w:r w:rsidRPr="00350396">
        <w:rPr>
          <w:rFonts w:ascii="Bookman Old Style" w:eastAsia="Bookman Old Style" w:hAnsi="Bookman Old Style" w:cs="Bookman Old Style"/>
          <w:color w:val="231F20"/>
          <w:sz w:val="18"/>
          <w:szCs w:val="18"/>
        </w:rPr>
        <w:softHyphen/>
        <w:t xml:space="preserve">ства оказали немецкие экономисты </w:t>
      </w:r>
      <w:r w:rsidRPr="00350396">
        <w:rPr>
          <w:rFonts w:ascii="Bookman Old Style" w:eastAsia="Bookman Old Style" w:hAnsi="Bookman Old Style" w:cs="Bookman Old Style"/>
          <w:i/>
          <w:iCs/>
          <w:color w:val="231F20"/>
          <w:sz w:val="18"/>
          <w:szCs w:val="18"/>
        </w:rPr>
        <w:t>Вильгельм Репке</w:t>
      </w:r>
      <w:r w:rsidRPr="00350396">
        <w:rPr>
          <w:rFonts w:ascii="Bookman Old Style" w:eastAsia="Bookman Old Style" w:hAnsi="Bookman Old Style" w:cs="Bookman Old Style"/>
          <w:color w:val="231F20"/>
          <w:sz w:val="18"/>
          <w:szCs w:val="18"/>
        </w:rPr>
        <w:t xml:space="preserve"> (1899—1966), </w:t>
      </w:r>
      <w:r w:rsidRPr="00350396">
        <w:rPr>
          <w:rFonts w:ascii="Bookman Old Style" w:eastAsia="Bookman Old Style" w:hAnsi="Bookman Old Style" w:cs="Bookman Old Style"/>
          <w:i/>
          <w:iCs/>
          <w:color w:val="231F20"/>
          <w:sz w:val="18"/>
          <w:szCs w:val="18"/>
        </w:rPr>
        <w:t>Альфред Мюллер-Армак</w:t>
      </w:r>
      <w:r w:rsidRPr="00350396">
        <w:rPr>
          <w:rFonts w:ascii="Bookman Old Style" w:eastAsia="Bookman Old Style" w:hAnsi="Bookman Old Style" w:cs="Bookman Old Style"/>
          <w:color w:val="231F20"/>
          <w:sz w:val="18"/>
          <w:szCs w:val="18"/>
        </w:rPr>
        <w:t xml:space="preserve"> (1901—1978) и </w:t>
      </w:r>
      <w:r w:rsidRPr="00350396">
        <w:rPr>
          <w:rFonts w:ascii="Bookman Old Style" w:eastAsia="Bookman Old Style" w:hAnsi="Bookman Old Style" w:cs="Bookman Old Style"/>
          <w:i/>
          <w:iCs/>
          <w:color w:val="231F20"/>
          <w:sz w:val="18"/>
          <w:szCs w:val="18"/>
        </w:rPr>
        <w:t>Людвиг Эрхард</w:t>
      </w:r>
      <w:r w:rsidRPr="00350396">
        <w:rPr>
          <w:rFonts w:ascii="Bookman Old Style" w:eastAsia="Bookman Old Style" w:hAnsi="Bookman Old Style" w:cs="Bookman Old Style"/>
          <w:color w:val="231F20"/>
          <w:sz w:val="18"/>
          <w:szCs w:val="18"/>
        </w:rPr>
        <w:t xml:space="preserve"> (1897— 1977)</w:t>
      </w:r>
      <w:r w:rsidRPr="00350396">
        <w:rPr>
          <w:rFonts w:ascii="Bookman Old Style" w:eastAsia="Bookman Old Style" w:hAnsi="Bookman Old Style" w:cs="Bookman Old Style"/>
          <w:color w:val="231F20"/>
          <w:sz w:val="18"/>
          <w:szCs w:val="18"/>
          <w:vertAlign w:val="superscript"/>
        </w:rPr>
        <w:footnoteReference w:id="28"/>
      </w:r>
      <w:r w:rsidRPr="00350396">
        <w:rPr>
          <w:rFonts w:ascii="Bookman Old Style" w:eastAsia="Bookman Old Style" w:hAnsi="Bookman Old Style" w:cs="Bookman Old Style"/>
          <w:color w:val="231F20"/>
          <w:sz w:val="18"/>
          <w:szCs w:val="18"/>
        </w:rPr>
        <w:t>. Эти авторы создали концепцию социального рыночного хозяйства, которая исходит из сочетания конкуренции, экономи</w:t>
      </w:r>
      <w:r w:rsidRPr="00350396">
        <w:rPr>
          <w:rFonts w:ascii="Bookman Old Style" w:eastAsia="Bookman Old Style" w:hAnsi="Bookman Old Style" w:cs="Bookman Old Style"/>
          <w:color w:val="231F20"/>
          <w:sz w:val="18"/>
          <w:szCs w:val="18"/>
        </w:rPr>
        <w:softHyphen/>
        <w:t>ческой свободы предпринимателей и активной роли государства в перераспределении доходов и организации социальной сферы. Теоретические аспекты социального рыночного хозяйства обуслов</w:t>
      </w:r>
      <w:r w:rsidRPr="00350396">
        <w:rPr>
          <w:rFonts w:ascii="Bookman Old Style" w:eastAsia="Bookman Old Style" w:hAnsi="Bookman Old Style" w:cs="Bookman Old Style"/>
          <w:color w:val="231F20"/>
          <w:sz w:val="18"/>
          <w:szCs w:val="18"/>
        </w:rPr>
        <w:softHyphen/>
        <w:t>лены классической проблемой установления функций государства в условиях экономики, управляемой «невидимой рукой рынка». Эта проблема обсуждалась еще А. Смитом, который доказал, что госу</w:t>
      </w:r>
      <w:r w:rsidRPr="00350396">
        <w:rPr>
          <w:rFonts w:ascii="Bookman Old Style" w:eastAsia="Bookman Old Style" w:hAnsi="Bookman Old Style" w:cs="Bookman Old Style"/>
          <w:color w:val="231F20"/>
          <w:sz w:val="18"/>
          <w:szCs w:val="18"/>
        </w:rPr>
        <w:softHyphen/>
        <w:t>дарство должно заниматься в основном поддержанием обществен</w:t>
      </w:r>
      <w:r w:rsidRPr="00350396">
        <w:rPr>
          <w:rFonts w:ascii="Bookman Old Style" w:eastAsia="Bookman Old Style" w:hAnsi="Bookman Old Style" w:cs="Bookman Old Style"/>
          <w:color w:val="231F20"/>
          <w:sz w:val="18"/>
          <w:szCs w:val="18"/>
        </w:rPr>
        <w:softHyphen/>
        <w:t>ного порядка и защиты страны.</w:t>
      </w:r>
    </w:p>
    <w:p w14:paraId="113D492C" w14:textId="77777777" w:rsidR="00350396" w:rsidRPr="00350396" w:rsidRDefault="00350396" w:rsidP="00350396">
      <w:pPr>
        <w:keepNext/>
        <w:keepLines/>
        <w:widowControl w:val="0"/>
        <w:numPr>
          <w:ilvl w:val="1"/>
          <w:numId w:val="32"/>
        </w:numPr>
        <w:tabs>
          <w:tab w:val="left" w:pos="1290"/>
        </w:tabs>
        <w:spacing w:after="220" w:line="274" w:lineRule="exact"/>
        <w:ind w:left="800" w:firstLine="0"/>
        <w:jc w:val="left"/>
        <w:outlineLvl w:val="3"/>
        <w:rPr>
          <w:rFonts w:ascii="Arial Narrow" w:eastAsia="Arial Narrow" w:hAnsi="Arial Narrow" w:cs="Arial Narrow"/>
          <w:b/>
          <w:bCs/>
        </w:rPr>
      </w:pPr>
      <w:bookmarkStart w:id="36" w:name="bookmark36"/>
      <w:r w:rsidRPr="00350396">
        <w:rPr>
          <w:rFonts w:ascii="Arial Narrow" w:eastAsia="Arial Narrow" w:hAnsi="Arial Narrow" w:cs="Arial Narrow"/>
          <w:b/>
          <w:bCs/>
          <w:color w:val="231F20"/>
        </w:rPr>
        <w:t>Сущность и формы социального партнерства</w:t>
      </w:r>
      <w:bookmarkEnd w:id="36"/>
    </w:p>
    <w:p w14:paraId="772CCE0F"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С этической точки зрения</w:t>
      </w:r>
      <w:r w:rsidRPr="00350396">
        <w:rPr>
          <w:rFonts w:ascii="Bookman Old Style" w:eastAsia="Bookman Old Style" w:hAnsi="Bookman Old Style" w:cs="Bookman Old Style"/>
          <w:color w:val="231F20"/>
          <w:sz w:val="18"/>
          <w:szCs w:val="18"/>
        </w:rPr>
        <w:t xml:space="preserve"> основной целью СП является обеспе</w:t>
      </w:r>
      <w:r w:rsidRPr="00350396">
        <w:rPr>
          <w:rFonts w:ascii="Bookman Old Style" w:eastAsia="Bookman Old Style" w:hAnsi="Bookman Old Style" w:cs="Bookman Old Style"/>
          <w:color w:val="231F20"/>
          <w:sz w:val="18"/>
          <w:szCs w:val="18"/>
        </w:rPr>
        <w:softHyphen/>
        <w:t>чение социальной справедливости в условиях развитой рыночной экономики.</w:t>
      </w:r>
    </w:p>
    <w:p w14:paraId="0CEA14AE" w14:textId="77777777" w:rsidR="00350396" w:rsidRPr="00350396" w:rsidRDefault="00350396" w:rsidP="00350396">
      <w:pPr>
        <w:widowControl w:val="0"/>
        <w:spacing w:line="250" w:lineRule="exact"/>
        <w:ind w:firstLine="340"/>
        <w:rPr>
          <w:rFonts w:ascii="Bookman Old Style" w:eastAsia="Bookman Old Style" w:hAnsi="Bookman Old Style" w:cs="Bookman Old Style"/>
          <w:color w:val="231F20"/>
          <w:sz w:val="18"/>
          <w:szCs w:val="18"/>
        </w:rPr>
      </w:pPr>
      <w:r w:rsidRPr="00350396">
        <w:rPr>
          <w:rFonts w:ascii="Bookman Old Style" w:eastAsia="Bookman Old Style" w:hAnsi="Bookman Old Style" w:cs="Bookman Old Style"/>
          <w:color w:val="231F20"/>
          <w:sz w:val="18"/>
          <w:szCs w:val="18"/>
        </w:rPr>
        <w:t>Социальная справедливость в экономической теории понимает</w:t>
      </w:r>
      <w:r w:rsidRPr="00350396">
        <w:rPr>
          <w:rFonts w:ascii="Bookman Old Style" w:eastAsia="Bookman Old Style" w:hAnsi="Bookman Old Style" w:cs="Bookman Old Style"/>
          <w:color w:val="231F20"/>
          <w:sz w:val="18"/>
          <w:szCs w:val="18"/>
        </w:rPr>
        <w:softHyphen/>
        <w:t xml:space="preserve">ся как проблема приемлемой степени неравенства в распределении доходов. Нашей концепции СП наиболее близки утилитаристская и рыночная концепции социальной справедливости. </w:t>
      </w:r>
      <w:r w:rsidRPr="00350396">
        <w:rPr>
          <w:rFonts w:ascii="Bookman Old Style" w:eastAsia="Bookman Old Style" w:hAnsi="Bookman Old Style" w:cs="Bookman Old Style"/>
          <w:color w:val="231F20"/>
          <w:sz w:val="18"/>
          <w:szCs w:val="18"/>
          <w:highlight w:val="green"/>
        </w:rPr>
        <w:t>Утилитарист</w:t>
      </w:r>
      <w:r w:rsidRPr="00350396">
        <w:rPr>
          <w:rFonts w:ascii="Bookman Old Style" w:eastAsia="Bookman Old Style" w:hAnsi="Bookman Old Style" w:cs="Bookman Old Style"/>
          <w:color w:val="231F20"/>
          <w:sz w:val="18"/>
          <w:szCs w:val="18"/>
          <w:highlight w:val="green"/>
        </w:rPr>
        <w:softHyphen/>
        <w:t>ская создана английским экономистом Иеремией Бентамом (1748-1832):</w:t>
      </w:r>
      <w:r w:rsidRPr="00350396">
        <w:rPr>
          <w:rFonts w:ascii="Bookman Old Style" w:eastAsia="Bookman Old Style" w:hAnsi="Bookman Old Style" w:cs="Bookman Old Style"/>
          <w:color w:val="231F20"/>
          <w:sz w:val="18"/>
          <w:szCs w:val="18"/>
        </w:rPr>
        <w:t xml:space="preserve"> при справедливом распределении доходов должно максимизироваться общественное благосостояние. </w:t>
      </w:r>
      <w:r w:rsidRPr="00350396">
        <w:rPr>
          <w:rFonts w:ascii="Bookman Old Style" w:eastAsia="Bookman Old Style" w:hAnsi="Bookman Old Style" w:cs="Bookman Old Style"/>
          <w:color w:val="231F20"/>
          <w:sz w:val="18"/>
          <w:szCs w:val="18"/>
          <w:highlight w:val="green"/>
        </w:rPr>
        <w:t>Максимально получаемая на принципах гедонизма выгода каждым индивидом (при соблюдении им ответственности перед обществом) складывается в общественную пользу.</w:t>
      </w:r>
    </w:p>
    <w:p w14:paraId="0B281B2D"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Ры</w:t>
      </w:r>
      <w:r w:rsidRPr="00350396">
        <w:rPr>
          <w:rFonts w:ascii="Bookman Old Style" w:eastAsia="Bookman Old Style" w:hAnsi="Bookman Old Style" w:cs="Bookman Old Style"/>
          <w:color w:val="231F20"/>
          <w:sz w:val="18"/>
          <w:szCs w:val="18"/>
        </w:rPr>
        <w:softHyphen/>
        <w:t xml:space="preserve">ночная концепция основана на конкурентном механизме спроса и предложения на факторы производства: </w:t>
      </w:r>
      <w:r w:rsidRPr="00350396">
        <w:rPr>
          <w:rFonts w:ascii="Bookman Old Style" w:eastAsia="Bookman Old Style" w:hAnsi="Bookman Old Style" w:cs="Bookman Old Style"/>
          <w:color w:val="231F20"/>
          <w:sz w:val="18"/>
          <w:szCs w:val="18"/>
          <w:highlight w:val="green"/>
        </w:rPr>
        <w:t>собственник каждого фактора должен получить долю из совокупного произведенного продукта в соответствии со вкладом данного фактора в создание его стоимости.</w:t>
      </w:r>
    </w:p>
    <w:p w14:paraId="1CA73729"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Можно отметить исторические и гносеологические корни соци</w:t>
      </w:r>
      <w:r w:rsidRPr="00350396">
        <w:rPr>
          <w:rFonts w:ascii="Bookman Old Style" w:eastAsia="Bookman Old Style" w:hAnsi="Bookman Old Style" w:cs="Bookman Old Style"/>
          <w:color w:val="231F20"/>
          <w:sz w:val="18"/>
          <w:szCs w:val="18"/>
        </w:rPr>
        <w:softHyphen/>
        <w:t>ального партнерства.</w:t>
      </w:r>
    </w:p>
    <w:p w14:paraId="55FBE102"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Исторические корни СП:</w:t>
      </w:r>
    </w:p>
    <w:p w14:paraId="3AF3DDA6" w14:textId="77777777" w:rsidR="00350396" w:rsidRPr="00350396" w:rsidRDefault="00350396" w:rsidP="00350396">
      <w:pPr>
        <w:widowControl w:val="0"/>
        <w:numPr>
          <w:ilvl w:val="0"/>
          <w:numId w:val="22"/>
        </w:numPr>
        <w:tabs>
          <w:tab w:val="left" w:pos="647"/>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практика самоуправления первых христианских общин;</w:t>
      </w:r>
    </w:p>
    <w:p w14:paraId="388AED91" w14:textId="77777777" w:rsidR="00350396" w:rsidRPr="00350396" w:rsidRDefault="00350396" w:rsidP="00350396">
      <w:pPr>
        <w:widowControl w:val="0"/>
        <w:numPr>
          <w:ilvl w:val="0"/>
          <w:numId w:val="22"/>
        </w:numPr>
        <w:tabs>
          <w:tab w:val="left" w:pos="647"/>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самоуправление в средневековых цехах ремесленников;</w:t>
      </w:r>
    </w:p>
    <w:p w14:paraId="44C8995C" w14:textId="77777777" w:rsidR="00350396" w:rsidRPr="00350396" w:rsidRDefault="00350396" w:rsidP="00350396">
      <w:pPr>
        <w:widowControl w:val="0"/>
        <w:numPr>
          <w:ilvl w:val="0"/>
          <w:numId w:val="22"/>
        </w:numPr>
        <w:tabs>
          <w:tab w:val="left" w:pos="647"/>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городское самоуправление в средневековой Западной Ев</w:t>
      </w:r>
      <w:r w:rsidRPr="00350396">
        <w:rPr>
          <w:rFonts w:ascii="Bookman Old Style" w:eastAsia="Bookman Old Style" w:hAnsi="Bookman Old Style" w:cs="Bookman Old Style"/>
          <w:color w:val="231F20"/>
          <w:sz w:val="18"/>
          <w:szCs w:val="18"/>
        </w:rPr>
        <w:softHyphen/>
        <w:t>ропе;</w:t>
      </w:r>
    </w:p>
    <w:p w14:paraId="5EB03569" w14:textId="77777777" w:rsidR="00350396" w:rsidRPr="00350396" w:rsidRDefault="00350396" w:rsidP="00350396">
      <w:pPr>
        <w:widowControl w:val="0"/>
        <w:numPr>
          <w:ilvl w:val="0"/>
          <w:numId w:val="22"/>
        </w:numPr>
        <w:tabs>
          <w:tab w:val="left" w:pos="647"/>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деятельность и борьба профсоюзов за свои права в кон</w:t>
      </w:r>
      <w:r w:rsidRPr="00350396">
        <w:rPr>
          <w:rFonts w:ascii="Bookman Old Style" w:eastAsia="Bookman Old Style" w:hAnsi="Bookman Old Style" w:cs="Bookman Old Style"/>
          <w:color w:val="231F20"/>
          <w:sz w:val="18"/>
          <w:szCs w:val="18"/>
        </w:rPr>
        <w:softHyphen/>
        <w:t>це XIX — начале ХХ в.</w:t>
      </w:r>
    </w:p>
    <w:p w14:paraId="28FDF8EE"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Гносеологические корни СП:</w:t>
      </w:r>
    </w:p>
    <w:p w14:paraId="324378A3" w14:textId="77777777" w:rsidR="00350396" w:rsidRPr="00350396" w:rsidRDefault="00350396" w:rsidP="00350396">
      <w:pPr>
        <w:widowControl w:val="0"/>
        <w:numPr>
          <w:ilvl w:val="0"/>
          <w:numId w:val="22"/>
        </w:numPr>
        <w:tabs>
          <w:tab w:val="left" w:pos="647"/>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христианская проповедь ненасилия и любви;</w:t>
      </w:r>
    </w:p>
    <w:p w14:paraId="6177C534" w14:textId="77777777" w:rsidR="00350396" w:rsidRPr="00350396" w:rsidRDefault="00350396" w:rsidP="00350396">
      <w:pPr>
        <w:widowControl w:val="0"/>
        <w:numPr>
          <w:ilvl w:val="0"/>
          <w:numId w:val="22"/>
        </w:numPr>
        <w:tabs>
          <w:tab w:val="left" w:pos="647"/>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социал-демократическая идеология.</w:t>
      </w:r>
    </w:p>
    <w:p w14:paraId="4AD53A60"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Отношения между наемными работниками и работодателями не были равноправными вплоть до начала ХХ в. Они были скорее похожи на отношения между слугой и господином ввиду монопо</w:t>
      </w:r>
      <w:r w:rsidRPr="00350396">
        <w:rPr>
          <w:rFonts w:ascii="Bookman Old Style" w:eastAsia="Bookman Old Style" w:hAnsi="Bookman Old Style" w:cs="Bookman Old Style"/>
          <w:color w:val="231F20"/>
          <w:sz w:val="18"/>
          <w:szCs w:val="18"/>
        </w:rPr>
        <w:softHyphen/>
        <w:t>лии со стороны нанимателей.</w:t>
      </w:r>
    </w:p>
    <w:p w14:paraId="712D5096"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результате длительной борьбы в Европе за гражданские пра</w:t>
      </w:r>
      <w:r w:rsidRPr="00350396">
        <w:rPr>
          <w:rFonts w:ascii="Bookman Old Style" w:eastAsia="Bookman Old Style" w:hAnsi="Bookman Old Style" w:cs="Bookman Old Style"/>
          <w:color w:val="231F20"/>
          <w:sz w:val="18"/>
          <w:szCs w:val="18"/>
        </w:rPr>
        <w:softHyphen/>
        <w:t>ва к концу XIX в. ситуация коренным образом изменилась. Во мно</w:t>
      </w:r>
      <w:r w:rsidRPr="00350396">
        <w:rPr>
          <w:rFonts w:ascii="Bookman Old Style" w:eastAsia="Bookman Old Style" w:hAnsi="Bookman Old Style" w:cs="Bookman Old Style"/>
          <w:color w:val="231F20"/>
          <w:sz w:val="18"/>
          <w:szCs w:val="18"/>
        </w:rPr>
        <w:softHyphen/>
        <w:t>гих странах, в том числе в США и России, стало разрабатываться рабочее законодательство, ограничивающее продолжительность рабочего дня, применение детского и женского труда. Появились фабричные инспекторы, следящие за условиями труда, была раз</w:t>
      </w:r>
      <w:r w:rsidRPr="00350396">
        <w:rPr>
          <w:rFonts w:ascii="Bookman Old Style" w:eastAsia="Bookman Old Style" w:hAnsi="Bookman Old Style" w:cs="Bookman Old Style"/>
          <w:color w:val="231F20"/>
          <w:sz w:val="18"/>
          <w:szCs w:val="18"/>
        </w:rPr>
        <w:softHyphen/>
        <w:t>решена деятельность профсоюзов, добившихся, в частности, права на забастовку. Росла заработная плата, в том числе за счет роста производительности труда и ограбления колоний. Сформировалась практика заключения коллективных договоров об условиях найма. Появились первые рабочие партии (например, Независимая рабо</w:t>
      </w:r>
      <w:r w:rsidRPr="00350396">
        <w:rPr>
          <w:rFonts w:ascii="Bookman Old Style" w:eastAsia="Bookman Old Style" w:hAnsi="Bookman Old Style" w:cs="Bookman Old Style"/>
          <w:color w:val="231F20"/>
          <w:sz w:val="18"/>
          <w:szCs w:val="18"/>
        </w:rPr>
        <w:softHyphen/>
        <w:t>чая партия в Англии, 1893 г.), социал-демократические партии.</w:t>
      </w:r>
    </w:p>
    <w:p w14:paraId="727970EB"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Таким образом, в развитых странах стала исчезать экономиче</w:t>
      </w:r>
      <w:r w:rsidRPr="00350396">
        <w:rPr>
          <w:rFonts w:ascii="Bookman Old Style" w:eastAsia="Bookman Old Style" w:hAnsi="Bookman Old Style" w:cs="Bookman Old Style"/>
          <w:color w:val="231F20"/>
          <w:sz w:val="18"/>
          <w:szCs w:val="18"/>
        </w:rPr>
        <w:softHyphen/>
        <w:t>ская основа для политической пропаганды коммунистов и, напро</w:t>
      </w:r>
      <w:r w:rsidRPr="00350396">
        <w:rPr>
          <w:rFonts w:ascii="Bookman Old Style" w:eastAsia="Bookman Old Style" w:hAnsi="Bookman Old Style" w:cs="Bookman Old Style"/>
          <w:color w:val="231F20"/>
          <w:sz w:val="18"/>
          <w:szCs w:val="18"/>
        </w:rPr>
        <w:softHyphen/>
        <w:t>тив, появилась экономическая основа для социал-демократической идеологии, базирующейся на принципах «классового мира» и дру</w:t>
      </w:r>
      <w:r w:rsidRPr="00350396">
        <w:rPr>
          <w:rFonts w:ascii="Bookman Old Style" w:eastAsia="Bookman Old Style" w:hAnsi="Bookman Old Style" w:cs="Bookman Old Style"/>
          <w:color w:val="231F20"/>
          <w:sz w:val="18"/>
          <w:szCs w:val="18"/>
        </w:rPr>
        <w:softHyphen/>
        <w:t>гих постулатах социального партнерства. Субъективным фактором распространения идеологии социал-демократии во многом послу</w:t>
      </w:r>
      <w:r w:rsidRPr="00350396">
        <w:rPr>
          <w:rFonts w:ascii="Bookman Old Style" w:eastAsia="Bookman Old Style" w:hAnsi="Bookman Old Style" w:cs="Bookman Old Style"/>
          <w:color w:val="231F20"/>
          <w:sz w:val="18"/>
          <w:szCs w:val="18"/>
        </w:rPr>
        <w:softHyphen/>
        <w:t>жил шок от последствий революции 1917 г. и гражданской войны в России.</w:t>
      </w:r>
    </w:p>
    <w:p w14:paraId="37EDCCE6"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Практика социального партнерства возникла и сформировалась на рынке труда. Положительно зарекомендовав себя при регули</w:t>
      </w:r>
      <w:r w:rsidRPr="00350396">
        <w:rPr>
          <w:rFonts w:ascii="Bookman Old Style" w:eastAsia="Bookman Old Style" w:hAnsi="Bookman Old Style" w:cs="Bookman Old Style"/>
          <w:color w:val="231F20"/>
          <w:sz w:val="18"/>
          <w:szCs w:val="18"/>
        </w:rPr>
        <w:softHyphen/>
        <w:t>ровании трудовых отношений в качестве одного из инструментов развитого общества смешанной социальной экономики (например, в Швеции), СП естественным образом обратило на себя внимание ученых и политиков, желающих создать эффективный механизм регулирования широких общественных отношений. Поэтому совре</w:t>
      </w:r>
      <w:r w:rsidRPr="00350396">
        <w:rPr>
          <w:rFonts w:ascii="Bookman Old Style" w:eastAsia="Bookman Old Style" w:hAnsi="Bookman Old Style" w:cs="Bookman Old Style"/>
          <w:color w:val="231F20"/>
          <w:sz w:val="18"/>
          <w:szCs w:val="18"/>
        </w:rPr>
        <w:softHyphen/>
        <w:t>менными исследователями выделяются два варианта СП — тред- юнионистский (в сфере труда) и межсекторный (регулирует широ</w:t>
      </w:r>
      <w:r w:rsidRPr="00350396">
        <w:rPr>
          <w:rFonts w:ascii="Bookman Old Style" w:eastAsia="Bookman Old Style" w:hAnsi="Bookman Old Style" w:cs="Bookman Old Style"/>
          <w:color w:val="231F20"/>
          <w:sz w:val="18"/>
          <w:szCs w:val="18"/>
        </w:rPr>
        <w:softHyphen/>
        <w:t>кие социальные отношения).</w:t>
      </w:r>
    </w:p>
    <w:p w14:paraId="38DA7231"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В соответствии с первым подходом </w:t>
      </w:r>
      <w:r w:rsidRPr="00350396">
        <w:rPr>
          <w:rFonts w:ascii="Bookman Old Style" w:eastAsia="Bookman Old Style" w:hAnsi="Bookman Old Style" w:cs="Bookman Old Style"/>
          <w:i/>
          <w:iCs/>
          <w:color w:val="231F20"/>
          <w:sz w:val="18"/>
          <w:szCs w:val="18"/>
        </w:rPr>
        <w:t>социальное партнерство</w:t>
      </w:r>
      <w:r w:rsidRPr="00350396">
        <w:rPr>
          <w:rFonts w:ascii="Bookman Old Style" w:eastAsia="Bookman Old Style" w:hAnsi="Bookman Old Style" w:cs="Bookman Old Style"/>
          <w:color w:val="231F20"/>
          <w:sz w:val="18"/>
          <w:szCs w:val="18"/>
        </w:rPr>
        <w:t xml:space="preserve"> — это цивилизованная система общественных отношений в социаль</w:t>
      </w:r>
      <w:r w:rsidRPr="00350396">
        <w:rPr>
          <w:rFonts w:ascii="Bookman Old Style" w:eastAsia="Bookman Old Style" w:hAnsi="Bookman Old Style" w:cs="Bookman Old Style"/>
          <w:color w:val="231F20"/>
          <w:sz w:val="18"/>
          <w:szCs w:val="18"/>
        </w:rPr>
        <w:softHyphen/>
        <w:t xml:space="preserve">но-трудовой сфере, строящаяся на согласовании и защите интересов </w:t>
      </w:r>
      <w:r w:rsidRPr="00350396">
        <w:rPr>
          <w:rFonts w:ascii="Bookman Old Style" w:eastAsia="Bookman Old Style" w:hAnsi="Bookman Old Style" w:cs="Bookman Old Style"/>
          <w:color w:val="231F20"/>
          <w:sz w:val="18"/>
          <w:szCs w:val="18"/>
        </w:rPr>
        <w:lastRenderedPageBreak/>
        <w:t>работников, предпринимателей, органов государственной власти и местного самоуправления на основе договоров, соглашений, до</w:t>
      </w:r>
      <w:r w:rsidRPr="00350396">
        <w:rPr>
          <w:rFonts w:ascii="Bookman Old Style" w:eastAsia="Bookman Old Style" w:hAnsi="Bookman Old Style" w:cs="Bookman Old Style"/>
          <w:color w:val="231F20"/>
          <w:sz w:val="18"/>
          <w:szCs w:val="18"/>
        </w:rPr>
        <w:softHyphen/>
        <w:t>стижения компромисса, консенсуса по актуальным проблемам эко</w:t>
      </w:r>
      <w:r w:rsidRPr="00350396">
        <w:rPr>
          <w:rFonts w:ascii="Bookman Old Style" w:eastAsia="Bookman Old Style" w:hAnsi="Bookman Old Style" w:cs="Bookman Old Style"/>
          <w:color w:val="231F20"/>
          <w:sz w:val="18"/>
          <w:szCs w:val="18"/>
        </w:rPr>
        <w:softHyphen/>
        <w:t>номической и социально-политической жизни общества</w:t>
      </w:r>
      <w:r w:rsidRPr="00350396">
        <w:rPr>
          <w:rFonts w:ascii="Bookman Old Style" w:eastAsia="Bookman Old Style" w:hAnsi="Bookman Old Style" w:cs="Bookman Old Style"/>
          <w:color w:val="231F20"/>
          <w:sz w:val="18"/>
          <w:szCs w:val="18"/>
          <w:vertAlign w:val="superscript"/>
        </w:rPr>
        <w:footnoteReference w:id="29"/>
      </w:r>
      <w:r w:rsidRPr="00350396">
        <w:rPr>
          <w:rFonts w:ascii="Bookman Old Style" w:eastAsia="Bookman Old Style" w:hAnsi="Bookman Old Style" w:cs="Bookman Old Style"/>
          <w:color w:val="231F20"/>
          <w:sz w:val="18"/>
          <w:szCs w:val="18"/>
        </w:rPr>
        <w:t>.</w:t>
      </w:r>
    </w:p>
    <w:p w14:paraId="2F5B8516"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Основы СП были разработаны Международной организацией труда (МОТ), созданной в 1919 г. Деятельность МОТ базируется на принципах «классового мира». Авторитет и огромный опыт МОТ в сглаживании социально-трудовых конфликтов во многом способ</w:t>
      </w:r>
      <w:r w:rsidRPr="00350396">
        <w:rPr>
          <w:rFonts w:ascii="Bookman Old Style" w:eastAsia="Bookman Old Style" w:hAnsi="Bookman Old Style" w:cs="Bookman Old Style"/>
          <w:color w:val="231F20"/>
          <w:sz w:val="18"/>
          <w:szCs w:val="18"/>
        </w:rPr>
        <w:softHyphen/>
        <w:t>ствовали тому, что в развитых странах Запада в последнее время не наблюдается массового забастовочного движения.</w:t>
      </w:r>
    </w:p>
    <w:p w14:paraId="650D7B2D"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Сама структура МОТ была воплощением «трипартизма», посколь</w:t>
      </w:r>
      <w:r w:rsidRPr="00350396">
        <w:rPr>
          <w:rFonts w:ascii="Bookman Old Style" w:eastAsia="Bookman Old Style" w:hAnsi="Bookman Old Style" w:cs="Bookman Old Style"/>
          <w:color w:val="231F20"/>
          <w:sz w:val="18"/>
          <w:szCs w:val="18"/>
        </w:rPr>
        <w:softHyphen/>
        <w:t>ку все его главные и вспомогательные органы формируются на ос</w:t>
      </w:r>
      <w:r w:rsidRPr="00350396">
        <w:rPr>
          <w:rFonts w:ascii="Bookman Old Style" w:eastAsia="Bookman Old Style" w:hAnsi="Bookman Old Style" w:cs="Bookman Old Style"/>
          <w:color w:val="231F20"/>
          <w:sz w:val="18"/>
          <w:szCs w:val="18"/>
        </w:rPr>
        <w:softHyphen/>
        <w:t>нове трехстороннего представительства: правительств, предприни</w:t>
      </w:r>
      <w:r w:rsidRPr="00350396">
        <w:rPr>
          <w:rFonts w:ascii="Bookman Old Style" w:eastAsia="Bookman Old Style" w:hAnsi="Bookman Old Style" w:cs="Bookman Old Style"/>
          <w:color w:val="231F20"/>
          <w:sz w:val="18"/>
          <w:szCs w:val="18"/>
        </w:rPr>
        <w:softHyphen/>
        <w:t>мателей и работников. Так, высший орган МОТ — Международное бюро труда — состоит из представителей государств — членов МОТ от правительства, предпринимателей и работников. По аналогии формируются Административный совет МОТ и Международный со</w:t>
      </w:r>
      <w:r w:rsidRPr="00350396">
        <w:rPr>
          <w:rFonts w:ascii="Bookman Old Style" w:eastAsia="Bookman Old Style" w:hAnsi="Bookman Old Style" w:cs="Bookman Old Style"/>
          <w:color w:val="231F20"/>
          <w:sz w:val="18"/>
          <w:szCs w:val="18"/>
        </w:rPr>
        <w:softHyphen/>
        <w:t>вет труда</w:t>
      </w:r>
      <w:r w:rsidRPr="00350396">
        <w:rPr>
          <w:rFonts w:ascii="Bookman Old Style" w:eastAsia="Bookman Old Style" w:hAnsi="Bookman Old Style" w:cs="Bookman Old Style"/>
          <w:color w:val="231F20"/>
          <w:sz w:val="18"/>
          <w:szCs w:val="18"/>
          <w:vertAlign w:val="superscript"/>
        </w:rPr>
        <w:footnoteReference w:id="30"/>
      </w:r>
      <w:r w:rsidRPr="00350396">
        <w:rPr>
          <w:rFonts w:ascii="Bookman Old Style" w:eastAsia="Bookman Old Style" w:hAnsi="Bookman Old Style" w:cs="Bookman Old Style"/>
          <w:color w:val="231F20"/>
          <w:sz w:val="18"/>
          <w:szCs w:val="18"/>
        </w:rPr>
        <w:t>.</w:t>
      </w:r>
    </w:p>
    <w:p w14:paraId="513B538D"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Международная организация труда выработала более 180 кон</w:t>
      </w:r>
      <w:r w:rsidRPr="00350396">
        <w:rPr>
          <w:rFonts w:ascii="Bookman Old Style" w:eastAsia="Bookman Old Style" w:hAnsi="Bookman Old Style" w:cs="Bookman Old Style"/>
          <w:color w:val="231F20"/>
          <w:sz w:val="18"/>
          <w:szCs w:val="18"/>
        </w:rPr>
        <w:softHyphen/>
        <w:t>венций по самым различным сторонам трудовой и социальной жизни.</w:t>
      </w:r>
    </w:p>
    <w:p w14:paraId="6C0118C5"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Стратегической целью</w:t>
      </w:r>
      <w:r w:rsidRPr="00350396">
        <w:rPr>
          <w:rFonts w:ascii="Bookman Old Style" w:eastAsia="Bookman Old Style" w:hAnsi="Bookman Old Style" w:cs="Bookman Old Style"/>
          <w:color w:val="231F20"/>
          <w:sz w:val="18"/>
          <w:szCs w:val="18"/>
        </w:rPr>
        <w:t xml:space="preserve"> СП является сохранение стабильности производственных отношений рыночной экономики через специ</w:t>
      </w:r>
      <w:r w:rsidRPr="00350396">
        <w:rPr>
          <w:rFonts w:ascii="Bookman Old Style" w:eastAsia="Bookman Old Style" w:hAnsi="Bookman Old Style" w:cs="Bookman Old Style"/>
          <w:color w:val="231F20"/>
          <w:sz w:val="18"/>
          <w:szCs w:val="18"/>
        </w:rPr>
        <w:softHyphen/>
        <w:t>фические механизмы перераспределения части доходов между участниками производства</w:t>
      </w:r>
      <w:r w:rsidRPr="00350396">
        <w:rPr>
          <w:rFonts w:ascii="Bookman Old Style" w:eastAsia="Bookman Old Style" w:hAnsi="Bookman Old Style" w:cs="Bookman Old Style"/>
          <w:color w:val="231F20"/>
          <w:sz w:val="18"/>
          <w:szCs w:val="18"/>
          <w:vertAlign w:val="superscript"/>
        </w:rPr>
        <w:footnoteReference w:id="31"/>
      </w:r>
      <w:r w:rsidRPr="00350396">
        <w:rPr>
          <w:rFonts w:ascii="Bookman Old Style" w:eastAsia="Bookman Old Style" w:hAnsi="Bookman Old Style" w:cs="Bookman Old Style"/>
          <w:color w:val="231F20"/>
          <w:sz w:val="18"/>
          <w:szCs w:val="18"/>
        </w:rPr>
        <w:t>.</w:t>
      </w:r>
    </w:p>
    <w:p w14:paraId="01202186" w14:textId="77777777" w:rsidR="00350396" w:rsidRPr="00350396" w:rsidRDefault="00350396" w:rsidP="00350396">
      <w:pPr>
        <w:widowControl w:val="0"/>
        <w:spacing w:line="245"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За этот период четко обозначились </w:t>
      </w:r>
      <w:r w:rsidRPr="00350396">
        <w:rPr>
          <w:rFonts w:ascii="Bookman Old Style" w:eastAsia="Bookman Old Style" w:hAnsi="Bookman Old Style" w:cs="Bookman Old Style"/>
          <w:i/>
          <w:iCs/>
          <w:color w:val="231F20"/>
          <w:sz w:val="18"/>
          <w:szCs w:val="18"/>
        </w:rPr>
        <w:t>основные задачи СП в сфере труда:</w:t>
      </w:r>
    </w:p>
    <w:p w14:paraId="48B2D125" w14:textId="77777777" w:rsidR="00350396" w:rsidRPr="00350396" w:rsidRDefault="00350396" w:rsidP="00350396">
      <w:pPr>
        <w:widowControl w:val="0"/>
        <w:numPr>
          <w:ilvl w:val="0"/>
          <w:numId w:val="22"/>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повышение производительности труда через усиление моти</w:t>
      </w:r>
      <w:r w:rsidRPr="00350396">
        <w:rPr>
          <w:rFonts w:ascii="Bookman Old Style" w:eastAsia="Bookman Old Style" w:hAnsi="Bookman Old Style" w:cs="Bookman Old Style"/>
          <w:color w:val="231F20"/>
          <w:sz w:val="18"/>
          <w:szCs w:val="18"/>
        </w:rPr>
        <w:softHyphen/>
        <w:t>вации к труду;</w:t>
      </w:r>
    </w:p>
    <w:p w14:paraId="0F0E4C84" w14:textId="77777777" w:rsidR="00350396" w:rsidRPr="00350396" w:rsidRDefault="00350396" w:rsidP="00350396">
      <w:pPr>
        <w:widowControl w:val="0"/>
        <w:numPr>
          <w:ilvl w:val="0"/>
          <w:numId w:val="22"/>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сохранение экономической стабильности через долгосрочное планирование;</w:t>
      </w:r>
    </w:p>
    <w:p w14:paraId="329A1B40" w14:textId="77777777" w:rsidR="00350396" w:rsidRPr="00350396" w:rsidRDefault="00350396" w:rsidP="00350396">
      <w:pPr>
        <w:widowControl w:val="0"/>
        <w:numPr>
          <w:ilvl w:val="0"/>
          <w:numId w:val="22"/>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сохранение социальной стабильности через гарантию трудо</w:t>
      </w:r>
      <w:r w:rsidRPr="00350396">
        <w:rPr>
          <w:rFonts w:ascii="Bookman Old Style" w:eastAsia="Bookman Old Style" w:hAnsi="Bookman Old Style" w:cs="Bookman Old Style"/>
          <w:color w:val="231F20"/>
          <w:sz w:val="18"/>
          <w:szCs w:val="18"/>
        </w:rPr>
        <w:softHyphen/>
        <w:t>вых доходов;</w:t>
      </w:r>
    </w:p>
    <w:p w14:paraId="5D144209" w14:textId="77777777" w:rsidR="00350396" w:rsidRPr="00350396" w:rsidRDefault="00350396" w:rsidP="00350396">
      <w:pPr>
        <w:widowControl w:val="0"/>
        <w:numPr>
          <w:ilvl w:val="0"/>
          <w:numId w:val="22"/>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создание условий для расширенного воспроизводства рабо</w:t>
      </w:r>
      <w:r w:rsidRPr="00350396">
        <w:rPr>
          <w:rFonts w:ascii="Bookman Old Style" w:eastAsia="Bookman Old Style" w:hAnsi="Bookman Old Style" w:cs="Bookman Old Style"/>
          <w:color w:val="231F20"/>
          <w:sz w:val="18"/>
          <w:szCs w:val="18"/>
        </w:rPr>
        <w:softHyphen/>
        <w:t>чей силы</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6D3640AA" w14:textId="77777777" w:rsidR="00350396" w:rsidRPr="00350396" w:rsidRDefault="00350396" w:rsidP="00350396">
      <w:pPr>
        <w:widowControl w:val="0"/>
        <w:spacing w:line="245"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Социальное партнерство позволяет бороться с чрезмерной экс</w:t>
      </w:r>
      <w:r w:rsidRPr="00350396">
        <w:rPr>
          <w:rFonts w:ascii="Bookman Old Style" w:eastAsia="Bookman Old Style" w:hAnsi="Bookman Old Style" w:cs="Bookman Old Style"/>
          <w:color w:val="231F20"/>
          <w:sz w:val="18"/>
          <w:szCs w:val="18"/>
        </w:rPr>
        <w:softHyphen/>
        <w:t>плуатацией. При монополизации конкуренция не может обеспечить распределение факторных доходов в соответствии с вкладом каж</w:t>
      </w:r>
      <w:r w:rsidRPr="00350396">
        <w:rPr>
          <w:rFonts w:ascii="Bookman Old Style" w:eastAsia="Bookman Old Style" w:hAnsi="Bookman Old Style" w:cs="Bookman Old Style"/>
          <w:color w:val="231F20"/>
          <w:sz w:val="18"/>
          <w:szCs w:val="18"/>
        </w:rPr>
        <w:softHyphen/>
        <w:t>дого из факторов в создание стоимости нового продукта. Поэтому требуется субъективное вмешательство со стороны государства и других участников рынка. Поэтому с этической точки зрения од</w:t>
      </w:r>
      <w:r w:rsidRPr="00350396">
        <w:rPr>
          <w:rFonts w:ascii="Bookman Old Style" w:eastAsia="Bookman Old Style" w:hAnsi="Bookman Old Style" w:cs="Bookman Old Style"/>
          <w:color w:val="231F20"/>
          <w:sz w:val="18"/>
          <w:szCs w:val="18"/>
        </w:rPr>
        <w:softHyphen/>
        <w:t xml:space="preserve">ной из задач СП является обеспечение социальной справедливости в условиях развитой </w:t>
      </w:r>
      <w:r w:rsidRPr="00350396">
        <w:rPr>
          <w:rFonts w:ascii="Bookman Old Style" w:eastAsia="Bookman Old Style" w:hAnsi="Bookman Old Style" w:cs="Bookman Old Style"/>
          <w:color w:val="231F20"/>
          <w:sz w:val="18"/>
          <w:szCs w:val="18"/>
        </w:rPr>
        <w:lastRenderedPageBreak/>
        <w:t>смешанной экономики. Социальная справед</w:t>
      </w:r>
      <w:r w:rsidRPr="00350396">
        <w:rPr>
          <w:rFonts w:ascii="Bookman Old Style" w:eastAsia="Bookman Old Style" w:hAnsi="Bookman Old Style" w:cs="Bookman Old Style"/>
          <w:color w:val="231F20"/>
          <w:sz w:val="18"/>
          <w:szCs w:val="18"/>
        </w:rPr>
        <w:softHyphen/>
        <w:t>ливость в экономической теории понимается как проблема прием</w:t>
      </w:r>
      <w:r w:rsidRPr="00350396">
        <w:rPr>
          <w:rFonts w:ascii="Bookman Old Style" w:eastAsia="Bookman Old Style" w:hAnsi="Bookman Old Style" w:cs="Bookman Old Style"/>
          <w:color w:val="231F20"/>
          <w:sz w:val="18"/>
          <w:szCs w:val="18"/>
        </w:rPr>
        <w:softHyphen/>
        <w:t>лемой степени неравенства в распределении доходов.</w:t>
      </w:r>
    </w:p>
    <w:p w14:paraId="555B9B17" w14:textId="77777777" w:rsidR="00350396" w:rsidRPr="00350396" w:rsidRDefault="00350396" w:rsidP="00350396">
      <w:pPr>
        <w:widowControl w:val="0"/>
        <w:spacing w:line="245"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В соответствии с практически сложившимися целями социального партнерства МОТ выработала </w:t>
      </w:r>
      <w:r w:rsidRPr="00350396">
        <w:rPr>
          <w:rFonts w:ascii="Bookman Old Style" w:eastAsia="Bookman Old Style" w:hAnsi="Bookman Old Style" w:cs="Bookman Old Style"/>
          <w:i/>
          <w:iCs/>
          <w:color w:val="231F20"/>
          <w:sz w:val="18"/>
          <w:szCs w:val="18"/>
        </w:rPr>
        <w:t>основные философские принципы</w:t>
      </w:r>
      <w:r w:rsidRPr="00350396">
        <w:rPr>
          <w:rFonts w:ascii="Bookman Old Style" w:eastAsia="Bookman Old Style" w:hAnsi="Bookman Old Style" w:cs="Bookman Old Style"/>
          <w:color w:val="231F20"/>
          <w:sz w:val="18"/>
          <w:szCs w:val="18"/>
        </w:rPr>
        <w:t xml:space="preserve"> СП.</w:t>
      </w:r>
    </w:p>
    <w:p w14:paraId="36599966" w14:textId="77777777" w:rsidR="00350396" w:rsidRPr="00350396" w:rsidRDefault="00350396" w:rsidP="00350396">
      <w:pPr>
        <w:widowControl w:val="0"/>
        <w:numPr>
          <w:ilvl w:val="0"/>
          <w:numId w:val="33"/>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Непредоставление в какой-либо стране работникам человече</w:t>
      </w:r>
      <w:r w:rsidRPr="00350396">
        <w:rPr>
          <w:rFonts w:ascii="Bookman Old Style" w:eastAsia="Bookman Old Style" w:hAnsi="Bookman Old Style" w:cs="Bookman Old Style"/>
          <w:color w:val="231F20"/>
          <w:sz w:val="18"/>
          <w:szCs w:val="18"/>
        </w:rPr>
        <w:softHyphen/>
        <w:t>ских условий труда является препятствием для других стран, жела</w:t>
      </w:r>
      <w:r w:rsidRPr="00350396">
        <w:rPr>
          <w:rFonts w:ascii="Bookman Old Style" w:eastAsia="Bookman Old Style" w:hAnsi="Bookman Old Style" w:cs="Bookman Old Style"/>
          <w:color w:val="231F20"/>
          <w:sz w:val="18"/>
          <w:szCs w:val="18"/>
        </w:rPr>
        <w:softHyphen/>
        <w:t>ющих улучшить положение трудящихся.</w:t>
      </w:r>
    </w:p>
    <w:p w14:paraId="265EA1F1" w14:textId="77777777" w:rsidR="00350396" w:rsidRPr="00350396" w:rsidRDefault="00350396" w:rsidP="00350396">
      <w:pPr>
        <w:widowControl w:val="0"/>
        <w:numPr>
          <w:ilvl w:val="0"/>
          <w:numId w:val="33"/>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Свобода слова и объединения является необходимыми усло</w:t>
      </w:r>
      <w:r w:rsidRPr="00350396">
        <w:rPr>
          <w:rFonts w:ascii="Bookman Old Style" w:eastAsia="Bookman Old Style" w:hAnsi="Bookman Old Style" w:cs="Bookman Old Style"/>
          <w:color w:val="231F20"/>
          <w:sz w:val="18"/>
          <w:szCs w:val="18"/>
        </w:rPr>
        <w:softHyphen/>
        <w:t>виями постоянного прогресса.</w:t>
      </w:r>
    </w:p>
    <w:p w14:paraId="177763C2" w14:textId="77777777" w:rsidR="00350396" w:rsidRPr="00350396" w:rsidRDefault="00350396" w:rsidP="00350396">
      <w:pPr>
        <w:widowControl w:val="0"/>
        <w:numPr>
          <w:ilvl w:val="0"/>
          <w:numId w:val="33"/>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Нищета в любом месте является угрозой всеобщему благосо</w:t>
      </w:r>
      <w:r w:rsidRPr="00350396">
        <w:rPr>
          <w:rFonts w:ascii="Bookman Old Style" w:eastAsia="Bookman Old Style" w:hAnsi="Bookman Old Style" w:cs="Bookman Old Style"/>
          <w:color w:val="231F20"/>
          <w:sz w:val="18"/>
          <w:szCs w:val="18"/>
        </w:rPr>
        <w:softHyphen/>
        <w:t>стоянию.</w:t>
      </w:r>
    </w:p>
    <w:p w14:paraId="5A3ACEB6" w14:textId="77777777" w:rsidR="00350396" w:rsidRPr="00350396" w:rsidRDefault="00350396" w:rsidP="00350396">
      <w:pPr>
        <w:widowControl w:val="0"/>
        <w:numPr>
          <w:ilvl w:val="0"/>
          <w:numId w:val="33"/>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Все люди независимо от расы, веры и пола имеют право на материальное благосостояние и духовное развитие в условиях свободы и достоинства, устойчивости в экономике и равных воз</w:t>
      </w:r>
      <w:r w:rsidRPr="00350396">
        <w:rPr>
          <w:rFonts w:ascii="Bookman Old Style" w:eastAsia="Bookman Old Style" w:hAnsi="Bookman Old Style" w:cs="Bookman Old Style"/>
          <w:color w:val="231F20"/>
          <w:sz w:val="18"/>
          <w:szCs w:val="18"/>
        </w:rPr>
        <w:softHyphen/>
        <w:t>можностей.</w:t>
      </w:r>
    </w:p>
    <w:p w14:paraId="1D18EFAA" w14:textId="77777777" w:rsidR="00350396" w:rsidRPr="00350396" w:rsidRDefault="00350396" w:rsidP="00350396">
      <w:pPr>
        <w:widowControl w:val="0"/>
        <w:numPr>
          <w:ilvl w:val="0"/>
          <w:numId w:val="33"/>
        </w:numPr>
        <w:tabs>
          <w:tab w:val="left" w:pos="638"/>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Полная занятость и повышение жизненного уровня.</w:t>
      </w:r>
    </w:p>
    <w:p w14:paraId="60AF148A" w14:textId="77777777" w:rsidR="00350396" w:rsidRPr="00350396" w:rsidRDefault="00350396" w:rsidP="00350396">
      <w:pPr>
        <w:widowControl w:val="0"/>
        <w:numPr>
          <w:ilvl w:val="0"/>
          <w:numId w:val="33"/>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Труд не является товаром (с нравственной и социальной точ</w:t>
      </w:r>
      <w:r w:rsidRPr="00350396">
        <w:rPr>
          <w:rFonts w:ascii="Bookman Old Style" w:eastAsia="Bookman Old Style" w:hAnsi="Bookman Old Style" w:cs="Bookman Old Style"/>
          <w:color w:val="231F20"/>
          <w:sz w:val="18"/>
          <w:szCs w:val="18"/>
        </w:rPr>
        <w:softHyphen/>
        <w:t>ки зрения).</w:t>
      </w:r>
    </w:p>
    <w:p w14:paraId="37B3CC6C" w14:textId="77777777" w:rsidR="00350396" w:rsidRPr="00350396" w:rsidRDefault="00350396" w:rsidP="00350396">
      <w:pPr>
        <w:widowControl w:val="0"/>
        <w:numPr>
          <w:ilvl w:val="0"/>
          <w:numId w:val="33"/>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Свобода и добровольность создания и выбора организаций, форм ведения переговоров работниками и работодателями.</w:t>
      </w:r>
    </w:p>
    <w:p w14:paraId="07B6205B" w14:textId="77777777" w:rsidR="00350396" w:rsidRPr="00350396" w:rsidRDefault="00350396" w:rsidP="00350396">
      <w:pPr>
        <w:widowControl w:val="0"/>
        <w:spacing w:line="245"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Из практики СП вытекают следующие </w:t>
      </w:r>
      <w:r w:rsidRPr="00350396">
        <w:rPr>
          <w:rFonts w:ascii="Bookman Old Style" w:eastAsia="Bookman Old Style" w:hAnsi="Bookman Old Style" w:cs="Bookman Old Style"/>
          <w:i/>
          <w:iCs/>
          <w:color w:val="231F20"/>
          <w:sz w:val="18"/>
          <w:szCs w:val="18"/>
        </w:rPr>
        <w:t>организационные принци</w:t>
      </w:r>
      <w:r w:rsidRPr="00350396">
        <w:rPr>
          <w:rFonts w:ascii="Bookman Old Style" w:eastAsia="Bookman Old Style" w:hAnsi="Bookman Old Style" w:cs="Bookman Old Style"/>
          <w:i/>
          <w:iCs/>
          <w:color w:val="231F20"/>
          <w:sz w:val="18"/>
          <w:szCs w:val="18"/>
        </w:rPr>
        <w:softHyphen/>
        <w:t>пы</w:t>
      </w:r>
      <w:r w:rsidRPr="00350396">
        <w:rPr>
          <w:rFonts w:ascii="Bookman Old Style" w:eastAsia="Bookman Old Style" w:hAnsi="Bookman Old Style" w:cs="Bookman Old Style"/>
          <w:color w:val="231F20"/>
          <w:sz w:val="18"/>
          <w:szCs w:val="18"/>
        </w:rPr>
        <w:t xml:space="preserve"> социального партнерства</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710403B8" w14:textId="77777777" w:rsidR="00350396" w:rsidRPr="00350396" w:rsidRDefault="00350396" w:rsidP="00350396">
      <w:pPr>
        <w:widowControl w:val="0"/>
        <w:numPr>
          <w:ilvl w:val="0"/>
          <w:numId w:val="22"/>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юридическое равенство сторон в трудовых отношениях;</w:t>
      </w:r>
    </w:p>
    <w:p w14:paraId="420FA0AE" w14:textId="77777777" w:rsidR="00350396" w:rsidRPr="00350396" w:rsidRDefault="00350396" w:rsidP="00350396">
      <w:pPr>
        <w:widowControl w:val="0"/>
        <w:numPr>
          <w:ilvl w:val="0"/>
          <w:numId w:val="22"/>
        </w:numPr>
        <w:tabs>
          <w:tab w:val="left" w:pos="636"/>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равное представительство сторон на переговорах; </w:t>
      </w:r>
      <w:r w:rsidRPr="00350396">
        <w:rPr>
          <w:rFonts w:ascii="Bookman Old Style" w:eastAsia="Bookman Old Style" w:hAnsi="Bookman Old Style" w:cs="Bookman Old Style"/>
          <w:color w:val="231F20"/>
          <w:sz w:val="18"/>
          <w:szCs w:val="18"/>
          <w:vertAlign w:val="superscript"/>
        </w:rPr>
        <w:footnoteReference w:id="32"/>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33"/>
      </w:r>
    </w:p>
    <w:p w14:paraId="6C941058" w14:textId="77777777" w:rsidR="00350396" w:rsidRPr="00350396" w:rsidRDefault="00350396" w:rsidP="00350396">
      <w:pPr>
        <w:widowControl w:val="0"/>
        <w:numPr>
          <w:ilvl w:val="0"/>
          <w:numId w:val="22"/>
        </w:numPr>
        <w:tabs>
          <w:tab w:val="left" w:pos="658"/>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взаимная ответственность сторон через договор;</w:t>
      </w:r>
    </w:p>
    <w:p w14:paraId="0743F7B5" w14:textId="77777777" w:rsidR="00350396" w:rsidRPr="00350396" w:rsidRDefault="00350396" w:rsidP="00350396">
      <w:pPr>
        <w:widowControl w:val="0"/>
        <w:numPr>
          <w:ilvl w:val="0"/>
          <w:numId w:val="22"/>
        </w:numPr>
        <w:tabs>
          <w:tab w:val="left" w:pos="658"/>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ненасилие, решение спорных вопросов путем переговоров;</w:t>
      </w:r>
    </w:p>
    <w:p w14:paraId="5582986B" w14:textId="77777777" w:rsidR="00350396" w:rsidRPr="00350396" w:rsidRDefault="00350396" w:rsidP="00350396">
      <w:pPr>
        <w:widowControl w:val="0"/>
        <w:numPr>
          <w:ilvl w:val="0"/>
          <w:numId w:val="22"/>
        </w:numPr>
        <w:tabs>
          <w:tab w:val="left" w:pos="658"/>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система пирамиды в построении СП.</w:t>
      </w:r>
    </w:p>
    <w:p w14:paraId="0E1E2D85"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Конечной целью</w:t>
      </w:r>
      <w:r w:rsidRPr="00350396">
        <w:rPr>
          <w:rFonts w:ascii="Bookman Old Style" w:eastAsia="Bookman Old Style" w:hAnsi="Bookman Old Style" w:cs="Bookman Old Style"/>
          <w:color w:val="231F20"/>
          <w:sz w:val="18"/>
          <w:szCs w:val="18"/>
        </w:rPr>
        <w:t xml:space="preserve"> СП в рыночном обществе является сохранение существующих форм собственности на основные факторы обще</w:t>
      </w:r>
      <w:r w:rsidRPr="00350396">
        <w:rPr>
          <w:rFonts w:ascii="Bookman Old Style" w:eastAsia="Bookman Old Style" w:hAnsi="Bookman Old Style" w:cs="Bookman Old Style"/>
          <w:color w:val="231F20"/>
          <w:sz w:val="18"/>
          <w:szCs w:val="18"/>
        </w:rPr>
        <w:softHyphen/>
        <w:t>ственного производства и прежде всего связанных с ними прав на извлечение факторных доходов. Социальное партнерство при</w:t>
      </w:r>
      <w:r w:rsidRPr="00350396">
        <w:rPr>
          <w:rFonts w:ascii="Bookman Old Style" w:eastAsia="Bookman Old Style" w:hAnsi="Bookman Old Style" w:cs="Bookman Old Style"/>
          <w:color w:val="231F20"/>
          <w:sz w:val="18"/>
          <w:szCs w:val="18"/>
        </w:rPr>
        <w:softHyphen/>
        <w:t>звано предотвратить чрезмерную деформацию и разрушение институциональных отношений развитого рыночного общества на этапе перехода от индустриального способа производства к по</w:t>
      </w:r>
      <w:r w:rsidRPr="00350396">
        <w:rPr>
          <w:rFonts w:ascii="Bookman Old Style" w:eastAsia="Bookman Old Style" w:hAnsi="Bookman Old Style" w:cs="Bookman Old Style"/>
          <w:color w:val="231F20"/>
          <w:sz w:val="18"/>
          <w:szCs w:val="18"/>
        </w:rPr>
        <w:softHyphen/>
        <w:t>стиндустриальному. Оно призвано не допустить чрезмерного от</w:t>
      </w:r>
      <w:r w:rsidRPr="00350396">
        <w:rPr>
          <w:rFonts w:ascii="Bookman Old Style" w:eastAsia="Bookman Old Style" w:hAnsi="Bookman Old Style" w:cs="Bookman Old Style"/>
          <w:color w:val="231F20"/>
          <w:sz w:val="18"/>
          <w:szCs w:val="18"/>
        </w:rPr>
        <w:softHyphen/>
        <w:t>клонения системы институциональных отношений от равновесия в результате монополизации любой из сторон производственных отношений, так как это может вызвать ответную негативную реак</w:t>
      </w:r>
      <w:r w:rsidRPr="00350396">
        <w:rPr>
          <w:rFonts w:ascii="Bookman Old Style" w:eastAsia="Bookman Old Style" w:hAnsi="Bookman Old Style" w:cs="Bookman Old Style"/>
          <w:color w:val="231F20"/>
          <w:sz w:val="18"/>
          <w:szCs w:val="18"/>
        </w:rPr>
        <w:softHyphen/>
        <w:t>цию остальных участников, подвергшихся эксплуатации. Негатив</w:t>
      </w:r>
      <w:r w:rsidRPr="00350396">
        <w:rPr>
          <w:rFonts w:ascii="Bookman Old Style" w:eastAsia="Bookman Old Style" w:hAnsi="Bookman Old Style" w:cs="Bookman Old Style"/>
          <w:color w:val="231F20"/>
          <w:sz w:val="18"/>
          <w:szCs w:val="18"/>
        </w:rPr>
        <w:softHyphen/>
        <w:t>ная реакция в виде производственных (забастовки, локауты) и со</w:t>
      </w:r>
      <w:r w:rsidRPr="00350396">
        <w:rPr>
          <w:rFonts w:ascii="Bookman Old Style" w:eastAsia="Bookman Old Style" w:hAnsi="Bookman Old Style" w:cs="Bookman Old Style"/>
          <w:color w:val="231F20"/>
          <w:sz w:val="18"/>
          <w:szCs w:val="18"/>
        </w:rPr>
        <w:softHyphen/>
        <w:t>циальных (революции и т. п.) волнений может обернуться гибелью системы.</w:t>
      </w:r>
    </w:p>
    <w:p w14:paraId="36C50954" w14:textId="77777777" w:rsidR="00350396" w:rsidRPr="00350396" w:rsidRDefault="00350396" w:rsidP="00350396">
      <w:pPr>
        <w:widowControl w:val="0"/>
        <w:spacing w:line="250" w:lineRule="exact"/>
        <w:ind w:firstLine="340"/>
        <w:rPr>
          <w:rFonts w:ascii="Bookman Old Style" w:eastAsia="Bookman Old Style" w:hAnsi="Bookman Old Style" w:cs="Bookman Old Style"/>
          <w:color w:val="231F20"/>
          <w:sz w:val="18"/>
          <w:szCs w:val="18"/>
        </w:rPr>
      </w:pPr>
      <w:r w:rsidRPr="00350396">
        <w:rPr>
          <w:rFonts w:ascii="Bookman Old Style" w:eastAsia="Bookman Old Style" w:hAnsi="Bookman Old Style" w:cs="Bookman Old Style"/>
          <w:color w:val="231F20"/>
          <w:sz w:val="18"/>
          <w:szCs w:val="18"/>
        </w:rPr>
        <w:t xml:space="preserve">Основные принципы системы СП имеют возможность пережить </w:t>
      </w:r>
      <w:r w:rsidRPr="00350396">
        <w:rPr>
          <w:rFonts w:ascii="Bookman Old Style" w:eastAsia="Bookman Old Style" w:hAnsi="Bookman Old Style" w:cs="Bookman Old Style"/>
          <w:color w:val="231F20"/>
          <w:sz w:val="18"/>
          <w:szCs w:val="18"/>
        </w:rPr>
        <w:lastRenderedPageBreak/>
        <w:t>существующие общественные отношения рыночного общества ин</w:t>
      </w:r>
      <w:r w:rsidRPr="00350396">
        <w:rPr>
          <w:rFonts w:ascii="Bookman Old Style" w:eastAsia="Bookman Old Style" w:hAnsi="Bookman Old Style" w:cs="Bookman Old Style"/>
          <w:color w:val="231F20"/>
          <w:sz w:val="18"/>
          <w:szCs w:val="18"/>
        </w:rPr>
        <w:softHyphen/>
        <w:t>дустриальной эпохи и встроиться в будущие общественные отно</w:t>
      </w:r>
      <w:r w:rsidRPr="00350396">
        <w:rPr>
          <w:rFonts w:ascii="Bookman Old Style" w:eastAsia="Bookman Old Style" w:hAnsi="Bookman Old Style" w:cs="Bookman Old Style"/>
          <w:color w:val="231F20"/>
          <w:sz w:val="18"/>
          <w:szCs w:val="18"/>
        </w:rPr>
        <w:softHyphen/>
        <w:t>шения постиндустриального общества, поскольку они несут в себе «избыточность», обусловленную обязательным участием обще</w:t>
      </w:r>
      <w:r w:rsidRPr="00350396">
        <w:rPr>
          <w:rFonts w:ascii="Bookman Old Style" w:eastAsia="Bookman Old Style" w:hAnsi="Bookman Old Style" w:cs="Bookman Old Style"/>
          <w:color w:val="231F20"/>
          <w:sz w:val="18"/>
          <w:szCs w:val="18"/>
        </w:rPr>
        <w:softHyphen/>
        <w:t>ственности и договорным характером отношений.</w:t>
      </w:r>
    </w:p>
    <w:p w14:paraId="4003B654"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highlight w:val="green"/>
        </w:rPr>
        <w:t xml:space="preserve">Актуально это и сегодня – в связи с обострением глобального кризиса, вызванного пандемией </w:t>
      </w:r>
      <w:r w:rsidRPr="00350396">
        <w:rPr>
          <w:rFonts w:ascii="Bookman Old Style" w:eastAsia="Bookman Old Style" w:hAnsi="Bookman Old Style" w:cs="Bookman Old Style"/>
          <w:color w:val="231F20"/>
          <w:sz w:val="18"/>
          <w:szCs w:val="18"/>
          <w:highlight w:val="green"/>
          <w:lang w:val="en-US"/>
        </w:rPr>
        <w:t>COWID</w:t>
      </w:r>
      <w:r w:rsidRPr="00350396">
        <w:rPr>
          <w:rFonts w:ascii="Bookman Old Style" w:eastAsia="Bookman Old Style" w:hAnsi="Bookman Old Style" w:cs="Bookman Old Style"/>
          <w:color w:val="231F20"/>
          <w:sz w:val="18"/>
          <w:szCs w:val="18"/>
          <w:highlight w:val="green"/>
        </w:rPr>
        <w:t>-19 и началом военных событий на Украине в 2022 г. Перелом между эпохами, синхронизированный с переходом от пятого к шестому технологическому укладу, требует создания новых механизмом управления и общественного самоуправления, и здесь опыт социального партнерства может оказаться неоценимым.</w:t>
      </w:r>
    </w:p>
    <w:p w14:paraId="6976940C"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Впервые концепция межсекторного социального партнерства в России была очерчена коллективом исполнителей проекта «Соци</w:t>
      </w:r>
      <w:r w:rsidRPr="00350396">
        <w:rPr>
          <w:rFonts w:ascii="Bookman Old Style" w:eastAsia="Bookman Old Style" w:hAnsi="Bookman Old Style" w:cs="Bookman Old Style"/>
          <w:color w:val="231F20"/>
          <w:sz w:val="18"/>
          <w:szCs w:val="18"/>
        </w:rPr>
        <w:softHyphen/>
        <w:t>альное партнерство», выполненного в Томске и Иркутске в 1994</w:t>
      </w:r>
      <w:r w:rsidRPr="00350396">
        <w:rPr>
          <w:rFonts w:ascii="Bookman Old Style" w:eastAsia="Bookman Old Style" w:hAnsi="Bookman Old Style" w:cs="Bookman Old Style"/>
          <w:color w:val="595657"/>
          <w:sz w:val="18"/>
          <w:szCs w:val="18"/>
        </w:rPr>
        <w:t xml:space="preserve">— </w:t>
      </w:r>
      <w:r w:rsidRPr="00350396">
        <w:rPr>
          <w:rFonts w:ascii="Bookman Old Style" w:eastAsia="Bookman Old Style" w:hAnsi="Bookman Old Style" w:cs="Bookman Old Style"/>
          <w:color w:val="231F20"/>
          <w:sz w:val="18"/>
          <w:szCs w:val="18"/>
        </w:rPr>
        <w:t>1995 гг.</w:t>
      </w:r>
    </w:p>
    <w:p w14:paraId="051A80E8"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Межсекторное социальное партнерство</w:t>
      </w:r>
      <w:r w:rsidRPr="00350396">
        <w:rPr>
          <w:rFonts w:ascii="Bookman Old Style" w:eastAsia="Bookman Old Style" w:hAnsi="Bookman Old Style" w:cs="Bookman Old Style"/>
          <w:color w:val="231F20"/>
          <w:sz w:val="18"/>
          <w:szCs w:val="18"/>
        </w:rPr>
        <w:t xml:space="preserve"> — это конструктивное взаимодействие организаций из двух или трех секторов (государ</w:t>
      </w:r>
      <w:r w:rsidRPr="00350396">
        <w:rPr>
          <w:rFonts w:ascii="Bookman Old Style" w:eastAsia="Bookman Old Style" w:hAnsi="Bookman Old Style" w:cs="Bookman Old Style"/>
          <w:color w:val="231F20"/>
          <w:sz w:val="18"/>
          <w:szCs w:val="18"/>
        </w:rPr>
        <w:softHyphen/>
        <w:t>ство, бизнес, НКО) при решении социальных проблем, обеспечи</w:t>
      </w:r>
      <w:r w:rsidRPr="00350396">
        <w:rPr>
          <w:rFonts w:ascii="Bookman Old Style" w:eastAsia="Bookman Old Style" w:hAnsi="Bookman Old Style" w:cs="Bookman Old Style"/>
          <w:color w:val="231F20"/>
          <w:sz w:val="18"/>
          <w:szCs w:val="18"/>
        </w:rPr>
        <w:softHyphen/>
        <w:t>вающее синергетический эффект от «сложения» разных ресурсов и «выгодное» каждой из сторон и населению</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64CFF103"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Механизм взаимодействия НКО (бизнес — власть) — это разра</w:t>
      </w:r>
      <w:r w:rsidRPr="00350396">
        <w:rPr>
          <w:rFonts w:ascii="Bookman Old Style" w:eastAsia="Bookman Old Style" w:hAnsi="Bookman Old Style" w:cs="Bookman Old Style"/>
          <w:color w:val="231F20"/>
          <w:sz w:val="18"/>
          <w:szCs w:val="18"/>
        </w:rPr>
        <w:softHyphen/>
        <w:t>ботанная сообща совокупность правил, способов, технологий и до</w:t>
      </w:r>
      <w:r w:rsidRPr="00350396">
        <w:rPr>
          <w:rFonts w:ascii="Bookman Old Style" w:eastAsia="Bookman Old Style" w:hAnsi="Bookman Old Style" w:cs="Bookman Old Style"/>
          <w:color w:val="231F20"/>
          <w:sz w:val="18"/>
          <w:szCs w:val="18"/>
        </w:rPr>
        <w:softHyphen/>
        <w:t>кументации по организации, обеспечению ресурсами и реализации совместных работ (проектов, акций), которая встроена в схему функционирования социальной сферы на данной территории, на</w:t>
      </w:r>
      <w:r w:rsidRPr="00350396">
        <w:rPr>
          <w:rFonts w:ascii="Bookman Old Style" w:eastAsia="Bookman Old Style" w:hAnsi="Bookman Old Style" w:cs="Bookman Old Style"/>
          <w:color w:val="231F20"/>
          <w:sz w:val="18"/>
          <w:szCs w:val="18"/>
        </w:rPr>
        <w:softHyphen/>
        <w:t>правлена на решение социально-значимой проблемы с учетом дей</w:t>
      </w:r>
      <w:r w:rsidRPr="00350396">
        <w:rPr>
          <w:rFonts w:ascii="Bookman Old Style" w:eastAsia="Bookman Old Style" w:hAnsi="Bookman Old Style" w:cs="Bookman Old Style"/>
          <w:color w:val="231F20"/>
          <w:sz w:val="18"/>
          <w:szCs w:val="18"/>
        </w:rPr>
        <w:softHyphen/>
        <w:t>ствующих нормативных и правовых актов и воспроизводима в бу</w:t>
      </w:r>
      <w:r w:rsidRPr="00350396">
        <w:rPr>
          <w:rFonts w:ascii="Bookman Old Style" w:eastAsia="Bookman Old Style" w:hAnsi="Bookman Old Style" w:cs="Bookman Old Style"/>
          <w:color w:val="231F20"/>
          <w:sz w:val="18"/>
          <w:szCs w:val="18"/>
        </w:rPr>
        <w:softHyphen/>
        <w:t>дущем без участия создателей.</w:t>
      </w:r>
    </w:p>
    <w:p w14:paraId="185DEACA"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На практике в России выработались </w:t>
      </w:r>
      <w:r w:rsidRPr="00350396">
        <w:rPr>
          <w:rFonts w:ascii="Bookman Old Style" w:eastAsia="Bookman Old Style" w:hAnsi="Bookman Old Style" w:cs="Bookman Old Style"/>
          <w:i/>
          <w:iCs/>
          <w:color w:val="231F20"/>
          <w:sz w:val="18"/>
          <w:szCs w:val="18"/>
        </w:rPr>
        <w:t>пять групп инновационных механизмов:</w:t>
      </w:r>
      <w:r w:rsidRPr="00350396">
        <w:rPr>
          <w:rFonts w:ascii="Bookman Old Style" w:eastAsia="Bookman Old Style" w:hAnsi="Bookman Old Style" w:cs="Bookman Old Style"/>
          <w:color w:val="231F20"/>
          <w:sz w:val="18"/>
          <w:szCs w:val="18"/>
        </w:rPr>
        <w:t xml:space="preserve"> конкурсные, социально-технологические, организа- </w:t>
      </w:r>
      <w:r w:rsidRPr="00350396">
        <w:rPr>
          <w:rFonts w:ascii="Bookman Old Style" w:eastAsia="Bookman Old Style" w:hAnsi="Bookman Old Style" w:cs="Bookman Old Style"/>
          <w:color w:val="231F20"/>
          <w:sz w:val="18"/>
          <w:szCs w:val="18"/>
          <w:vertAlign w:val="superscript"/>
        </w:rPr>
        <w:footnoteReference w:id="34"/>
      </w:r>
      <w:r w:rsidRPr="00350396">
        <w:rPr>
          <w:rFonts w:ascii="Bookman Old Style" w:eastAsia="Bookman Old Style" w:hAnsi="Bookman Old Style" w:cs="Bookman Old Style"/>
          <w:color w:val="231F20"/>
          <w:sz w:val="18"/>
          <w:szCs w:val="18"/>
        </w:rPr>
        <w:t xml:space="preserve"> ционно-структурные, процедурные, комплексные, или комбиниро</w:t>
      </w:r>
      <w:r w:rsidRPr="00350396">
        <w:rPr>
          <w:rFonts w:ascii="Bookman Old Style" w:eastAsia="Bookman Old Style" w:hAnsi="Bookman Old Style" w:cs="Bookman Old Style"/>
          <w:color w:val="231F20"/>
          <w:sz w:val="18"/>
          <w:szCs w:val="18"/>
        </w:rPr>
        <w:softHyphen/>
        <w:t>ванные.</w:t>
      </w:r>
    </w:p>
    <w:p w14:paraId="6605140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К </w:t>
      </w:r>
      <w:r w:rsidRPr="00350396">
        <w:rPr>
          <w:rFonts w:ascii="Bookman Old Style" w:eastAsia="Bookman Old Style" w:hAnsi="Bookman Old Style" w:cs="Bookman Old Style"/>
          <w:i/>
          <w:iCs/>
          <w:color w:val="231F20"/>
          <w:sz w:val="18"/>
          <w:szCs w:val="18"/>
        </w:rPr>
        <w:t>конкурсным</w:t>
      </w:r>
      <w:r w:rsidRPr="00350396">
        <w:rPr>
          <w:rFonts w:ascii="Bookman Old Style" w:eastAsia="Bookman Old Style" w:hAnsi="Bookman Old Style" w:cs="Bookman Old Style"/>
          <w:color w:val="231F20"/>
          <w:sz w:val="18"/>
          <w:szCs w:val="18"/>
        </w:rPr>
        <w:t xml:space="preserve"> относятся механизмы социального заказа уров</w:t>
      </w:r>
      <w:r w:rsidRPr="00350396">
        <w:rPr>
          <w:rFonts w:ascii="Bookman Old Style" w:eastAsia="Bookman Old Style" w:hAnsi="Bookman Old Style" w:cs="Bookman Old Style"/>
          <w:color w:val="231F20"/>
          <w:sz w:val="18"/>
          <w:szCs w:val="18"/>
        </w:rPr>
        <w:softHyphen/>
        <w:t>ня субъекта РФ, муниципального заказа, муниципального гранта, гранта субъекта РФ, тендера, конкурса социальных проектов, кон</w:t>
      </w:r>
      <w:r w:rsidRPr="00350396">
        <w:rPr>
          <w:rFonts w:ascii="Bookman Old Style" w:eastAsia="Bookman Old Style" w:hAnsi="Bookman Old Style" w:cs="Bookman Old Style"/>
          <w:color w:val="231F20"/>
          <w:sz w:val="18"/>
          <w:szCs w:val="18"/>
        </w:rPr>
        <w:softHyphen/>
        <w:t>курсов для гражданских инициатив и НКО по различным номинаци</w:t>
      </w:r>
      <w:r w:rsidRPr="00350396">
        <w:rPr>
          <w:rFonts w:ascii="Bookman Old Style" w:eastAsia="Bookman Old Style" w:hAnsi="Bookman Old Style" w:cs="Bookman Old Style"/>
          <w:color w:val="231F20"/>
          <w:sz w:val="18"/>
          <w:szCs w:val="18"/>
        </w:rPr>
        <w:softHyphen/>
        <w:t>ям, конкурса авторских вариативных программ, конкурса проектов на соискание грантов Президента РФ в области культуры и искус</w:t>
      </w:r>
      <w:r w:rsidRPr="00350396">
        <w:rPr>
          <w:rFonts w:ascii="Bookman Old Style" w:eastAsia="Bookman Old Style" w:hAnsi="Bookman Old Style" w:cs="Bookman Old Style"/>
          <w:color w:val="231F20"/>
          <w:sz w:val="18"/>
          <w:szCs w:val="18"/>
        </w:rPr>
        <w:softHyphen/>
        <w:t>ства, конкурса на получение кредита и др.</w:t>
      </w:r>
    </w:p>
    <w:p w14:paraId="6BDE702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К </w:t>
      </w:r>
      <w:r w:rsidRPr="00350396">
        <w:rPr>
          <w:rFonts w:ascii="Bookman Old Style" w:eastAsia="Bookman Old Style" w:hAnsi="Bookman Old Style" w:cs="Bookman Old Style"/>
          <w:i/>
          <w:iCs/>
          <w:color w:val="231F20"/>
          <w:sz w:val="18"/>
          <w:szCs w:val="18"/>
        </w:rPr>
        <w:t>социально-технологическим</w:t>
      </w:r>
      <w:r w:rsidRPr="00350396">
        <w:rPr>
          <w:rFonts w:ascii="Bookman Old Style" w:eastAsia="Bookman Old Style" w:hAnsi="Bookman Old Style" w:cs="Bookman Old Style"/>
          <w:color w:val="231F20"/>
          <w:sz w:val="18"/>
          <w:szCs w:val="18"/>
        </w:rPr>
        <w:t xml:space="preserve"> принадлежат механизмы, базиру</w:t>
      </w:r>
      <w:r w:rsidRPr="00350396">
        <w:rPr>
          <w:rFonts w:ascii="Bookman Old Style" w:eastAsia="Bookman Old Style" w:hAnsi="Bookman Old Style" w:cs="Bookman Old Style"/>
          <w:color w:val="231F20"/>
          <w:sz w:val="18"/>
          <w:szCs w:val="18"/>
        </w:rPr>
        <w:softHyphen/>
        <w:t>ющиеся на социальной технологии (ноу-хау), созданной НКО заново или освоенной в России на основе изучения позитивного зарубеж</w:t>
      </w:r>
      <w:r w:rsidRPr="00350396">
        <w:rPr>
          <w:rFonts w:ascii="Bookman Old Style" w:eastAsia="Bookman Old Style" w:hAnsi="Bookman Old Style" w:cs="Bookman Old Style"/>
          <w:color w:val="231F20"/>
          <w:sz w:val="18"/>
          <w:szCs w:val="18"/>
        </w:rPr>
        <w:softHyphen/>
        <w:t>ного опыта и выгодно отличающейся по эффективности использова</w:t>
      </w:r>
      <w:r w:rsidRPr="00350396">
        <w:rPr>
          <w:rFonts w:ascii="Bookman Old Style" w:eastAsia="Bookman Old Style" w:hAnsi="Bookman Old Style" w:cs="Bookman Old Style"/>
          <w:color w:val="231F20"/>
          <w:sz w:val="18"/>
          <w:szCs w:val="18"/>
        </w:rPr>
        <w:softHyphen/>
        <w:t>ния средств и качеству результатов от иных технологий, применяв</w:t>
      </w:r>
      <w:r w:rsidRPr="00350396">
        <w:rPr>
          <w:rFonts w:ascii="Bookman Old Style" w:eastAsia="Bookman Old Style" w:hAnsi="Bookman Old Style" w:cs="Bookman Old Style"/>
          <w:color w:val="231F20"/>
          <w:sz w:val="18"/>
          <w:szCs w:val="18"/>
        </w:rPr>
        <w:softHyphen/>
        <w:t xml:space="preserve">шихся </w:t>
      </w:r>
      <w:r w:rsidRPr="00350396">
        <w:rPr>
          <w:rFonts w:ascii="Bookman Old Style" w:eastAsia="Bookman Old Style" w:hAnsi="Bookman Old Style" w:cs="Bookman Old Style"/>
          <w:color w:val="231F20"/>
          <w:sz w:val="18"/>
          <w:szCs w:val="18"/>
        </w:rPr>
        <w:lastRenderedPageBreak/>
        <w:t>госструктурами. К этой группе относят хосписы, приемные семьи, экологические экспертизы и гражданские действия по за</w:t>
      </w:r>
      <w:r w:rsidRPr="00350396">
        <w:rPr>
          <w:rFonts w:ascii="Bookman Old Style" w:eastAsia="Bookman Old Style" w:hAnsi="Bookman Old Style" w:cs="Bookman Old Style"/>
          <w:color w:val="231F20"/>
          <w:sz w:val="18"/>
          <w:szCs w:val="18"/>
        </w:rPr>
        <w:softHyphen/>
        <w:t>щите окружающей среды в форме судебных исков, специальные модели социализации детей-инвалидов, умственно отсталых де</w:t>
      </w:r>
      <w:r w:rsidRPr="00350396">
        <w:rPr>
          <w:rFonts w:ascii="Bookman Old Style" w:eastAsia="Bookman Old Style" w:hAnsi="Bookman Old Style" w:cs="Bookman Old Style"/>
          <w:color w:val="231F20"/>
          <w:sz w:val="18"/>
          <w:szCs w:val="18"/>
        </w:rPr>
        <w:softHyphen/>
        <w:t>тей, новые подходы к психологической реабилитации алкоголиков и наркоманов и созданию оздоровительных программ, концепцию реабилитационного пространства для несовершеннолетних группы риска, систему гериартрической реабилитации на дому, программу общественного развития муниципальных образований в малых го</w:t>
      </w:r>
      <w:r w:rsidRPr="00350396">
        <w:rPr>
          <w:rFonts w:ascii="Bookman Old Style" w:eastAsia="Bookman Old Style" w:hAnsi="Bookman Old Style" w:cs="Bookman Old Style"/>
          <w:color w:val="231F20"/>
          <w:sz w:val="18"/>
          <w:szCs w:val="18"/>
        </w:rPr>
        <w:softHyphen/>
        <w:t>родах и многое другое.</w:t>
      </w:r>
    </w:p>
    <w:p w14:paraId="4F80EAD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Организационно-структурные механизмы</w:t>
      </w:r>
      <w:r w:rsidRPr="00350396">
        <w:rPr>
          <w:rFonts w:ascii="Bookman Old Style" w:eastAsia="Bookman Old Style" w:hAnsi="Bookman Old Style" w:cs="Bookman Old Style"/>
          <w:color w:val="231F20"/>
          <w:sz w:val="18"/>
          <w:szCs w:val="18"/>
        </w:rPr>
        <w:t xml:space="preserve"> характеризуются тем, что власть совместно с гражданскими объединениями, действу</w:t>
      </w:r>
      <w:r w:rsidRPr="00350396">
        <w:rPr>
          <w:rFonts w:ascii="Bookman Old Style" w:eastAsia="Bookman Old Style" w:hAnsi="Bookman Old Style" w:cs="Bookman Old Style"/>
          <w:color w:val="231F20"/>
          <w:sz w:val="18"/>
          <w:szCs w:val="18"/>
        </w:rPr>
        <w:softHyphen/>
        <w:t>ющими на той же территории, образует новую организационную структуру, которой делегируется часть функций по решению со</w:t>
      </w:r>
      <w:r w:rsidRPr="00350396">
        <w:rPr>
          <w:rFonts w:ascii="Bookman Old Style" w:eastAsia="Bookman Old Style" w:hAnsi="Bookman Old Style" w:cs="Bookman Old Style"/>
          <w:color w:val="231F20"/>
          <w:sz w:val="18"/>
          <w:szCs w:val="18"/>
        </w:rPr>
        <w:softHyphen/>
        <w:t>вокупности социально значимых задач через вовлечение граждан и общественных объединений при финансовой поддержке со сто</w:t>
      </w:r>
      <w:r w:rsidRPr="00350396">
        <w:rPr>
          <w:rFonts w:ascii="Bookman Old Style" w:eastAsia="Bookman Old Style" w:hAnsi="Bookman Old Style" w:cs="Bookman Old Style"/>
          <w:color w:val="231F20"/>
          <w:sz w:val="18"/>
          <w:szCs w:val="18"/>
        </w:rPr>
        <w:softHyphen/>
        <w:t>роны власти.</w:t>
      </w:r>
    </w:p>
    <w:p w14:paraId="1FBF461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highlight w:val="green"/>
        </w:rPr>
        <w:t>Примерами являются созданные в Москве Центр «Социальное пар</w:t>
      </w:r>
      <w:r w:rsidRPr="00350396">
        <w:rPr>
          <w:rFonts w:ascii="Bookman Old Style" w:eastAsia="Bookman Old Style" w:hAnsi="Bookman Old Style" w:cs="Bookman Old Style"/>
          <w:color w:val="231F20"/>
          <w:sz w:val="18"/>
          <w:szCs w:val="18"/>
          <w:highlight w:val="green"/>
        </w:rPr>
        <w:softHyphen/>
        <w:t>тнерство», региональный общественный благотворительный фонд «Социальное пар</w:t>
      </w:r>
      <w:r w:rsidRPr="00350396">
        <w:rPr>
          <w:rFonts w:ascii="Bookman Old Style" w:eastAsia="Bookman Old Style" w:hAnsi="Bookman Old Style" w:cs="Bookman Old Style"/>
          <w:color w:val="231F20"/>
          <w:sz w:val="18"/>
          <w:szCs w:val="18"/>
          <w:highlight w:val="green"/>
        </w:rPr>
        <w:softHyphen/>
        <w:t>тнерство».</w:t>
      </w:r>
      <w:r w:rsidRPr="00350396">
        <w:rPr>
          <w:rFonts w:ascii="Bookman Old Style" w:eastAsia="Bookman Old Style" w:hAnsi="Bookman Old Style" w:cs="Bookman Old Style"/>
          <w:color w:val="231F20"/>
          <w:sz w:val="18"/>
          <w:szCs w:val="18"/>
        </w:rPr>
        <w:t xml:space="preserve"> Для решения проблем детской безнадзорности в Москве создан центр «Дети улицы». </w:t>
      </w:r>
      <w:r w:rsidRPr="00350396">
        <w:rPr>
          <w:rFonts w:ascii="Bookman Old Style" w:eastAsia="Bookman Old Style" w:hAnsi="Bookman Old Style" w:cs="Bookman Old Style"/>
          <w:color w:val="231F20"/>
          <w:sz w:val="18"/>
          <w:szCs w:val="18"/>
          <w:highlight w:val="green"/>
        </w:rPr>
        <w:t>В Челябинске в конце 90-х годов было</w:t>
      </w:r>
      <w:r w:rsidRPr="00350396">
        <w:rPr>
          <w:rFonts w:ascii="Bookman Old Style" w:eastAsia="Bookman Old Style" w:hAnsi="Bookman Old Style" w:cs="Bookman Old Style"/>
          <w:color w:val="231F20"/>
          <w:sz w:val="18"/>
          <w:szCs w:val="18"/>
        </w:rPr>
        <w:t xml:space="preserve"> образовано муниципаль</w:t>
      </w:r>
      <w:r w:rsidRPr="00350396">
        <w:rPr>
          <w:rFonts w:ascii="Bookman Old Style" w:eastAsia="Bookman Old Style" w:hAnsi="Bookman Old Style" w:cs="Bookman Old Style"/>
          <w:color w:val="231F20"/>
          <w:sz w:val="18"/>
          <w:szCs w:val="18"/>
        </w:rPr>
        <w:softHyphen/>
        <w:t>ное учреждение «Центр общественных объединений», а в Челябин</w:t>
      </w:r>
      <w:r w:rsidRPr="00350396">
        <w:rPr>
          <w:rFonts w:ascii="Bookman Old Style" w:eastAsia="Bookman Old Style" w:hAnsi="Bookman Old Style" w:cs="Bookman Old Style"/>
          <w:color w:val="231F20"/>
          <w:sz w:val="18"/>
          <w:szCs w:val="18"/>
        </w:rPr>
        <w:softHyphen/>
        <w:t>ской области — Областной центр социального партнерства.</w:t>
      </w:r>
    </w:p>
    <w:p w14:paraId="07F12C2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Процедурными механизмами</w:t>
      </w:r>
      <w:r w:rsidRPr="00350396">
        <w:rPr>
          <w:rFonts w:ascii="Bookman Old Style" w:eastAsia="Bookman Old Style" w:hAnsi="Bookman Old Style" w:cs="Bookman Old Style"/>
          <w:color w:val="231F20"/>
          <w:sz w:val="18"/>
          <w:szCs w:val="18"/>
        </w:rPr>
        <w:t xml:space="preserve"> взаимодействия определяются пра</w:t>
      </w:r>
      <w:r w:rsidRPr="00350396">
        <w:rPr>
          <w:rFonts w:ascii="Bookman Old Style" w:eastAsia="Bookman Old Style" w:hAnsi="Bookman Old Style" w:cs="Bookman Old Style"/>
          <w:color w:val="231F20"/>
          <w:sz w:val="18"/>
          <w:szCs w:val="18"/>
        </w:rPr>
        <w:softHyphen/>
        <w:t>вила сотрудничества НКО и власти при решении (как правило, разовом) определенного класса задач (без организации конкурсов, без создания новых организационных структур в форме юриди</w:t>
      </w:r>
      <w:r w:rsidRPr="00350396">
        <w:rPr>
          <w:rFonts w:ascii="Bookman Old Style" w:eastAsia="Bookman Old Style" w:hAnsi="Bookman Old Style" w:cs="Bookman Old Style"/>
          <w:color w:val="231F20"/>
          <w:sz w:val="18"/>
          <w:szCs w:val="18"/>
        </w:rPr>
        <w:softHyphen/>
        <w:t>ческих лиц и без опоры на какие-либо новые технологии). Такие процедуры формируются в ходе совместного обсуждения и чаще всего оформляются в виде специального соглашения, действующе</w:t>
      </w:r>
      <w:r w:rsidRPr="00350396">
        <w:rPr>
          <w:rFonts w:ascii="Bookman Old Style" w:eastAsia="Bookman Old Style" w:hAnsi="Bookman Old Style" w:cs="Bookman Old Style"/>
          <w:color w:val="231F20"/>
          <w:sz w:val="18"/>
          <w:szCs w:val="18"/>
        </w:rPr>
        <w:softHyphen/>
        <w:t>го в течение фиксированного периода. Примером таких процедур являются определенные правила и процедуры, оформленные в со-</w:t>
      </w:r>
    </w:p>
    <w:p w14:paraId="4A37FD22" w14:textId="77777777" w:rsidR="00350396" w:rsidRPr="00350396" w:rsidRDefault="00350396" w:rsidP="00350396">
      <w:pPr>
        <w:widowControl w:val="0"/>
        <w:spacing w:line="250" w:lineRule="exact"/>
        <w:ind w:firstLine="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ответствующих законах и постановлениях. К ним относятся также различного рода общественные палаты, общественные комитеты, форумы граждан, круглые столы, координационные советы, со</w:t>
      </w:r>
      <w:r w:rsidRPr="00350396">
        <w:rPr>
          <w:rFonts w:ascii="Bookman Old Style" w:eastAsia="Bookman Old Style" w:hAnsi="Bookman Old Style" w:cs="Bookman Old Style"/>
          <w:color w:val="231F20"/>
          <w:sz w:val="18"/>
          <w:szCs w:val="18"/>
        </w:rPr>
        <w:softHyphen/>
        <w:t>глашения, общественные парламенты, губернские собрания обще</w:t>
      </w:r>
      <w:r w:rsidRPr="00350396">
        <w:rPr>
          <w:rFonts w:ascii="Bookman Old Style" w:eastAsia="Bookman Old Style" w:hAnsi="Bookman Old Style" w:cs="Bookman Old Style"/>
          <w:color w:val="231F20"/>
          <w:sz w:val="18"/>
          <w:szCs w:val="18"/>
        </w:rPr>
        <w:softHyphen/>
        <w:t>ственности, палаты социального бизнеса, общественные советы и др. В современной России в эту группу входят и общественные слушания, в том числе парламентские.</w:t>
      </w:r>
    </w:p>
    <w:p w14:paraId="60F6CBD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Комплексные, или комбинированные, механизмы</w:t>
      </w:r>
      <w:r w:rsidRPr="00350396">
        <w:rPr>
          <w:rFonts w:ascii="Bookman Old Style" w:eastAsia="Bookman Old Style" w:hAnsi="Bookman Old Style" w:cs="Bookman Old Style"/>
          <w:color w:val="231F20"/>
          <w:sz w:val="18"/>
          <w:szCs w:val="18"/>
        </w:rPr>
        <w:t xml:space="preserve"> — это такие си</w:t>
      </w:r>
      <w:r w:rsidRPr="00350396">
        <w:rPr>
          <w:rFonts w:ascii="Bookman Old Style" w:eastAsia="Bookman Old Style" w:hAnsi="Bookman Old Style" w:cs="Bookman Old Style"/>
          <w:color w:val="231F20"/>
          <w:sz w:val="18"/>
          <w:szCs w:val="18"/>
        </w:rPr>
        <w:softHyphen/>
        <w:t>стемы взаимодействия, которые несут в себе черты, как минимум, любой пары из вышеназванных механизмов. Например, это фонды развития местного сообщества (объединяют черты конкурсных, технологических и оргструктурных механизмов), фонды развития местного сообщества на базе общественно-активных школ, ярмар</w:t>
      </w:r>
      <w:r w:rsidRPr="00350396">
        <w:rPr>
          <w:rFonts w:ascii="Bookman Old Style" w:eastAsia="Bookman Old Style" w:hAnsi="Bookman Old Style" w:cs="Bookman Old Style"/>
          <w:color w:val="231F20"/>
          <w:sz w:val="18"/>
          <w:szCs w:val="18"/>
        </w:rPr>
        <w:softHyphen/>
        <w:t>ки НКО, ярмарки социальных проектов и услуг и т. п.</w:t>
      </w:r>
    </w:p>
    <w:p w14:paraId="76F672F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Серьезным вкладом в развитие некоммерческого сектора в Рос</w:t>
      </w:r>
      <w:r w:rsidRPr="00350396">
        <w:rPr>
          <w:rFonts w:ascii="Bookman Old Style" w:eastAsia="Bookman Old Style" w:hAnsi="Bookman Old Style" w:cs="Bookman Old Style"/>
          <w:color w:val="231F20"/>
          <w:sz w:val="18"/>
          <w:szCs w:val="18"/>
        </w:rPr>
        <w:softHyphen/>
        <w:t xml:space="preserve">сии </w:t>
      </w:r>
      <w:r w:rsidRPr="00350396">
        <w:rPr>
          <w:rFonts w:ascii="Bookman Old Style" w:eastAsia="Bookman Old Style" w:hAnsi="Bookman Old Style" w:cs="Bookman Old Style"/>
          <w:color w:val="231F20"/>
          <w:sz w:val="18"/>
          <w:szCs w:val="18"/>
        </w:rPr>
        <w:lastRenderedPageBreak/>
        <w:t>стало принятие Федерального закона от 05.04.2010 № 40-ФЗ «О внесении изменений в отдельные законодательные акты Рос</w:t>
      </w:r>
      <w:r w:rsidRPr="00350396">
        <w:rPr>
          <w:rFonts w:ascii="Bookman Old Style" w:eastAsia="Bookman Old Style" w:hAnsi="Bookman Old Style" w:cs="Bookman Old Style"/>
          <w:color w:val="231F20"/>
          <w:sz w:val="18"/>
          <w:szCs w:val="18"/>
        </w:rPr>
        <w:softHyphen/>
        <w:t>сийской Федерации по вопросу поддержки социально ориентиро</w:t>
      </w:r>
      <w:r w:rsidRPr="00350396">
        <w:rPr>
          <w:rFonts w:ascii="Bookman Old Style" w:eastAsia="Bookman Old Style" w:hAnsi="Bookman Old Style" w:cs="Bookman Old Style"/>
          <w:color w:val="231F20"/>
          <w:sz w:val="18"/>
          <w:szCs w:val="18"/>
        </w:rPr>
        <w:softHyphen/>
        <w:t>ванных некоммерческих организаций».</w:t>
      </w:r>
    </w:p>
    <w:p w14:paraId="67A607C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Во исполнение этого Закона Правительство РФ приняло поста</w:t>
      </w:r>
      <w:r w:rsidRPr="00350396">
        <w:rPr>
          <w:rFonts w:ascii="Bookman Old Style" w:eastAsia="Bookman Old Style" w:hAnsi="Bookman Old Style" w:cs="Bookman Old Style"/>
          <w:color w:val="231F20"/>
          <w:sz w:val="18"/>
          <w:szCs w:val="18"/>
        </w:rPr>
        <w:softHyphen/>
        <w:t>новление от 23.08.2011 № 713 «О предоставлении поддержки соци</w:t>
      </w:r>
      <w:r w:rsidRPr="00350396">
        <w:rPr>
          <w:rFonts w:ascii="Bookman Old Style" w:eastAsia="Bookman Old Style" w:hAnsi="Bookman Old Style" w:cs="Bookman Old Style"/>
          <w:color w:val="231F20"/>
          <w:sz w:val="18"/>
          <w:szCs w:val="18"/>
        </w:rPr>
        <w:softHyphen/>
        <w:t>ально ориентированным некоммерческим организациям».</w:t>
      </w:r>
    </w:p>
    <w:p w14:paraId="678491F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Было решено направить бюджетные ассигнования в размере 780 млн руб. Министерству экономического развития РФ на реа</w:t>
      </w:r>
      <w:r w:rsidRPr="00350396">
        <w:rPr>
          <w:rFonts w:ascii="Bookman Old Style" w:eastAsia="Bookman Old Style" w:hAnsi="Bookman Old Style" w:cs="Bookman Old Style"/>
          <w:color w:val="231F20"/>
          <w:sz w:val="18"/>
          <w:szCs w:val="18"/>
        </w:rPr>
        <w:softHyphen/>
        <w:t>лизацию мероприятий по поддержке социально ориентированных некоммерческих организаций (СО НКО), в том числе в размере 600 млн руб. — на реализацию программ поддержки СО НКО субъ</w:t>
      </w:r>
      <w:r w:rsidRPr="00350396">
        <w:rPr>
          <w:rFonts w:ascii="Bookman Old Style" w:eastAsia="Bookman Old Style" w:hAnsi="Bookman Old Style" w:cs="Bookman Old Style"/>
          <w:color w:val="231F20"/>
          <w:sz w:val="18"/>
          <w:szCs w:val="18"/>
        </w:rPr>
        <w:softHyphen/>
        <w:t>ектов РФ в соответствии с Правилами предоставления субсидий из федерального бюджета бюджетам субъектов Российской Феде- рации</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 в размере 132 млн руб. — на государственную поддерж</w:t>
      </w:r>
      <w:r w:rsidRPr="00350396">
        <w:rPr>
          <w:rFonts w:ascii="Bookman Old Style" w:eastAsia="Bookman Old Style" w:hAnsi="Bookman Old Style" w:cs="Bookman Old Style"/>
          <w:color w:val="231F20"/>
          <w:sz w:val="18"/>
          <w:szCs w:val="18"/>
        </w:rPr>
        <w:softHyphen/>
        <w:t>ку СО НКО в соответствии с Правилами предоставления субсидий из федерального бюджета бюджетам субъектов Российской Феде</w:t>
      </w:r>
      <w:r w:rsidRPr="00350396">
        <w:rPr>
          <w:rFonts w:ascii="Bookman Old Style" w:eastAsia="Bookman Old Style" w:hAnsi="Bookman Old Style" w:cs="Bookman Old Style"/>
          <w:color w:val="231F20"/>
          <w:sz w:val="18"/>
          <w:szCs w:val="18"/>
        </w:rPr>
        <w:softHyphen/>
        <w:t>рации на реализацию программ поддержки социально ориентиро</w:t>
      </w:r>
      <w:r w:rsidRPr="00350396">
        <w:rPr>
          <w:rFonts w:ascii="Bookman Old Style" w:eastAsia="Bookman Old Style" w:hAnsi="Bookman Old Style" w:cs="Bookman Old Style"/>
          <w:color w:val="231F20"/>
          <w:sz w:val="18"/>
          <w:szCs w:val="18"/>
        </w:rPr>
        <w:softHyphen/>
        <w:t>ванных некоммерческих организаций, утвержденными указанным выше постановлением, в форме предоставления субсидий СО НКО; в размере 48 млн руб. — на цели:</w:t>
      </w:r>
    </w:p>
    <w:p w14:paraId="63E1820E" w14:textId="77777777" w:rsidR="00350396" w:rsidRPr="00350396" w:rsidRDefault="00350396" w:rsidP="00350396">
      <w:pPr>
        <w:widowControl w:val="0"/>
        <w:tabs>
          <w:tab w:val="left" w:pos="634"/>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w:t>
      </w:r>
      <w:r w:rsidRPr="00350396">
        <w:rPr>
          <w:rFonts w:ascii="Bookman Old Style" w:eastAsia="Bookman Old Style" w:hAnsi="Bookman Old Style" w:cs="Bookman Old Style"/>
          <w:sz w:val="18"/>
          <w:szCs w:val="18"/>
        </w:rPr>
        <w:tab/>
      </w:r>
      <w:r w:rsidRPr="00350396">
        <w:rPr>
          <w:rFonts w:ascii="Bookman Old Style" w:eastAsia="Bookman Old Style" w:hAnsi="Bookman Old Style" w:cs="Bookman Old Style"/>
          <w:color w:val="231F20"/>
          <w:sz w:val="18"/>
          <w:szCs w:val="18"/>
        </w:rPr>
        <w:t>проведения научно-исследовательских работ по проблемам деятельности и развития СО НКО, подготовки предложений по со</w:t>
      </w:r>
      <w:r w:rsidRPr="00350396">
        <w:rPr>
          <w:rFonts w:ascii="Bookman Old Style" w:eastAsia="Bookman Old Style" w:hAnsi="Bookman Old Style" w:cs="Bookman Old Style"/>
          <w:color w:val="231F20"/>
          <w:sz w:val="18"/>
          <w:szCs w:val="18"/>
        </w:rPr>
        <w:softHyphen/>
        <w:t>вершенствованию механизмов предоставления услуг, финансируе</w:t>
      </w:r>
      <w:r w:rsidRPr="00350396">
        <w:rPr>
          <w:rFonts w:ascii="Bookman Old Style" w:eastAsia="Bookman Old Style" w:hAnsi="Bookman Old Style" w:cs="Bookman Old Style"/>
          <w:color w:val="231F20"/>
          <w:sz w:val="18"/>
          <w:szCs w:val="18"/>
        </w:rPr>
        <w:softHyphen/>
        <w:t>мых из бюджетных источников с привлечением СО НКО, включая проведение мониторинга и анализа финансовых, экономических, социальных и иных показателей деятельности СО НКО в целях реа</w:t>
      </w:r>
      <w:r w:rsidRPr="00350396">
        <w:rPr>
          <w:rFonts w:ascii="Bookman Old Style" w:eastAsia="Bookman Old Style" w:hAnsi="Bookman Old Style" w:cs="Bookman Old Style"/>
          <w:color w:val="231F20"/>
          <w:sz w:val="18"/>
          <w:szCs w:val="18"/>
        </w:rPr>
        <w:softHyphen/>
        <w:t xml:space="preserve">лизации государственной политики в области поддержки СО НКО, </w:t>
      </w:r>
      <w:r w:rsidRPr="00350396">
        <w:rPr>
          <w:rFonts w:ascii="Bookman Old Style" w:eastAsia="Bookman Old Style" w:hAnsi="Bookman Old Style" w:cs="Bookman Old Style"/>
          <w:color w:val="231F20"/>
          <w:sz w:val="18"/>
          <w:szCs w:val="18"/>
          <w:vertAlign w:val="superscript"/>
        </w:rPr>
        <w:footnoteReference w:id="35"/>
      </w:r>
      <w:r w:rsidRPr="00350396">
        <w:rPr>
          <w:rFonts w:ascii="Bookman Old Style" w:eastAsia="Bookman Old Style" w:hAnsi="Bookman Old Style" w:cs="Bookman Old Style"/>
          <w:color w:val="231F20"/>
          <w:sz w:val="18"/>
          <w:szCs w:val="18"/>
        </w:rPr>
        <w:t xml:space="preserve"> а также мониторинга и анализа реализуемых мероприятий по под</w:t>
      </w:r>
      <w:r w:rsidRPr="00350396">
        <w:rPr>
          <w:rFonts w:ascii="Bookman Old Style" w:eastAsia="Bookman Old Style" w:hAnsi="Bookman Old Style" w:cs="Bookman Old Style"/>
          <w:color w:val="231F20"/>
          <w:sz w:val="18"/>
          <w:szCs w:val="18"/>
        </w:rPr>
        <w:softHyphen/>
        <w:t>держке СО НКО;</w:t>
      </w:r>
    </w:p>
    <w:p w14:paraId="5D47498C" w14:textId="77777777" w:rsidR="00350396" w:rsidRPr="00350396" w:rsidRDefault="00350396" w:rsidP="00350396">
      <w:pPr>
        <w:widowControl w:val="0"/>
        <w:tabs>
          <w:tab w:val="left" w:pos="625"/>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w:t>
      </w:r>
      <w:r w:rsidRPr="00350396">
        <w:rPr>
          <w:rFonts w:ascii="Bookman Old Style" w:eastAsia="Bookman Old Style" w:hAnsi="Bookman Old Style" w:cs="Bookman Old Style"/>
          <w:color w:val="231F20"/>
          <w:sz w:val="18"/>
          <w:szCs w:val="18"/>
        </w:rPr>
        <w:tab/>
        <w:t>информационной поддержки реализации мероприятий по поддержке СО НКО;</w:t>
      </w:r>
    </w:p>
    <w:p w14:paraId="12DD605F" w14:textId="77777777" w:rsidR="00350396" w:rsidRPr="00350396" w:rsidRDefault="00350396" w:rsidP="00350396">
      <w:pPr>
        <w:widowControl w:val="0"/>
        <w:tabs>
          <w:tab w:val="left" w:pos="625"/>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w:t>
      </w:r>
      <w:r w:rsidRPr="00350396">
        <w:rPr>
          <w:rFonts w:ascii="Bookman Old Style" w:eastAsia="Bookman Old Style" w:hAnsi="Bookman Old Style" w:cs="Bookman Old Style"/>
          <w:color w:val="231F20"/>
          <w:sz w:val="18"/>
          <w:szCs w:val="18"/>
        </w:rPr>
        <w:tab/>
        <w:t>организационно-технического и информационного обеспе</w:t>
      </w:r>
      <w:r w:rsidRPr="00350396">
        <w:rPr>
          <w:rFonts w:ascii="Bookman Old Style" w:eastAsia="Bookman Old Style" w:hAnsi="Bookman Old Style" w:cs="Bookman Old Style"/>
          <w:color w:val="231F20"/>
          <w:sz w:val="18"/>
          <w:szCs w:val="18"/>
        </w:rPr>
        <w:softHyphen/>
        <w:t>чения проведения конкурсов в целях предоставления субсидий СО НКО и бюджетам субъектов РФ на государственную поддержку СО НКО, включая создание единой информационной системы в це</w:t>
      </w:r>
      <w:r w:rsidRPr="00350396">
        <w:rPr>
          <w:rFonts w:ascii="Bookman Old Style" w:eastAsia="Bookman Old Style" w:hAnsi="Bookman Old Style" w:cs="Bookman Old Style"/>
          <w:color w:val="231F20"/>
          <w:sz w:val="18"/>
          <w:szCs w:val="18"/>
        </w:rPr>
        <w:softHyphen/>
        <w:t>лях реализации государственной политики в области поддержки СО НКО.</w:t>
      </w:r>
    </w:p>
    <w:p w14:paraId="51C6CE30"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Решено направить бюджетные ассигнования в размере 100 млн руб. ФГБУ ВПО «Российская академия народного хозяйства и го</w:t>
      </w:r>
      <w:r w:rsidRPr="00350396">
        <w:rPr>
          <w:rFonts w:ascii="Bookman Old Style" w:eastAsia="Bookman Old Style" w:hAnsi="Bookman Old Style" w:cs="Bookman Old Style"/>
          <w:color w:val="231F20"/>
          <w:sz w:val="18"/>
          <w:szCs w:val="18"/>
        </w:rPr>
        <w:softHyphen/>
        <w:t>сударственной службы» на реализацию следующих мероприятий по поддержке СО НКО:</w:t>
      </w:r>
    </w:p>
    <w:p w14:paraId="52E0F1AF" w14:textId="77777777" w:rsidR="00350396" w:rsidRPr="00350396" w:rsidRDefault="00350396" w:rsidP="00350396">
      <w:pPr>
        <w:widowControl w:val="0"/>
        <w:numPr>
          <w:ilvl w:val="0"/>
          <w:numId w:val="34"/>
        </w:numPr>
        <w:tabs>
          <w:tab w:val="left" w:pos="634"/>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повышение квалификации работников СО НКО, а также госу</w:t>
      </w:r>
      <w:r w:rsidRPr="00350396">
        <w:rPr>
          <w:rFonts w:ascii="Bookman Old Style" w:eastAsia="Bookman Old Style" w:hAnsi="Bookman Old Style" w:cs="Bookman Old Style"/>
          <w:color w:val="231F20"/>
          <w:sz w:val="18"/>
          <w:szCs w:val="18"/>
        </w:rPr>
        <w:softHyphen/>
        <w:t>дарственных и муниципальных служащих;</w:t>
      </w:r>
    </w:p>
    <w:p w14:paraId="1AA4B625" w14:textId="77777777" w:rsidR="00350396" w:rsidRPr="00350396" w:rsidRDefault="00350396" w:rsidP="00350396">
      <w:pPr>
        <w:widowControl w:val="0"/>
        <w:numPr>
          <w:ilvl w:val="0"/>
          <w:numId w:val="34"/>
        </w:numPr>
        <w:tabs>
          <w:tab w:val="left" w:pos="630"/>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методическое обеспечение организации обучения; организа</w:t>
      </w:r>
      <w:r w:rsidRPr="00350396">
        <w:rPr>
          <w:rFonts w:ascii="Bookman Old Style" w:eastAsia="Bookman Old Style" w:hAnsi="Bookman Old Style" w:cs="Bookman Old Style"/>
          <w:color w:val="231F20"/>
          <w:sz w:val="18"/>
          <w:szCs w:val="18"/>
        </w:rPr>
        <w:softHyphen/>
        <w:t>цию и сопровождение дистанционного обучения;</w:t>
      </w:r>
    </w:p>
    <w:p w14:paraId="3BEC6EAD" w14:textId="77777777" w:rsidR="00350396" w:rsidRPr="00350396" w:rsidRDefault="00350396" w:rsidP="00350396">
      <w:pPr>
        <w:widowControl w:val="0"/>
        <w:numPr>
          <w:ilvl w:val="0"/>
          <w:numId w:val="34"/>
        </w:numPr>
        <w:tabs>
          <w:tab w:val="left" w:pos="630"/>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проведение организационных и учебно-методических семи</w:t>
      </w:r>
      <w:r w:rsidRPr="00350396">
        <w:rPr>
          <w:rFonts w:ascii="Bookman Old Style" w:eastAsia="Bookman Old Style" w:hAnsi="Bookman Old Style" w:cs="Bookman Old Style"/>
          <w:color w:val="231F20"/>
          <w:sz w:val="18"/>
          <w:szCs w:val="18"/>
        </w:rPr>
        <w:softHyphen/>
        <w:t>наров;</w:t>
      </w:r>
    </w:p>
    <w:p w14:paraId="785EB664" w14:textId="77777777" w:rsidR="00350396" w:rsidRPr="00350396" w:rsidRDefault="00350396" w:rsidP="00350396">
      <w:pPr>
        <w:widowControl w:val="0"/>
        <w:numPr>
          <w:ilvl w:val="0"/>
          <w:numId w:val="34"/>
        </w:numPr>
        <w:tabs>
          <w:tab w:val="left" w:pos="625"/>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проведение ежегодного анализа эффективности образова</w:t>
      </w:r>
      <w:r w:rsidRPr="00350396">
        <w:rPr>
          <w:rFonts w:ascii="Bookman Old Style" w:eastAsia="Bookman Old Style" w:hAnsi="Bookman Old Style" w:cs="Bookman Old Style"/>
          <w:color w:val="231F20"/>
          <w:sz w:val="18"/>
          <w:szCs w:val="18"/>
        </w:rPr>
        <w:softHyphen/>
        <w:t>тельных программ и осуществление контроля качества подготовки.</w:t>
      </w:r>
    </w:p>
    <w:p w14:paraId="64880879"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Органам исполнительной власти субъектов РФ рекомендовано утвердить программы поддержки СО НКО, включая мероприятия по повышению квалификации работников СО НКО, а также госу</w:t>
      </w:r>
      <w:r w:rsidRPr="00350396">
        <w:rPr>
          <w:rFonts w:ascii="Bookman Old Style" w:eastAsia="Bookman Old Style" w:hAnsi="Bookman Old Style" w:cs="Bookman Old Style"/>
          <w:color w:val="231F20"/>
          <w:sz w:val="18"/>
          <w:szCs w:val="18"/>
        </w:rPr>
        <w:softHyphen/>
        <w:t>дарственных служащих субъектов РФ и муниципальных служащих по вопросам поддержки деятельности СО НКО.</w:t>
      </w:r>
    </w:p>
    <w:p w14:paraId="51B9E465"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Критериями конкурсного отбора субъектов РФ, бюджетам кото</w:t>
      </w:r>
      <w:r w:rsidRPr="00350396">
        <w:rPr>
          <w:rFonts w:ascii="Bookman Old Style" w:eastAsia="Bookman Old Style" w:hAnsi="Bookman Old Style" w:cs="Bookman Old Style"/>
          <w:color w:val="231F20"/>
          <w:sz w:val="18"/>
          <w:szCs w:val="18"/>
        </w:rPr>
        <w:softHyphen/>
        <w:t>рых предоставляются субсидии, являются:</w:t>
      </w:r>
    </w:p>
    <w:p w14:paraId="637BD9BF" w14:textId="77777777" w:rsidR="00350396" w:rsidRPr="00350396" w:rsidRDefault="00350396" w:rsidP="00350396">
      <w:pPr>
        <w:widowControl w:val="0"/>
        <w:tabs>
          <w:tab w:val="left" w:pos="625"/>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w:t>
      </w:r>
      <w:r w:rsidRPr="00350396">
        <w:rPr>
          <w:rFonts w:ascii="Bookman Old Style" w:eastAsia="Bookman Old Style" w:hAnsi="Bookman Old Style" w:cs="Bookman Old Style"/>
          <w:color w:val="231F20"/>
          <w:sz w:val="18"/>
          <w:szCs w:val="18"/>
        </w:rPr>
        <w:tab/>
        <w:t>доля расходов, направляемых на предоставление субсидий СО НКО, в общем объеме расходов бюджета субъекта РФ в отчет</w:t>
      </w:r>
      <w:r w:rsidRPr="00350396">
        <w:rPr>
          <w:rFonts w:ascii="Bookman Old Style" w:eastAsia="Bookman Old Style" w:hAnsi="Bookman Old Style" w:cs="Bookman Old Style"/>
          <w:color w:val="231F20"/>
          <w:sz w:val="18"/>
          <w:szCs w:val="18"/>
        </w:rPr>
        <w:softHyphen/>
        <w:t>ном году;</w:t>
      </w:r>
    </w:p>
    <w:p w14:paraId="215D532C" w14:textId="77777777" w:rsidR="00350396" w:rsidRPr="00350396" w:rsidRDefault="00350396" w:rsidP="00350396">
      <w:pPr>
        <w:widowControl w:val="0"/>
        <w:tabs>
          <w:tab w:val="left" w:pos="625"/>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w:t>
      </w:r>
      <w:r w:rsidRPr="00350396">
        <w:rPr>
          <w:rFonts w:ascii="Bookman Old Style" w:eastAsia="Bookman Old Style" w:hAnsi="Bookman Old Style" w:cs="Bookman Old Style"/>
          <w:color w:val="231F20"/>
          <w:sz w:val="18"/>
          <w:szCs w:val="18"/>
        </w:rPr>
        <w:tab/>
        <w:t>прирост количества НКО на территории субъекта РФ за пред</w:t>
      </w:r>
      <w:r w:rsidRPr="00350396">
        <w:rPr>
          <w:rFonts w:ascii="Bookman Old Style" w:eastAsia="Bookman Old Style" w:hAnsi="Bookman Old Style" w:cs="Bookman Old Style"/>
          <w:color w:val="231F20"/>
          <w:sz w:val="18"/>
          <w:szCs w:val="18"/>
        </w:rPr>
        <w:softHyphen/>
        <w:t>шествующий год;</w:t>
      </w:r>
    </w:p>
    <w:p w14:paraId="144C9036" w14:textId="77777777" w:rsidR="00350396" w:rsidRPr="00350396" w:rsidRDefault="00350396" w:rsidP="00350396">
      <w:pPr>
        <w:widowControl w:val="0"/>
        <w:tabs>
          <w:tab w:val="left" w:pos="625"/>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w:t>
      </w:r>
      <w:r w:rsidRPr="00350396">
        <w:rPr>
          <w:rFonts w:ascii="Bookman Old Style" w:eastAsia="Bookman Old Style" w:hAnsi="Bookman Old Style" w:cs="Bookman Old Style"/>
          <w:color w:val="231F20"/>
          <w:sz w:val="18"/>
          <w:szCs w:val="18"/>
        </w:rPr>
        <w:tab/>
        <w:t>прирост средней численности работников (без внешних со</w:t>
      </w:r>
      <w:r w:rsidRPr="00350396">
        <w:rPr>
          <w:rFonts w:ascii="Bookman Old Style" w:eastAsia="Bookman Old Style" w:hAnsi="Bookman Old Style" w:cs="Bookman Old Style"/>
          <w:color w:val="231F20"/>
          <w:sz w:val="18"/>
          <w:szCs w:val="18"/>
        </w:rPr>
        <w:softHyphen/>
        <w:t>вместителей) НКО за предыдущий отчетный период;</w:t>
      </w:r>
    </w:p>
    <w:p w14:paraId="58451732" w14:textId="77777777" w:rsidR="00350396" w:rsidRPr="00350396" w:rsidRDefault="00350396" w:rsidP="00350396">
      <w:pPr>
        <w:widowControl w:val="0"/>
        <w:tabs>
          <w:tab w:val="left" w:pos="625"/>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w:t>
      </w:r>
      <w:r w:rsidRPr="00350396">
        <w:rPr>
          <w:rFonts w:ascii="Bookman Old Style" w:eastAsia="Bookman Old Style" w:hAnsi="Bookman Old Style" w:cs="Bookman Old Style"/>
          <w:color w:val="231F20"/>
          <w:sz w:val="18"/>
          <w:szCs w:val="18"/>
        </w:rPr>
        <w:tab/>
        <w:t>прирост объема услуг (выполненных работ) НКО, оказан</w:t>
      </w:r>
      <w:r w:rsidRPr="00350396">
        <w:rPr>
          <w:rFonts w:ascii="Bookman Old Style" w:eastAsia="Bookman Old Style" w:hAnsi="Bookman Old Style" w:cs="Bookman Old Style"/>
          <w:color w:val="231F20"/>
          <w:sz w:val="18"/>
          <w:szCs w:val="18"/>
        </w:rPr>
        <w:softHyphen/>
        <w:t>ных на территории субъекта РФ, в общем объеме валового регио</w:t>
      </w:r>
      <w:r w:rsidRPr="00350396">
        <w:rPr>
          <w:rFonts w:ascii="Bookman Old Style" w:eastAsia="Bookman Old Style" w:hAnsi="Bookman Old Style" w:cs="Bookman Old Style"/>
          <w:color w:val="231F20"/>
          <w:sz w:val="18"/>
          <w:szCs w:val="18"/>
        </w:rPr>
        <w:softHyphen/>
        <w:t>нального продукта за предыдущий отчетный период;</w:t>
      </w:r>
    </w:p>
    <w:p w14:paraId="6D97C01D" w14:textId="77777777" w:rsidR="00350396" w:rsidRPr="00350396" w:rsidRDefault="00350396" w:rsidP="00350396">
      <w:pPr>
        <w:widowControl w:val="0"/>
        <w:tabs>
          <w:tab w:val="left" w:pos="625"/>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w:t>
      </w:r>
      <w:r w:rsidRPr="00350396">
        <w:rPr>
          <w:rFonts w:ascii="Bookman Old Style" w:eastAsia="Bookman Old Style" w:hAnsi="Bookman Old Style" w:cs="Bookman Old Style"/>
          <w:color w:val="231F20"/>
          <w:sz w:val="18"/>
          <w:szCs w:val="18"/>
        </w:rPr>
        <w:tab/>
        <w:t>прирост средней численности добровольцев, привлекаемых НКО за предыдущий отчетный период;</w:t>
      </w:r>
    </w:p>
    <w:p w14:paraId="71B20867" w14:textId="77777777" w:rsidR="00350396" w:rsidRPr="00350396" w:rsidRDefault="00350396" w:rsidP="00350396">
      <w:pPr>
        <w:widowControl w:val="0"/>
        <w:tabs>
          <w:tab w:val="left" w:pos="625"/>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е)</w:t>
      </w:r>
      <w:r w:rsidRPr="00350396">
        <w:rPr>
          <w:rFonts w:ascii="Bookman Old Style" w:eastAsia="Bookman Old Style" w:hAnsi="Bookman Old Style" w:cs="Bookman Old Style"/>
          <w:color w:val="231F20"/>
          <w:sz w:val="18"/>
          <w:szCs w:val="18"/>
        </w:rPr>
        <w:tab/>
        <w:t>количество зарегистрированных на территории субъек</w:t>
      </w:r>
      <w:r w:rsidRPr="00350396">
        <w:rPr>
          <w:rFonts w:ascii="Bookman Old Style" w:eastAsia="Bookman Old Style" w:hAnsi="Bookman Old Style" w:cs="Bookman Old Style"/>
          <w:color w:val="231F20"/>
          <w:sz w:val="18"/>
          <w:szCs w:val="18"/>
        </w:rPr>
        <w:softHyphen/>
        <w:t>та РФ специализированных некоммерческих организаций;</w:t>
      </w:r>
    </w:p>
    <w:p w14:paraId="55F93899" w14:textId="77777777" w:rsidR="00350396" w:rsidRPr="00350396" w:rsidRDefault="00350396" w:rsidP="00350396">
      <w:pPr>
        <w:widowControl w:val="0"/>
        <w:tabs>
          <w:tab w:val="left" w:pos="639"/>
        </w:tabs>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ж)</w:t>
      </w:r>
      <w:r w:rsidRPr="00350396">
        <w:rPr>
          <w:rFonts w:ascii="Bookman Old Style" w:eastAsia="Bookman Old Style" w:hAnsi="Bookman Old Style" w:cs="Bookman Old Style"/>
          <w:color w:val="231F20"/>
          <w:sz w:val="18"/>
          <w:szCs w:val="18"/>
        </w:rPr>
        <w:tab/>
        <w:t>объем доходов от управления целевым капиталом некоммер</w:t>
      </w:r>
      <w:r w:rsidRPr="00350396">
        <w:rPr>
          <w:rFonts w:ascii="Bookman Old Style" w:eastAsia="Bookman Old Style" w:hAnsi="Bookman Old Style" w:cs="Bookman Old Style"/>
          <w:color w:val="231F20"/>
          <w:sz w:val="18"/>
          <w:szCs w:val="18"/>
        </w:rPr>
        <w:softHyphen/>
        <w:t>ческих организаций на территории субъекта РФ, направленным на уставную деятельность;</w:t>
      </w:r>
    </w:p>
    <w:p w14:paraId="54FD360C" w14:textId="77777777" w:rsidR="00350396" w:rsidRPr="00350396" w:rsidRDefault="00350396" w:rsidP="00350396">
      <w:pPr>
        <w:widowControl w:val="0"/>
        <w:tabs>
          <w:tab w:val="left" w:pos="582"/>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w:t>
      </w:r>
      <w:r w:rsidRPr="00350396">
        <w:rPr>
          <w:rFonts w:ascii="Bookman Old Style" w:eastAsia="Bookman Old Style" w:hAnsi="Bookman Old Style" w:cs="Bookman Old Style"/>
          <w:sz w:val="18"/>
          <w:szCs w:val="18"/>
        </w:rPr>
        <w:tab/>
      </w:r>
      <w:r w:rsidRPr="00350396">
        <w:rPr>
          <w:rFonts w:ascii="Bookman Old Style" w:eastAsia="Bookman Old Style" w:hAnsi="Bookman Old Style" w:cs="Bookman Old Style"/>
          <w:color w:val="231F20"/>
          <w:sz w:val="18"/>
          <w:szCs w:val="18"/>
        </w:rPr>
        <w:t>принятие и реализация субъектом РФ нормативных право</w:t>
      </w:r>
      <w:r w:rsidRPr="00350396">
        <w:rPr>
          <w:rFonts w:ascii="Bookman Old Style" w:eastAsia="Bookman Old Style" w:hAnsi="Bookman Old Style" w:cs="Bookman Old Style"/>
          <w:color w:val="231F20"/>
          <w:sz w:val="18"/>
          <w:szCs w:val="18"/>
        </w:rPr>
        <w:softHyphen/>
        <w:t>вых актов либо плана по их разработке и принятию в течение от</w:t>
      </w:r>
      <w:r w:rsidRPr="00350396">
        <w:rPr>
          <w:rFonts w:ascii="Bookman Old Style" w:eastAsia="Bookman Old Style" w:hAnsi="Bookman Old Style" w:cs="Bookman Old Style"/>
          <w:color w:val="231F20"/>
          <w:sz w:val="18"/>
          <w:szCs w:val="18"/>
        </w:rPr>
        <w:softHyphen/>
        <w:t>четного периода, предусматривающих: реализацию механизмов распределения бюджетного финансирования оказания социальных услуг на конкурсной основе, через предоставление бюджетных суб</w:t>
      </w:r>
      <w:r w:rsidRPr="00350396">
        <w:rPr>
          <w:rFonts w:ascii="Bookman Old Style" w:eastAsia="Bookman Old Style" w:hAnsi="Bookman Old Style" w:cs="Bookman Old Style"/>
          <w:color w:val="231F20"/>
          <w:sz w:val="18"/>
          <w:szCs w:val="18"/>
        </w:rPr>
        <w:softHyphen/>
        <w:t>сидий либо реализацию механизмов закупок работ (услуг) для го</w:t>
      </w:r>
      <w:r w:rsidRPr="00350396">
        <w:rPr>
          <w:rFonts w:ascii="Bookman Old Style" w:eastAsia="Bookman Old Style" w:hAnsi="Bookman Old Style" w:cs="Bookman Old Style"/>
          <w:color w:val="231F20"/>
          <w:sz w:val="18"/>
          <w:szCs w:val="18"/>
        </w:rPr>
        <w:softHyphen/>
        <w:t>сударственных и муниципальных нужд; предоставление СО НКО и организациям, предоставляющим им благотворительные пожерт</w:t>
      </w:r>
      <w:r w:rsidRPr="00350396">
        <w:rPr>
          <w:rFonts w:ascii="Bookman Old Style" w:eastAsia="Bookman Old Style" w:hAnsi="Bookman Old Style" w:cs="Bookman Old Style"/>
          <w:color w:val="231F20"/>
          <w:sz w:val="18"/>
          <w:szCs w:val="18"/>
        </w:rPr>
        <w:softHyphen/>
        <w:t>вования, налоговых льгот; предоставление СО НКО имущественной поддержки в виде предоставления недвижимого имущества в арен</w:t>
      </w:r>
      <w:r w:rsidRPr="00350396">
        <w:rPr>
          <w:rFonts w:ascii="Bookman Old Style" w:eastAsia="Bookman Old Style" w:hAnsi="Bookman Old Style" w:cs="Bookman Old Style"/>
          <w:color w:val="231F20"/>
          <w:sz w:val="18"/>
          <w:szCs w:val="18"/>
        </w:rPr>
        <w:softHyphen/>
        <w:t>ду на льготных условиях; обеспечение информационной поддержки деятельности СО НКО в средствах массовой информации, а также посредством социальной рекламы; формирование попечительских (общественных, наблюдательных) советов государственных и муни</w:t>
      </w:r>
      <w:r w:rsidRPr="00350396">
        <w:rPr>
          <w:rFonts w:ascii="Bookman Old Style" w:eastAsia="Bookman Old Style" w:hAnsi="Bookman Old Style" w:cs="Bookman Old Style"/>
          <w:color w:val="231F20"/>
          <w:sz w:val="18"/>
          <w:szCs w:val="18"/>
        </w:rPr>
        <w:softHyphen/>
        <w:t>ципальных учреждений социальной сферы с обеспечением привле</w:t>
      </w:r>
      <w:r w:rsidRPr="00350396">
        <w:rPr>
          <w:rFonts w:ascii="Bookman Old Style" w:eastAsia="Bookman Old Style" w:hAnsi="Bookman Old Style" w:cs="Bookman Old Style"/>
          <w:color w:val="231F20"/>
          <w:sz w:val="18"/>
          <w:szCs w:val="18"/>
        </w:rPr>
        <w:softHyphen/>
        <w:t>чения участия в их работе заинтересованных СО НКО; проведение общественной экспертизы (экспертизы) проектов законов субъек</w:t>
      </w:r>
      <w:r w:rsidRPr="00350396">
        <w:rPr>
          <w:rFonts w:ascii="Bookman Old Style" w:eastAsia="Bookman Old Style" w:hAnsi="Bookman Old Style" w:cs="Bookman Old Style"/>
          <w:color w:val="231F20"/>
          <w:sz w:val="18"/>
          <w:szCs w:val="18"/>
        </w:rPr>
        <w:softHyphen/>
        <w:t>тов РФ, а также проектов нормативных правовых актов органов ис</w:t>
      </w:r>
      <w:r w:rsidRPr="00350396">
        <w:rPr>
          <w:rFonts w:ascii="Bookman Old Style" w:eastAsia="Bookman Old Style" w:hAnsi="Bookman Old Style" w:cs="Bookman Old Style"/>
          <w:color w:val="231F20"/>
          <w:sz w:val="18"/>
          <w:szCs w:val="18"/>
        </w:rPr>
        <w:softHyphen/>
        <w:t>полнительной власти субъектов и местного самоуправления по на</w:t>
      </w:r>
      <w:r w:rsidRPr="00350396">
        <w:rPr>
          <w:rFonts w:ascii="Bookman Old Style" w:eastAsia="Bookman Old Style" w:hAnsi="Bookman Old Style" w:cs="Bookman Old Style"/>
          <w:color w:val="231F20"/>
          <w:sz w:val="18"/>
          <w:szCs w:val="18"/>
        </w:rPr>
        <w:softHyphen/>
        <w:t xml:space="preserve">правлениям видов </w:t>
      </w:r>
      <w:r w:rsidRPr="00350396">
        <w:rPr>
          <w:rFonts w:ascii="Bookman Old Style" w:eastAsia="Bookman Old Style" w:hAnsi="Bookman Old Style" w:cs="Bookman Old Style"/>
          <w:color w:val="231F20"/>
          <w:sz w:val="18"/>
          <w:szCs w:val="18"/>
        </w:rPr>
        <w:lastRenderedPageBreak/>
        <w:t>деятельности СО НКО.</w:t>
      </w:r>
    </w:p>
    <w:p w14:paraId="110F5CD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Субсидии регионам предоставляются на следующих условиях:</w:t>
      </w:r>
    </w:p>
    <w:p w14:paraId="1569DFA7" w14:textId="77777777" w:rsidR="00350396" w:rsidRPr="00350396" w:rsidRDefault="00350396" w:rsidP="00350396">
      <w:pPr>
        <w:widowControl w:val="0"/>
        <w:tabs>
          <w:tab w:val="left" w:pos="628"/>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w:t>
      </w:r>
      <w:r w:rsidRPr="00350396">
        <w:rPr>
          <w:rFonts w:ascii="Bookman Old Style" w:eastAsia="Bookman Old Style" w:hAnsi="Bookman Old Style" w:cs="Bookman Old Style"/>
          <w:color w:val="231F20"/>
          <w:sz w:val="18"/>
          <w:szCs w:val="18"/>
        </w:rPr>
        <w:tab/>
        <w:t>наличие у субъекта РФ программы поддержки;</w:t>
      </w:r>
    </w:p>
    <w:p w14:paraId="19B5D5F3" w14:textId="77777777" w:rsidR="00350396" w:rsidRPr="00350396" w:rsidRDefault="00350396" w:rsidP="00350396">
      <w:pPr>
        <w:widowControl w:val="0"/>
        <w:tabs>
          <w:tab w:val="left" w:pos="606"/>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w:t>
      </w:r>
      <w:r w:rsidRPr="00350396">
        <w:rPr>
          <w:rFonts w:ascii="Bookman Old Style" w:eastAsia="Bookman Old Style" w:hAnsi="Bookman Old Style" w:cs="Bookman Old Style"/>
          <w:color w:val="231F20"/>
          <w:sz w:val="18"/>
          <w:szCs w:val="18"/>
        </w:rPr>
        <w:tab/>
        <w:t>наличие в бюджете субъекта РФ бюджетных ассигнований на софинансирование мероприятий;</w:t>
      </w:r>
    </w:p>
    <w:p w14:paraId="6FDD7B4E" w14:textId="77777777" w:rsidR="00350396" w:rsidRPr="00350396" w:rsidRDefault="00350396" w:rsidP="00350396">
      <w:pPr>
        <w:widowControl w:val="0"/>
        <w:tabs>
          <w:tab w:val="left" w:pos="596"/>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w:t>
      </w:r>
      <w:r w:rsidRPr="00350396">
        <w:rPr>
          <w:rFonts w:ascii="Bookman Old Style" w:eastAsia="Bookman Old Style" w:hAnsi="Bookman Old Style" w:cs="Bookman Old Style"/>
          <w:color w:val="231F20"/>
          <w:sz w:val="18"/>
          <w:szCs w:val="18"/>
        </w:rPr>
        <w:tab/>
        <w:t>определение уполномоченного органа исполнительной власти субъекта РФ по поддержке СО НКО для осуществления взаимодей</w:t>
      </w:r>
      <w:r w:rsidRPr="00350396">
        <w:rPr>
          <w:rFonts w:ascii="Bookman Old Style" w:eastAsia="Bookman Old Style" w:hAnsi="Bookman Old Style" w:cs="Bookman Old Style"/>
          <w:color w:val="231F20"/>
          <w:sz w:val="18"/>
          <w:szCs w:val="18"/>
        </w:rPr>
        <w:softHyphen/>
        <w:t>ствия с Министерством экономического развития РФ;</w:t>
      </w:r>
    </w:p>
    <w:p w14:paraId="1ED049BD" w14:textId="77777777" w:rsidR="00350396" w:rsidRPr="00350396" w:rsidRDefault="00350396" w:rsidP="00350396">
      <w:pPr>
        <w:widowControl w:val="0"/>
        <w:tabs>
          <w:tab w:val="left" w:pos="601"/>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w:t>
      </w:r>
      <w:r w:rsidRPr="00350396">
        <w:rPr>
          <w:rFonts w:ascii="Bookman Old Style" w:eastAsia="Bookman Old Style" w:hAnsi="Bookman Old Style" w:cs="Bookman Old Style"/>
          <w:color w:val="231F20"/>
          <w:sz w:val="18"/>
          <w:szCs w:val="18"/>
        </w:rPr>
        <w:tab/>
        <w:t>наличие утвержденного субъектом РФ порядка предоставле</w:t>
      </w:r>
      <w:r w:rsidRPr="00350396">
        <w:rPr>
          <w:rFonts w:ascii="Bookman Old Style" w:eastAsia="Bookman Old Style" w:hAnsi="Bookman Old Style" w:cs="Bookman Old Style"/>
          <w:color w:val="231F20"/>
          <w:sz w:val="18"/>
          <w:szCs w:val="18"/>
        </w:rPr>
        <w:softHyphen/>
        <w:t>ния на конкурсной основе субсидий СО НКО включающего требова</w:t>
      </w:r>
      <w:r w:rsidRPr="00350396">
        <w:rPr>
          <w:rFonts w:ascii="Bookman Old Style" w:eastAsia="Bookman Old Style" w:hAnsi="Bookman Old Style" w:cs="Bookman Old Style"/>
          <w:color w:val="231F20"/>
          <w:sz w:val="18"/>
          <w:szCs w:val="18"/>
        </w:rPr>
        <w:softHyphen/>
        <w:t>ния к софинансированию из внебюджетных источников мероприя</w:t>
      </w:r>
      <w:r w:rsidRPr="00350396">
        <w:rPr>
          <w:rFonts w:ascii="Bookman Old Style" w:eastAsia="Bookman Old Style" w:hAnsi="Bookman Old Style" w:cs="Bookman Old Style"/>
          <w:color w:val="231F20"/>
          <w:sz w:val="18"/>
          <w:szCs w:val="18"/>
        </w:rPr>
        <w:softHyphen/>
        <w:t>тий, реализуемых СО НКО;</w:t>
      </w:r>
    </w:p>
    <w:p w14:paraId="37A98870" w14:textId="77777777" w:rsidR="00350396" w:rsidRPr="00350396" w:rsidRDefault="00350396" w:rsidP="00350396">
      <w:pPr>
        <w:widowControl w:val="0"/>
        <w:tabs>
          <w:tab w:val="left" w:pos="638"/>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w:t>
      </w:r>
      <w:r w:rsidRPr="00350396">
        <w:rPr>
          <w:rFonts w:ascii="Bookman Old Style" w:eastAsia="Bookman Old Style" w:hAnsi="Bookman Old Style" w:cs="Bookman Old Style"/>
          <w:color w:val="231F20"/>
          <w:sz w:val="18"/>
          <w:szCs w:val="18"/>
        </w:rPr>
        <w:tab/>
        <w:t>прохождение субъектом РФ конкурсного отбора;</w:t>
      </w:r>
    </w:p>
    <w:p w14:paraId="7DE4140A" w14:textId="77777777" w:rsidR="00350396" w:rsidRPr="00350396" w:rsidRDefault="00350396" w:rsidP="00350396">
      <w:pPr>
        <w:widowControl w:val="0"/>
        <w:tabs>
          <w:tab w:val="left" w:pos="606"/>
        </w:tabs>
        <w:spacing w:line="250" w:lineRule="exact"/>
        <w:ind w:firstLine="320"/>
        <w:rPr>
          <w:rFonts w:ascii="Bookman Old Style" w:eastAsia="Bookman Old Style" w:hAnsi="Bookman Old Style" w:cs="Bookman Old Style"/>
          <w:color w:val="231F20"/>
          <w:sz w:val="18"/>
          <w:szCs w:val="18"/>
        </w:rPr>
      </w:pPr>
      <w:r w:rsidRPr="00350396">
        <w:rPr>
          <w:rFonts w:ascii="Bookman Old Style" w:eastAsia="Bookman Old Style" w:hAnsi="Bookman Old Style" w:cs="Bookman Old Style"/>
          <w:color w:val="231F20"/>
          <w:sz w:val="18"/>
          <w:szCs w:val="18"/>
        </w:rPr>
        <w:t>е)</w:t>
      </w:r>
      <w:r w:rsidRPr="00350396">
        <w:rPr>
          <w:rFonts w:ascii="Bookman Old Style" w:eastAsia="Bookman Old Style" w:hAnsi="Bookman Old Style" w:cs="Bookman Old Style"/>
          <w:color w:val="231F20"/>
          <w:sz w:val="18"/>
          <w:szCs w:val="18"/>
        </w:rPr>
        <w:tab/>
        <w:t>обязательство субъектов РФ по обеспечению соответствия значений показателей, устанавливаемых региональными програм</w:t>
      </w:r>
      <w:r w:rsidRPr="00350396">
        <w:rPr>
          <w:rFonts w:ascii="Bookman Old Style" w:eastAsia="Bookman Old Style" w:hAnsi="Bookman Old Style" w:cs="Bookman Old Style"/>
          <w:color w:val="231F20"/>
          <w:sz w:val="18"/>
          <w:szCs w:val="18"/>
        </w:rPr>
        <w:softHyphen/>
        <w:t>мами, иными нормативными правовыми актами субъектов РФ, зна</w:t>
      </w:r>
      <w:r w:rsidRPr="00350396">
        <w:rPr>
          <w:rFonts w:ascii="Bookman Old Style" w:eastAsia="Bookman Old Style" w:hAnsi="Bookman Old Style" w:cs="Bookman Old Style"/>
          <w:color w:val="231F20"/>
          <w:sz w:val="18"/>
          <w:szCs w:val="18"/>
        </w:rPr>
        <w:softHyphen/>
        <w:t>чениям показателей результативности предоставления субсидий, установленным соглашениями между Министерством экономиче</w:t>
      </w:r>
      <w:r w:rsidRPr="00350396">
        <w:rPr>
          <w:rFonts w:ascii="Bookman Old Style" w:eastAsia="Bookman Old Style" w:hAnsi="Bookman Old Style" w:cs="Bookman Old Style"/>
          <w:color w:val="231F20"/>
          <w:sz w:val="18"/>
          <w:szCs w:val="18"/>
        </w:rPr>
        <w:softHyphen/>
        <w:t>ского развития РФ и высшими исполнительными органами государ</w:t>
      </w:r>
      <w:r w:rsidRPr="00350396">
        <w:rPr>
          <w:rFonts w:ascii="Bookman Old Style" w:eastAsia="Bookman Old Style" w:hAnsi="Bookman Old Style" w:cs="Bookman Old Style"/>
          <w:color w:val="231F20"/>
          <w:sz w:val="18"/>
          <w:szCs w:val="18"/>
        </w:rPr>
        <w:softHyphen/>
        <w:t>ственной власти субъектов РФ о предоставлении субсидий</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31E1BE4B" w14:textId="77777777" w:rsidR="00350396" w:rsidRPr="00350396" w:rsidRDefault="00350396" w:rsidP="00350396">
      <w:pPr>
        <w:widowControl w:val="0"/>
        <w:shd w:val="clear" w:color="auto" w:fill="FFFFFF"/>
        <w:spacing w:line="250" w:lineRule="exact"/>
        <w:ind w:firstLine="540"/>
        <w:rPr>
          <w:rFonts w:ascii="Bookman Old Style" w:hAnsi="Bookman Old Style"/>
          <w:color w:val="0070C0"/>
          <w:sz w:val="18"/>
          <w:szCs w:val="18"/>
          <w:highlight w:val="green"/>
        </w:rPr>
      </w:pPr>
      <w:r w:rsidRPr="00350396">
        <w:rPr>
          <w:rFonts w:ascii="Bookman Old Style" w:hAnsi="Bookman Old Style"/>
          <w:color w:val="0070C0"/>
          <w:sz w:val="18"/>
          <w:szCs w:val="18"/>
          <w:highlight w:val="green"/>
        </w:rPr>
        <w:t xml:space="preserve">С принятием второй части Налогового Кодекса РФ в </w:t>
      </w:r>
      <w:smartTag w:uri="urn:schemas-microsoft-com:office:smarttags" w:element="metricconverter">
        <w:smartTagPr>
          <w:attr w:name="ProductID" w:val="2000 г"/>
        </w:smartTagPr>
        <w:r w:rsidRPr="00350396">
          <w:rPr>
            <w:rFonts w:ascii="Bookman Old Style" w:hAnsi="Bookman Old Style"/>
            <w:color w:val="0070C0"/>
            <w:sz w:val="18"/>
            <w:szCs w:val="18"/>
            <w:highlight w:val="green"/>
          </w:rPr>
          <w:t>2000 г</w:t>
        </w:r>
      </w:smartTag>
      <w:r w:rsidRPr="00350396">
        <w:rPr>
          <w:rFonts w:ascii="Bookman Old Style" w:hAnsi="Bookman Old Style"/>
          <w:color w:val="0070C0"/>
          <w:sz w:val="18"/>
          <w:szCs w:val="18"/>
          <w:highlight w:val="green"/>
        </w:rPr>
        <w:t xml:space="preserve">. начинается волна ужесточения административного контроля и в целом сокращения налоговых льгот и других источников материальной базы для негосударственных НКО. Государство в целом стремится усилить контроль над некоммерческим сектором, что приводит к закрытию более слабых и несвязанных с бюджетом НКО и одновременно к развитию НКО, лояльных существующей власти и выполняющих по ее поручению различные социальные функции. Так появляются новые категории среди российских НКО – «социально ориентированные НКО» и «некоммерческие организации - исполнители общественно полезных услуг». Тем самым растет профессионализм некоторых НКО, становящихся подобными бюджетным учреждениям.  </w:t>
      </w:r>
    </w:p>
    <w:p w14:paraId="3C4E040F" w14:textId="77777777" w:rsidR="00350396" w:rsidRPr="00350396" w:rsidRDefault="00350396" w:rsidP="00350396">
      <w:pPr>
        <w:widowControl w:val="0"/>
        <w:autoSpaceDE w:val="0"/>
        <w:autoSpaceDN w:val="0"/>
        <w:adjustRightInd w:val="0"/>
        <w:spacing w:line="250" w:lineRule="exact"/>
        <w:ind w:firstLine="540"/>
        <w:rPr>
          <w:rFonts w:ascii="Bookman Old Style" w:eastAsia="Times New Roman" w:hAnsi="Bookman Old Style" w:cs="Times New Roman"/>
          <w:color w:val="0070C0"/>
          <w:sz w:val="18"/>
          <w:szCs w:val="18"/>
          <w:highlight w:val="green"/>
          <w:lang w:bidi="ar-SA"/>
        </w:rPr>
      </w:pPr>
      <w:r w:rsidRPr="00350396">
        <w:rPr>
          <w:rFonts w:ascii="Bookman Old Style" w:eastAsia="Times New Roman" w:hAnsi="Bookman Old Style" w:cs="Times New Roman"/>
          <w:i/>
          <w:color w:val="0070C0"/>
          <w:sz w:val="18"/>
          <w:szCs w:val="18"/>
          <w:highlight w:val="green"/>
          <w:lang w:bidi="ar-SA"/>
        </w:rPr>
        <w:t>Социально ориентированными некоммерческими организациями</w:t>
      </w:r>
      <w:r w:rsidRPr="00350396">
        <w:rPr>
          <w:rFonts w:ascii="Bookman Old Style" w:eastAsia="Times New Roman" w:hAnsi="Bookman Old Style" w:cs="Times New Roman"/>
          <w:color w:val="0070C0"/>
          <w:sz w:val="18"/>
          <w:szCs w:val="18"/>
          <w:highlight w:val="green"/>
          <w:lang w:bidi="ar-SA"/>
        </w:rPr>
        <w:t xml:space="preserve"> признаются некоммерческие организации, созданные в предусмотренных Федеральным законом формах (за исключением государственных корпораций, государственных компаний, общественных объединений, являющихся политическими партиями) и осуществляющие деятельность, направленную на решение социальных проблем, развитие гражданского общества в Российской Федерации, а также виды деятельности, предусмотренные статьей 31.1 настоящего Федерального закона. (п. 2.1 введен Федеральным законом от 05.04.2010 N 40-ФЗ)</w:t>
      </w:r>
    </w:p>
    <w:p w14:paraId="17FE91DD" w14:textId="77777777" w:rsidR="00350396" w:rsidRPr="00350396" w:rsidRDefault="00350396" w:rsidP="00350396">
      <w:pPr>
        <w:widowControl w:val="0"/>
        <w:autoSpaceDE w:val="0"/>
        <w:autoSpaceDN w:val="0"/>
        <w:adjustRightInd w:val="0"/>
        <w:spacing w:line="250" w:lineRule="exact"/>
        <w:ind w:firstLine="540"/>
        <w:rPr>
          <w:rFonts w:ascii="Bookman Old Style" w:eastAsia="Times New Roman" w:hAnsi="Bookman Old Style" w:cs="Times New Roman"/>
          <w:color w:val="0070C0"/>
          <w:sz w:val="18"/>
          <w:szCs w:val="18"/>
          <w:highlight w:val="green"/>
          <w:lang w:bidi="ar-SA"/>
        </w:rPr>
      </w:pPr>
      <w:r w:rsidRPr="00350396">
        <w:rPr>
          <w:rFonts w:ascii="Bookman Old Style" w:eastAsia="Times New Roman" w:hAnsi="Bookman Old Style" w:cs="Times New Roman"/>
          <w:color w:val="0070C0"/>
          <w:sz w:val="18"/>
          <w:szCs w:val="18"/>
          <w:highlight w:val="green"/>
          <w:lang w:bidi="ar-SA"/>
        </w:rPr>
        <w:t>Законом  N 40-ФЗ предусмотрена поддержка социально ориентированным НКО в следующих формах:</w:t>
      </w:r>
    </w:p>
    <w:p w14:paraId="1C2E79AB" w14:textId="77777777" w:rsidR="00350396" w:rsidRPr="00350396" w:rsidRDefault="00350396" w:rsidP="00350396">
      <w:pPr>
        <w:widowControl w:val="0"/>
        <w:spacing w:line="250" w:lineRule="exact"/>
        <w:ind w:firstLine="539"/>
        <w:rPr>
          <w:rFonts w:ascii="Bookman Old Style" w:hAnsi="Bookman Old Style"/>
          <w:color w:val="0070C0"/>
          <w:sz w:val="18"/>
          <w:szCs w:val="18"/>
          <w:highlight w:val="green"/>
        </w:rPr>
      </w:pPr>
      <w:r w:rsidRPr="00350396">
        <w:rPr>
          <w:rFonts w:ascii="Bookman Old Style" w:hAnsi="Bookman Old Style"/>
          <w:color w:val="0070C0"/>
          <w:sz w:val="18"/>
          <w:szCs w:val="18"/>
          <w:highlight w:val="green"/>
        </w:rPr>
        <w:t xml:space="preserve">1) финансовая, имущественная, информационная, консультационная поддержка, а в области подготовки, переподготовки </w:t>
      </w:r>
      <w:r w:rsidRPr="00350396">
        <w:rPr>
          <w:rFonts w:ascii="Bookman Old Style" w:hAnsi="Bookman Old Style"/>
          <w:color w:val="0070C0"/>
          <w:sz w:val="18"/>
          <w:szCs w:val="18"/>
          <w:highlight w:val="green"/>
        </w:rPr>
        <w:lastRenderedPageBreak/>
        <w:t>и повышения квалификации работников и добровольцев;</w:t>
      </w:r>
    </w:p>
    <w:p w14:paraId="3DFE594E" w14:textId="77777777" w:rsidR="00350396" w:rsidRPr="00350396" w:rsidRDefault="00350396" w:rsidP="00350396">
      <w:pPr>
        <w:widowControl w:val="0"/>
        <w:spacing w:line="250" w:lineRule="exact"/>
        <w:ind w:firstLine="539"/>
        <w:rPr>
          <w:rFonts w:ascii="Bookman Old Style" w:hAnsi="Bookman Old Style"/>
          <w:color w:val="0070C0"/>
          <w:sz w:val="18"/>
          <w:szCs w:val="18"/>
          <w:highlight w:val="green"/>
        </w:rPr>
      </w:pPr>
      <w:r w:rsidRPr="00350396">
        <w:rPr>
          <w:rFonts w:ascii="Bookman Old Style" w:hAnsi="Bookman Old Style"/>
          <w:color w:val="0070C0"/>
          <w:sz w:val="18"/>
          <w:szCs w:val="18"/>
          <w:highlight w:val="green"/>
        </w:rPr>
        <w:t>2) предоставление льгот по уплате налогов;</w:t>
      </w:r>
    </w:p>
    <w:p w14:paraId="61B4EA6A" w14:textId="77777777" w:rsidR="00350396" w:rsidRPr="00350396" w:rsidRDefault="00350396" w:rsidP="00350396">
      <w:pPr>
        <w:widowControl w:val="0"/>
        <w:spacing w:line="250" w:lineRule="exact"/>
        <w:ind w:firstLine="539"/>
        <w:rPr>
          <w:rFonts w:ascii="Bookman Old Style" w:hAnsi="Bookman Old Style"/>
          <w:color w:val="0070C0"/>
          <w:sz w:val="18"/>
          <w:szCs w:val="18"/>
          <w:highlight w:val="green"/>
        </w:rPr>
      </w:pPr>
      <w:r w:rsidRPr="00350396">
        <w:rPr>
          <w:rFonts w:ascii="Bookman Old Style" w:hAnsi="Bookman Old Style"/>
          <w:color w:val="0070C0"/>
          <w:sz w:val="18"/>
          <w:szCs w:val="18"/>
          <w:highlight w:val="green"/>
        </w:rPr>
        <w:t>3) размещение у них заказов на поставки товаров, выполнение работ, оказание услуг для государственных и муниципальных нужд в порядке, предусмотренном ФЗ  «О размещении заказов на поставки товаров, выполнение работ, оказание услуг для государственных и муниципальных нужд»;</w:t>
      </w:r>
    </w:p>
    <w:p w14:paraId="7491BF9E" w14:textId="77777777" w:rsidR="00350396" w:rsidRPr="00350396" w:rsidRDefault="00350396" w:rsidP="00350396">
      <w:pPr>
        <w:widowControl w:val="0"/>
        <w:spacing w:line="250" w:lineRule="exact"/>
        <w:ind w:firstLine="539"/>
        <w:rPr>
          <w:rFonts w:ascii="Bookman Old Style" w:hAnsi="Bookman Old Style"/>
          <w:color w:val="0070C0"/>
          <w:sz w:val="18"/>
          <w:szCs w:val="18"/>
          <w:highlight w:val="green"/>
        </w:rPr>
      </w:pPr>
      <w:r w:rsidRPr="00350396">
        <w:rPr>
          <w:rFonts w:ascii="Bookman Old Style" w:hAnsi="Bookman Old Style"/>
          <w:color w:val="0070C0"/>
          <w:sz w:val="18"/>
          <w:szCs w:val="18"/>
          <w:highlight w:val="green"/>
        </w:rPr>
        <w:t>4) предоставление юридическим лицам, оказывающим социально ориентированным НКО материальную поддержку, льгот по уплате налогов.</w:t>
      </w:r>
    </w:p>
    <w:p w14:paraId="16710BCF" w14:textId="77777777" w:rsidR="00350396" w:rsidRPr="00350396" w:rsidRDefault="00350396" w:rsidP="00350396">
      <w:pPr>
        <w:widowControl w:val="0"/>
        <w:autoSpaceDE w:val="0"/>
        <w:autoSpaceDN w:val="0"/>
        <w:adjustRightInd w:val="0"/>
        <w:spacing w:line="250" w:lineRule="exact"/>
        <w:ind w:firstLine="540"/>
        <w:rPr>
          <w:rFonts w:ascii="Bookman Old Style" w:eastAsia="Times New Roman" w:hAnsi="Bookman Old Style" w:cs="Times New Roman"/>
          <w:color w:val="0070C0"/>
          <w:sz w:val="18"/>
          <w:szCs w:val="18"/>
          <w:highlight w:val="green"/>
          <w:lang w:bidi="ar-SA"/>
        </w:rPr>
      </w:pPr>
      <w:r w:rsidRPr="00350396">
        <w:rPr>
          <w:rFonts w:ascii="Bookman Old Style" w:eastAsia="Times New Roman" w:hAnsi="Bookman Old Style" w:cs="Times New Roman"/>
          <w:color w:val="0070C0"/>
          <w:sz w:val="18"/>
          <w:szCs w:val="18"/>
          <w:highlight w:val="green"/>
          <w:lang w:bidi="ar-SA"/>
        </w:rPr>
        <w:t xml:space="preserve">Логическим продолжением этого стало утверждение статуса НКО- исполнителя общественно полезных услуг. </w:t>
      </w:r>
    </w:p>
    <w:p w14:paraId="09DEBDF9" w14:textId="77777777" w:rsidR="00350396" w:rsidRPr="00350396" w:rsidRDefault="00350396" w:rsidP="00350396">
      <w:pPr>
        <w:widowControl w:val="0"/>
        <w:autoSpaceDE w:val="0"/>
        <w:autoSpaceDN w:val="0"/>
        <w:adjustRightInd w:val="0"/>
        <w:spacing w:line="250" w:lineRule="exact"/>
        <w:ind w:firstLine="540"/>
        <w:rPr>
          <w:rFonts w:ascii="Bookman Old Style" w:eastAsia="Times New Roman" w:hAnsi="Bookman Old Style" w:cs="Times New Roman"/>
          <w:color w:val="0070C0"/>
          <w:sz w:val="18"/>
          <w:szCs w:val="18"/>
          <w:highlight w:val="green"/>
          <w:lang w:bidi="ar-SA"/>
        </w:rPr>
      </w:pPr>
      <w:r w:rsidRPr="00350396">
        <w:rPr>
          <w:rFonts w:ascii="Bookman Old Style" w:eastAsia="Times New Roman" w:hAnsi="Bookman Old Style" w:cs="Times New Roman"/>
          <w:color w:val="0070C0"/>
          <w:sz w:val="18"/>
          <w:szCs w:val="18"/>
          <w:highlight w:val="green"/>
          <w:lang w:bidi="ar-SA"/>
        </w:rPr>
        <w:t xml:space="preserve">Под </w:t>
      </w:r>
      <w:r w:rsidRPr="00350396">
        <w:rPr>
          <w:rFonts w:ascii="Bookman Old Style" w:eastAsia="Times New Roman" w:hAnsi="Bookman Old Style" w:cs="Times New Roman"/>
          <w:i/>
          <w:color w:val="0070C0"/>
          <w:sz w:val="18"/>
          <w:szCs w:val="18"/>
          <w:highlight w:val="green"/>
          <w:lang w:bidi="ar-SA"/>
        </w:rPr>
        <w:t>некоммерческой организацией - исполнителем общественно полезных услуг</w:t>
      </w:r>
      <w:r w:rsidRPr="00350396">
        <w:rPr>
          <w:rFonts w:ascii="Bookman Old Style" w:eastAsia="Times New Roman" w:hAnsi="Bookman Old Style" w:cs="Times New Roman"/>
          <w:color w:val="0070C0"/>
          <w:sz w:val="18"/>
          <w:szCs w:val="18"/>
          <w:highlight w:val="green"/>
          <w:lang w:bidi="ar-SA"/>
        </w:rPr>
        <w:t xml:space="preserve"> понимается социально ориентированная некоммерческая организация, которая на протяжении одного года и более оказывает общественно полезные услуги надлежащего качества, не является некоммерческой организацией, выполняющей функции иностранного агента, и не имеет задолженностей по налогам и сборам, иным предусмотренным законодательством Российской Федерации обязательным платежам.</w:t>
      </w:r>
    </w:p>
    <w:p w14:paraId="412AAEA8" w14:textId="77777777" w:rsidR="00350396" w:rsidRPr="00350396" w:rsidRDefault="00350396" w:rsidP="00350396">
      <w:pPr>
        <w:widowControl w:val="0"/>
        <w:autoSpaceDE w:val="0"/>
        <w:autoSpaceDN w:val="0"/>
        <w:adjustRightInd w:val="0"/>
        <w:spacing w:line="250" w:lineRule="exact"/>
        <w:ind w:firstLine="720"/>
        <w:rPr>
          <w:rFonts w:ascii="Bookman Old Style" w:eastAsia="Times New Roman" w:hAnsi="Bookman Old Style" w:cs="Times New Roman"/>
          <w:color w:val="0070C0"/>
          <w:sz w:val="18"/>
          <w:szCs w:val="18"/>
          <w:highlight w:val="green"/>
          <w:lang w:bidi="ar-SA"/>
        </w:rPr>
      </w:pPr>
      <w:r w:rsidRPr="00350396">
        <w:rPr>
          <w:rFonts w:ascii="Bookman Old Style" w:eastAsia="Times New Roman" w:hAnsi="Bookman Old Style" w:cs="Times New Roman"/>
          <w:color w:val="0070C0"/>
          <w:sz w:val="18"/>
          <w:szCs w:val="18"/>
          <w:highlight w:val="green"/>
          <w:lang w:bidi="ar-SA"/>
        </w:rPr>
        <w:t>(п. 2.2 введен Федеральным законом от 03.07.2016 N 287-ФЗ)</w:t>
      </w:r>
    </w:p>
    <w:p w14:paraId="1D7B3B86" w14:textId="77777777" w:rsidR="00350396" w:rsidRPr="00350396" w:rsidRDefault="00350396" w:rsidP="00350396">
      <w:pPr>
        <w:widowControl w:val="0"/>
        <w:spacing w:line="250" w:lineRule="exact"/>
        <w:ind w:firstLine="539"/>
        <w:rPr>
          <w:rFonts w:ascii="Bookman Old Style" w:hAnsi="Bookman Old Style"/>
          <w:color w:val="0070C0"/>
          <w:sz w:val="18"/>
          <w:szCs w:val="18"/>
          <w:highlight w:val="green"/>
        </w:rPr>
      </w:pPr>
      <w:r w:rsidRPr="00350396">
        <w:rPr>
          <w:rFonts w:ascii="Bookman Old Style" w:hAnsi="Bookman Old Style"/>
          <w:color w:val="0070C0"/>
          <w:sz w:val="18"/>
          <w:szCs w:val="18"/>
          <w:highlight w:val="green"/>
          <w:shd w:val="clear" w:color="auto" w:fill="FFFFFF"/>
        </w:rPr>
        <w:t>Уполномоченным органом создается реестр НКО - исполнителей общественно полезных услуг.</w:t>
      </w:r>
    </w:p>
    <w:p w14:paraId="1BA74B04" w14:textId="77777777" w:rsidR="00350396" w:rsidRPr="00350396" w:rsidRDefault="00350396" w:rsidP="00350396">
      <w:pPr>
        <w:widowControl w:val="0"/>
        <w:spacing w:line="250" w:lineRule="exact"/>
        <w:ind w:firstLine="539"/>
        <w:rPr>
          <w:rFonts w:ascii="Bookman Old Style" w:hAnsi="Bookman Old Style"/>
          <w:color w:val="0070C0"/>
          <w:sz w:val="18"/>
          <w:szCs w:val="18"/>
          <w:highlight w:val="green"/>
        </w:rPr>
      </w:pPr>
      <w:r w:rsidRPr="00350396">
        <w:rPr>
          <w:rFonts w:ascii="Bookman Old Style" w:hAnsi="Bookman Old Style"/>
          <w:color w:val="0070C0"/>
          <w:sz w:val="18"/>
          <w:szCs w:val="18"/>
          <w:highlight w:val="green"/>
          <w:shd w:val="clear" w:color="auto" w:fill="FFFFFF"/>
        </w:rPr>
        <w:t> Перечень общественно полезных услуг устанавливается Правительством РФ в соответствии с приоритетными направлениями, определяемыми Президентом РФ.</w:t>
      </w:r>
    </w:p>
    <w:p w14:paraId="7BF588EE" w14:textId="77777777" w:rsidR="00350396" w:rsidRPr="00350396" w:rsidRDefault="00350396" w:rsidP="00350396">
      <w:pPr>
        <w:spacing w:line="250" w:lineRule="exact"/>
        <w:ind w:firstLine="567"/>
        <w:rPr>
          <w:rFonts w:ascii="Bookman Old Style" w:eastAsia="Times New Roman" w:hAnsi="Bookman Old Style" w:cs="Times New Roman"/>
          <w:color w:val="0070C0"/>
          <w:sz w:val="18"/>
          <w:szCs w:val="18"/>
          <w:highlight w:val="green"/>
          <w:lang w:bidi="ar-SA"/>
        </w:rPr>
      </w:pPr>
      <w:r w:rsidRPr="00350396">
        <w:rPr>
          <w:rFonts w:ascii="Bookman Old Style" w:eastAsia="Times New Roman" w:hAnsi="Bookman Old Style" w:cs="Times New Roman"/>
          <w:color w:val="0070C0"/>
          <w:sz w:val="18"/>
          <w:szCs w:val="18"/>
          <w:highlight w:val="green"/>
          <w:lang w:bidi="ar-SA"/>
        </w:rPr>
        <w:t xml:space="preserve">8 августа </w:t>
      </w:r>
      <w:smartTag w:uri="urn:schemas-microsoft-com:office:smarttags" w:element="metricconverter">
        <w:smartTagPr>
          <w:attr w:name="ProductID" w:val="2016 г"/>
        </w:smartTagPr>
        <w:r w:rsidRPr="00350396">
          <w:rPr>
            <w:rFonts w:ascii="Bookman Old Style" w:eastAsia="Times New Roman" w:hAnsi="Bookman Old Style" w:cs="Times New Roman"/>
            <w:color w:val="0070C0"/>
            <w:sz w:val="18"/>
            <w:szCs w:val="18"/>
            <w:highlight w:val="green"/>
            <w:lang w:bidi="ar-SA"/>
          </w:rPr>
          <w:t>2016 г</w:t>
        </w:r>
      </w:smartTag>
      <w:r w:rsidRPr="00350396">
        <w:rPr>
          <w:rFonts w:ascii="Bookman Old Style" w:eastAsia="Times New Roman" w:hAnsi="Bookman Old Style" w:cs="Times New Roman"/>
          <w:color w:val="0070C0"/>
          <w:sz w:val="18"/>
          <w:szCs w:val="18"/>
          <w:highlight w:val="green"/>
          <w:lang w:bidi="ar-SA"/>
        </w:rPr>
        <w:t xml:space="preserve">. президент РФ утвердил приоритетные направления деятельности социально ориентированных НКО, подписав указ № 398. </w:t>
      </w:r>
    </w:p>
    <w:p w14:paraId="1593004F" w14:textId="77777777" w:rsidR="00350396" w:rsidRPr="00350396" w:rsidRDefault="00350396" w:rsidP="00350396">
      <w:pPr>
        <w:keepNext/>
        <w:widowControl w:val="0"/>
        <w:spacing w:line="250" w:lineRule="exact"/>
        <w:ind w:firstLine="567"/>
        <w:textAlignment w:val="baseline"/>
        <w:outlineLvl w:val="2"/>
        <w:rPr>
          <w:rFonts w:ascii="Bookman Old Style" w:eastAsia="Times New Roman" w:hAnsi="Bookman Old Style" w:cs="Times New Roman"/>
          <w:bCs/>
          <w:color w:val="0070C0"/>
          <w:sz w:val="18"/>
          <w:szCs w:val="18"/>
          <w:highlight w:val="green"/>
          <w:lang w:bidi="ar-SA"/>
        </w:rPr>
      </w:pPr>
      <w:r w:rsidRPr="00350396">
        <w:rPr>
          <w:rFonts w:ascii="Bookman Old Style" w:eastAsia="Times New Roman" w:hAnsi="Bookman Old Style" w:cs="Times New Roman"/>
          <w:bCs/>
          <w:color w:val="0070C0"/>
          <w:sz w:val="18"/>
          <w:szCs w:val="18"/>
          <w:highlight w:val="green"/>
          <w:lang w:bidi="ar-SA"/>
        </w:rPr>
        <w:t>Социально ориентированные некоммерческие организации, являющиеся исполнителями общественно полезных услуг, наделены правом на приоритетное получение мер поддержки</w:t>
      </w:r>
      <w:r w:rsidRPr="00350396">
        <w:rPr>
          <w:rFonts w:ascii="Bookman Old Style" w:eastAsia="Bookman Old Style" w:hAnsi="Bookman Old Style" w:cs="Times New Roman"/>
          <w:bCs/>
          <w:color w:val="0070C0"/>
          <w:sz w:val="18"/>
          <w:szCs w:val="18"/>
          <w:highlight w:val="green"/>
          <w:vertAlign w:val="superscript"/>
          <w:lang w:bidi="ar-SA"/>
        </w:rPr>
        <w:footnoteReference w:id="36"/>
      </w:r>
      <w:r w:rsidRPr="00350396">
        <w:rPr>
          <w:rFonts w:ascii="Bookman Old Style" w:eastAsia="Times New Roman" w:hAnsi="Bookman Old Style" w:cs="Times New Roman"/>
          <w:bCs/>
          <w:color w:val="0070C0"/>
          <w:sz w:val="18"/>
          <w:szCs w:val="18"/>
          <w:highlight w:val="green"/>
          <w:lang w:bidi="ar-SA"/>
        </w:rPr>
        <w:t xml:space="preserve">. </w:t>
      </w:r>
    </w:p>
    <w:p w14:paraId="437F9544" w14:textId="77777777" w:rsidR="00350396" w:rsidRPr="00350396" w:rsidRDefault="00350396" w:rsidP="00350396">
      <w:pPr>
        <w:keepNext/>
        <w:widowControl w:val="0"/>
        <w:spacing w:line="250" w:lineRule="exact"/>
        <w:ind w:firstLine="567"/>
        <w:textAlignment w:val="baseline"/>
        <w:outlineLvl w:val="2"/>
        <w:rPr>
          <w:rFonts w:ascii="Bookman Old Style" w:eastAsia="Times New Roman" w:hAnsi="Bookman Old Style" w:cs="Times New Roman"/>
          <w:color w:val="0070C0"/>
          <w:sz w:val="18"/>
          <w:szCs w:val="18"/>
          <w:highlight w:val="green"/>
          <w:lang w:bidi="ar-SA"/>
        </w:rPr>
      </w:pPr>
      <w:r w:rsidRPr="00350396">
        <w:rPr>
          <w:rFonts w:ascii="Bookman Old Style" w:eastAsia="Times New Roman" w:hAnsi="Bookman Old Style" w:cs="Times New Roman"/>
          <w:bCs/>
          <w:color w:val="0070C0"/>
          <w:sz w:val="18"/>
          <w:szCs w:val="18"/>
          <w:highlight w:val="green"/>
          <w:lang w:bidi="ar-SA"/>
        </w:rPr>
        <w:t xml:space="preserve">На основании этого указа правительство разработало перечень общественно полезных услуг и критерии оценки их качества, они были утверждены в постановлении от 27 октября </w:t>
      </w:r>
      <w:smartTag w:uri="urn:schemas-microsoft-com:office:smarttags" w:element="metricconverter">
        <w:smartTagPr>
          <w:attr w:name="ProductID" w:val="2016 г"/>
        </w:smartTagPr>
        <w:r w:rsidRPr="00350396">
          <w:rPr>
            <w:rFonts w:ascii="Bookman Old Style" w:eastAsia="Times New Roman" w:hAnsi="Bookman Old Style" w:cs="Times New Roman"/>
            <w:bCs/>
            <w:color w:val="0070C0"/>
            <w:sz w:val="18"/>
            <w:szCs w:val="18"/>
            <w:highlight w:val="green"/>
            <w:lang w:bidi="ar-SA"/>
          </w:rPr>
          <w:t>2016 г</w:t>
        </w:r>
      </w:smartTag>
      <w:r w:rsidRPr="00350396">
        <w:rPr>
          <w:rFonts w:ascii="Bookman Old Style" w:eastAsia="Times New Roman" w:hAnsi="Bookman Old Style" w:cs="Times New Roman"/>
          <w:bCs/>
          <w:color w:val="0070C0"/>
          <w:sz w:val="18"/>
          <w:szCs w:val="18"/>
          <w:highlight w:val="green"/>
          <w:lang w:bidi="ar-SA"/>
        </w:rPr>
        <w:t>. № 1096 «</w:t>
      </w:r>
      <w:r w:rsidRPr="00350396">
        <w:rPr>
          <w:rFonts w:ascii="Bookman Old Style" w:eastAsia="Times New Roman" w:hAnsi="Bookman Old Style" w:cs="Times New Roman"/>
          <w:color w:val="0070C0"/>
          <w:sz w:val="18"/>
          <w:szCs w:val="18"/>
          <w:highlight w:val="green"/>
          <w:lang w:bidi="ar-SA"/>
        </w:rPr>
        <w:t>Об утверждении перечня общественно полезных услуг и критериев оценки их качества».</w:t>
      </w:r>
    </w:p>
    <w:p w14:paraId="108E1EE2" w14:textId="77777777" w:rsidR="00350396" w:rsidRPr="00350396" w:rsidRDefault="00350396" w:rsidP="00350396">
      <w:pPr>
        <w:keepNext/>
        <w:widowControl w:val="0"/>
        <w:spacing w:line="250" w:lineRule="exact"/>
        <w:ind w:firstLine="567"/>
        <w:textAlignment w:val="baseline"/>
        <w:outlineLvl w:val="2"/>
        <w:rPr>
          <w:rFonts w:ascii="Bookman Old Style" w:eastAsia="Times New Roman" w:hAnsi="Bookman Old Style" w:cs="Times New Roman"/>
          <w:bCs/>
          <w:color w:val="0070C0"/>
          <w:sz w:val="18"/>
          <w:szCs w:val="18"/>
          <w:lang w:bidi="ar-SA"/>
        </w:rPr>
      </w:pPr>
      <w:r w:rsidRPr="00350396">
        <w:rPr>
          <w:rFonts w:ascii="Bookman Old Style" w:eastAsia="Times New Roman" w:hAnsi="Bookman Old Style" w:cs="Times New Roman"/>
          <w:bCs/>
          <w:color w:val="0070C0"/>
          <w:sz w:val="18"/>
          <w:szCs w:val="18"/>
          <w:highlight w:val="green"/>
          <w:lang w:bidi="ar-SA"/>
        </w:rPr>
        <w:t xml:space="preserve">В перечень включены услуги по оказанию содействия в трудоустройстве несовершеннолетних граждан; социальной адаптации безработных граждан на рынке труда; содействию занятости и самозанятости инвалидов; социальному сопровождению семей, воспитывающих детей с ограниченными возможностями здоровья; социально-бытовой адаптации инвалидов; оказанию социальной помощи детям, инвалидам, гражданам пожилого возраста; </w:t>
      </w:r>
      <w:r w:rsidRPr="00350396">
        <w:rPr>
          <w:rFonts w:ascii="Bookman Old Style" w:eastAsia="Times New Roman" w:hAnsi="Bookman Old Style" w:cs="Times New Roman"/>
          <w:bCs/>
          <w:color w:val="0070C0"/>
          <w:sz w:val="18"/>
          <w:szCs w:val="18"/>
          <w:highlight w:val="green"/>
          <w:lang w:bidi="ar-SA"/>
        </w:rPr>
        <w:lastRenderedPageBreak/>
        <w:t>профилактике безнадзорности и правонарушений несовершеннолетних; профилактике социального сиротства; содействию устройству детей на воспитание в семью; психолого-медико-педагогической реабилитации детей; санаторно-курортному лечению детей и молодёжи; присмотру и уходу за детьми; дополнительному образованию граждан пожилого возраста и инвалидов; профилактике социально значимых заболеваний; патронажу семей, имеющих лиц, страдающих тяжёлыми заболеваниями; паллиативной медицинской помощи. Также утверждены критерии оценки качества оказания общественно полезных услуг</w:t>
      </w:r>
      <w:r w:rsidRPr="00350396">
        <w:rPr>
          <w:rFonts w:ascii="Bookman Old Style" w:eastAsia="Bookman Old Style" w:hAnsi="Bookman Old Style" w:cs="Times New Roman"/>
          <w:bCs/>
          <w:color w:val="0070C0"/>
          <w:sz w:val="18"/>
          <w:szCs w:val="18"/>
          <w:highlight w:val="green"/>
          <w:vertAlign w:val="superscript"/>
          <w:lang w:bidi="ar-SA"/>
        </w:rPr>
        <w:footnoteReference w:id="37"/>
      </w:r>
      <w:r w:rsidRPr="00350396">
        <w:rPr>
          <w:rFonts w:ascii="Bookman Old Style" w:eastAsia="Times New Roman" w:hAnsi="Bookman Old Style" w:cs="Times New Roman"/>
          <w:bCs/>
          <w:color w:val="0070C0"/>
          <w:sz w:val="18"/>
          <w:szCs w:val="18"/>
          <w:highlight w:val="green"/>
          <w:lang w:bidi="ar-SA"/>
        </w:rPr>
        <w:t>.</w:t>
      </w:r>
    </w:p>
    <w:p w14:paraId="37437B0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Связь между двумя вариантами СП — тред-юнионистским и меж</w:t>
      </w:r>
      <w:r w:rsidRPr="00350396">
        <w:rPr>
          <w:rFonts w:ascii="Bookman Old Style" w:eastAsia="Bookman Old Style" w:hAnsi="Bookman Old Style" w:cs="Bookman Old Style"/>
          <w:color w:val="231F20"/>
          <w:sz w:val="18"/>
          <w:szCs w:val="18"/>
        </w:rPr>
        <w:softHyphen/>
        <w:t>секторным — можно рассматривать теоретически, связывая их в бо</w:t>
      </w:r>
      <w:r w:rsidRPr="00350396">
        <w:rPr>
          <w:rFonts w:ascii="Bookman Old Style" w:eastAsia="Bookman Old Style" w:hAnsi="Bookman Old Style" w:cs="Bookman Old Style"/>
          <w:color w:val="231F20"/>
          <w:sz w:val="18"/>
          <w:szCs w:val="18"/>
        </w:rPr>
        <w:softHyphen/>
        <w:t xml:space="preserve">лее обширную </w:t>
      </w:r>
      <w:r w:rsidRPr="00350396">
        <w:rPr>
          <w:rFonts w:ascii="Bookman Old Style" w:eastAsia="Bookman Old Style" w:hAnsi="Bookman Old Style" w:cs="Bookman Old Style"/>
          <w:i/>
          <w:iCs/>
          <w:color w:val="231F20"/>
          <w:sz w:val="18"/>
          <w:szCs w:val="18"/>
        </w:rPr>
        <w:t xml:space="preserve">«общую систему СП». </w:t>
      </w:r>
      <w:r w:rsidRPr="00350396">
        <w:rPr>
          <w:rFonts w:ascii="Bookman Old Style" w:eastAsia="Bookman Old Style" w:hAnsi="Bookman Old Style" w:cs="Bookman Old Style"/>
          <w:i/>
          <w:iCs/>
          <w:color w:val="231F20"/>
          <w:sz w:val="18"/>
          <w:szCs w:val="18"/>
          <w:vertAlign w:val="superscript"/>
        </w:rPr>
        <w:footnoteReference w:id="38"/>
      </w:r>
    </w:p>
    <w:p w14:paraId="32D3747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bookmarkStart w:id="37" w:name="bookmark37"/>
      <w:r w:rsidRPr="00350396">
        <w:rPr>
          <w:rFonts w:ascii="Bookman Old Style" w:eastAsia="Bookman Old Style" w:hAnsi="Bookman Old Style" w:cs="Bookman Old Style"/>
          <w:color w:val="231F20"/>
          <w:sz w:val="18"/>
          <w:szCs w:val="18"/>
        </w:rPr>
        <w:t>Современный некоммерческий сектор выполняет в данной си</w:t>
      </w:r>
      <w:r w:rsidRPr="00350396">
        <w:rPr>
          <w:rFonts w:ascii="Bookman Old Style" w:eastAsia="Bookman Old Style" w:hAnsi="Bookman Old Style" w:cs="Bookman Old Style"/>
          <w:color w:val="231F20"/>
          <w:sz w:val="18"/>
          <w:szCs w:val="18"/>
        </w:rPr>
        <w:softHyphen/>
        <w:t>стеме взаимодействия важнейшую задачу — балансирует интере</w:t>
      </w:r>
      <w:r w:rsidRPr="00350396">
        <w:rPr>
          <w:rFonts w:ascii="Bookman Old Style" w:eastAsia="Bookman Old Style" w:hAnsi="Bookman Old Style" w:cs="Bookman Old Style"/>
          <w:color w:val="231F20"/>
          <w:sz w:val="18"/>
          <w:szCs w:val="18"/>
        </w:rPr>
        <w:softHyphen/>
        <w:t>сы частного, корпоративного и общественного (государственного и национального) характера, которые имеют по преимуществу эко</w:t>
      </w:r>
      <w:r w:rsidRPr="00350396">
        <w:rPr>
          <w:rFonts w:ascii="Bookman Old Style" w:eastAsia="Bookman Old Style" w:hAnsi="Bookman Old Style" w:cs="Bookman Old Style"/>
          <w:color w:val="231F20"/>
          <w:sz w:val="18"/>
          <w:szCs w:val="18"/>
        </w:rPr>
        <w:softHyphen/>
        <w:t>номическую природу. Некоммерческий сектор объективно начина</w:t>
      </w:r>
      <w:r w:rsidRPr="00350396">
        <w:rPr>
          <w:rFonts w:ascii="Bookman Old Style" w:eastAsia="Bookman Old Style" w:hAnsi="Bookman Old Style" w:cs="Bookman Old Style"/>
          <w:color w:val="231F20"/>
          <w:sz w:val="18"/>
          <w:szCs w:val="18"/>
        </w:rPr>
        <w:softHyphen/>
        <w:t>ет участвовать в межсекторных обменных процессах, являющихся результатом агрегирования индивидуальных, групповых или сово</w:t>
      </w:r>
      <w:r w:rsidRPr="00350396">
        <w:rPr>
          <w:rFonts w:ascii="Bookman Old Style" w:eastAsia="Bookman Old Style" w:hAnsi="Bookman Old Style" w:cs="Bookman Old Style"/>
          <w:color w:val="231F20"/>
          <w:sz w:val="18"/>
          <w:szCs w:val="18"/>
        </w:rPr>
        <w:softHyphen/>
        <w:t>купных экономических действий, выражающих соответствующие уровни экономических интересов.</w:t>
      </w:r>
      <w:bookmarkEnd w:id="37"/>
    </w:p>
    <w:p w14:paraId="7528BB0B" w14:textId="77777777" w:rsidR="00350396" w:rsidRPr="00350396" w:rsidRDefault="00350396" w:rsidP="00350396">
      <w:pPr>
        <w:keepNext/>
        <w:keepLines/>
        <w:widowControl w:val="0"/>
        <w:numPr>
          <w:ilvl w:val="0"/>
          <w:numId w:val="35"/>
        </w:numPr>
        <w:tabs>
          <w:tab w:val="left" w:pos="2058"/>
        </w:tabs>
        <w:spacing w:after="209" w:line="336" w:lineRule="exact"/>
        <w:ind w:left="1380" w:right="1380" w:firstLine="180"/>
        <w:jc w:val="left"/>
        <w:outlineLvl w:val="3"/>
        <w:rPr>
          <w:rFonts w:ascii="Arial Narrow" w:eastAsia="Arial Narrow" w:hAnsi="Arial Narrow" w:cs="Arial Narrow"/>
          <w:b/>
          <w:bCs/>
        </w:rPr>
      </w:pPr>
      <w:bookmarkStart w:id="38" w:name="bookmark38"/>
      <w:r w:rsidRPr="00350396">
        <w:rPr>
          <w:rFonts w:ascii="Arial Narrow" w:eastAsia="Arial Narrow" w:hAnsi="Arial Narrow" w:cs="Arial Narrow"/>
          <w:b/>
          <w:bCs/>
          <w:color w:val="231F20"/>
        </w:rPr>
        <w:t>Практика тред-юнионистского социального партнерства за рубежом</w:t>
      </w:r>
      <w:bookmarkEnd w:id="38"/>
    </w:p>
    <w:p w14:paraId="369C9AD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Существуют различные формы участия в социальном пар</w:t>
      </w:r>
      <w:r w:rsidRPr="00350396">
        <w:rPr>
          <w:rFonts w:ascii="Bookman Old Style" w:eastAsia="Bookman Old Style" w:hAnsi="Bookman Old Style" w:cs="Bookman Old Style"/>
          <w:color w:val="231F20"/>
          <w:sz w:val="18"/>
          <w:szCs w:val="18"/>
        </w:rPr>
        <w:softHyphen/>
        <w:t xml:space="preserve">тнерстве на рынке труда. Самая развитая форма — </w:t>
      </w:r>
      <w:r w:rsidRPr="00350396">
        <w:rPr>
          <w:rFonts w:ascii="Bookman Old Style" w:eastAsia="Bookman Old Style" w:hAnsi="Bookman Old Style" w:cs="Bookman Old Style"/>
          <w:i/>
          <w:iCs/>
          <w:color w:val="231F20"/>
          <w:sz w:val="18"/>
          <w:szCs w:val="18"/>
        </w:rPr>
        <w:t xml:space="preserve">трипартизм, </w:t>
      </w:r>
      <w:r w:rsidRPr="00350396">
        <w:rPr>
          <w:rFonts w:ascii="Bookman Old Style" w:eastAsia="Bookman Old Style" w:hAnsi="Bookman Old Style" w:cs="Bookman Old Style"/>
          <w:color w:val="231F20"/>
          <w:sz w:val="18"/>
          <w:szCs w:val="18"/>
        </w:rPr>
        <w:t>или трехстороннее сотрудничество между наемными работниками, предпринимателями и государством. Наряду с ним практикуется участие трудящихся в управлении производством, участие в при</w:t>
      </w:r>
      <w:r w:rsidRPr="00350396">
        <w:rPr>
          <w:rFonts w:ascii="Bookman Old Style" w:eastAsia="Bookman Old Style" w:hAnsi="Bookman Old Style" w:cs="Bookman Old Style"/>
          <w:color w:val="231F20"/>
          <w:sz w:val="18"/>
          <w:szCs w:val="18"/>
        </w:rPr>
        <w:softHyphen/>
        <w:t>былях, участие в инновационных процессах (рационализаторская деятельность) и т. п.</w:t>
      </w:r>
    </w:p>
    <w:p w14:paraId="30EC2DA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Рассматривая типичные национальные модели трипартиз</w:t>
      </w:r>
      <w:r w:rsidRPr="00350396">
        <w:rPr>
          <w:rFonts w:ascii="Bookman Old Style" w:eastAsia="Bookman Old Style" w:hAnsi="Bookman Old Style" w:cs="Bookman Old Style"/>
          <w:color w:val="231F20"/>
          <w:sz w:val="18"/>
          <w:szCs w:val="18"/>
        </w:rPr>
        <w:softHyphen/>
        <w:t>ма, отметим, что в зависимости от уровня ведения коллективных переговоров для заключения договоров и соглашений сложились три основные модели социального партнерства.</w:t>
      </w:r>
    </w:p>
    <w:p w14:paraId="6FA01E7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Первая модель,</w:t>
      </w:r>
      <w:r w:rsidRPr="00350396">
        <w:rPr>
          <w:rFonts w:ascii="Bookman Old Style" w:eastAsia="Bookman Old Style" w:hAnsi="Bookman Old Style" w:cs="Bookman Old Style"/>
          <w:color w:val="231F20"/>
          <w:sz w:val="18"/>
          <w:szCs w:val="18"/>
        </w:rPr>
        <w:t xml:space="preserve"> характерная для стран Северной Европы (Фин</w:t>
      </w:r>
      <w:r w:rsidRPr="00350396">
        <w:rPr>
          <w:rFonts w:ascii="Bookman Old Style" w:eastAsia="Bookman Old Style" w:hAnsi="Bookman Old Style" w:cs="Bookman Old Style"/>
          <w:color w:val="231F20"/>
          <w:sz w:val="18"/>
          <w:szCs w:val="18"/>
        </w:rPr>
        <w:softHyphen/>
        <w:t>ляндия, Швеция, Бельгия, Норвегия, Нидерланды), предполагает активное вмешательство государства в регулирование трудовых от</w:t>
      </w:r>
      <w:r w:rsidRPr="00350396">
        <w:rPr>
          <w:rFonts w:ascii="Bookman Old Style" w:eastAsia="Bookman Old Style" w:hAnsi="Bookman Old Style" w:cs="Bookman Old Style"/>
          <w:color w:val="231F20"/>
          <w:sz w:val="18"/>
          <w:szCs w:val="18"/>
        </w:rPr>
        <w:softHyphen/>
        <w:t>ношений и имеет три уровня социального партнерства: общенацио</w:t>
      </w:r>
      <w:r w:rsidRPr="00350396">
        <w:rPr>
          <w:rFonts w:ascii="Bookman Old Style" w:eastAsia="Bookman Old Style" w:hAnsi="Bookman Old Style" w:cs="Bookman Old Style"/>
          <w:color w:val="231F20"/>
          <w:sz w:val="18"/>
          <w:szCs w:val="18"/>
        </w:rPr>
        <w:softHyphen/>
        <w:t xml:space="preserve">нальный, отраслевой и уровень предприятия. Например, в Бельгии на общенациональном уровне создан Национальный совет по труду из </w:t>
      </w:r>
      <w:r w:rsidRPr="00350396">
        <w:rPr>
          <w:rFonts w:ascii="Bookman Old Style" w:eastAsia="Bookman Old Style" w:hAnsi="Bookman Old Style" w:cs="Bookman Old Style"/>
          <w:color w:val="231F20"/>
          <w:sz w:val="18"/>
          <w:szCs w:val="18"/>
        </w:rPr>
        <w:lastRenderedPageBreak/>
        <w:t>равного числа представителей трех сторон. Он является консуль</w:t>
      </w:r>
      <w:r w:rsidRPr="00350396">
        <w:rPr>
          <w:rFonts w:ascii="Bookman Old Style" w:eastAsia="Bookman Old Style" w:hAnsi="Bookman Old Style" w:cs="Bookman Old Style"/>
          <w:color w:val="231F20"/>
          <w:sz w:val="18"/>
          <w:szCs w:val="18"/>
        </w:rPr>
        <w:softHyphen/>
        <w:t>тативным органом правительства, имеет право вести переговоры на общенациональном уровне. На уровне отраслей существуют со</w:t>
      </w:r>
      <w:r w:rsidRPr="00350396">
        <w:rPr>
          <w:rFonts w:ascii="Bookman Old Style" w:eastAsia="Bookman Old Style" w:hAnsi="Bookman Old Style" w:cs="Bookman Old Style"/>
          <w:color w:val="231F20"/>
          <w:sz w:val="18"/>
          <w:szCs w:val="18"/>
        </w:rPr>
        <w:softHyphen/>
        <w:t>вместные (паритетные) комиссии, учреждаемые под контролем правительства.</w:t>
      </w:r>
    </w:p>
    <w:p w14:paraId="6CBD509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Вторая модель</w:t>
      </w:r>
      <w:r w:rsidRPr="00350396">
        <w:rPr>
          <w:rFonts w:ascii="Bookman Old Style" w:eastAsia="Bookman Old Style" w:hAnsi="Bookman Old Style" w:cs="Bookman Old Style"/>
          <w:color w:val="231F20"/>
          <w:sz w:val="18"/>
          <w:szCs w:val="18"/>
        </w:rPr>
        <w:t xml:space="preserve"> социального партнерства, применяемая в ос</w:t>
      </w:r>
      <w:r w:rsidRPr="00350396">
        <w:rPr>
          <w:rFonts w:ascii="Bookman Old Style" w:eastAsia="Bookman Old Style" w:hAnsi="Bookman Old Style" w:cs="Bookman Old Style"/>
          <w:color w:val="231F20"/>
          <w:sz w:val="18"/>
          <w:szCs w:val="18"/>
        </w:rPr>
        <w:softHyphen/>
        <w:t>новном в США, Канаде, Японии, а также в большинстве развива</w:t>
      </w:r>
      <w:r w:rsidRPr="00350396">
        <w:rPr>
          <w:rFonts w:ascii="Bookman Old Style" w:eastAsia="Bookman Old Style" w:hAnsi="Bookman Old Style" w:cs="Bookman Old Style"/>
          <w:color w:val="231F20"/>
          <w:sz w:val="18"/>
          <w:szCs w:val="18"/>
        </w:rPr>
        <w:softHyphen/>
        <w:t>ющихся стран Азии, Латинской Америки и англоговорящих стран Африки, характеризуется заключением коллективных договоров только на уровне предприятий. В этих странах переговоры и со</w:t>
      </w:r>
      <w:r w:rsidRPr="00350396">
        <w:rPr>
          <w:rFonts w:ascii="Bookman Old Style" w:eastAsia="Bookman Old Style" w:hAnsi="Bookman Old Style" w:cs="Bookman Old Style"/>
          <w:color w:val="231F20"/>
          <w:sz w:val="18"/>
          <w:szCs w:val="18"/>
        </w:rPr>
        <w:softHyphen/>
        <w:t>глашения на региональном и отраслевом уровнях осуществля</w:t>
      </w:r>
      <w:r w:rsidRPr="00350396">
        <w:rPr>
          <w:rFonts w:ascii="Bookman Old Style" w:eastAsia="Bookman Old Style" w:hAnsi="Bookman Old Style" w:cs="Bookman Old Style"/>
          <w:color w:val="231F20"/>
          <w:sz w:val="18"/>
          <w:szCs w:val="18"/>
        </w:rPr>
        <w:softHyphen/>
        <w:t>ются значительно реже. Однако объединения предпринимателей и общенациональные профсоюзы достаточно активно участву</w:t>
      </w:r>
      <w:r w:rsidRPr="00350396">
        <w:rPr>
          <w:rFonts w:ascii="Bookman Old Style" w:eastAsia="Bookman Old Style" w:hAnsi="Bookman Old Style" w:cs="Bookman Old Style"/>
          <w:color w:val="231F20"/>
          <w:sz w:val="18"/>
          <w:szCs w:val="18"/>
        </w:rPr>
        <w:softHyphen/>
        <w:t>ют в законодательном процессе, формировании единой государ</w:t>
      </w:r>
      <w:r w:rsidRPr="00350396">
        <w:rPr>
          <w:rFonts w:ascii="Bookman Old Style" w:eastAsia="Bookman Old Style" w:hAnsi="Bookman Old Style" w:cs="Bookman Old Style"/>
          <w:color w:val="231F20"/>
          <w:sz w:val="18"/>
          <w:szCs w:val="18"/>
        </w:rPr>
        <w:softHyphen/>
        <w:t>ственной политики в области трудовых отношений. Официально в коллективных договорах они не участвуют, но их деятельность сосредоточивается на выработке единых подходов в партнерских отношениях.</w:t>
      </w:r>
    </w:p>
    <w:p w14:paraId="35C95B7E" w14:textId="77777777" w:rsidR="00350396" w:rsidRPr="00350396" w:rsidRDefault="00350396" w:rsidP="00350396">
      <w:pPr>
        <w:widowControl w:val="0"/>
        <w:spacing w:line="254"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Воздействие таких объединений на переговорный процесс осу</w:t>
      </w:r>
      <w:r w:rsidRPr="00350396">
        <w:rPr>
          <w:rFonts w:ascii="Bookman Old Style" w:eastAsia="Bookman Old Style" w:hAnsi="Bookman Old Style" w:cs="Bookman Old Style"/>
          <w:color w:val="231F20"/>
          <w:sz w:val="18"/>
          <w:szCs w:val="18"/>
        </w:rPr>
        <w:softHyphen/>
        <w:t>ществляется через послания, официально рекомендуемые работо</w:t>
      </w:r>
      <w:r w:rsidRPr="00350396">
        <w:rPr>
          <w:rFonts w:ascii="Bookman Old Style" w:eastAsia="Bookman Old Style" w:hAnsi="Bookman Old Style" w:cs="Bookman Old Style"/>
          <w:color w:val="231F20"/>
          <w:sz w:val="18"/>
          <w:szCs w:val="18"/>
        </w:rPr>
        <w:softHyphen/>
        <w:t>дателям. Например, Японская федерация ассоциаций работодате</w:t>
      </w:r>
      <w:r w:rsidRPr="00350396">
        <w:rPr>
          <w:rFonts w:ascii="Bookman Old Style" w:eastAsia="Bookman Old Style" w:hAnsi="Bookman Old Style" w:cs="Bookman Old Style"/>
          <w:color w:val="231F20"/>
          <w:sz w:val="18"/>
          <w:szCs w:val="18"/>
        </w:rPr>
        <w:softHyphen/>
        <w:t>лей формирует для них основные требования, которые необходимо учитывать при переговорах на уровне предприятий. В странах Се</w:t>
      </w:r>
      <w:r w:rsidRPr="00350396">
        <w:rPr>
          <w:rFonts w:ascii="Bookman Old Style" w:eastAsia="Bookman Old Style" w:hAnsi="Bookman Old Style" w:cs="Bookman Old Style"/>
          <w:color w:val="231F20"/>
          <w:sz w:val="18"/>
          <w:szCs w:val="18"/>
        </w:rPr>
        <w:softHyphen/>
        <w:t>верной Америки крупнейшие ассоциации предпринимателей также не вмешиваются в коллективные переговоры, но активно участвуют в законодательной и политической деятельности.</w:t>
      </w:r>
    </w:p>
    <w:p w14:paraId="08C7B1E4" w14:textId="77777777" w:rsidR="00350396" w:rsidRPr="00350396" w:rsidRDefault="00350396" w:rsidP="00350396">
      <w:pPr>
        <w:widowControl w:val="0"/>
        <w:spacing w:line="254"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Третья модель,</w:t>
      </w:r>
      <w:r w:rsidRPr="00350396">
        <w:rPr>
          <w:rFonts w:ascii="Bookman Old Style" w:eastAsia="Bookman Old Style" w:hAnsi="Bookman Old Style" w:cs="Bookman Old Style"/>
          <w:color w:val="231F20"/>
          <w:sz w:val="18"/>
          <w:szCs w:val="18"/>
        </w:rPr>
        <w:t xml:space="preserve"> типичная для стран Центральной Европы (Гер</w:t>
      </w:r>
      <w:r w:rsidRPr="00350396">
        <w:rPr>
          <w:rFonts w:ascii="Bookman Old Style" w:eastAsia="Bookman Old Style" w:hAnsi="Bookman Old Style" w:cs="Bookman Old Style"/>
          <w:color w:val="231F20"/>
          <w:sz w:val="18"/>
          <w:szCs w:val="18"/>
        </w:rPr>
        <w:softHyphen/>
        <w:t>мания, Австрия, Франция и др.), а также для Великобритании, яв</w:t>
      </w:r>
      <w:r w:rsidRPr="00350396">
        <w:rPr>
          <w:rFonts w:ascii="Bookman Old Style" w:eastAsia="Bookman Old Style" w:hAnsi="Bookman Old Style" w:cs="Bookman Old Style"/>
          <w:color w:val="231F20"/>
          <w:sz w:val="18"/>
          <w:szCs w:val="18"/>
        </w:rPr>
        <w:softHyphen/>
        <w:t>ляется как бы усредненным (промежуточным) вариантом между двумя названными выше. Как правило, на общенациональном уровне правительство периодически проводит консультации с национальными профсоюзными объединениями и союзами пред</w:t>
      </w:r>
      <w:r w:rsidRPr="00350396">
        <w:rPr>
          <w:rFonts w:ascii="Bookman Old Style" w:eastAsia="Bookman Old Style" w:hAnsi="Bookman Old Style" w:cs="Bookman Old Style"/>
          <w:color w:val="231F20"/>
          <w:sz w:val="18"/>
          <w:szCs w:val="18"/>
        </w:rPr>
        <w:softHyphen/>
        <w:t>принимателей. На этом уровне социальные партнеры совместных решений не принимают, а ограничиваются чаще всего консуль</w:t>
      </w:r>
      <w:r w:rsidRPr="00350396">
        <w:rPr>
          <w:rFonts w:ascii="Bookman Old Style" w:eastAsia="Bookman Old Style" w:hAnsi="Bookman Old Style" w:cs="Bookman Old Style"/>
          <w:color w:val="231F20"/>
          <w:sz w:val="18"/>
          <w:szCs w:val="18"/>
        </w:rPr>
        <w:softHyphen/>
        <w:t>тациями и реже — общенациональными соглашениями по от</w:t>
      </w:r>
      <w:r w:rsidRPr="00350396">
        <w:rPr>
          <w:rFonts w:ascii="Bookman Old Style" w:eastAsia="Bookman Old Style" w:hAnsi="Bookman Old Style" w:cs="Bookman Old Style"/>
          <w:color w:val="231F20"/>
          <w:sz w:val="18"/>
          <w:szCs w:val="18"/>
        </w:rPr>
        <w:softHyphen/>
        <w:t>дельным вопросам социальной политики. Например, в Германии коллективные переговоры ведутся на отраслевом и региональном уровнях. Коллективные договоры на предприятиях не заключают</w:t>
      </w:r>
      <w:r w:rsidRPr="00350396">
        <w:rPr>
          <w:rFonts w:ascii="Bookman Old Style" w:eastAsia="Bookman Old Style" w:hAnsi="Bookman Old Style" w:cs="Bookman Old Style"/>
          <w:color w:val="231F20"/>
          <w:sz w:val="18"/>
          <w:szCs w:val="18"/>
        </w:rPr>
        <w:softHyphen/>
        <w:t>ся. Правда, существуют некие производственные соглашения, под</w:t>
      </w:r>
      <w:r w:rsidRPr="00350396">
        <w:rPr>
          <w:rFonts w:ascii="Bookman Old Style" w:eastAsia="Bookman Old Style" w:hAnsi="Bookman Old Style" w:cs="Bookman Old Style"/>
          <w:color w:val="231F20"/>
          <w:sz w:val="18"/>
          <w:szCs w:val="18"/>
        </w:rPr>
        <w:softHyphen/>
        <w:t>писанные работодателем и советом предприятия (органом рабоче</w:t>
      </w:r>
      <w:r w:rsidRPr="00350396">
        <w:rPr>
          <w:rFonts w:ascii="Bookman Old Style" w:eastAsia="Bookman Old Style" w:hAnsi="Bookman Old Style" w:cs="Bookman Old Style"/>
          <w:color w:val="231F20"/>
          <w:sz w:val="18"/>
          <w:szCs w:val="18"/>
        </w:rPr>
        <w:softHyphen/>
        <w:t>го представительства)</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70002562" w14:textId="77777777" w:rsidR="00350396" w:rsidRPr="00350396" w:rsidRDefault="00350396" w:rsidP="00350396">
      <w:pPr>
        <w:widowControl w:val="0"/>
        <w:spacing w:line="254"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классификации типов социального партнерства по крите</w:t>
      </w:r>
      <w:r w:rsidRPr="00350396">
        <w:rPr>
          <w:rFonts w:ascii="Bookman Old Style" w:eastAsia="Bookman Old Style" w:hAnsi="Bookman Old Style" w:cs="Bookman Old Style"/>
          <w:color w:val="231F20"/>
          <w:sz w:val="18"/>
          <w:szCs w:val="18"/>
        </w:rPr>
        <w:softHyphen/>
        <w:t>риям политической ориентации, идеологической направленности на практике выделяются три модели:</w:t>
      </w:r>
    </w:p>
    <w:p w14:paraId="50A70B39" w14:textId="77777777" w:rsidR="00350396" w:rsidRPr="00350396" w:rsidRDefault="00350396" w:rsidP="00350396">
      <w:pPr>
        <w:widowControl w:val="0"/>
        <w:numPr>
          <w:ilvl w:val="0"/>
          <w:numId w:val="36"/>
        </w:numPr>
        <w:tabs>
          <w:tab w:val="left" w:pos="660"/>
        </w:tabs>
        <w:spacing w:line="254"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консервативная английская;</w:t>
      </w:r>
    </w:p>
    <w:p w14:paraId="336675D4" w14:textId="77777777" w:rsidR="00350396" w:rsidRPr="00350396" w:rsidRDefault="00350396" w:rsidP="00350396">
      <w:pPr>
        <w:widowControl w:val="0"/>
        <w:numPr>
          <w:ilvl w:val="0"/>
          <w:numId w:val="36"/>
        </w:numPr>
        <w:tabs>
          <w:tab w:val="left" w:pos="660"/>
        </w:tabs>
        <w:spacing w:line="254"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социал-демократическая германская;</w:t>
      </w:r>
    </w:p>
    <w:p w14:paraId="7CC323F9" w14:textId="77777777" w:rsidR="00350396" w:rsidRPr="00350396" w:rsidRDefault="00350396" w:rsidP="00350396">
      <w:pPr>
        <w:widowControl w:val="0"/>
        <w:numPr>
          <w:ilvl w:val="0"/>
          <w:numId w:val="36"/>
        </w:numPr>
        <w:tabs>
          <w:tab w:val="left" w:pos="660"/>
        </w:tabs>
        <w:spacing w:line="254"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социалистическая французская.</w:t>
      </w:r>
    </w:p>
    <w:p w14:paraId="6547FF1E" w14:textId="77777777" w:rsidR="00350396" w:rsidRPr="00350396" w:rsidRDefault="00350396" w:rsidP="00350396">
      <w:pPr>
        <w:widowControl w:val="0"/>
        <w:spacing w:line="254"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Консервативная и социалистическая модели социального пар</w:t>
      </w:r>
      <w:r w:rsidRPr="00350396">
        <w:rPr>
          <w:rFonts w:ascii="Bookman Old Style" w:eastAsia="Bookman Old Style" w:hAnsi="Bookman Old Style" w:cs="Bookman Old Style"/>
          <w:color w:val="231F20"/>
          <w:sz w:val="18"/>
          <w:szCs w:val="18"/>
        </w:rPr>
        <w:softHyphen/>
        <w:t>тнерства характеризуются как односторонне радикальные, не в пол</w:t>
      </w:r>
      <w:r w:rsidRPr="00350396">
        <w:rPr>
          <w:rFonts w:ascii="Bookman Old Style" w:eastAsia="Bookman Old Style" w:hAnsi="Bookman Old Style" w:cs="Bookman Old Style"/>
          <w:color w:val="231F20"/>
          <w:sz w:val="18"/>
          <w:szCs w:val="18"/>
        </w:rPr>
        <w:softHyphen/>
        <w:t>ной мере учитывающие плюралистическую природу общества.</w:t>
      </w:r>
    </w:p>
    <w:p w14:paraId="1612FEE3" w14:textId="77777777" w:rsidR="00350396" w:rsidRPr="00350396" w:rsidRDefault="00350396" w:rsidP="00350396">
      <w:pPr>
        <w:widowControl w:val="0"/>
        <w:spacing w:line="254"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Германская социал-демократическая модель представляет собой «золотую середину» между английской и французской, стремится к соблюдению максимального баланса интересов между трудом и капиталом, между работниками и работодателями</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71C90DE6" w14:textId="77777777" w:rsidR="00350396" w:rsidRPr="00350396" w:rsidRDefault="00350396" w:rsidP="00350396">
      <w:pPr>
        <w:widowControl w:val="0"/>
        <w:spacing w:line="254"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 характеру взаимодействия профсоюзов с институтами госу</w:t>
      </w:r>
      <w:r w:rsidRPr="00350396">
        <w:rPr>
          <w:rFonts w:ascii="Bookman Old Style" w:eastAsia="Bookman Old Style" w:hAnsi="Bookman Old Style" w:cs="Bookman Old Style"/>
          <w:color w:val="231F20"/>
          <w:sz w:val="18"/>
          <w:szCs w:val="18"/>
        </w:rPr>
        <w:softHyphen/>
        <w:t xml:space="preserve">дарственной власти и местного самоуправления можно выделить </w:t>
      </w:r>
      <w:r w:rsidRPr="00350396">
        <w:rPr>
          <w:rFonts w:ascii="Bookman Old Style" w:eastAsia="Bookman Old Style" w:hAnsi="Bookman Old Style" w:cs="Bookman Old Style"/>
          <w:color w:val="231F20"/>
          <w:sz w:val="18"/>
          <w:szCs w:val="18"/>
          <w:vertAlign w:val="superscript"/>
        </w:rPr>
        <w:footnoteReference w:id="39"/>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40"/>
      </w:r>
      <w:r w:rsidRPr="00350396">
        <w:rPr>
          <w:rFonts w:ascii="Bookman Old Style" w:eastAsia="Bookman Old Style" w:hAnsi="Bookman Old Style" w:cs="Bookman Old Style"/>
          <w:color w:val="231F20"/>
          <w:sz w:val="18"/>
          <w:szCs w:val="18"/>
        </w:rPr>
        <w:t xml:space="preserve"> два типа профсоюзов: </w:t>
      </w:r>
      <w:r w:rsidRPr="00350396">
        <w:rPr>
          <w:rFonts w:ascii="Bookman Old Style" w:eastAsia="Bookman Old Style" w:hAnsi="Bookman Old Style" w:cs="Bookman Old Style"/>
          <w:i/>
          <w:iCs/>
          <w:color w:val="231F20"/>
          <w:sz w:val="18"/>
          <w:szCs w:val="18"/>
        </w:rPr>
        <w:t>ориентированные на сотрудничество</w:t>
      </w:r>
      <w:r w:rsidRPr="00350396">
        <w:rPr>
          <w:rFonts w:ascii="Bookman Old Style" w:eastAsia="Bookman Old Style" w:hAnsi="Bookman Old Style" w:cs="Bookman Old Style"/>
          <w:color w:val="231F20"/>
          <w:sz w:val="18"/>
          <w:szCs w:val="18"/>
        </w:rPr>
        <w:t xml:space="preserve"> и </w:t>
      </w:r>
      <w:r w:rsidRPr="00350396">
        <w:rPr>
          <w:rFonts w:ascii="Bookman Old Style" w:eastAsia="Bookman Old Style" w:hAnsi="Bookman Old Style" w:cs="Bookman Old Style"/>
          <w:i/>
          <w:iCs/>
          <w:color w:val="231F20"/>
          <w:sz w:val="18"/>
          <w:szCs w:val="18"/>
        </w:rPr>
        <w:t>наце</w:t>
      </w:r>
      <w:r w:rsidRPr="00350396">
        <w:rPr>
          <w:rFonts w:ascii="Bookman Old Style" w:eastAsia="Bookman Old Style" w:hAnsi="Bookman Old Style" w:cs="Bookman Old Style"/>
          <w:i/>
          <w:iCs/>
          <w:color w:val="231F20"/>
          <w:sz w:val="18"/>
          <w:szCs w:val="18"/>
        </w:rPr>
        <w:softHyphen/>
        <w:t>ленные на конфликт с государством.</w:t>
      </w:r>
      <w:r w:rsidRPr="00350396">
        <w:rPr>
          <w:rFonts w:ascii="Bookman Old Style" w:eastAsia="Bookman Old Style" w:hAnsi="Bookman Old Style" w:cs="Bookman Old Style"/>
          <w:color w:val="231F20"/>
          <w:sz w:val="18"/>
          <w:szCs w:val="18"/>
        </w:rPr>
        <w:t xml:space="preserve"> К первому типу относятся про</w:t>
      </w:r>
      <w:r w:rsidRPr="00350396">
        <w:rPr>
          <w:rFonts w:ascii="Bookman Old Style" w:eastAsia="Bookman Old Style" w:hAnsi="Bookman Old Style" w:cs="Bookman Old Style"/>
          <w:color w:val="231F20"/>
          <w:sz w:val="18"/>
          <w:szCs w:val="18"/>
        </w:rPr>
        <w:softHyphen/>
        <w:t>фсоюзы преимущественно в странах, где рабочее движение имеет многолетний реформистский характер и конструктивные реформа</w:t>
      </w:r>
      <w:r w:rsidRPr="00350396">
        <w:rPr>
          <w:rFonts w:ascii="Bookman Old Style" w:eastAsia="Bookman Old Style" w:hAnsi="Bookman Old Style" w:cs="Bookman Old Style"/>
          <w:color w:val="231F20"/>
          <w:sz w:val="18"/>
          <w:szCs w:val="18"/>
        </w:rPr>
        <w:softHyphen/>
        <w:t>торские традиции. Это наиболее характерно для Германии, Австрии, Швейцарии, Нидерландов, Швеции, Норвегии, Дании. Второй тип профсоюзов олицетворяет собой организации, систематически кон</w:t>
      </w:r>
      <w:r w:rsidRPr="00350396">
        <w:rPr>
          <w:rFonts w:ascii="Bookman Old Style" w:eastAsia="Bookman Old Style" w:hAnsi="Bookman Old Style" w:cs="Bookman Old Style"/>
          <w:color w:val="231F20"/>
          <w:sz w:val="18"/>
          <w:szCs w:val="18"/>
        </w:rPr>
        <w:softHyphen/>
        <w:t>фликтующие с государством, институтами государственной власти. Это профсоюзы Италии, Франции, Великобритании.</w:t>
      </w:r>
    </w:p>
    <w:p w14:paraId="49271CAD"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Существенное значение во взаимоотношениях профсоюзов с властными структурами имеют особенности их организацион</w:t>
      </w:r>
      <w:r w:rsidRPr="00350396">
        <w:rPr>
          <w:rFonts w:ascii="Bookman Old Style" w:eastAsia="Bookman Old Style" w:hAnsi="Bookman Old Style" w:cs="Bookman Old Style"/>
          <w:color w:val="231F20"/>
          <w:sz w:val="18"/>
          <w:szCs w:val="18"/>
        </w:rPr>
        <w:softHyphen/>
        <w:t>ного строения. Политически независимое профсоюзное движение, созданное по производственному принципу, с жесткой иерархиче</w:t>
      </w:r>
      <w:r w:rsidRPr="00350396">
        <w:rPr>
          <w:rFonts w:ascii="Bookman Old Style" w:eastAsia="Bookman Old Style" w:hAnsi="Bookman Old Style" w:cs="Bookman Old Style"/>
          <w:color w:val="231F20"/>
          <w:sz w:val="18"/>
          <w:szCs w:val="18"/>
        </w:rPr>
        <w:softHyphen/>
        <w:t>ской структурой и всевластием руководящей верхушки чаще всего нацелено на социальный конфликт. Такого рода профсоюзы обычно характеризуются как оппозиционные. Наоборот, профсоюзы, тесно взаимосвязанные с какой-либо реформаторской партией, с гибкой либерально-синдикалистской структурой, способной нейтрализо</w:t>
      </w:r>
      <w:r w:rsidRPr="00350396">
        <w:rPr>
          <w:rFonts w:ascii="Bookman Old Style" w:eastAsia="Bookman Old Style" w:hAnsi="Bookman Old Style" w:cs="Bookman Old Style"/>
          <w:color w:val="231F20"/>
          <w:sz w:val="18"/>
          <w:szCs w:val="18"/>
        </w:rPr>
        <w:softHyphen/>
        <w:t>вать «абсолютизм» лидеров и наиболее полно учитывать интере</w:t>
      </w:r>
      <w:r w:rsidRPr="00350396">
        <w:rPr>
          <w:rFonts w:ascii="Bookman Old Style" w:eastAsia="Bookman Old Style" w:hAnsi="Bookman Old Style" w:cs="Bookman Old Style"/>
          <w:color w:val="231F20"/>
          <w:sz w:val="18"/>
          <w:szCs w:val="18"/>
        </w:rPr>
        <w:softHyphen/>
        <w:t>сы работников, чаще всего склонны к сотрудничеству с властными структурами и государством в целом.</w:t>
      </w:r>
    </w:p>
    <w:p w14:paraId="7C83F6E1"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индустриальных странах активность государства, властных структур побуждают профсоюзы к постоянному диалогу с объеди</w:t>
      </w:r>
      <w:r w:rsidRPr="00350396">
        <w:rPr>
          <w:rFonts w:ascii="Bookman Old Style" w:eastAsia="Bookman Old Style" w:hAnsi="Bookman Old Style" w:cs="Bookman Old Style"/>
          <w:color w:val="231F20"/>
          <w:sz w:val="18"/>
          <w:szCs w:val="18"/>
        </w:rPr>
        <w:softHyphen/>
        <w:t>нениями работодателей, предпринимателей и институтами государ</w:t>
      </w:r>
      <w:r w:rsidRPr="00350396">
        <w:rPr>
          <w:rFonts w:ascii="Bookman Old Style" w:eastAsia="Bookman Old Style" w:hAnsi="Bookman Old Style" w:cs="Bookman Old Style"/>
          <w:color w:val="231F20"/>
          <w:sz w:val="18"/>
          <w:szCs w:val="18"/>
        </w:rPr>
        <w:softHyphen/>
        <w:t>ственного управления.</w:t>
      </w:r>
    </w:p>
    <w:p w14:paraId="6DA3145D"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Тем не менее в последнее время все реже появляются оптимисти</w:t>
      </w:r>
      <w:r w:rsidRPr="00350396">
        <w:rPr>
          <w:rFonts w:ascii="Bookman Old Style" w:eastAsia="Bookman Old Style" w:hAnsi="Bookman Old Style" w:cs="Bookman Old Style"/>
          <w:color w:val="231F20"/>
          <w:sz w:val="18"/>
          <w:szCs w:val="18"/>
        </w:rPr>
        <w:softHyphen/>
        <w:t>ческие прогнозы относительно развития взаимоотношений государ</w:t>
      </w:r>
      <w:r w:rsidRPr="00350396">
        <w:rPr>
          <w:rFonts w:ascii="Bookman Old Style" w:eastAsia="Bookman Old Style" w:hAnsi="Bookman Old Style" w:cs="Bookman Old Style"/>
          <w:color w:val="231F20"/>
          <w:sz w:val="18"/>
          <w:szCs w:val="18"/>
        </w:rPr>
        <w:softHyphen/>
        <w:t>ства и профсоюзов. В большинстве зарубежных стран государство, предпочитая курс на поддержку бизнеса и рыночных отношений, сокращает свое вмешательство в экономические процессы. Трудно</w:t>
      </w:r>
      <w:r w:rsidRPr="00350396">
        <w:rPr>
          <w:rFonts w:ascii="Bookman Old Style" w:eastAsia="Bookman Old Style" w:hAnsi="Bookman Old Style" w:cs="Bookman Old Style"/>
          <w:color w:val="231F20"/>
          <w:sz w:val="18"/>
          <w:szCs w:val="18"/>
        </w:rPr>
        <w:softHyphen/>
        <w:t>сти экономического развития в последние десятилетия, необходи</w:t>
      </w:r>
      <w:r w:rsidRPr="00350396">
        <w:rPr>
          <w:rFonts w:ascii="Bookman Old Style" w:eastAsia="Bookman Old Style" w:hAnsi="Bookman Old Style" w:cs="Bookman Old Style"/>
          <w:color w:val="231F20"/>
          <w:sz w:val="18"/>
          <w:szCs w:val="18"/>
        </w:rPr>
        <w:softHyphen/>
        <w:t>мость переструктурирования на постиндустриальный тип общества нередко обусловливают конфликты властных структур и профсою</w:t>
      </w:r>
      <w:r w:rsidRPr="00350396">
        <w:rPr>
          <w:rFonts w:ascii="Bookman Old Style" w:eastAsia="Bookman Old Style" w:hAnsi="Bookman Old Style" w:cs="Bookman Old Style"/>
          <w:color w:val="231F20"/>
          <w:sz w:val="18"/>
          <w:szCs w:val="18"/>
        </w:rPr>
        <w:softHyphen/>
        <w:t>зов. Бремя преобразований распределяется именно на те слои, кото</w:t>
      </w:r>
      <w:r w:rsidRPr="00350396">
        <w:rPr>
          <w:rFonts w:ascii="Bookman Old Style" w:eastAsia="Bookman Old Style" w:hAnsi="Bookman Old Style" w:cs="Bookman Old Style"/>
          <w:color w:val="231F20"/>
          <w:sz w:val="18"/>
          <w:szCs w:val="18"/>
        </w:rPr>
        <w:softHyphen/>
        <w:t>рые в 1950—</w:t>
      </w:r>
      <w:r w:rsidRPr="00350396">
        <w:rPr>
          <w:rFonts w:ascii="Bookman Old Style" w:eastAsia="Bookman Old Style" w:hAnsi="Bookman Old Style" w:cs="Bookman Old Style"/>
          <w:color w:val="231F20"/>
          <w:sz w:val="18"/>
          <w:szCs w:val="18"/>
        </w:rPr>
        <w:lastRenderedPageBreak/>
        <w:t>1970-е гг. выиграли от экономического возрождения. Сегодня они вынуждены взять на себя основную долю тягот. Это касается прежде всего наемных работников и их организаций. По</w:t>
      </w:r>
      <w:r w:rsidRPr="00350396">
        <w:rPr>
          <w:rFonts w:ascii="Bookman Old Style" w:eastAsia="Bookman Old Style" w:hAnsi="Bookman Old Style" w:cs="Bookman Old Style"/>
          <w:color w:val="231F20"/>
          <w:sz w:val="18"/>
          <w:szCs w:val="18"/>
        </w:rPr>
        <w:softHyphen/>
        <w:t>этому перед государством стоит задача не допустить администриро</w:t>
      </w:r>
      <w:r w:rsidRPr="00350396">
        <w:rPr>
          <w:rFonts w:ascii="Bookman Old Style" w:eastAsia="Bookman Old Style" w:hAnsi="Bookman Old Style" w:cs="Bookman Old Style"/>
          <w:color w:val="231F20"/>
          <w:sz w:val="18"/>
          <w:szCs w:val="18"/>
        </w:rPr>
        <w:softHyphen/>
        <w:t>вания процессов регулирования отношений в социально-трудовой сфере. Система социального партнерства на различных уровнях от</w:t>
      </w:r>
      <w:r w:rsidRPr="00350396">
        <w:rPr>
          <w:rFonts w:ascii="Bookman Old Style" w:eastAsia="Bookman Old Style" w:hAnsi="Bookman Old Style" w:cs="Bookman Old Style"/>
          <w:color w:val="231F20"/>
          <w:sz w:val="18"/>
          <w:szCs w:val="18"/>
        </w:rPr>
        <w:softHyphen/>
        <w:t>носительно самостоятельна и носит специфический характер. Одно</w:t>
      </w:r>
      <w:r w:rsidRPr="00350396">
        <w:rPr>
          <w:rFonts w:ascii="Bookman Old Style" w:eastAsia="Bookman Old Style" w:hAnsi="Bookman Old Style" w:cs="Bookman Old Style"/>
          <w:color w:val="231F20"/>
          <w:sz w:val="18"/>
          <w:szCs w:val="18"/>
        </w:rPr>
        <w:softHyphen/>
        <w:t>временно эти уровни тесно взаимосвязаны между собой. По мере укрепления взаимосвязей всех соглашений и договоров, взаимного обмена, стимулирования оптимального использования имеющихся ресурсов создаются реальные условия для экономической и полити</w:t>
      </w:r>
      <w:r w:rsidRPr="00350396">
        <w:rPr>
          <w:rFonts w:ascii="Bookman Old Style" w:eastAsia="Bookman Old Style" w:hAnsi="Bookman Old Style" w:cs="Bookman Old Style"/>
          <w:color w:val="231F20"/>
          <w:sz w:val="18"/>
          <w:szCs w:val="18"/>
        </w:rPr>
        <w:softHyphen/>
        <w:t>ческой стабильности в обществе</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2451331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 уровню участия работников в управлении предприятием и представительству их интересов и социально-трудовых прав в ми</w:t>
      </w:r>
      <w:r w:rsidRPr="00350396">
        <w:rPr>
          <w:rFonts w:ascii="Bookman Old Style" w:eastAsia="Bookman Old Style" w:hAnsi="Bookman Old Style" w:cs="Bookman Old Style"/>
          <w:color w:val="231F20"/>
          <w:sz w:val="18"/>
          <w:szCs w:val="18"/>
        </w:rPr>
        <w:softHyphen/>
        <w:t>ровой практике сложились три наиболее характерных модели.</w:t>
      </w:r>
    </w:p>
    <w:p w14:paraId="5A21C43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Первая модель — </w:t>
      </w:r>
      <w:r w:rsidRPr="00350396">
        <w:rPr>
          <w:rFonts w:ascii="Bookman Old Style" w:eastAsia="Bookman Old Style" w:hAnsi="Bookman Old Style" w:cs="Bookman Old Style"/>
          <w:i/>
          <w:iCs/>
          <w:color w:val="231F20"/>
          <w:sz w:val="18"/>
          <w:szCs w:val="18"/>
        </w:rPr>
        <w:t>профсоюзное представительство.</w:t>
      </w:r>
      <w:r w:rsidRPr="00350396">
        <w:rPr>
          <w:rFonts w:ascii="Bookman Old Style" w:eastAsia="Bookman Old Style" w:hAnsi="Bookman Old Style" w:cs="Bookman Old Style"/>
          <w:color w:val="231F20"/>
          <w:sz w:val="18"/>
          <w:szCs w:val="18"/>
        </w:rPr>
        <w:t xml:space="preserve"> В ряде стран (США, Канада, Япония, Польша, Великобритания, Ирландия, Ита</w:t>
      </w:r>
      <w:r w:rsidRPr="00350396">
        <w:rPr>
          <w:rFonts w:ascii="Bookman Old Style" w:eastAsia="Bookman Old Style" w:hAnsi="Bookman Old Style" w:cs="Bookman Old Style"/>
          <w:color w:val="231F20"/>
          <w:sz w:val="18"/>
          <w:szCs w:val="18"/>
        </w:rPr>
        <w:softHyphen/>
        <w:t>лия и др.) профсоюзная организация на предприятии по закону считается представителем не только членов профсоюза, но и всех работников, не входящих в профессиональный союз. Как правило, работодатель признает «наиболее представительный союз». В слу</w:t>
      </w:r>
      <w:r w:rsidRPr="00350396">
        <w:rPr>
          <w:rFonts w:ascii="Bookman Old Style" w:eastAsia="Bookman Old Style" w:hAnsi="Bookman Old Style" w:cs="Bookman Old Style"/>
          <w:color w:val="231F20"/>
          <w:sz w:val="18"/>
          <w:szCs w:val="18"/>
        </w:rPr>
        <w:softHyphen/>
        <w:t>чае конфликта, отказа работодателя от ведения коллективных переговоров представительство признается только за тем профсо</w:t>
      </w:r>
      <w:r w:rsidRPr="00350396">
        <w:rPr>
          <w:rFonts w:ascii="Bookman Old Style" w:eastAsia="Bookman Old Style" w:hAnsi="Bookman Old Style" w:cs="Bookman Old Style"/>
          <w:color w:val="231F20"/>
          <w:sz w:val="18"/>
          <w:szCs w:val="18"/>
        </w:rPr>
        <w:softHyphen/>
        <w:t>юзом, чьи полномочия на данное представительство подтверждены официально путем выдачи сертификата Национальным управлени</w:t>
      </w:r>
      <w:r w:rsidRPr="00350396">
        <w:rPr>
          <w:rFonts w:ascii="Bookman Old Style" w:eastAsia="Bookman Old Style" w:hAnsi="Bookman Old Style" w:cs="Bookman Old Style"/>
          <w:color w:val="231F20"/>
          <w:sz w:val="18"/>
          <w:szCs w:val="18"/>
        </w:rPr>
        <w:softHyphen/>
        <w:t>ем по трудовым отношениям США. Названный сертификат получит только тот профсоюз, в котором членами являются не менее 30 % работников предприятия. Однако современное законодательство США не исключает и другие формы рабочего представительства.</w:t>
      </w:r>
    </w:p>
    <w:p w14:paraId="5C7110B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Совершенно особая система профсоюзного представительства существует в Великобритании. Она не легализована на уровне национального законодательства, а обычно регламентируется кол</w:t>
      </w:r>
      <w:r w:rsidRPr="00350396">
        <w:rPr>
          <w:rFonts w:ascii="Bookman Old Style" w:eastAsia="Bookman Old Style" w:hAnsi="Bookman Old Style" w:cs="Bookman Old Style"/>
          <w:color w:val="231F20"/>
          <w:sz w:val="18"/>
          <w:szCs w:val="18"/>
        </w:rPr>
        <w:softHyphen/>
        <w:t>лективными договорами, где определяются полномочия цеховых старост (шоп-стюардов) и комитетов цеховых старост.</w:t>
      </w:r>
    </w:p>
    <w:p w14:paraId="789A8EF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Вторая модель — </w:t>
      </w:r>
      <w:r w:rsidRPr="00350396">
        <w:rPr>
          <w:rFonts w:ascii="Bookman Old Style" w:eastAsia="Bookman Old Style" w:hAnsi="Bookman Old Style" w:cs="Bookman Old Style"/>
          <w:i/>
          <w:iCs/>
          <w:color w:val="231F20"/>
          <w:sz w:val="18"/>
          <w:szCs w:val="18"/>
        </w:rPr>
        <w:t>чистое представительство</w:t>
      </w:r>
      <w:r w:rsidRPr="00350396">
        <w:rPr>
          <w:rFonts w:ascii="Bookman Old Style" w:eastAsia="Bookman Old Style" w:hAnsi="Bookman Old Style" w:cs="Bookman Old Style"/>
          <w:color w:val="231F20"/>
          <w:sz w:val="18"/>
          <w:szCs w:val="18"/>
        </w:rPr>
        <w:t xml:space="preserve"> наемных работни</w:t>
      </w:r>
      <w:r w:rsidRPr="00350396">
        <w:rPr>
          <w:rFonts w:ascii="Bookman Old Style" w:eastAsia="Bookman Old Style" w:hAnsi="Bookman Old Style" w:cs="Bookman Old Style"/>
          <w:color w:val="231F20"/>
          <w:sz w:val="18"/>
          <w:szCs w:val="18"/>
        </w:rPr>
        <w:softHyphen/>
        <w:t>ков в советах и комитетах предприятий — типична для Австрии, Греции, Испании, Португалии, Германии, Нидерландов и др. Со</w:t>
      </w:r>
      <w:r w:rsidRPr="00350396">
        <w:rPr>
          <w:rFonts w:ascii="Bookman Old Style" w:eastAsia="Bookman Old Style" w:hAnsi="Bookman Old Style" w:cs="Bookman Old Style"/>
          <w:color w:val="231F20"/>
          <w:sz w:val="18"/>
          <w:szCs w:val="18"/>
        </w:rPr>
        <w:softHyphen/>
        <w:t>веты (комитеты предприятий) являются органами рабочего пред</w:t>
      </w:r>
      <w:r w:rsidRPr="00350396">
        <w:rPr>
          <w:rFonts w:ascii="Bookman Old Style" w:eastAsia="Bookman Old Style" w:hAnsi="Bookman Old Style" w:cs="Bookman Old Style"/>
          <w:color w:val="231F20"/>
          <w:sz w:val="18"/>
          <w:szCs w:val="18"/>
        </w:rPr>
        <w:softHyphen/>
        <w:t>ставительства. Трудовой коллектив избирает своих представителей в этот орган. Его количественный состав и сроки избрания уста</w:t>
      </w:r>
      <w:r w:rsidRPr="00350396">
        <w:rPr>
          <w:rFonts w:ascii="Bookman Old Style" w:eastAsia="Bookman Old Style" w:hAnsi="Bookman Old Style" w:cs="Bookman Old Style"/>
          <w:color w:val="231F20"/>
          <w:sz w:val="18"/>
          <w:szCs w:val="18"/>
        </w:rPr>
        <w:softHyphen/>
        <w:t>навливаются в законодательных актах. По объему полномочий это, как правило, консультативный орган по социальным вопросам, ка</w:t>
      </w:r>
      <w:r w:rsidRPr="00350396">
        <w:rPr>
          <w:rFonts w:ascii="Bookman Old Style" w:eastAsia="Bookman Old Style" w:hAnsi="Bookman Old Style" w:cs="Bookman Old Style"/>
          <w:color w:val="231F20"/>
          <w:sz w:val="18"/>
          <w:szCs w:val="18"/>
        </w:rPr>
        <w:softHyphen/>
        <w:t>сающимся рабочего времени и отпусков, охраны труда, разработки социальных мероприятий. В производственно-хозяйственной сфе</w:t>
      </w:r>
      <w:r w:rsidRPr="00350396">
        <w:rPr>
          <w:rFonts w:ascii="Bookman Old Style" w:eastAsia="Bookman Old Style" w:hAnsi="Bookman Old Style" w:cs="Bookman Old Style"/>
          <w:color w:val="231F20"/>
          <w:sz w:val="18"/>
          <w:szCs w:val="18"/>
        </w:rPr>
        <w:softHyphen/>
        <w:t>ре деятельности предприятия совет (комитет) имеет право толь</w:t>
      </w:r>
      <w:r w:rsidRPr="00350396">
        <w:rPr>
          <w:rFonts w:ascii="Bookman Old Style" w:eastAsia="Bookman Old Style" w:hAnsi="Bookman Old Style" w:cs="Bookman Old Style"/>
          <w:color w:val="231F20"/>
          <w:sz w:val="18"/>
          <w:szCs w:val="18"/>
        </w:rPr>
        <w:softHyphen/>
        <w:t xml:space="preserve">ко на получение от работодателя соответствующей информации. Работодатель вправе </w:t>
      </w:r>
      <w:r w:rsidRPr="00350396">
        <w:rPr>
          <w:rFonts w:ascii="Bookman Old Style" w:eastAsia="Bookman Old Style" w:hAnsi="Bookman Old Style" w:cs="Bookman Old Style"/>
          <w:color w:val="231F20"/>
          <w:sz w:val="18"/>
          <w:szCs w:val="18"/>
        </w:rPr>
        <w:lastRenderedPageBreak/>
        <w:t>ограничиться лишь консультациями с этим органом по социальным вопросам. Порядок таких консультаций, степень обязательности в них учета мнения совета предприятия конкретизируются в рамках коллективных договоров или специ</w:t>
      </w:r>
      <w:r w:rsidRPr="00350396">
        <w:rPr>
          <w:rFonts w:ascii="Bookman Old Style" w:eastAsia="Bookman Old Style" w:hAnsi="Bookman Old Style" w:cs="Bookman Old Style"/>
          <w:color w:val="231F20"/>
          <w:sz w:val="18"/>
          <w:szCs w:val="18"/>
        </w:rPr>
        <w:softHyphen/>
        <w:t>альных внутрифирменных соглашений.</w:t>
      </w:r>
    </w:p>
    <w:p w14:paraId="5C6CC30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Третья модель — </w:t>
      </w:r>
      <w:r w:rsidRPr="00350396">
        <w:rPr>
          <w:rFonts w:ascii="Bookman Old Style" w:eastAsia="Bookman Old Style" w:hAnsi="Bookman Old Style" w:cs="Bookman Old Style"/>
          <w:i/>
          <w:iCs/>
          <w:color w:val="231F20"/>
          <w:sz w:val="18"/>
          <w:szCs w:val="18"/>
        </w:rPr>
        <w:t>смешанное представительство</w:t>
      </w:r>
      <w:r w:rsidRPr="00350396">
        <w:rPr>
          <w:rFonts w:ascii="Bookman Old Style" w:eastAsia="Bookman Old Style" w:hAnsi="Bookman Old Style" w:cs="Bookman Old Style"/>
          <w:color w:val="231F20"/>
          <w:sz w:val="18"/>
          <w:szCs w:val="18"/>
        </w:rPr>
        <w:t xml:space="preserve"> — характерна для Бельгии, Дании, Ирландии, Франции и др. На предприятиях </w:t>
      </w:r>
      <w:r w:rsidRPr="00350396">
        <w:rPr>
          <w:rFonts w:ascii="Bookman Old Style" w:eastAsia="Bookman Old Style" w:hAnsi="Bookman Old Style" w:cs="Bookman Old Style"/>
          <w:color w:val="231F20"/>
          <w:sz w:val="18"/>
          <w:szCs w:val="18"/>
          <w:vertAlign w:val="superscript"/>
        </w:rPr>
        <w:footnoteReference w:id="41"/>
      </w:r>
      <w:r w:rsidRPr="00350396">
        <w:rPr>
          <w:rFonts w:ascii="Bookman Old Style" w:eastAsia="Bookman Old Style" w:hAnsi="Bookman Old Style" w:cs="Bookman Old Style"/>
          <w:color w:val="231F20"/>
          <w:sz w:val="18"/>
          <w:szCs w:val="18"/>
        </w:rPr>
        <w:t xml:space="preserve"> формируются советы (комитеты), в состав которых избираются тру</w:t>
      </w:r>
      <w:r w:rsidRPr="00350396">
        <w:rPr>
          <w:rFonts w:ascii="Bookman Old Style" w:eastAsia="Bookman Old Style" w:hAnsi="Bookman Old Style" w:cs="Bookman Old Style"/>
          <w:color w:val="231F20"/>
          <w:sz w:val="18"/>
          <w:szCs w:val="18"/>
        </w:rPr>
        <w:softHyphen/>
        <w:t>довым коллективом представители наемных работников и назнача</w:t>
      </w:r>
      <w:r w:rsidRPr="00350396">
        <w:rPr>
          <w:rFonts w:ascii="Bookman Old Style" w:eastAsia="Bookman Old Style" w:hAnsi="Bookman Old Style" w:cs="Bookman Old Style"/>
          <w:color w:val="231F20"/>
          <w:sz w:val="18"/>
          <w:szCs w:val="18"/>
        </w:rPr>
        <w:softHyphen/>
        <w:t>ются администрацией представители работодателя. Названные со</w:t>
      </w:r>
      <w:r w:rsidRPr="00350396">
        <w:rPr>
          <w:rFonts w:ascii="Bookman Old Style" w:eastAsia="Bookman Old Style" w:hAnsi="Bookman Old Style" w:cs="Bookman Old Style"/>
          <w:color w:val="231F20"/>
          <w:sz w:val="18"/>
          <w:szCs w:val="18"/>
        </w:rPr>
        <w:softHyphen/>
        <w:t>веты обладают более широкими полномочиями, включая участие в решении вопросов внутреннего трудового распорядка, охраны труда.</w:t>
      </w:r>
    </w:p>
    <w:p w14:paraId="538296B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Смешанное представительство в комитетах предполагает уча</w:t>
      </w:r>
      <w:r w:rsidRPr="00350396">
        <w:rPr>
          <w:rFonts w:ascii="Bookman Old Style" w:eastAsia="Bookman Old Style" w:hAnsi="Bookman Old Style" w:cs="Bookman Old Style"/>
          <w:color w:val="231F20"/>
          <w:sz w:val="18"/>
          <w:szCs w:val="18"/>
        </w:rPr>
        <w:softHyphen/>
        <w:t>стие последних в организации управления и хозяйственной дея</w:t>
      </w:r>
      <w:r w:rsidRPr="00350396">
        <w:rPr>
          <w:rFonts w:ascii="Bookman Old Style" w:eastAsia="Bookman Old Style" w:hAnsi="Bookman Old Style" w:cs="Bookman Old Style"/>
          <w:color w:val="231F20"/>
          <w:sz w:val="18"/>
          <w:szCs w:val="18"/>
        </w:rPr>
        <w:softHyphen/>
        <w:t>тельности предприятия. Так, по законодательству Франции глава предприятия обязан ежегодно представлять в комитет доклад о хо</w:t>
      </w:r>
      <w:r w:rsidRPr="00350396">
        <w:rPr>
          <w:rFonts w:ascii="Bookman Old Style" w:eastAsia="Bookman Old Style" w:hAnsi="Bookman Old Style" w:cs="Bookman Old Style"/>
          <w:color w:val="231F20"/>
          <w:sz w:val="18"/>
          <w:szCs w:val="18"/>
        </w:rPr>
        <w:softHyphen/>
        <w:t>зяйственном обороте предприятия, движении заработной платы в истекшем году и др. Работодатель также обязан запросить мнение комитета предприятия по таким вопросам, как изменение числен</w:t>
      </w:r>
      <w:r w:rsidRPr="00350396">
        <w:rPr>
          <w:rFonts w:ascii="Bookman Old Style" w:eastAsia="Bookman Old Style" w:hAnsi="Bookman Old Style" w:cs="Bookman Old Style"/>
          <w:color w:val="231F20"/>
          <w:sz w:val="18"/>
          <w:szCs w:val="18"/>
        </w:rPr>
        <w:softHyphen/>
        <w:t>ности и структуры штатов, продолжительность рабочего времени, условия труда. Это обязательная консультация: если решение при</w:t>
      </w:r>
      <w:r w:rsidRPr="00350396">
        <w:rPr>
          <w:rFonts w:ascii="Bookman Old Style" w:eastAsia="Bookman Old Style" w:hAnsi="Bookman Old Style" w:cs="Bookman Old Style"/>
          <w:color w:val="231F20"/>
          <w:sz w:val="18"/>
          <w:szCs w:val="18"/>
        </w:rPr>
        <w:softHyphen/>
        <w:t>нято работодателем без таковой, оно может быть аннулировано су</w:t>
      </w:r>
      <w:r w:rsidRPr="00350396">
        <w:rPr>
          <w:rFonts w:ascii="Bookman Old Style" w:eastAsia="Bookman Old Style" w:hAnsi="Bookman Old Style" w:cs="Bookman Old Style"/>
          <w:color w:val="231F20"/>
          <w:sz w:val="18"/>
          <w:szCs w:val="18"/>
        </w:rPr>
        <w:softHyphen/>
        <w:t>дом. В акционерных обществах комитет предприятия направляет на заседания администрации или наблюдательного совета от двух до четырех своих представителей</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53DCED0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 критерию взаимоотношений профсоюзов с организациями работодателей традиционно проводится различие между «волюнта</w:t>
      </w:r>
      <w:r w:rsidRPr="00350396">
        <w:rPr>
          <w:rFonts w:ascii="Bookman Old Style" w:eastAsia="Bookman Old Style" w:hAnsi="Bookman Old Style" w:cs="Bookman Old Style"/>
          <w:color w:val="231F20"/>
          <w:sz w:val="18"/>
          <w:szCs w:val="18"/>
        </w:rPr>
        <w:softHyphen/>
        <w:t>ристской» моделью, первоначально применяемой в Великобрита</w:t>
      </w:r>
      <w:r w:rsidRPr="00350396">
        <w:rPr>
          <w:rFonts w:ascii="Bookman Old Style" w:eastAsia="Bookman Old Style" w:hAnsi="Bookman Old Style" w:cs="Bookman Old Style"/>
          <w:color w:val="231F20"/>
          <w:sz w:val="18"/>
          <w:szCs w:val="18"/>
        </w:rPr>
        <w:softHyphen/>
        <w:t>нии, а затем в США, и европейской моделью партнерских отноше</w:t>
      </w:r>
      <w:r w:rsidRPr="00350396">
        <w:rPr>
          <w:rFonts w:ascii="Bookman Old Style" w:eastAsia="Bookman Old Style" w:hAnsi="Bookman Old Style" w:cs="Bookman Old Style"/>
          <w:color w:val="231F20"/>
          <w:sz w:val="18"/>
          <w:szCs w:val="18"/>
        </w:rPr>
        <w:softHyphen/>
        <w:t>ний, подразделяемой на германскую и латинскую.</w:t>
      </w:r>
    </w:p>
    <w:p w14:paraId="5D7D293C"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При </w:t>
      </w:r>
      <w:r w:rsidRPr="00350396">
        <w:rPr>
          <w:rFonts w:ascii="Bookman Old Style" w:eastAsia="Bookman Old Style" w:hAnsi="Bookman Old Style" w:cs="Bookman Old Style"/>
          <w:i/>
          <w:iCs/>
          <w:color w:val="231F20"/>
          <w:sz w:val="18"/>
          <w:szCs w:val="18"/>
        </w:rPr>
        <w:t>«волюнтаристской» модели</w:t>
      </w:r>
      <w:r w:rsidRPr="00350396">
        <w:rPr>
          <w:rFonts w:ascii="Bookman Old Style" w:eastAsia="Bookman Old Style" w:hAnsi="Bookman Old Style" w:cs="Bookman Old Style"/>
          <w:color w:val="231F20"/>
          <w:sz w:val="18"/>
          <w:szCs w:val="18"/>
        </w:rPr>
        <w:t xml:space="preserve"> в Великобритании каждый про</w:t>
      </w:r>
      <w:r w:rsidRPr="00350396">
        <w:rPr>
          <w:rFonts w:ascii="Bookman Old Style" w:eastAsia="Bookman Old Style" w:hAnsi="Bookman Old Style" w:cs="Bookman Old Style"/>
          <w:color w:val="231F20"/>
          <w:sz w:val="18"/>
          <w:szCs w:val="18"/>
        </w:rPr>
        <w:softHyphen/>
        <w:t>фсоюз ведет коллективные переговоры с предпринимателями, ко</w:t>
      </w:r>
      <w:r w:rsidRPr="00350396">
        <w:rPr>
          <w:rFonts w:ascii="Bookman Old Style" w:eastAsia="Bookman Old Style" w:hAnsi="Bookman Old Style" w:cs="Bookman Old Style"/>
          <w:color w:val="231F20"/>
          <w:sz w:val="18"/>
          <w:szCs w:val="18"/>
        </w:rPr>
        <w:softHyphen/>
        <w:t>торые, как правило, не распространяются на всю отрасль или дру</w:t>
      </w:r>
      <w:r w:rsidRPr="00350396">
        <w:rPr>
          <w:rFonts w:ascii="Bookman Old Style" w:eastAsia="Bookman Old Style" w:hAnsi="Bookman Old Style" w:cs="Bookman Old Style"/>
          <w:color w:val="231F20"/>
          <w:sz w:val="18"/>
          <w:szCs w:val="18"/>
        </w:rPr>
        <w:softHyphen/>
        <w:t>гие сферы. В целом для Великобритании характерно заключение множества коллективных договоров, совершенно различных по со</w:t>
      </w:r>
      <w:r w:rsidRPr="00350396">
        <w:rPr>
          <w:rFonts w:ascii="Bookman Old Style" w:eastAsia="Bookman Old Style" w:hAnsi="Bookman Old Style" w:cs="Bookman Old Style"/>
          <w:color w:val="231F20"/>
          <w:sz w:val="18"/>
          <w:szCs w:val="18"/>
        </w:rPr>
        <w:softHyphen/>
        <w:t>держанию и степени охвата работников. Кроме того, на уровне предприятия коллективные переговоры проходят почти постоянно и неформально между автономной группой шоп-стюардов и управ</w:t>
      </w:r>
      <w:r w:rsidRPr="00350396">
        <w:rPr>
          <w:rFonts w:ascii="Bookman Old Style" w:eastAsia="Bookman Old Style" w:hAnsi="Bookman Old Style" w:cs="Bookman Old Style"/>
          <w:color w:val="231F20"/>
          <w:sz w:val="18"/>
          <w:szCs w:val="18"/>
        </w:rPr>
        <w:softHyphen/>
        <w:t>ляющими различных звеньев.</w:t>
      </w:r>
    </w:p>
    <w:p w14:paraId="25A3D5E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силу исторически сложившихся условий коллективные догово</w:t>
      </w:r>
      <w:r w:rsidRPr="00350396">
        <w:rPr>
          <w:rFonts w:ascii="Bookman Old Style" w:eastAsia="Bookman Old Style" w:hAnsi="Bookman Old Style" w:cs="Bookman Old Style"/>
          <w:color w:val="231F20"/>
          <w:sz w:val="18"/>
          <w:szCs w:val="18"/>
        </w:rPr>
        <w:softHyphen/>
        <w:t xml:space="preserve">ры в Великобритании не закреплены каким-либо законодательным актом. Правительство, властные структуры всегда лишь косвенно поддерживают процесс коллективных переговоров, стимулируя создание совместных профсоюзно-предпринимательских Советов по </w:t>
      </w:r>
      <w:r w:rsidRPr="00350396">
        <w:rPr>
          <w:rFonts w:ascii="Bookman Old Style" w:eastAsia="Bookman Old Style" w:hAnsi="Bookman Old Style" w:cs="Bookman Old Style"/>
          <w:color w:val="231F20"/>
          <w:sz w:val="18"/>
          <w:szCs w:val="18"/>
        </w:rPr>
        <w:lastRenderedPageBreak/>
        <w:t>заработной плате в частном секторе, за исключением нацио</w:t>
      </w:r>
      <w:r w:rsidRPr="00350396">
        <w:rPr>
          <w:rFonts w:ascii="Bookman Old Style" w:eastAsia="Bookman Old Style" w:hAnsi="Bookman Old Style" w:cs="Bookman Old Style"/>
          <w:color w:val="231F20"/>
          <w:sz w:val="18"/>
          <w:szCs w:val="18"/>
        </w:rPr>
        <w:softHyphen/>
        <w:t>нализированных отраслей, где заключение договоров является обя</w:t>
      </w:r>
      <w:r w:rsidRPr="00350396">
        <w:rPr>
          <w:rFonts w:ascii="Bookman Old Style" w:eastAsia="Bookman Old Style" w:hAnsi="Bookman Old Style" w:cs="Bookman Old Style"/>
          <w:color w:val="231F20"/>
          <w:sz w:val="18"/>
          <w:szCs w:val="18"/>
        </w:rPr>
        <w:softHyphen/>
        <w:t>зательным.</w:t>
      </w:r>
    </w:p>
    <w:p w14:paraId="19513F4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Европейская модель</w:t>
      </w:r>
      <w:r w:rsidRPr="00350396">
        <w:rPr>
          <w:rFonts w:ascii="Bookman Old Style" w:eastAsia="Bookman Old Style" w:hAnsi="Bookman Old Style" w:cs="Bookman Old Style"/>
          <w:color w:val="231F20"/>
          <w:sz w:val="18"/>
          <w:szCs w:val="18"/>
        </w:rPr>
        <w:t xml:space="preserve"> предполагает более централизованный уро</w:t>
      </w:r>
      <w:r w:rsidRPr="00350396">
        <w:rPr>
          <w:rFonts w:ascii="Bookman Old Style" w:eastAsia="Bookman Old Style" w:hAnsi="Bookman Old Style" w:cs="Bookman Old Style"/>
          <w:color w:val="231F20"/>
          <w:sz w:val="18"/>
          <w:szCs w:val="18"/>
        </w:rPr>
        <w:softHyphen/>
        <w:t xml:space="preserve">вень регулирования трудовых отношений, преследует цель согласо- </w:t>
      </w:r>
      <w:r w:rsidRPr="00350396">
        <w:rPr>
          <w:rFonts w:ascii="Bookman Old Style" w:eastAsia="Bookman Old Style" w:hAnsi="Bookman Old Style" w:cs="Bookman Old Style"/>
          <w:color w:val="231F20"/>
          <w:sz w:val="18"/>
          <w:szCs w:val="18"/>
          <w:vertAlign w:val="superscript"/>
        </w:rPr>
        <w:footnoteReference w:id="42"/>
      </w:r>
      <w:r w:rsidRPr="00350396">
        <w:rPr>
          <w:rFonts w:ascii="Bookman Old Style" w:eastAsia="Bookman Old Style" w:hAnsi="Bookman Old Style" w:cs="Bookman Old Style"/>
          <w:color w:val="231F20"/>
          <w:sz w:val="18"/>
          <w:szCs w:val="18"/>
        </w:rPr>
        <w:t xml:space="preserve"> вания и защиты интересов работников, работодателей и властных структур. Вмешательство органов государственной власти, мест</w:t>
      </w:r>
      <w:r w:rsidRPr="00350396">
        <w:rPr>
          <w:rFonts w:ascii="Bookman Old Style" w:eastAsia="Bookman Old Style" w:hAnsi="Bookman Old Style" w:cs="Bookman Old Style"/>
          <w:color w:val="231F20"/>
          <w:sz w:val="18"/>
          <w:szCs w:val="18"/>
        </w:rPr>
        <w:softHyphen/>
        <w:t>ного самоуправления в процесс социально-трудовых отношений, принятия коллективных договоров и соглашений более значитель</w:t>
      </w:r>
      <w:r w:rsidRPr="00350396">
        <w:rPr>
          <w:rFonts w:ascii="Bookman Old Style" w:eastAsia="Bookman Old Style" w:hAnsi="Bookman Old Style" w:cs="Bookman Old Style"/>
          <w:color w:val="231F20"/>
          <w:sz w:val="18"/>
          <w:szCs w:val="18"/>
        </w:rPr>
        <w:softHyphen/>
        <w:t>но, чем в английской модели. Европейская модель партнерских отношений применяется во многих странах. При этом учитывают определенные различия, обусловленные причинами национального и политического характера. Классифицируются чаще всего герман</w:t>
      </w:r>
      <w:r w:rsidRPr="00350396">
        <w:rPr>
          <w:rFonts w:ascii="Bookman Old Style" w:eastAsia="Bookman Old Style" w:hAnsi="Bookman Old Style" w:cs="Bookman Old Style"/>
          <w:color w:val="231F20"/>
          <w:sz w:val="18"/>
          <w:szCs w:val="18"/>
        </w:rPr>
        <w:softHyphen/>
        <w:t>ская и латинская модели.</w:t>
      </w:r>
    </w:p>
    <w:p w14:paraId="5CF6650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В странах, применяющих </w:t>
      </w:r>
      <w:r w:rsidRPr="00350396">
        <w:rPr>
          <w:rFonts w:ascii="Bookman Old Style" w:eastAsia="Bookman Old Style" w:hAnsi="Bookman Old Style" w:cs="Bookman Old Style"/>
          <w:i/>
          <w:iCs/>
          <w:color w:val="231F20"/>
          <w:sz w:val="18"/>
          <w:szCs w:val="18"/>
        </w:rPr>
        <w:t>германскую модель,</w:t>
      </w:r>
      <w:r w:rsidRPr="00350396">
        <w:rPr>
          <w:rFonts w:ascii="Bookman Old Style" w:eastAsia="Bookman Old Style" w:hAnsi="Bookman Old Style" w:cs="Bookman Old Style"/>
          <w:color w:val="231F20"/>
          <w:sz w:val="18"/>
          <w:szCs w:val="18"/>
        </w:rPr>
        <w:t xml:space="preserve"> каждая из органи</w:t>
      </w:r>
      <w:r w:rsidRPr="00350396">
        <w:rPr>
          <w:rFonts w:ascii="Bookman Old Style" w:eastAsia="Bookman Old Style" w:hAnsi="Bookman Old Style" w:cs="Bookman Old Style"/>
          <w:color w:val="231F20"/>
          <w:sz w:val="18"/>
          <w:szCs w:val="18"/>
        </w:rPr>
        <w:softHyphen/>
        <w:t>заций, занимающихся коллективными переговорами, заключает довольно много отраслевых или секторальных соглашений, варьи</w:t>
      </w:r>
      <w:r w:rsidRPr="00350396">
        <w:rPr>
          <w:rFonts w:ascii="Bookman Old Style" w:eastAsia="Bookman Old Style" w:hAnsi="Bookman Old Style" w:cs="Bookman Old Style"/>
          <w:color w:val="231F20"/>
          <w:sz w:val="18"/>
          <w:szCs w:val="18"/>
        </w:rPr>
        <w:softHyphen/>
        <w:t>рующихся от крупных предприятий машиностроительных отраслей до чрезвычайно мелких ремесленных производств и предприятий сферы услуг. Германская модель социального партнерства получила широкое распространение в Австрии, Голландии, Дании, Бельгии, Швейцарии, скандинавских странах.</w:t>
      </w:r>
    </w:p>
    <w:p w14:paraId="738DD71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Основой германской модели коллективных переговоров является идея создания сети отраслевых соглашений, устраивающих по сво</w:t>
      </w:r>
      <w:r w:rsidRPr="00350396">
        <w:rPr>
          <w:rFonts w:ascii="Bookman Old Style" w:eastAsia="Bookman Old Style" w:hAnsi="Bookman Old Style" w:cs="Bookman Old Style"/>
          <w:color w:val="231F20"/>
          <w:sz w:val="18"/>
          <w:szCs w:val="18"/>
        </w:rPr>
        <w:softHyphen/>
        <w:t>им условиям как предпринимателей, так и профсоюзы, поскольку в этих странах (в отличие от Великобритании) практически нет ком</w:t>
      </w:r>
      <w:r w:rsidRPr="00350396">
        <w:rPr>
          <w:rFonts w:ascii="Bookman Old Style" w:eastAsia="Bookman Old Style" w:hAnsi="Bookman Old Style" w:cs="Bookman Old Style"/>
          <w:color w:val="231F20"/>
          <w:sz w:val="18"/>
          <w:szCs w:val="18"/>
        </w:rPr>
        <w:softHyphen/>
        <w:t>паний, в которых не действовали бы профсоюзные организации. Од</w:t>
      </w:r>
      <w:r w:rsidRPr="00350396">
        <w:rPr>
          <w:rFonts w:ascii="Bookman Old Style" w:eastAsia="Bookman Old Style" w:hAnsi="Bookman Old Style" w:cs="Bookman Old Style"/>
          <w:color w:val="231F20"/>
          <w:sz w:val="18"/>
          <w:szCs w:val="18"/>
        </w:rPr>
        <w:softHyphen/>
        <w:t>нако доминирование отраслевых соглашений не исключает наличия коллективных договоров на уровне одного предприятия или компа</w:t>
      </w:r>
      <w:r w:rsidRPr="00350396">
        <w:rPr>
          <w:rFonts w:ascii="Bookman Old Style" w:eastAsia="Bookman Old Style" w:hAnsi="Bookman Old Style" w:cs="Bookman Old Style"/>
          <w:color w:val="231F20"/>
          <w:sz w:val="18"/>
          <w:szCs w:val="18"/>
        </w:rPr>
        <w:softHyphen/>
        <w:t>нии. Напротив, в рамках соглашения на уровне отрасли или секто</w:t>
      </w:r>
      <w:r w:rsidRPr="00350396">
        <w:rPr>
          <w:rFonts w:ascii="Bookman Old Style" w:eastAsia="Bookman Old Style" w:hAnsi="Bookman Old Style" w:cs="Bookman Old Style"/>
          <w:color w:val="231F20"/>
          <w:sz w:val="18"/>
          <w:szCs w:val="18"/>
        </w:rPr>
        <w:softHyphen/>
        <w:t>ра промышленности в малых странах заключаются и коллективные договоры на предприятиях, хотя они охватывают меньшее число занятых. Например, в Голландии 200 национальных отраслевых со</w:t>
      </w:r>
      <w:r w:rsidRPr="00350396">
        <w:rPr>
          <w:rFonts w:ascii="Bookman Old Style" w:eastAsia="Bookman Old Style" w:hAnsi="Bookman Old Style" w:cs="Bookman Old Style"/>
          <w:color w:val="231F20"/>
          <w:sz w:val="18"/>
          <w:szCs w:val="18"/>
        </w:rPr>
        <w:softHyphen/>
        <w:t>глашений распространяются на 2,5 млн занятых, а 700 договоров, заключенных отдельными компаниями, — на 0,5 млн чел. В Швей</w:t>
      </w:r>
      <w:r w:rsidRPr="00350396">
        <w:rPr>
          <w:rFonts w:ascii="Bookman Old Style" w:eastAsia="Bookman Old Style" w:hAnsi="Bookman Old Style" w:cs="Bookman Old Style"/>
          <w:color w:val="231F20"/>
          <w:sz w:val="18"/>
          <w:szCs w:val="18"/>
        </w:rPr>
        <w:softHyphen/>
        <w:t>царии 500 национальных и региональных соглашений охватывают 1,25 млн чел., в то время, как 600 договоров, заключенных на уров</w:t>
      </w:r>
      <w:r w:rsidRPr="00350396">
        <w:rPr>
          <w:rFonts w:ascii="Bookman Old Style" w:eastAsia="Bookman Old Style" w:hAnsi="Bookman Old Style" w:cs="Bookman Old Style"/>
          <w:color w:val="231F20"/>
          <w:sz w:val="18"/>
          <w:szCs w:val="18"/>
        </w:rPr>
        <w:softHyphen/>
        <w:t>не предприятия, — только 150 тыс. чел. Как правило, все эти со</w:t>
      </w:r>
      <w:r w:rsidRPr="00350396">
        <w:rPr>
          <w:rFonts w:ascii="Bookman Old Style" w:eastAsia="Bookman Old Style" w:hAnsi="Bookman Old Style" w:cs="Bookman Old Style"/>
          <w:color w:val="231F20"/>
          <w:sz w:val="18"/>
          <w:szCs w:val="18"/>
        </w:rPr>
        <w:softHyphen/>
        <w:t>глашения имеют разные исторические корни, иногда берущие свое начало в 1920-х или 1930-х гг., когда большие предприятия пошли на уступки профсоюзам и стали заключать с ними конкретные кол</w:t>
      </w:r>
      <w:r w:rsidRPr="00350396">
        <w:rPr>
          <w:rFonts w:ascii="Bookman Old Style" w:eastAsia="Bookman Old Style" w:hAnsi="Bookman Old Style" w:cs="Bookman Old Style"/>
          <w:color w:val="231F20"/>
          <w:sz w:val="18"/>
          <w:szCs w:val="18"/>
        </w:rPr>
        <w:softHyphen/>
        <w:t>лективные договоры.</w:t>
      </w:r>
    </w:p>
    <w:p w14:paraId="2382682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Выработанная на протяжении многих лет традиция привела к тому, что коллективные переговоры в странах с германской моде</w:t>
      </w:r>
      <w:r w:rsidRPr="00350396">
        <w:rPr>
          <w:rFonts w:ascii="Bookman Old Style" w:eastAsia="Bookman Old Style" w:hAnsi="Bookman Old Style" w:cs="Bookman Old Style"/>
          <w:color w:val="231F20"/>
          <w:sz w:val="18"/>
          <w:szCs w:val="18"/>
        </w:rPr>
        <w:softHyphen/>
        <w:t xml:space="preserve">лью проходят </w:t>
      </w:r>
      <w:r w:rsidRPr="00350396">
        <w:rPr>
          <w:rFonts w:ascii="Bookman Old Style" w:eastAsia="Bookman Old Style" w:hAnsi="Bookman Old Style" w:cs="Bookman Old Style"/>
          <w:color w:val="231F20"/>
          <w:sz w:val="18"/>
          <w:szCs w:val="18"/>
        </w:rPr>
        <w:lastRenderedPageBreak/>
        <w:t>в обстановке взаимного доверия, что нашло свое от</w:t>
      </w:r>
      <w:r w:rsidRPr="00350396">
        <w:rPr>
          <w:rFonts w:ascii="Bookman Old Style" w:eastAsia="Bookman Old Style" w:hAnsi="Bookman Old Style" w:cs="Bookman Old Style"/>
          <w:color w:val="231F20"/>
          <w:sz w:val="18"/>
          <w:szCs w:val="18"/>
        </w:rPr>
        <w:softHyphen/>
        <w:t xml:space="preserve">ражение даже в названии коллективного договора —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tarifpartner</w:t>
      </w:r>
      <w:r w:rsidRPr="00350396">
        <w:rPr>
          <w:rFonts w:ascii="Bookman Old Style" w:eastAsia="Bookman Old Style" w:hAnsi="Bookman Old Style" w:cs="Bookman Old Style"/>
          <w:i/>
          <w:iCs/>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 xml:space="preserve">в Германии и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socialepartners</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в Голландии и Бельгии. В скандинав</w:t>
      </w:r>
      <w:r w:rsidRPr="00350396">
        <w:rPr>
          <w:rFonts w:ascii="Bookman Old Style" w:eastAsia="Bookman Old Style" w:hAnsi="Bookman Old Style" w:cs="Bookman Old Style"/>
          <w:color w:val="231F20"/>
          <w:sz w:val="18"/>
          <w:szCs w:val="18"/>
        </w:rPr>
        <w:softHyphen/>
        <w:t xml:space="preserve">ских странах для определения профсоюзов и предпринимателей придерживаются термина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labormarketparties</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(стороны, выступаю</w:t>
      </w:r>
      <w:r w:rsidRPr="00350396">
        <w:rPr>
          <w:rFonts w:ascii="Bookman Old Style" w:eastAsia="Bookman Old Style" w:hAnsi="Bookman Old Style" w:cs="Bookman Old Style"/>
          <w:color w:val="231F20"/>
          <w:sz w:val="18"/>
          <w:szCs w:val="18"/>
        </w:rPr>
        <w:softHyphen/>
        <w:t>щие на рынке труда).</w:t>
      </w:r>
    </w:p>
    <w:p w14:paraId="5CE15F6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Латинская модель</w:t>
      </w:r>
      <w:r w:rsidRPr="00350396">
        <w:rPr>
          <w:rFonts w:ascii="Bookman Old Style" w:eastAsia="Bookman Old Style" w:hAnsi="Bookman Old Style" w:cs="Bookman Old Style"/>
          <w:color w:val="231F20"/>
          <w:sz w:val="18"/>
          <w:szCs w:val="18"/>
        </w:rPr>
        <w:t xml:space="preserve"> коллективных переговоров также отраслевая, однако в ней доминирует заключение локальных или региональных коллективных договоров. Причины преобладания локальных переговоров объясняются тем, что они предоставляют предпри</w:t>
      </w:r>
      <w:r w:rsidRPr="00350396">
        <w:rPr>
          <w:rFonts w:ascii="Bookman Old Style" w:eastAsia="Bookman Old Style" w:hAnsi="Bookman Old Style" w:cs="Bookman Old Style"/>
          <w:color w:val="231F20"/>
          <w:sz w:val="18"/>
          <w:szCs w:val="18"/>
        </w:rPr>
        <w:softHyphen/>
        <w:t>нимателям возможность непосредственно влиять на процесс под</w:t>
      </w:r>
      <w:r w:rsidRPr="00350396">
        <w:rPr>
          <w:rFonts w:ascii="Bookman Old Style" w:eastAsia="Bookman Old Style" w:hAnsi="Bookman Old Style" w:cs="Bookman Old Style"/>
          <w:color w:val="231F20"/>
          <w:sz w:val="18"/>
          <w:szCs w:val="18"/>
        </w:rPr>
        <w:softHyphen/>
        <w:t>готовки и принятия коллективного договора, поскольку взаимное недоверие между профсоюзами и организациями предпринимате</w:t>
      </w:r>
      <w:r w:rsidRPr="00350396">
        <w:rPr>
          <w:rFonts w:ascii="Bookman Old Style" w:eastAsia="Bookman Old Style" w:hAnsi="Bookman Old Style" w:cs="Bookman Old Style"/>
          <w:color w:val="231F20"/>
          <w:sz w:val="18"/>
          <w:szCs w:val="18"/>
        </w:rPr>
        <w:softHyphen/>
        <w:t>лей в странах с латинской моделью гораздо сильнее, чем в странах, применяющих германскую модель. Кроме того, в «латинской» Ев</w:t>
      </w:r>
      <w:r w:rsidRPr="00350396">
        <w:rPr>
          <w:rFonts w:ascii="Bookman Old Style" w:eastAsia="Bookman Old Style" w:hAnsi="Bookman Old Style" w:cs="Bookman Old Style"/>
          <w:color w:val="231F20"/>
          <w:sz w:val="18"/>
          <w:szCs w:val="18"/>
        </w:rPr>
        <w:softHyphen/>
        <w:t>ропе (Италия, Франция, Испания) существуют довольно контраст</w:t>
      </w:r>
      <w:r w:rsidRPr="00350396">
        <w:rPr>
          <w:rFonts w:ascii="Bookman Old Style" w:eastAsia="Bookman Old Style" w:hAnsi="Bookman Old Style" w:cs="Bookman Old Style"/>
          <w:color w:val="231F20"/>
          <w:sz w:val="18"/>
          <w:szCs w:val="18"/>
        </w:rPr>
        <w:softHyphen/>
        <w:t>ные региональные различия в условиях труда. Это приводит к более активному вовлечению властных структур в процесс коллективных переговоров. Образно говоря, властные структуры «стоят за дверью той комнаты, где ведутся переговоры, и профсоюзы используют лю</w:t>
      </w:r>
      <w:r w:rsidRPr="00350396">
        <w:rPr>
          <w:rFonts w:ascii="Bookman Old Style" w:eastAsia="Bookman Old Style" w:hAnsi="Bookman Old Style" w:cs="Bookman Old Style"/>
          <w:color w:val="231F20"/>
          <w:sz w:val="18"/>
          <w:szCs w:val="18"/>
        </w:rPr>
        <w:softHyphen/>
        <w:t>бую возможность открыть для них эту дверь, поскольку считают, что предприниматели в переговорах не заинтересованы»</w:t>
      </w:r>
      <w:r w:rsidRPr="00350396">
        <w:rPr>
          <w:rFonts w:ascii="Bookman Old Style" w:eastAsia="Bookman Old Style" w:hAnsi="Bookman Old Style" w:cs="Bookman Old Style"/>
          <w:color w:val="231F20"/>
          <w:sz w:val="18"/>
          <w:szCs w:val="18"/>
          <w:vertAlign w:val="superscript"/>
        </w:rPr>
        <w:footnoteReference w:id="43"/>
      </w:r>
      <w:r w:rsidRPr="00350396">
        <w:rPr>
          <w:rFonts w:ascii="Bookman Old Style" w:eastAsia="Bookman Old Style" w:hAnsi="Bookman Old Style" w:cs="Bookman Old Style"/>
          <w:color w:val="231F20"/>
          <w:sz w:val="18"/>
          <w:szCs w:val="18"/>
        </w:rPr>
        <w:t>.</w:t>
      </w:r>
    </w:p>
    <w:p w14:paraId="4D14D83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Опыт развитых западных стран показал, что эволюция зрелых трудовых отношений, характеризуемых порядком и правильной структурой зарплаты, почти всегда связана с некоторыми аспекта</w:t>
      </w:r>
      <w:r w:rsidRPr="00350396">
        <w:rPr>
          <w:rFonts w:ascii="Bookman Old Style" w:eastAsia="Bookman Old Style" w:hAnsi="Bookman Old Style" w:cs="Bookman Old Style"/>
          <w:color w:val="231F20"/>
          <w:sz w:val="18"/>
          <w:szCs w:val="18"/>
        </w:rPr>
        <w:softHyphen/>
        <w:t>ми коллективного торга. Коллективные торги на Западе имеют не</w:t>
      </w:r>
      <w:r w:rsidRPr="00350396">
        <w:rPr>
          <w:rFonts w:ascii="Bookman Old Style" w:eastAsia="Bookman Old Style" w:hAnsi="Bookman Old Style" w:cs="Bookman Old Style"/>
          <w:color w:val="231F20"/>
          <w:sz w:val="18"/>
          <w:szCs w:val="18"/>
        </w:rPr>
        <w:softHyphen/>
        <w:t>которые характерные черты:</w:t>
      </w:r>
    </w:p>
    <w:p w14:paraId="33B796DD" w14:textId="77777777" w:rsidR="00350396" w:rsidRPr="00350396" w:rsidRDefault="00350396" w:rsidP="00350396">
      <w:pPr>
        <w:widowControl w:val="0"/>
        <w:numPr>
          <w:ilvl w:val="0"/>
          <w:numId w:val="37"/>
        </w:numPr>
        <w:tabs>
          <w:tab w:val="left" w:pos="62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высокая степень вовлечения в коллективные торги и заклю</w:t>
      </w:r>
      <w:r w:rsidRPr="00350396">
        <w:rPr>
          <w:rFonts w:ascii="Bookman Old Style" w:eastAsia="Bookman Old Style" w:hAnsi="Bookman Old Style" w:cs="Bookman Old Style"/>
          <w:color w:val="231F20"/>
          <w:sz w:val="18"/>
          <w:szCs w:val="18"/>
        </w:rPr>
        <w:softHyphen/>
        <w:t>чение коллективных договоров больших масс рабочих;</w:t>
      </w:r>
    </w:p>
    <w:p w14:paraId="252370CE" w14:textId="77777777" w:rsidR="00350396" w:rsidRPr="00350396" w:rsidRDefault="00350396" w:rsidP="00350396">
      <w:pPr>
        <w:widowControl w:val="0"/>
        <w:numPr>
          <w:ilvl w:val="0"/>
          <w:numId w:val="37"/>
        </w:numPr>
        <w:tabs>
          <w:tab w:val="left" w:pos="62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ответственное поведение обеих сторон в коллективном торге как до начала переговоров, так и в момент принятия соглашения;</w:t>
      </w:r>
    </w:p>
    <w:p w14:paraId="5BAB647A" w14:textId="77777777" w:rsidR="00350396" w:rsidRPr="00350396" w:rsidRDefault="00350396" w:rsidP="00350396">
      <w:pPr>
        <w:widowControl w:val="0"/>
        <w:numPr>
          <w:ilvl w:val="0"/>
          <w:numId w:val="37"/>
        </w:numPr>
        <w:tabs>
          <w:tab w:val="left" w:pos="62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установление верных приоритетных вопросов в соглашении и их пересмотр с течением времени;</w:t>
      </w:r>
    </w:p>
    <w:p w14:paraId="593A8DC3" w14:textId="77777777" w:rsidR="00350396" w:rsidRPr="00350396" w:rsidRDefault="00350396" w:rsidP="00350396">
      <w:pPr>
        <w:widowControl w:val="0"/>
        <w:numPr>
          <w:ilvl w:val="0"/>
          <w:numId w:val="37"/>
        </w:numPr>
        <w:tabs>
          <w:tab w:val="left" w:pos="62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главная цель торгов — установление справедливых и ста</w:t>
      </w:r>
      <w:r w:rsidRPr="00350396">
        <w:rPr>
          <w:rFonts w:ascii="Bookman Old Style" w:eastAsia="Bookman Old Style" w:hAnsi="Bookman Old Style" w:cs="Bookman Old Style"/>
          <w:color w:val="231F20"/>
          <w:sz w:val="18"/>
          <w:szCs w:val="18"/>
        </w:rPr>
        <w:softHyphen/>
        <w:t>бильных трудовых отношений</w:t>
      </w:r>
      <w:r w:rsidRPr="00350396">
        <w:rPr>
          <w:rFonts w:ascii="Bookman Old Style" w:eastAsia="Bookman Old Style" w:hAnsi="Bookman Old Style" w:cs="Bookman Old Style"/>
          <w:color w:val="231F20"/>
          <w:sz w:val="18"/>
          <w:szCs w:val="18"/>
          <w:vertAlign w:val="superscript"/>
        </w:rPr>
        <w:footnoteReference w:id="44"/>
      </w:r>
      <w:r w:rsidRPr="00350396">
        <w:rPr>
          <w:rFonts w:ascii="Bookman Old Style" w:eastAsia="Bookman Old Style" w:hAnsi="Bookman Old Style" w:cs="Bookman Old Style"/>
          <w:color w:val="231F20"/>
          <w:sz w:val="18"/>
          <w:szCs w:val="18"/>
        </w:rPr>
        <w:t>.</w:t>
      </w:r>
    </w:p>
    <w:p w14:paraId="365D4BD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Мировой опыт показывает, что без четкой государственной по</w:t>
      </w:r>
      <w:r w:rsidRPr="00350396">
        <w:rPr>
          <w:rFonts w:ascii="Bookman Old Style" w:eastAsia="Bookman Old Style" w:hAnsi="Bookman Old Style" w:cs="Bookman Old Style"/>
          <w:color w:val="231F20"/>
          <w:sz w:val="18"/>
          <w:szCs w:val="18"/>
        </w:rPr>
        <w:softHyphen/>
        <w:t xml:space="preserve">литики в распределении национального дохода и </w:t>
      </w:r>
      <w:r w:rsidRPr="00350396">
        <w:rPr>
          <w:rFonts w:ascii="Bookman Old Style" w:eastAsia="Bookman Old Style" w:hAnsi="Bookman Old Style" w:cs="Bookman Old Style"/>
          <w:i/>
          <w:iCs/>
          <w:color w:val="231F20"/>
          <w:sz w:val="18"/>
          <w:szCs w:val="18"/>
        </w:rPr>
        <w:t>участия трудя</w:t>
      </w:r>
      <w:r w:rsidRPr="00350396">
        <w:rPr>
          <w:rFonts w:ascii="Bookman Old Style" w:eastAsia="Bookman Old Style" w:hAnsi="Bookman Old Style" w:cs="Bookman Old Style"/>
          <w:i/>
          <w:iCs/>
          <w:color w:val="231F20"/>
          <w:sz w:val="18"/>
          <w:szCs w:val="18"/>
        </w:rPr>
        <w:softHyphen/>
        <w:t>щихся в управлении производством</w:t>
      </w:r>
      <w:r w:rsidRPr="00350396">
        <w:rPr>
          <w:rFonts w:ascii="Bookman Old Style" w:eastAsia="Bookman Old Style" w:hAnsi="Bookman Old Style" w:cs="Bookman Old Style"/>
          <w:color w:val="231F20"/>
          <w:sz w:val="18"/>
          <w:szCs w:val="18"/>
        </w:rPr>
        <w:t xml:space="preserve"> нельзя надеяться на обществен</w:t>
      </w:r>
      <w:r w:rsidRPr="00350396">
        <w:rPr>
          <w:rFonts w:ascii="Bookman Old Style" w:eastAsia="Bookman Old Style" w:hAnsi="Bookman Old Style" w:cs="Bookman Old Style"/>
          <w:color w:val="231F20"/>
          <w:sz w:val="18"/>
          <w:szCs w:val="18"/>
        </w:rPr>
        <w:softHyphen/>
        <w:t>ное согласие в масштабах страны. Успех социального партнерства в странах Запада объясняется конкретными результатами социаль</w:t>
      </w:r>
      <w:r w:rsidRPr="00350396">
        <w:rPr>
          <w:rFonts w:ascii="Bookman Old Style" w:eastAsia="Bookman Old Style" w:hAnsi="Bookman Old Style" w:cs="Bookman Old Style"/>
          <w:color w:val="231F20"/>
          <w:sz w:val="18"/>
          <w:szCs w:val="18"/>
        </w:rPr>
        <w:softHyphen/>
        <w:t>но-экономического порядка.</w:t>
      </w:r>
    </w:p>
    <w:p w14:paraId="3432E3A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Во-первых, начиная с середины XX в. профсоюзы в Западной Европе, Северной Америке, Японии добились формирования стан</w:t>
      </w:r>
      <w:r w:rsidRPr="00350396">
        <w:rPr>
          <w:rFonts w:ascii="Bookman Old Style" w:eastAsia="Bookman Old Style" w:hAnsi="Bookman Old Style" w:cs="Bookman Old Style"/>
          <w:color w:val="231F20"/>
          <w:sz w:val="18"/>
          <w:szCs w:val="18"/>
        </w:rPr>
        <w:softHyphen/>
        <w:t>дартного семейного бюджета, обеспечившего автомобилизацию на</w:t>
      </w:r>
      <w:r w:rsidRPr="00350396">
        <w:rPr>
          <w:rFonts w:ascii="Bookman Old Style" w:eastAsia="Bookman Old Style" w:hAnsi="Bookman Old Style" w:cs="Bookman Old Style"/>
          <w:color w:val="231F20"/>
          <w:sz w:val="18"/>
          <w:szCs w:val="18"/>
        </w:rPr>
        <w:softHyphen/>
        <w:t xml:space="preserve">селения, механизацию домашнего хозяйства, подъем фермерских </w:t>
      </w:r>
      <w:r w:rsidRPr="00350396">
        <w:rPr>
          <w:rFonts w:ascii="Bookman Old Style" w:eastAsia="Bookman Old Style" w:hAnsi="Bookman Old Style" w:cs="Bookman Old Style"/>
          <w:color w:val="231F20"/>
          <w:sz w:val="18"/>
          <w:szCs w:val="18"/>
        </w:rPr>
        <w:lastRenderedPageBreak/>
        <w:t>хозяйств.</w:t>
      </w:r>
    </w:p>
    <w:p w14:paraId="1F53424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Во-вторых, профсоюзы и социал-демократические партии доби</w:t>
      </w:r>
      <w:r w:rsidRPr="00350396">
        <w:rPr>
          <w:rFonts w:ascii="Bookman Old Style" w:eastAsia="Bookman Old Style" w:hAnsi="Bookman Old Style" w:cs="Bookman Old Style"/>
          <w:color w:val="231F20"/>
          <w:sz w:val="18"/>
          <w:szCs w:val="18"/>
        </w:rPr>
        <w:softHyphen/>
        <w:t>лись принятия общенациональных систем социального обеспече</w:t>
      </w:r>
      <w:r w:rsidRPr="00350396">
        <w:rPr>
          <w:rFonts w:ascii="Bookman Old Style" w:eastAsia="Bookman Old Style" w:hAnsi="Bookman Old Style" w:cs="Bookman Old Style"/>
          <w:color w:val="231F20"/>
          <w:sz w:val="18"/>
          <w:szCs w:val="18"/>
        </w:rPr>
        <w:softHyphen/>
      </w:r>
      <w:bookmarkStart w:id="39" w:name="bookmark39"/>
      <w:r w:rsidRPr="00350396">
        <w:rPr>
          <w:rFonts w:ascii="Bookman Old Style" w:eastAsia="Bookman Old Style" w:hAnsi="Bookman Old Style" w:cs="Bookman Old Style"/>
          <w:i/>
          <w:iCs/>
          <w:color w:val="231F20"/>
          <w:sz w:val="18"/>
          <w:szCs w:val="18"/>
        </w:rPr>
        <w:t>ния,</w:t>
      </w:r>
      <w:r w:rsidRPr="00350396">
        <w:rPr>
          <w:rFonts w:ascii="Bookman Old Style" w:eastAsia="Bookman Old Style" w:hAnsi="Bookman Old Style" w:cs="Bookman Old Style"/>
          <w:color w:val="231F20"/>
          <w:sz w:val="18"/>
          <w:szCs w:val="18"/>
        </w:rPr>
        <w:t xml:space="preserve"> включающих пенсии по возрасту, пособия по болезни, инва</w:t>
      </w:r>
      <w:r w:rsidRPr="00350396">
        <w:rPr>
          <w:rFonts w:ascii="Bookman Old Style" w:eastAsia="Bookman Old Style" w:hAnsi="Bookman Old Style" w:cs="Bookman Old Style"/>
          <w:color w:val="231F20"/>
          <w:sz w:val="18"/>
          <w:szCs w:val="18"/>
        </w:rPr>
        <w:softHyphen/>
        <w:t>лидности, безработице, медицинскому страхованию и т. п.</w:t>
      </w:r>
      <w:bookmarkEnd w:id="39"/>
    </w:p>
    <w:p w14:paraId="58224667"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В-третьих, крупнейшим завоеванием профсоюзов на Западе ста</w:t>
      </w:r>
      <w:r w:rsidRPr="00350396">
        <w:rPr>
          <w:rFonts w:ascii="Bookman Old Style" w:eastAsia="Bookman Old Style" w:hAnsi="Bookman Old Style" w:cs="Bookman Old Style"/>
          <w:color w:val="231F20"/>
          <w:sz w:val="18"/>
          <w:szCs w:val="18"/>
        </w:rPr>
        <w:softHyphen/>
        <w:t>ло сокращение рабочего дня и увеличение свободного времени ра</w:t>
      </w:r>
      <w:r w:rsidRPr="00350396">
        <w:rPr>
          <w:rFonts w:ascii="Bookman Old Style" w:eastAsia="Bookman Old Style" w:hAnsi="Bookman Old Style" w:cs="Bookman Old Style"/>
          <w:color w:val="231F20"/>
          <w:sz w:val="18"/>
          <w:szCs w:val="18"/>
        </w:rPr>
        <w:softHyphen/>
        <w:t>ботникам.</w:t>
      </w:r>
    </w:p>
    <w:p w14:paraId="35F3C87E"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 Западе системы социального партнерства формировались в основном в период экстремальных экономических ситуаций, кризисов, и они сыграли роль эффективного стабилизирующего фактора. Подтверждением этому могут служить пакт «Монклоа» (1977—1978 гг.), предложенный социал-демократами, пребывав</w:t>
      </w:r>
      <w:r w:rsidRPr="00350396">
        <w:rPr>
          <w:rFonts w:ascii="Bookman Old Style" w:eastAsia="Bookman Old Style" w:hAnsi="Bookman Old Style" w:cs="Bookman Old Style"/>
          <w:color w:val="231F20"/>
          <w:sz w:val="18"/>
          <w:szCs w:val="18"/>
        </w:rPr>
        <w:softHyphen/>
        <w:t>шим у власти в Испании в постфранкистский период; «Линия ЭУР» (1978 г.) в Италии, осуществляемая компартией в период ее пребы</w:t>
      </w:r>
      <w:r w:rsidRPr="00350396">
        <w:rPr>
          <w:rFonts w:ascii="Bookman Old Style" w:eastAsia="Bookman Old Style" w:hAnsi="Bookman Old Style" w:cs="Bookman Old Style"/>
          <w:color w:val="231F20"/>
          <w:sz w:val="18"/>
          <w:szCs w:val="18"/>
        </w:rPr>
        <w:softHyphen/>
        <w:t>вания «на пороге власти»; «социальный контракт» (1974 г.) в Вели</w:t>
      </w:r>
      <w:r w:rsidRPr="00350396">
        <w:rPr>
          <w:rFonts w:ascii="Bookman Old Style" w:eastAsia="Bookman Old Style" w:hAnsi="Bookman Old Style" w:cs="Bookman Old Style"/>
          <w:color w:val="231F20"/>
          <w:sz w:val="18"/>
          <w:szCs w:val="18"/>
        </w:rPr>
        <w:softHyphen/>
        <w:t>кобритании, предложенный лейбористами; концепция «концентри</w:t>
      </w:r>
      <w:r w:rsidRPr="00350396">
        <w:rPr>
          <w:rFonts w:ascii="Bookman Old Style" w:eastAsia="Bookman Old Style" w:hAnsi="Bookman Old Style" w:cs="Bookman Old Style"/>
          <w:color w:val="231F20"/>
          <w:sz w:val="18"/>
          <w:szCs w:val="18"/>
        </w:rPr>
        <w:softHyphen/>
        <w:t>рованного действия» в ФРГ.</w:t>
      </w:r>
    </w:p>
    <w:p w14:paraId="645F52E7" w14:textId="77777777" w:rsidR="00350396" w:rsidRPr="00350396" w:rsidRDefault="00350396" w:rsidP="00350396">
      <w:pPr>
        <w:widowControl w:val="0"/>
        <w:spacing w:after="404"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Анализ зарубежного опыта развития социального партнерства свидетельствует, что западная демократия определила такого рода отношения в социально-трудовой сфере как основную форму взаи</w:t>
      </w:r>
      <w:r w:rsidRPr="00350396">
        <w:rPr>
          <w:rFonts w:ascii="Bookman Old Style" w:eastAsia="Bookman Old Style" w:hAnsi="Bookman Old Style" w:cs="Bookman Old Style"/>
          <w:color w:val="231F20"/>
          <w:sz w:val="18"/>
          <w:szCs w:val="18"/>
        </w:rPr>
        <w:softHyphen/>
        <w:t>модействия работников, работодателей и государства. Социальное партнерство отражает исторически обусловленный компромисс интересов главных субъектов современных экономических отноше</w:t>
      </w:r>
      <w:r w:rsidRPr="00350396">
        <w:rPr>
          <w:rFonts w:ascii="Bookman Old Style" w:eastAsia="Bookman Old Style" w:hAnsi="Bookman Old Style" w:cs="Bookman Old Style"/>
          <w:color w:val="231F20"/>
          <w:sz w:val="18"/>
          <w:szCs w:val="18"/>
        </w:rPr>
        <w:softHyphen/>
        <w:t>ний и выражает объективную необходимость социального согласия и мира как основного условия политической, экономической и со</w:t>
      </w:r>
      <w:r w:rsidRPr="00350396">
        <w:rPr>
          <w:rFonts w:ascii="Bookman Old Style" w:eastAsia="Bookman Old Style" w:hAnsi="Bookman Old Style" w:cs="Bookman Old Style"/>
          <w:color w:val="231F20"/>
          <w:sz w:val="18"/>
          <w:szCs w:val="18"/>
        </w:rPr>
        <w:softHyphen/>
        <w:t>циальной стабильности</w:t>
      </w:r>
      <w:r w:rsidRPr="00350396">
        <w:rPr>
          <w:rFonts w:ascii="Bookman Old Style" w:eastAsia="Bookman Old Style" w:hAnsi="Bookman Old Style" w:cs="Bookman Old Style"/>
          <w:color w:val="231F20"/>
          <w:sz w:val="18"/>
          <w:szCs w:val="18"/>
          <w:vertAlign w:val="superscript"/>
        </w:rPr>
        <w:footnoteReference w:id="45"/>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46"/>
      </w:r>
      <w:r w:rsidRPr="00350396">
        <w:rPr>
          <w:rFonts w:ascii="Bookman Old Style" w:eastAsia="Bookman Old Style" w:hAnsi="Bookman Old Style" w:cs="Bookman Old Style"/>
          <w:color w:val="231F20"/>
          <w:sz w:val="18"/>
          <w:szCs w:val="18"/>
        </w:rPr>
        <w:t>.</w:t>
      </w:r>
    </w:p>
    <w:p w14:paraId="37FC4C8C" w14:textId="77777777" w:rsidR="00350396" w:rsidRPr="00350396" w:rsidRDefault="00350396" w:rsidP="00350396">
      <w:pPr>
        <w:keepNext/>
        <w:keepLines/>
        <w:widowControl w:val="0"/>
        <w:numPr>
          <w:ilvl w:val="0"/>
          <w:numId w:val="35"/>
        </w:numPr>
        <w:tabs>
          <w:tab w:val="left" w:pos="810"/>
        </w:tabs>
        <w:spacing w:after="216" w:line="274" w:lineRule="exact"/>
        <w:ind w:firstLine="320"/>
        <w:jc w:val="left"/>
        <w:outlineLvl w:val="3"/>
        <w:rPr>
          <w:rFonts w:ascii="Arial Narrow" w:eastAsia="Arial Narrow" w:hAnsi="Arial Narrow" w:cs="Arial Narrow"/>
          <w:b/>
          <w:bCs/>
        </w:rPr>
      </w:pPr>
      <w:bookmarkStart w:id="40" w:name="bookmark40"/>
      <w:r w:rsidRPr="00350396">
        <w:rPr>
          <w:rFonts w:ascii="Arial Narrow" w:eastAsia="Arial Narrow" w:hAnsi="Arial Narrow" w:cs="Arial Narrow"/>
          <w:b/>
          <w:bCs/>
          <w:color w:val="231F20"/>
        </w:rPr>
        <w:t>Политэкономическая теория социального партнерства</w:t>
      </w:r>
      <w:bookmarkEnd w:id="40"/>
    </w:p>
    <w:p w14:paraId="65116E86" w14:textId="77777777" w:rsidR="00350396" w:rsidRPr="00350396" w:rsidRDefault="00350396" w:rsidP="00350396">
      <w:pPr>
        <w:widowControl w:val="0"/>
        <w:spacing w:after="280"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Общая система СП позволяет по-новому сформулировать само определение социального партнерства.</w:t>
      </w:r>
    </w:p>
    <w:p w14:paraId="68C9F873" w14:textId="77777777" w:rsidR="00350396" w:rsidRPr="00350396" w:rsidRDefault="00350396" w:rsidP="00350396">
      <w:pPr>
        <w:widowControl w:val="0"/>
        <w:spacing w:after="280" w:line="254" w:lineRule="exact"/>
        <w:ind w:left="320" w:firstLine="0"/>
        <w:rPr>
          <w:rFonts w:ascii="Segoe UI" w:eastAsia="Segoe UI" w:hAnsi="Segoe UI" w:cs="Segoe UI"/>
          <w:sz w:val="19"/>
          <w:szCs w:val="19"/>
        </w:rPr>
      </w:pPr>
      <w:r w:rsidRPr="00350396">
        <w:rPr>
          <w:rFonts w:ascii="Segoe UI" w:eastAsia="Segoe UI" w:hAnsi="Segoe UI" w:cs="Segoe UI"/>
          <w:b/>
          <w:bCs/>
          <w:color w:val="231F20"/>
          <w:sz w:val="19"/>
          <w:szCs w:val="19"/>
        </w:rPr>
        <w:t xml:space="preserve">Социальное партнерство </w:t>
      </w:r>
      <w:r w:rsidRPr="00350396">
        <w:rPr>
          <w:rFonts w:ascii="Segoe UI" w:eastAsia="Segoe UI" w:hAnsi="Segoe UI" w:cs="Segoe UI"/>
          <w:color w:val="231F20"/>
          <w:sz w:val="19"/>
          <w:szCs w:val="19"/>
        </w:rPr>
        <w:t>— это цивилизованная система обще</w:t>
      </w:r>
      <w:r w:rsidRPr="00350396">
        <w:rPr>
          <w:rFonts w:ascii="Segoe UI" w:eastAsia="Segoe UI" w:hAnsi="Segoe UI" w:cs="Segoe UI"/>
          <w:color w:val="231F20"/>
          <w:sz w:val="19"/>
          <w:szCs w:val="19"/>
        </w:rPr>
        <w:softHyphen/>
        <w:t>ственных отношений по поводу воспроизводства продукта неком</w:t>
      </w:r>
      <w:r w:rsidRPr="00350396">
        <w:rPr>
          <w:rFonts w:ascii="Segoe UI" w:eastAsia="Segoe UI" w:hAnsi="Segoe UI" w:cs="Segoe UI"/>
          <w:color w:val="231F20"/>
          <w:sz w:val="19"/>
          <w:szCs w:val="19"/>
        </w:rPr>
        <w:softHyphen/>
        <w:t>мерческого сектора.</w:t>
      </w:r>
    </w:p>
    <w:p w14:paraId="274D3197"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Система строится на согласовании и защите интересов его участ</w:t>
      </w:r>
      <w:r w:rsidRPr="00350396">
        <w:rPr>
          <w:rFonts w:ascii="Bookman Old Style" w:eastAsia="Bookman Old Style" w:hAnsi="Bookman Old Style" w:cs="Bookman Old Style"/>
          <w:color w:val="231F20"/>
          <w:sz w:val="18"/>
          <w:szCs w:val="18"/>
        </w:rPr>
        <w:softHyphen/>
        <w:t>ников — потребителей продукта некоммерческого сектора, неком</w:t>
      </w:r>
      <w:r w:rsidRPr="00350396">
        <w:rPr>
          <w:rFonts w:ascii="Bookman Old Style" w:eastAsia="Bookman Old Style" w:hAnsi="Bookman Old Style" w:cs="Bookman Old Style"/>
          <w:color w:val="231F20"/>
          <w:sz w:val="18"/>
          <w:szCs w:val="18"/>
        </w:rPr>
        <w:softHyphen/>
        <w:t>мерческих организаций, инвесторов из коммерческого сектора либо зарубежных благотворительных фондов, органов государственной власти и местного самоуправления на основе договоров, соглаше</w:t>
      </w:r>
      <w:r w:rsidRPr="00350396">
        <w:rPr>
          <w:rFonts w:ascii="Bookman Old Style" w:eastAsia="Bookman Old Style" w:hAnsi="Bookman Old Style" w:cs="Bookman Old Style"/>
          <w:color w:val="231F20"/>
          <w:sz w:val="18"/>
          <w:szCs w:val="18"/>
        </w:rPr>
        <w:softHyphen/>
        <w:t>ний, достижения компромисса, консенсуса по актуальным пробле</w:t>
      </w:r>
      <w:r w:rsidRPr="00350396">
        <w:rPr>
          <w:rFonts w:ascii="Bookman Old Style" w:eastAsia="Bookman Old Style" w:hAnsi="Bookman Old Style" w:cs="Bookman Old Style"/>
          <w:color w:val="231F20"/>
          <w:sz w:val="18"/>
          <w:szCs w:val="18"/>
        </w:rPr>
        <w:softHyphen/>
        <w:t>мам экономической и социально-политической жизни общества</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57743137" w14:textId="77777777" w:rsidR="00350396" w:rsidRPr="00350396" w:rsidRDefault="00350396" w:rsidP="00350396">
      <w:pPr>
        <w:widowControl w:val="0"/>
        <w:spacing w:after="276"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НКО, и в том числе профсоюзы, производят услуги, внешне по</w:t>
      </w:r>
      <w:r w:rsidRPr="00350396">
        <w:rPr>
          <w:rFonts w:ascii="Bookman Old Style" w:eastAsia="Bookman Old Style" w:hAnsi="Bookman Old Style" w:cs="Bookman Old Style"/>
          <w:color w:val="231F20"/>
          <w:sz w:val="18"/>
          <w:szCs w:val="18"/>
        </w:rPr>
        <w:softHyphen/>
        <w:t>хожие на общественные блага, которые предоставляются потреби</w:t>
      </w:r>
      <w:r w:rsidRPr="00350396">
        <w:rPr>
          <w:rFonts w:ascii="Bookman Old Style" w:eastAsia="Bookman Old Style" w:hAnsi="Bookman Old Style" w:cs="Bookman Old Style"/>
          <w:color w:val="231F20"/>
          <w:sz w:val="18"/>
          <w:szCs w:val="18"/>
        </w:rPr>
        <w:softHyphen/>
        <w:t>телям бесплатно либо по ценам, не имеющим экономического зна</w:t>
      </w:r>
      <w:r w:rsidRPr="00350396">
        <w:rPr>
          <w:rFonts w:ascii="Bookman Old Style" w:eastAsia="Bookman Old Style" w:hAnsi="Bookman Old Style" w:cs="Bookman Old Style"/>
          <w:color w:val="231F20"/>
          <w:sz w:val="18"/>
          <w:szCs w:val="18"/>
        </w:rPr>
        <w:softHyphen/>
        <w:t>чения</w:t>
      </w:r>
      <w:r w:rsidRPr="00350396">
        <w:rPr>
          <w:rFonts w:ascii="Bookman Old Style" w:eastAsia="Bookman Old Style" w:hAnsi="Bookman Old Style" w:cs="Bookman Old Style"/>
          <w:color w:val="231F20"/>
          <w:sz w:val="18"/>
          <w:szCs w:val="18"/>
          <w:vertAlign w:val="superscript"/>
        </w:rPr>
        <w:footnoteReference w:id="47"/>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48"/>
      </w:r>
      <w:r w:rsidRPr="00350396">
        <w:rPr>
          <w:rFonts w:ascii="Bookman Old Style" w:eastAsia="Bookman Old Style" w:hAnsi="Bookman Old Style" w:cs="Bookman Old Style"/>
          <w:color w:val="231F20"/>
          <w:sz w:val="18"/>
          <w:szCs w:val="18"/>
        </w:rPr>
        <w:t xml:space="preserve"> (т. е. символическим, ниже себестоимости). Такие услуги мы называем «продукт некоммерческого сектора» (ПНС).</w:t>
      </w:r>
    </w:p>
    <w:p w14:paraId="1F90F023" w14:textId="77777777" w:rsidR="00350396" w:rsidRPr="00350396" w:rsidRDefault="00350396" w:rsidP="00350396">
      <w:pPr>
        <w:widowControl w:val="0"/>
        <w:spacing w:after="284" w:line="254" w:lineRule="exact"/>
        <w:ind w:left="320" w:firstLine="0"/>
        <w:rPr>
          <w:rFonts w:ascii="Segoe UI" w:eastAsia="Segoe UI" w:hAnsi="Segoe UI" w:cs="Segoe UI"/>
          <w:sz w:val="19"/>
          <w:szCs w:val="19"/>
        </w:rPr>
      </w:pPr>
      <w:r w:rsidRPr="00350396">
        <w:rPr>
          <w:rFonts w:ascii="Segoe UI" w:eastAsia="Segoe UI" w:hAnsi="Segoe UI" w:cs="Segoe UI"/>
          <w:b/>
          <w:bCs/>
          <w:color w:val="231F20"/>
          <w:sz w:val="19"/>
          <w:szCs w:val="19"/>
        </w:rPr>
        <w:t xml:space="preserve">Продукт некоммерческого сектора </w:t>
      </w:r>
      <w:r w:rsidRPr="00350396">
        <w:rPr>
          <w:rFonts w:ascii="Segoe UI" w:eastAsia="Segoe UI" w:hAnsi="Segoe UI" w:cs="Segoe UI"/>
          <w:color w:val="231F20"/>
          <w:sz w:val="19"/>
          <w:szCs w:val="19"/>
        </w:rPr>
        <w:t>— это услуга некоммерческих организаций по производству и реализации различных обществен</w:t>
      </w:r>
      <w:r w:rsidRPr="00350396">
        <w:rPr>
          <w:rFonts w:ascii="Segoe UI" w:eastAsia="Segoe UI" w:hAnsi="Segoe UI" w:cs="Segoe UI"/>
          <w:color w:val="231F20"/>
          <w:sz w:val="19"/>
          <w:szCs w:val="19"/>
        </w:rPr>
        <w:softHyphen/>
        <w:t>ных благ и товаров индивидуального потребления, удовлетворяющих частные и некоторые всеобщие потребности домохозяйств, а также в некоторой степени потребности коммерческого сектора, государ</w:t>
      </w:r>
      <w:r w:rsidRPr="00350396">
        <w:rPr>
          <w:rFonts w:ascii="Segoe UI" w:eastAsia="Segoe UI" w:hAnsi="Segoe UI" w:cs="Segoe UI"/>
          <w:color w:val="231F20"/>
          <w:sz w:val="19"/>
          <w:szCs w:val="19"/>
        </w:rPr>
        <w:softHyphen/>
        <w:t>ства и других НКО, которые не могут производиться на обычных ры</w:t>
      </w:r>
      <w:r w:rsidRPr="00350396">
        <w:rPr>
          <w:rFonts w:ascii="Segoe UI" w:eastAsia="Segoe UI" w:hAnsi="Segoe UI" w:cs="Segoe UI"/>
          <w:color w:val="231F20"/>
          <w:sz w:val="19"/>
          <w:szCs w:val="19"/>
        </w:rPr>
        <w:softHyphen/>
        <w:t>ночных условиях, а также государством в виде общественных благ</w:t>
      </w:r>
      <w:r w:rsidRPr="00350396">
        <w:rPr>
          <w:rFonts w:ascii="Segoe UI" w:eastAsia="Segoe UI" w:hAnsi="Segoe UI" w:cs="Segoe UI"/>
          <w:color w:val="231F20"/>
          <w:sz w:val="19"/>
          <w:szCs w:val="19"/>
          <w:vertAlign w:val="superscript"/>
        </w:rPr>
        <w:t>2</w:t>
      </w:r>
      <w:r w:rsidRPr="00350396">
        <w:rPr>
          <w:rFonts w:ascii="Segoe UI" w:eastAsia="Segoe UI" w:hAnsi="Segoe UI" w:cs="Segoe UI"/>
          <w:color w:val="231F20"/>
          <w:sz w:val="19"/>
          <w:szCs w:val="19"/>
        </w:rPr>
        <w:t>.</w:t>
      </w:r>
    </w:p>
    <w:p w14:paraId="16592A7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случае тред-юнионистского социального партнерства ПНС представляется в форме социального мира на рынке труда, от ко</w:t>
      </w:r>
      <w:r w:rsidRPr="00350396">
        <w:rPr>
          <w:rFonts w:ascii="Bookman Old Style" w:eastAsia="Bookman Old Style" w:hAnsi="Bookman Old Style" w:cs="Bookman Old Style"/>
          <w:color w:val="231F20"/>
          <w:sz w:val="18"/>
          <w:szCs w:val="18"/>
        </w:rPr>
        <w:softHyphen/>
        <w:t>торого выигрывают по крайней мере три стороны. Работодатели получают стабильный процесс производства без забастовок и, сле</w:t>
      </w:r>
      <w:r w:rsidRPr="00350396">
        <w:rPr>
          <w:rFonts w:ascii="Bookman Old Style" w:eastAsia="Bookman Old Style" w:hAnsi="Bookman Old Style" w:cs="Bookman Old Style"/>
          <w:color w:val="231F20"/>
          <w:sz w:val="18"/>
          <w:szCs w:val="18"/>
        </w:rPr>
        <w:softHyphen/>
        <w:t>довательно, стабильную прибыль. Наемные работники получают стабильную и высокую зарплату. Государство получает социаль</w:t>
      </w:r>
      <w:r w:rsidRPr="00350396">
        <w:rPr>
          <w:rFonts w:ascii="Bookman Old Style" w:eastAsia="Bookman Old Style" w:hAnsi="Bookman Old Style" w:cs="Bookman Old Style"/>
          <w:color w:val="231F20"/>
          <w:sz w:val="18"/>
          <w:szCs w:val="18"/>
        </w:rPr>
        <w:softHyphen/>
        <w:t>ный мир.</w:t>
      </w:r>
    </w:p>
    <w:p w14:paraId="75BDB53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Традиционно производство благ, удовлетворяющих всеобщие по</w:t>
      </w:r>
      <w:r w:rsidRPr="00350396">
        <w:rPr>
          <w:rFonts w:ascii="Bookman Old Style" w:eastAsia="Bookman Old Style" w:hAnsi="Bookman Old Style" w:cs="Bookman Old Style"/>
          <w:color w:val="231F20"/>
          <w:sz w:val="18"/>
          <w:szCs w:val="18"/>
        </w:rPr>
        <w:softHyphen/>
        <w:t>требности, т. е. «общественных», брало на себя государство.</w:t>
      </w:r>
    </w:p>
    <w:p w14:paraId="09DF125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Понятие ПНС наиболее близко к категориям «клубные блага» и «общественные блага» (товары), хотя в отдельных случаях ПНС может удовлетворять частные потребности через производство или реализацию продуктов индивидуального потребления. Он вы</w:t>
      </w:r>
      <w:r w:rsidRPr="00350396">
        <w:rPr>
          <w:rFonts w:ascii="Bookman Old Style" w:eastAsia="Bookman Old Style" w:hAnsi="Bookman Old Style" w:cs="Bookman Old Style"/>
          <w:color w:val="231F20"/>
          <w:sz w:val="18"/>
          <w:szCs w:val="18"/>
        </w:rPr>
        <w:softHyphen/>
        <w:t>ступает в форме услуги.</w:t>
      </w:r>
    </w:p>
    <w:p w14:paraId="4DCEA4F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С одной стороны, ПНС является частным случаем </w:t>
      </w:r>
      <w:r w:rsidRPr="00350396">
        <w:rPr>
          <w:rFonts w:ascii="Bookman Old Style" w:eastAsia="Bookman Old Style" w:hAnsi="Bookman Old Style" w:cs="Bookman Old Style"/>
          <w:i/>
          <w:iCs/>
          <w:color w:val="231F20"/>
          <w:sz w:val="18"/>
          <w:szCs w:val="18"/>
        </w:rPr>
        <w:t>социально значимого блага</w:t>
      </w:r>
      <w:r w:rsidRPr="00350396">
        <w:rPr>
          <w:rFonts w:ascii="Bookman Old Style" w:eastAsia="Bookman Old Style" w:hAnsi="Bookman Old Style" w:cs="Bookman Old Style"/>
          <w:color w:val="231F20"/>
          <w:sz w:val="18"/>
          <w:szCs w:val="18"/>
        </w:rPr>
        <w:t xml:space="preserve"> (заслуженное благо), к которому относятся обра</w:t>
      </w:r>
      <w:r w:rsidRPr="00350396">
        <w:rPr>
          <w:rFonts w:ascii="Bookman Old Style" w:eastAsia="Bookman Old Style" w:hAnsi="Bookman Old Style" w:cs="Bookman Old Style"/>
          <w:color w:val="231F20"/>
          <w:sz w:val="18"/>
          <w:szCs w:val="18"/>
        </w:rPr>
        <w:softHyphen/>
        <w:t>зование, здравоохранение, культура и услуги других отраслей со</w:t>
      </w:r>
      <w:r w:rsidRPr="00350396">
        <w:rPr>
          <w:rFonts w:ascii="Bookman Old Style" w:eastAsia="Bookman Old Style" w:hAnsi="Bookman Old Style" w:cs="Bookman Old Style"/>
          <w:color w:val="231F20"/>
          <w:sz w:val="18"/>
          <w:szCs w:val="18"/>
        </w:rPr>
        <w:softHyphen/>
        <w:t>циально-культурной сферы. Социально значимое благо обладает свойствами частного исключаемого блага и свойствами обществен</w:t>
      </w:r>
      <w:r w:rsidRPr="00350396">
        <w:rPr>
          <w:rFonts w:ascii="Bookman Old Style" w:eastAsia="Bookman Old Style" w:hAnsi="Bookman Old Style" w:cs="Bookman Old Style"/>
          <w:color w:val="231F20"/>
          <w:sz w:val="18"/>
          <w:szCs w:val="18"/>
        </w:rPr>
        <w:softHyphen/>
        <w:t>ного блага благодаря положительному эффекту. С другой стороны, ПНС частично относится к клубным благам, которые предоставля</w:t>
      </w:r>
      <w:r w:rsidRPr="00350396">
        <w:rPr>
          <w:rFonts w:ascii="Bookman Old Style" w:eastAsia="Bookman Old Style" w:hAnsi="Bookman Old Style" w:cs="Bookman Old Style"/>
          <w:color w:val="231F20"/>
          <w:sz w:val="18"/>
          <w:szCs w:val="18"/>
        </w:rPr>
        <w:softHyphen/>
        <w:t>ются определенному составу потребителей. В-третьих, ПНС бывает в виде частного, хотя и предоставляемого в виде трансферта, блага, потребляемого индивидуально (благотворительная помощь нужда</w:t>
      </w:r>
      <w:r w:rsidRPr="00350396">
        <w:rPr>
          <w:rFonts w:ascii="Bookman Old Style" w:eastAsia="Bookman Old Style" w:hAnsi="Bookman Old Style" w:cs="Bookman Old Style"/>
          <w:color w:val="231F20"/>
          <w:sz w:val="18"/>
          <w:szCs w:val="18"/>
        </w:rPr>
        <w:softHyphen/>
        <w:t>ющимся).</w:t>
      </w:r>
    </w:p>
    <w:p w14:paraId="0B9A5A2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Продукт некоммерческого сектора подразделяется на две суще</w:t>
      </w:r>
      <w:r w:rsidRPr="00350396">
        <w:rPr>
          <w:rFonts w:ascii="Bookman Old Style" w:eastAsia="Bookman Old Style" w:hAnsi="Bookman Old Style" w:cs="Bookman Old Style"/>
          <w:color w:val="231F20"/>
          <w:sz w:val="18"/>
          <w:szCs w:val="18"/>
        </w:rPr>
        <w:softHyphen/>
        <w:t>ственно различающиеся между собой группы: «продукт неполити</w:t>
      </w:r>
      <w:r w:rsidRPr="00350396">
        <w:rPr>
          <w:rFonts w:ascii="Bookman Old Style" w:eastAsia="Bookman Old Style" w:hAnsi="Bookman Old Style" w:cs="Bookman Old Style"/>
          <w:color w:val="231F20"/>
          <w:sz w:val="18"/>
          <w:szCs w:val="18"/>
        </w:rPr>
        <w:softHyphen/>
        <w:t>ческого некоммерческого действия» (ПННД) и «продукт политиче</w:t>
      </w:r>
      <w:r w:rsidRPr="00350396">
        <w:rPr>
          <w:rFonts w:ascii="Bookman Old Style" w:eastAsia="Bookman Old Style" w:hAnsi="Bookman Old Style" w:cs="Bookman Old Style"/>
          <w:color w:val="231F20"/>
          <w:sz w:val="18"/>
          <w:szCs w:val="18"/>
        </w:rPr>
        <w:softHyphen/>
        <w:t>ского действия» (ППД).</w:t>
      </w:r>
    </w:p>
    <w:p w14:paraId="3B81C1F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Продукт неполитического некоммерческого действия</w:t>
      </w:r>
      <w:r w:rsidRPr="00350396">
        <w:rPr>
          <w:rFonts w:ascii="Bookman Old Style" w:eastAsia="Bookman Old Style" w:hAnsi="Bookman Old Style" w:cs="Bookman Old Style"/>
          <w:color w:val="231F20"/>
          <w:sz w:val="18"/>
          <w:szCs w:val="18"/>
        </w:rPr>
        <w:t xml:space="preserve"> — это ПНС, </w:t>
      </w:r>
      <w:r w:rsidRPr="00350396">
        <w:rPr>
          <w:rFonts w:ascii="Bookman Old Style" w:eastAsia="Bookman Old Style" w:hAnsi="Bookman Old Style" w:cs="Bookman Old Style"/>
          <w:color w:val="231F20"/>
          <w:sz w:val="18"/>
          <w:szCs w:val="18"/>
        </w:rPr>
        <w:lastRenderedPageBreak/>
        <w:t>удовлетворяющий неполитические потребности общества неком</w:t>
      </w:r>
      <w:r w:rsidRPr="00350396">
        <w:rPr>
          <w:rFonts w:ascii="Bookman Old Style" w:eastAsia="Bookman Old Style" w:hAnsi="Bookman Old Style" w:cs="Bookman Old Style"/>
          <w:color w:val="231F20"/>
          <w:sz w:val="18"/>
          <w:szCs w:val="18"/>
        </w:rPr>
        <w:softHyphen/>
        <w:t>мерческим способом</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7BFB103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 характеру удовлетворения интересов ПННД следует подраз</w:t>
      </w:r>
      <w:r w:rsidRPr="00350396">
        <w:rPr>
          <w:rFonts w:ascii="Bookman Old Style" w:eastAsia="Bookman Old Style" w:hAnsi="Bookman Old Style" w:cs="Bookman Old Style"/>
          <w:color w:val="231F20"/>
          <w:sz w:val="18"/>
          <w:szCs w:val="18"/>
        </w:rPr>
        <w:softHyphen/>
        <w:t>делить на пять видов.</w:t>
      </w:r>
    </w:p>
    <w:p w14:paraId="69AA3F55" w14:textId="77777777" w:rsidR="00350396" w:rsidRPr="00350396" w:rsidRDefault="00350396" w:rsidP="00350396">
      <w:pPr>
        <w:widowControl w:val="0"/>
        <w:numPr>
          <w:ilvl w:val="0"/>
          <w:numId w:val="38"/>
        </w:numPr>
        <w:tabs>
          <w:tab w:val="left" w:pos="627"/>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Услуги по производству или передаче жизненно необходимых благ. Это блага (предметы или услуги), необходимые для физиче</w:t>
      </w:r>
      <w:r w:rsidRPr="00350396">
        <w:rPr>
          <w:rFonts w:ascii="Bookman Old Style" w:eastAsia="Bookman Old Style" w:hAnsi="Bookman Old Style" w:cs="Bookman Old Style"/>
          <w:color w:val="231F20"/>
          <w:sz w:val="18"/>
          <w:szCs w:val="18"/>
        </w:rPr>
        <w:softHyphen/>
        <w:t>ского существования людей, неспособных их приобрести на соб</w:t>
      </w:r>
      <w:r w:rsidRPr="00350396">
        <w:rPr>
          <w:rFonts w:ascii="Bookman Old Style" w:eastAsia="Bookman Old Style" w:hAnsi="Bookman Old Style" w:cs="Bookman Old Style"/>
          <w:color w:val="231F20"/>
          <w:sz w:val="18"/>
          <w:szCs w:val="18"/>
        </w:rPr>
        <w:softHyphen/>
        <w:t>ственные доходы: лекарства, предметы первой необходимости, которые жертвуются социально незащищенным слоям (инвалиды, престарелые, дети и другие малоимущие, попавшие в чрезвычай</w:t>
      </w:r>
      <w:r w:rsidRPr="00350396">
        <w:rPr>
          <w:rFonts w:ascii="Bookman Old Style" w:eastAsia="Bookman Old Style" w:hAnsi="Bookman Old Style" w:cs="Bookman Old Style"/>
          <w:color w:val="231F20"/>
          <w:sz w:val="18"/>
          <w:szCs w:val="18"/>
        </w:rPr>
        <w:softHyphen/>
        <w:t>ные ситуации и т. п.).</w:t>
      </w:r>
    </w:p>
    <w:p w14:paraId="434C9DFC"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Эти функции осуществляют благотворительные организации. Сюда же относится деятельность органов потребительской коопе</w:t>
      </w:r>
      <w:r w:rsidRPr="00350396">
        <w:rPr>
          <w:rFonts w:ascii="Bookman Old Style" w:eastAsia="Bookman Old Style" w:hAnsi="Bookman Old Style" w:cs="Bookman Old Style"/>
          <w:color w:val="231F20"/>
          <w:sz w:val="18"/>
          <w:szCs w:val="18"/>
        </w:rPr>
        <w:softHyphen/>
        <w:t>рации, кредитных союзов, некоммерческих страховых компаний, садовых и огородных кооперативов, которые способствуют приоб</w:t>
      </w:r>
      <w:r w:rsidRPr="00350396">
        <w:rPr>
          <w:rFonts w:ascii="Bookman Old Style" w:eastAsia="Bookman Old Style" w:hAnsi="Bookman Old Style" w:cs="Bookman Old Style"/>
          <w:color w:val="231F20"/>
          <w:sz w:val="18"/>
          <w:szCs w:val="18"/>
        </w:rPr>
        <w:softHyphen/>
        <w:t>ретению своими членами различных материальных благ по ценам ниже рыночных.</w:t>
      </w:r>
    </w:p>
    <w:p w14:paraId="6D559AEB" w14:textId="77777777" w:rsidR="00350396" w:rsidRPr="00350396" w:rsidRDefault="00350396" w:rsidP="00350396">
      <w:pPr>
        <w:widowControl w:val="0"/>
        <w:numPr>
          <w:ilvl w:val="0"/>
          <w:numId w:val="38"/>
        </w:numPr>
        <w:tabs>
          <w:tab w:val="left" w:pos="627"/>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Услуги по обеспечению общественной и личной безопасно</w:t>
      </w:r>
      <w:r w:rsidRPr="00350396">
        <w:rPr>
          <w:rFonts w:ascii="Bookman Old Style" w:eastAsia="Bookman Old Style" w:hAnsi="Bookman Old Style" w:cs="Bookman Old Style"/>
          <w:color w:val="231F20"/>
          <w:sz w:val="18"/>
          <w:szCs w:val="18"/>
        </w:rPr>
        <w:softHyphen/>
        <w:t>сти. Это меры по сохранению и укреплению физического, психиче</w:t>
      </w:r>
      <w:r w:rsidRPr="00350396">
        <w:rPr>
          <w:rFonts w:ascii="Bookman Old Style" w:eastAsia="Bookman Old Style" w:hAnsi="Bookman Old Style" w:cs="Bookman Old Style"/>
          <w:color w:val="231F20"/>
          <w:sz w:val="18"/>
          <w:szCs w:val="18"/>
        </w:rPr>
        <w:softHyphen/>
        <w:t>ского здоровья и жизни медицинскими, экологическими, физкуль</w:t>
      </w:r>
      <w:r w:rsidRPr="00350396">
        <w:rPr>
          <w:rFonts w:ascii="Bookman Old Style" w:eastAsia="Bookman Old Style" w:hAnsi="Bookman Old Style" w:cs="Bookman Old Style"/>
          <w:color w:val="231F20"/>
          <w:sz w:val="18"/>
          <w:szCs w:val="18"/>
        </w:rPr>
        <w:softHyphen/>
        <w:t>турно-спортивными и силовыми методами.</w:t>
      </w:r>
    </w:p>
    <w:p w14:paraId="0825296D" w14:textId="77777777" w:rsidR="00350396" w:rsidRPr="00350396" w:rsidRDefault="00350396" w:rsidP="00350396">
      <w:pPr>
        <w:widowControl w:val="0"/>
        <w:numPr>
          <w:ilvl w:val="0"/>
          <w:numId w:val="38"/>
        </w:numPr>
        <w:tabs>
          <w:tab w:val="left" w:pos="627"/>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Услуги по получению факторных доходов.</w:t>
      </w:r>
    </w:p>
    <w:p w14:paraId="14B2FE6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Факторные доходы — это заработная плата, прибыль, процент и рента. Эту роль выполняют профсоюзы, объединения работодате</w:t>
      </w:r>
      <w:r w:rsidRPr="00350396">
        <w:rPr>
          <w:rFonts w:ascii="Bookman Old Style" w:eastAsia="Bookman Old Style" w:hAnsi="Bookman Old Style" w:cs="Bookman Old Style"/>
          <w:color w:val="231F20"/>
          <w:sz w:val="18"/>
          <w:szCs w:val="18"/>
        </w:rPr>
        <w:softHyphen/>
        <w:t>лей, иногда правозащитные организации.</w:t>
      </w:r>
    </w:p>
    <w:p w14:paraId="31D6C462" w14:textId="77777777" w:rsidR="00350396" w:rsidRPr="00350396" w:rsidRDefault="00350396" w:rsidP="00350396">
      <w:pPr>
        <w:widowControl w:val="0"/>
        <w:numPr>
          <w:ilvl w:val="0"/>
          <w:numId w:val="38"/>
        </w:numPr>
        <w:tabs>
          <w:tab w:val="left" w:pos="627"/>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Услуги по обмену информацией и духовному развитию. Их оказывают религиозные, просветительские, национально</w:t>
      </w:r>
      <w:r w:rsidRPr="00350396">
        <w:rPr>
          <w:rFonts w:ascii="Bookman Old Style" w:eastAsia="Bookman Old Style" w:hAnsi="Bookman Old Style" w:cs="Bookman Old Style"/>
          <w:color w:val="231F20"/>
          <w:sz w:val="18"/>
          <w:szCs w:val="18"/>
        </w:rPr>
        <w:softHyphen/>
        <w:t>культурные организации, клубы по интересам и т. п.</w:t>
      </w:r>
    </w:p>
    <w:p w14:paraId="1738ACF6" w14:textId="77777777" w:rsidR="00350396" w:rsidRPr="00350396" w:rsidRDefault="00350396" w:rsidP="00350396">
      <w:pPr>
        <w:widowControl w:val="0"/>
        <w:numPr>
          <w:ilvl w:val="0"/>
          <w:numId w:val="38"/>
        </w:numPr>
        <w:tabs>
          <w:tab w:val="left" w:pos="627"/>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Услуги по развитию инфраструктуры по месту жительства. Данный вид ПННД должен производиться органами территориаль</w:t>
      </w:r>
      <w:r w:rsidRPr="00350396">
        <w:rPr>
          <w:rFonts w:ascii="Bookman Old Style" w:eastAsia="Bookman Old Style" w:hAnsi="Bookman Old Style" w:cs="Bookman Old Style"/>
          <w:color w:val="231F20"/>
          <w:sz w:val="18"/>
          <w:szCs w:val="18"/>
        </w:rPr>
        <w:softHyphen/>
        <w:t>ного общественного самоуправления (ТОС), призванными им со</w:t>
      </w:r>
      <w:r w:rsidRPr="00350396">
        <w:rPr>
          <w:rFonts w:ascii="Bookman Old Style" w:eastAsia="Bookman Old Style" w:hAnsi="Bookman Old Style" w:cs="Bookman Old Style"/>
          <w:color w:val="231F20"/>
          <w:sz w:val="18"/>
          <w:szCs w:val="18"/>
        </w:rPr>
        <w:softHyphen/>
        <w:t>действовать НКО, жилищно-строительными и гаражными коопера</w:t>
      </w:r>
      <w:r w:rsidRPr="00350396">
        <w:rPr>
          <w:rFonts w:ascii="Bookman Old Style" w:eastAsia="Bookman Old Style" w:hAnsi="Bookman Old Style" w:cs="Bookman Old Style"/>
          <w:color w:val="231F20"/>
          <w:sz w:val="18"/>
          <w:szCs w:val="18"/>
        </w:rPr>
        <w:softHyphen/>
        <w:t>тивами, товариществами собственников жилья.</w:t>
      </w:r>
    </w:p>
    <w:p w14:paraId="7450062C"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Другим видом ПНС является </w:t>
      </w:r>
      <w:r w:rsidRPr="00350396">
        <w:rPr>
          <w:rFonts w:ascii="Bookman Old Style" w:eastAsia="Bookman Old Style" w:hAnsi="Bookman Old Style" w:cs="Bookman Old Style"/>
          <w:i/>
          <w:iCs/>
          <w:color w:val="231F20"/>
          <w:sz w:val="18"/>
          <w:szCs w:val="18"/>
        </w:rPr>
        <w:t>продукт политического действия (ППД)</w:t>
      </w:r>
      <w:r w:rsidRPr="00350396">
        <w:rPr>
          <w:rFonts w:ascii="Bookman Old Style" w:eastAsia="Bookman Old Style" w:hAnsi="Bookman Old Style" w:cs="Bookman Old Style"/>
          <w:color w:val="231F20"/>
          <w:sz w:val="18"/>
          <w:szCs w:val="18"/>
        </w:rPr>
        <w:t xml:space="preserve"> — услуга по достижению определенной политической цели силами НКО</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3D09B7A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случае избирательной кампании ППД будет выражаться в фор</w:t>
      </w:r>
      <w:r w:rsidRPr="00350396">
        <w:rPr>
          <w:rFonts w:ascii="Bookman Old Style" w:eastAsia="Bookman Old Style" w:hAnsi="Bookman Old Style" w:cs="Bookman Old Style"/>
          <w:color w:val="231F20"/>
          <w:sz w:val="18"/>
          <w:szCs w:val="18"/>
        </w:rPr>
        <w:softHyphen/>
        <w:t>ме услуги по продвижению кандидатов от партии в депутаты.</w:t>
      </w:r>
    </w:p>
    <w:p w14:paraId="38D74A4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Непосредственный результат осуществления услуги — получе</w:t>
      </w:r>
      <w:r w:rsidRPr="00350396">
        <w:rPr>
          <w:rFonts w:ascii="Bookman Old Style" w:eastAsia="Bookman Old Style" w:hAnsi="Bookman Old Style" w:cs="Bookman Old Style"/>
          <w:color w:val="231F20"/>
          <w:sz w:val="18"/>
          <w:szCs w:val="18"/>
        </w:rPr>
        <w:softHyphen/>
        <w:t xml:space="preserve">ние депутатских мандатов, а более отдаленный — принятие зако- </w:t>
      </w:r>
      <w:r w:rsidRPr="00350396">
        <w:rPr>
          <w:rFonts w:ascii="Bookman Old Style" w:eastAsia="Bookman Old Style" w:hAnsi="Bookman Old Style" w:cs="Bookman Old Style"/>
          <w:color w:val="231F20"/>
          <w:sz w:val="18"/>
          <w:szCs w:val="18"/>
          <w:vertAlign w:val="superscript"/>
        </w:rPr>
        <w:footnoteReference w:id="49"/>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50"/>
      </w:r>
      <w:r w:rsidRPr="00350396">
        <w:rPr>
          <w:rFonts w:ascii="Bookman Old Style" w:eastAsia="Bookman Old Style" w:hAnsi="Bookman Old Style" w:cs="Bookman Old Style"/>
          <w:color w:val="231F20"/>
          <w:sz w:val="18"/>
          <w:szCs w:val="18"/>
        </w:rPr>
        <w:t xml:space="preserve"> нов и других нормативных актов в пользу избирателей, отдавших свой голос за эту партию.</w:t>
      </w:r>
    </w:p>
    <w:p w14:paraId="364939A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промежутках между избирательными кампаниями обществен</w:t>
      </w:r>
      <w:r w:rsidRPr="00350396">
        <w:rPr>
          <w:rFonts w:ascii="Bookman Old Style" w:eastAsia="Bookman Old Style" w:hAnsi="Bookman Old Style" w:cs="Bookman Old Style"/>
          <w:color w:val="231F20"/>
          <w:sz w:val="18"/>
          <w:szCs w:val="18"/>
        </w:rPr>
        <w:softHyphen/>
        <w:t>но-политические объединения осуществляют текущую политиче</w:t>
      </w:r>
      <w:r w:rsidRPr="00350396">
        <w:rPr>
          <w:rFonts w:ascii="Bookman Old Style" w:eastAsia="Bookman Old Style" w:hAnsi="Bookman Old Style" w:cs="Bookman Old Style"/>
          <w:color w:val="231F20"/>
          <w:sz w:val="18"/>
          <w:szCs w:val="18"/>
        </w:rPr>
        <w:softHyphen/>
        <w:t>скую деятельность: организацию общественных приемных, митин</w:t>
      </w:r>
      <w:r w:rsidRPr="00350396">
        <w:rPr>
          <w:rFonts w:ascii="Bookman Old Style" w:eastAsia="Bookman Old Style" w:hAnsi="Bookman Old Style" w:cs="Bookman Old Style"/>
          <w:color w:val="231F20"/>
          <w:sz w:val="18"/>
          <w:szCs w:val="18"/>
        </w:rPr>
        <w:softHyphen/>
        <w:t xml:space="preserve">гов, </w:t>
      </w:r>
      <w:r w:rsidRPr="00350396">
        <w:rPr>
          <w:rFonts w:ascii="Bookman Old Style" w:eastAsia="Bookman Old Style" w:hAnsi="Bookman Old Style" w:cs="Bookman Old Style"/>
          <w:color w:val="231F20"/>
          <w:sz w:val="18"/>
          <w:szCs w:val="18"/>
        </w:rPr>
        <w:lastRenderedPageBreak/>
        <w:t>демонстраций, пикетов, торжественных вечеров, посвященных памятным датам, выпуск газет и другой партийной литературы, выступления в СМИ и т. п. Результатом политической деятельно</w:t>
      </w:r>
      <w:r w:rsidRPr="00350396">
        <w:rPr>
          <w:rFonts w:ascii="Bookman Old Style" w:eastAsia="Bookman Old Style" w:hAnsi="Bookman Old Style" w:cs="Bookman Old Style"/>
          <w:color w:val="231F20"/>
          <w:sz w:val="18"/>
          <w:szCs w:val="18"/>
        </w:rPr>
        <w:softHyphen/>
        <w:t>сти может быть удовлетворение потребностей отдельных домохо</w:t>
      </w:r>
      <w:r w:rsidRPr="00350396">
        <w:rPr>
          <w:rFonts w:ascii="Bookman Old Style" w:eastAsia="Bookman Old Style" w:hAnsi="Bookman Old Style" w:cs="Bookman Old Style"/>
          <w:color w:val="231F20"/>
          <w:sz w:val="18"/>
          <w:szCs w:val="18"/>
        </w:rPr>
        <w:softHyphen/>
        <w:t>зяйств и их групп в духовных благах, например получение новой информации, общение с единомышленниками и идеологическими оппонентами и т. п. Реже результатом политической деятельности в этом случае является удовлетворение потребности в материаль</w:t>
      </w:r>
      <w:r w:rsidRPr="00350396">
        <w:rPr>
          <w:rFonts w:ascii="Bookman Old Style" w:eastAsia="Bookman Old Style" w:hAnsi="Bookman Old Style" w:cs="Bookman Old Style"/>
          <w:color w:val="231F20"/>
          <w:sz w:val="18"/>
          <w:szCs w:val="18"/>
        </w:rPr>
        <w:softHyphen/>
        <w:t>ных благах (получение факторных доходов партийными активиста</w:t>
      </w:r>
      <w:r w:rsidRPr="00350396">
        <w:rPr>
          <w:rFonts w:ascii="Bookman Old Style" w:eastAsia="Bookman Old Style" w:hAnsi="Bookman Old Style" w:cs="Bookman Old Style"/>
          <w:color w:val="231F20"/>
          <w:sz w:val="18"/>
          <w:szCs w:val="18"/>
        </w:rPr>
        <w:softHyphen/>
        <w:t>ми и наемными работниками либо нефакторных доходов в случае оказания депутатской или благотворительной помощи партийной организацией).</w:t>
      </w:r>
    </w:p>
    <w:p w14:paraId="32353D1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Если общественно-политические организации, их представите</w:t>
      </w:r>
      <w:r w:rsidRPr="00350396">
        <w:rPr>
          <w:rFonts w:ascii="Bookman Old Style" w:eastAsia="Bookman Old Style" w:hAnsi="Bookman Old Style" w:cs="Bookman Old Style"/>
          <w:color w:val="231F20"/>
          <w:sz w:val="18"/>
          <w:szCs w:val="18"/>
        </w:rPr>
        <w:softHyphen/>
        <w:t>ли-депутаты и разделяющие их взгляды чиновники находятся у вла</w:t>
      </w:r>
      <w:r w:rsidRPr="00350396">
        <w:rPr>
          <w:rFonts w:ascii="Bookman Old Style" w:eastAsia="Bookman Old Style" w:hAnsi="Bookman Old Style" w:cs="Bookman Old Style"/>
          <w:color w:val="231F20"/>
          <w:sz w:val="18"/>
          <w:szCs w:val="18"/>
        </w:rPr>
        <w:softHyphen/>
        <w:t>сти, они участвуют в создании и принятии законопроектов и их ре</w:t>
      </w:r>
      <w:r w:rsidRPr="00350396">
        <w:rPr>
          <w:rFonts w:ascii="Bookman Old Style" w:eastAsia="Bookman Old Style" w:hAnsi="Bookman Old Style" w:cs="Bookman Old Style"/>
          <w:color w:val="231F20"/>
          <w:sz w:val="18"/>
          <w:szCs w:val="18"/>
        </w:rPr>
        <w:softHyphen/>
        <w:t>ализации. Таким образом, они находятся на службе у государства, и их деятельность следует рассматривать как происходящую в пере</w:t>
      </w:r>
      <w:r w:rsidRPr="00350396">
        <w:rPr>
          <w:rFonts w:ascii="Bookman Old Style" w:eastAsia="Bookman Old Style" w:hAnsi="Bookman Old Style" w:cs="Bookman Old Style"/>
          <w:color w:val="231F20"/>
          <w:sz w:val="18"/>
          <w:szCs w:val="18"/>
        </w:rPr>
        <w:softHyphen/>
        <w:t>ходной, буферной зоне между государством и некоммерческим сек</w:t>
      </w:r>
      <w:r w:rsidRPr="00350396">
        <w:rPr>
          <w:rFonts w:ascii="Bookman Old Style" w:eastAsia="Bookman Old Style" w:hAnsi="Bookman Old Style" w:cs="Bookman Old Style"/>
          <w:color w:val="231F20"/>
          <w:sz w:val="18"/>
          <w:szCs w:val="18"/>
        </w:rPr>
        <w:softHyphen/>
        <w:t>тором. Продукт политического действия в данном случае частично сливается с продуктом государства, так как он является результатом объединения нескольких общественных секторов. С точки зрения интересов избирателей именно он представляет собой наибольшую ценность, поскольку законодательство призвано устанавливать институциональные рамки для жизнедеятельности и получения до</w:t>
      </w:r>
      <w:r w:rsidRPr="00350396">
        <w:rPr>
          <w:rFonts w:ascii="Bookman Old Style" w:eastAsia="Bookman Old Style" w:hAnsi="Bookman Old Style" w:cs="Bookman Old Style"/>
          <w:color w:val="231F20"/>
          <w:sz w:val="18"/>
          <w:szCs w:val="18"/>
        </w:rPr>
        <w:softHyphen/>
        <w:t>ходов значительных групп домохозяйств и общества в целом на дли</w:t>
      </w:r>
      <w:r w:rsidRPr="00350396">
        <w:rPr>
          <w:rFonts w:ascii="Bookman Old Style" w:eastAsia="Bookman Old Style" w:hAnsi="Bookman Old Style" w:cs="Bookman Old Style"/>
          <w:color w:val="231F20"/>
          <w:sz w:val="18"/>
          <w:szCs w:val="18"/>
        </w:rPr>
        <w:softHyphen/>
        <w:t>тельный период времени.</w:t>
      </w:r>
    </w:p>
    <w:p w14:paraId="3F75868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Обобщенно все виды ПНС можно разделить на услуги по полу</w:t>
      </w:r>
      <w:r w:rsidRPr="00350396">
        <w:rPr>
          <w:rFonts w:ascii="Bookman Old Style" w:eastAsia="Bookman Old Style" w:hAnsi="Bookman Old Style" w:cs="Bookman Old Style"/>
          <w:color w:val="231F20"/>
          <w:sz w:val="18"/>
          <w:szCs w:val="18"/>
        </w:rPr>
        <w:softHyphen/>
        <w:t>чению (или по меньшей мере поддержанию на имеющемся уров</w:t>
      </w:r>
      <w:r w:rsidRPr="00350396">
        <w:rPr>
          <w:rFonts w:ascii="Bookman Old Style" w:eastAsia="Bookman Old Style" w:hAnsi="Bookman Old Style" w:cs="Bookman Old Style"/>
          <w:color w:val="231F20"/>
          <w:sz w:val="18"/>
          <w:szCs w:val="18"/>
        </w:rPr>
        <w:softHyphen/>
        <w:t>не) факторных и получению нефакторных доходов теми или иными группами домохозяйств, иногда — государством либо большин</w:t>
      </w:r>
      <w:r w:rsidRPr="00350396">
        <w:rPr>
          <w:rFonts w:ascii="Bookman Old Style" w:eastAsia="Bookman Old Style" w:hAnsi="Bookman Old Style" w:cs="Bookman Old Style"/>
          <w:color w:val="231F20"/>
          <w:sz w:val="18"/>
          <w:szCs w:val="18"/>
        </w:rPr>
        <w:softHyphen/>
        <w:t>ством населения в целом, а также самой НКО.</w:t>
      </w:r>
    </w:p>
    <w:p w14:paraId="1AB5D2F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Как уже отмечалось, </w:t>
      </w:r>
      <w:r w:rsidRPr="00350396">
        <w:rPr>
          <w:rFonts w:ascii="Bookman Old Style" w:eastAsia="Bookman Old Style" w:hAnsi="Bookman Old Style" w:cs="Bookman Old Style"/>
          <w:i/>
          <w:iCs/>
          <w:color w:val="231F20"/>
          <w:sz w:val="18"/>
          <w:szCs w:val="18"/>
        </w:rPr>
        <w:t>факторные доходы</w:t>
      </w:r>
      <w:r w:rsidRPr="00350396">
        <w:rPr>
          <w:rFonts w:ascii="Bookman Old Style" w:eastAsia="Bookman Old Style" w:hAnsi="Bookman Old Style" w:cs="Bookman Old Style"/>
          <w:color w:val="231F20"/>
          <w:sz w:val="18"/>
          <w:szCs w:val="18"/>
        </w:rPr>
        <w:t xml:space="preserve"> — это заработная плата, прибыль, процент и рента.</w:t>
      </w:r>
    </w:p>
    <w:p w14:paraId="4C6B07E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Нефакторные доходы</w:t>
      </w:r>
      <w:r w:rsidRPr="00350396">
        <w:rPr>
          <w:rFonts w:ascii="Bookman Old Style" w:eastAsia="Bookman Old Style" w:hAnsi="Bookman Old Style" w:cs="Bookman Old Style"/>
          <w:color w:val="231F20"/>
          <w:sz w:val="18"/>
          <w:szCs w:val="18"/>
        </w:rPr>
        <w:t xml:space="preserve"> — это получение человеком или группами домохозяйств доходов, не связанных непосредственно с участием в общественном производстве. Это различные трансферты в де</w:t>
      </w:r>
      <w:r w:rsidRPr="00350396">
        <w:rPr>
          <w:rFonts w:ascii="Bookman Old Style" w:eastAsia="Bookman Old Style" w:hAnsi="Bookman Old Style" w:cs="Bookman Old Style"/>
          <w:color w:val="231F20"/>
          <w:sz w:val="18"/>
          <w:szCs w:val="18"/>
        </w:rPr>
        <w:softHyphen/>
        <w:t>нежной или натуральной форме, а также возможность удовлетво</w:t>
      </w:r>
      <w:r w:rsidRPr="00350396">
        <w:rPr>
          <w:rFonts w:ascii="Bookman Old Style" w:eastAsia="Bookman Old Style" w:hAnsi="Bookman Old Style" w:cs="Bookman Old Style"/>
          <w:color w:val="231F20"/>
          <w:sz w:val="18"/>
          <w:szCs w:val="18"/>
        </w:rPr>
        <w:softHyphen/>
        <w:t>рения различных потребностей человека — в благоприятной эко</w:t>
      </w:r>
      <w:r w:rsidRPr="00350396">
        <w:rPr>
          <w:rFonts w:ascii="Bookman Old Style" w:eastAsia="Bookman Old Style" w:hAnsi="Bookman Old Style" w:cs="Bookman Old Style"/>
          <w:color w:val="231F20"/>
          <w:sz w:val="18"/>
          <w:szCs w:val="18"/>
        </w:rPr>
        <w:softHyphen/>
        <w:t>логической среде, сохранении здоровья, духовных ценностях и т. п. Данные общественные блага (экономические и неэкономические) считают превращенной формой доходов, а их недостаток в форме нерыночных благ превращает их в ряде случаев в экономические ресурсы, реализуемые через рынок, оплата которых ложится тяж</w:t>
      </w:r>
      <w:r w:rsidRPr="00350396">
        <w:rPr>
          <w:rFonts w:ascii="Bookman Old Style" w:eastAsia="Bookman Old Style" w:hAnsi="Bookman Old Style" w:cs="Bookman Old Style"/>
          <w:color w:val="231F20"/>
          <w:sz w:val="18"/>
          <w:szCs w:val="18"/>
        </w:rPr>
        <w:softHyphen/>
        <w:t>ким бременем на отдельных людей и общество в целом.</w:t>
      </w:r>
    </w:p>
    <w:p w14:paraId="4119F46A"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Обязательным является учет специфики применения к неком</w:t>
      </w:r>
      <w:r w:rsidRPr="00350396">
        <w:rPr>
          <w:rFonts w:ascii="Bookman Old Style" w:eastAsia="Bookman Old Style" w:hAnsi="Bookman Old Style" w:cs="Bookman Old Style"/>
          <w:color w:val="231F20"/>
          <w:sz w:val="18"/>
          <w:szCs w:val="18"/>
        </w:rPr>
        <w:softHyphen/>
        <w:t>мерческому сектору экономических категорий, что может выра</w:t>
      </w:r>
      <w:r w:rsidRPr="00350396">
        <w:rPr>
          <w:rFonts w:ascii="Bookman Old Style" w:eastAsia="Bookman Old Style" w:hAnsi="Bookman Old Style" w:cs="Bookman Old Style"/>
          <w:color w:val="231F20"/>
          <w:sz w:val="18"/>
          <w:szCs w:val="18"/>
        </w:rPr>
        <w:softHyphen/>
        <w:t>жаться, в частности, в их специальном обозначении.</w:t>
      </w:r>
    </w:p>
    <w:p w14:paraId="1BC270C2"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Для выделения специфики ПНС в отличие от продуктов, реали</w:t>
      </w:r>
      <w:r w:rsidRPr="00350396">
        <w:rPr>
          <w:rFonts w:ascii="Bookman Old Style" w:eastAsia="Bookman Old Style" w:hAnsi="Bookman Old Style" w:cs="Bookman Old Style"/>
          <w:color w:val="231F20"/>
          <w:sz w:val="18"/>
          <w:szCs w:val="18"/>
        </w:rPr>
        <w:softHyphen/>
        <w:t>зуемых на обычных рынках товаров, ресурсов или услуг, в отноше</w:t>
      </w:r>
      <w:r w:rsidRPr="00350396">
        <w:rPr>
          <w:rFonts w:ascii="Bookman Old Style" w:eastAsia="Bookman Old Style" w:hAnsi="Bookman Old Style" w:cs="Bookman Old Style"/>
          <w:color w:val="231F20"/>
          <w:sz w:val="18"/>
          <w:szCs w:val="18"/>
        </w:rPr>
        <w:softHyphen/>
        <w:t>нии НКО следует использовать терминологию, применяемую в эко</w:t>
      </w:r>
      <w:r w:rsidRPr="00350396">
        <w:rPr>
          <w:rFonts w:ascii="Bookman Old Style" w:eastAsia="Bookman Old Style" w:hAnsi="Bookman Old Style" w:cs="Bookman Old Style"/>
          <w:color w:val="231F20"/>
          <w:sz w:val="18"/>
          <w:szCs w:val="18"/>
        </w:rPr>
        <w:softHyphen/>
        <w:t>номической теории, с приставкой «квази»: квазицена, квазирента, квазиприбыль, квазииздержки и т. п.</w:t>
      </w:r>
    </w:p>
    <w:p w14:paraId="0D6C8BAF"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Полный цикл воспроизводства ПНС включает в себя стадии про</w:t>
      </w:r>
      <w:r w:rsidRPr="00350396">
        <w:rPr>
          <w:rFonts w:ascii="Bookman Old Style" w:eastAsia="Bookman Old Style" w:hAnsi="Bookman Old Style" w:cs="Bookman Old Style"/>
          <w:color w:val="231F20"/>
          <w:sz w:val="18"/>
          <w:szCs w:val="18"/>
        </w:rPr>
        <w:softHyphen/>
        <w:t>изводства, обмена-распределения (обращения) и потребления ПНС.</w:t>
      </w:r>
    </w:p>
    <w:p w14:paraId="18377DD0"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Стадию производства мы будем рассматривать с точки зрения маржинализма, факторной теории. Обмен и распределение должны слиться в одну стадию, так как специфический характер производи</w:t>
      </w:r>
      <w:r w:rsidRPr="00350396">
        <w:rPr>
          <w:rFonts w:ascii="Bookman Old Style" w:eastAsia="Bookman Old Style" w:hAnsi="Bookman Old Style" w:cs="Bookman Old Style"/>
          <w:color w:val="231F20"/>
          <w:sz w:val="18"/>
          <w:szCs w:val="18"/>
        </w:rPr>
        <w:softHyphen/>
        <w:t>мого некоммерческим сектором продукта требует диалектического совмещения принципов рыночного обмена и административного распределения. Стадия потребления в данном случае имеет зна</w:t>
      </w:r>
      <w:r w:rsidRPr="00350396">
        <w:rPr>
          <w:rFonts w:ascii="Bookman Old Style" w:eastAsia="Bookman Old Style" w:hAnsi="Bookman Old Style" w:cs="Bookman Old Style"/>
          <w:color w:val="231F20"/>
          <w:sz w:val="18"/>
          <w:szCs w:val="18"/>
        </w:rPr>
        <w:softHyphen/>
        <w:t>чение прежде всего как источник положительного общественного эффекта — обязательного условия для сохранения равновесия всей общественной системы.</w:t>
      </w:r>
    </w:p>
    <w:p w14:paraId="23E241BF"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Реальность свидетельствует, что даже в экономически развитых странах государство не способно обеспечить своих граждан всеми необходимыми общественными товарами. Государство не может это сделать не только в силу ограниченности бюджета, но и по при</w:t>
      </w:r>
      <w:r w:rsidRPr="00350396">
        <w:rPr>
          <w:rFonts w:ascii="Bookman Old Style" w:eastAsia="Bookman Old Style" w:hAnsi="Bookman Old Style" w:cs="Bookman Old Style"/>
          <w:color w:val="231F20"/>
          <w:sz w:val="18"/>
          <w:szCs w:val="18"/>
        </w:rPr>
        <w:softHyphen/>
        <w:t>чине технической невозможности решать все местные, локальные, а тем более индивидуальные вопросы домохозяйств. Чрезмерные государственные расходы на социальную сферу чреваты негатив</w:t>
      </w:r>
      <w:r w:rsidRPr="00350396">
        <w:rPr>
          <w:rFonts w:ascii="Bookman Old Style" w:eastAsia="Bookman Old Style" w:hAnsi="Bookman Old Style" w:cs="Bookman Old Style"/>
          <w:color w:val="231F20"/>
          <w:sz w:val="18"/>
          <w:szCs w:val="18"/>
        </w:rPr>
        <w:softHyphen/>
        <w:t>ными последствиями.</w:t>
      </w:r>
    </w:p>
    <w:p w14:paraId="3A01042B"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Поэтому некоммерческий сектор постепенно берет на себя все больше функций по обеспечению общества услугами, аналогичны</w:t>
      </w:r>
      <w:r w:rsidRPr="00350396">
        <w:rPr>
          <w:rFonts w:ascii="Bookman Old Style" w:eastAsia="Bookman Old Style" w:hAnsi="Bookman Old Style" w:cs="Bookman Old Style"/>
          <w:color w:val="231F20"/>
          <w:sz w:val="18"/>
          <w:szCs w:val="18"/>
        </w:rPr>
        <w:softHyphen/>
        <w:t>ми общественным и клубным благам, которые мы предложили на</w:t>
      </w:r>
      <w:r w:rsidRPr="00350396">
        <w:rPr>
          <w:rFonts w:ascii="Bookman Old Style" w:eastAsia="Bookman Old Style" w:hAnsi="Bookman Old Style" w:cs="Bookman Old Style"/>
          <w:color w:val="231F20"/>
          <w:sz w:val="18"/>
          <w:szCs w:val="18"/>
        </w:rPr>
        <w:softHyphen/>
        <w:t>звать продуктом некоммерческого сектора.</w:t>
      </w:r>
    </w:p>
    <w:p w14:paraId="5409BFE9"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Гражданское общество в лице некоммерческого сектора имеет некоторые преимущества по сравнению с первым (государство) и вторым (коммерческим) секторами, которые позволяют ему бо</w:t>
      </w:r>
      <w:r w:rsidRPr="00350396">
        <w:rPr>
          <w:rFonts w:ascii="Bookman Old Style" w:eastAsia="Bookman Old Style" w:hAnsi="Bookman Old Style" w:cs="Bookman Old Style"/>
          <w:color w:val="231F20"/>
          <w:sz w:val="18"/>
          <w:szCs w:val="18"/>
        </w:rPr>
        <w:softHyphen/>
        <w:t>лее эффективно производить некоторые виды благ в форме ПНС:</w:t>
      </w:r>
    </w:p>
    <w:p w14:paraId="151422C4" w14:textId="77777777" w:rsidR="00350396" w:rsidRPr="00350396" w:rsidRDefault="00350396" w:rsidP="00350396">
      <w:pPr>
        <w:widowControl w:val="0"/>
        <w:numPr>
          <w:ilvl w:val="0"/>
          <w:numId w:val="39"/>
        </w:numPr>
        <w:tabs>
          <w:tab w:val="left" w:pos="619"/>
        </w:tabs>
        <w:spacing w:line="254"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значительное снижение себестоимости продукта достигается за счет использования неоплаченного труда волонтеров;</w:t>
      </w:r>
    </w:p>
    <w:p w14:paraId="408679DE" w14:textId="77777777" w:rsidR="00350396" w:rsidRPr="00350396" w:rsidRDefault="00350396" w:rsidP="00350396">
      <w:pPr>
        <w:widowControl w:val="0"/>
        <w:numPr>
          <w:ilvl w:val="0"/>
          <w:numId w:val="39"/>
        </w:numPr>
        <w:tabs>
          <w:tab w:val="left" w:pos="619"/>
        </w:tabs>
        <w:spacing w:line="254"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жесткая необходимость обмена на рынке эквивалентными ценностями отменяется на стадии обмена ПНС введением в рыноч</w:t>
      </w:r>
      <w:r w:rsidRPr="00350396">
        <w:rPr>
          <w:rFonts w:ascii="Bookman Old Style" w:eastAsia="Bookman Old Style" w:hAnsi="Bookman Old Style" w:cs="Bookman Old Style"/>
          <w:color w:val="231F20"/>
          <w:sz w:val="18"/>
          <w:szCs w:val="18"/>
        </w:rPr>
        <w:softHyphen/>
        <w:t>ный оборот нефакторных доходов;</w:t>
      </w:r>
    </w:p>
    <w:p w14:paraId="01FE0A20" w14:textId="77777777" w:rsidR="00350396" w:rsidRPr="00350396" w:rsidRDefault="00350396" w:rsidP="00350396">
      <w:pPr>
        <w:widowControl w:val="0"/>
        <w:numPr>
          <w:ilvl w:val="0"/>
          <w:numId w:val="39"/>
        </w:numPr>
        <w:tabs>
          <w:tab w:val="left" w:pos="63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отсутствие бюрократии и жестких иерархических отношений в гражданском обществе делает в ряде случаев процесс принятия решения о производстве и реализации ПНС более гибким и учиты</w:t>
      </w:r>
      <w:r w:rsidRPr="00350396">
        <w:rPr>
          <w:rFonts w:ascii="Bookman Old Style" w:eastAsia="Bookman Old Style" w:hAnsi="Bookman Old Style" w:cs="Bookman Old Style"/>
          <w:color w:val="231F20"/>
          <w:sz w:val="18"/>
          <w:szCs w:val="18"/>
        </w:rPr>
        <w:softHyphen/>
        <w:t>вающим особенность ситуации;</w:t>
      </w:r>
    </w:p>
    <w:p w14:paraId="09D72440" w14:textId="77777777" w:rsidR="00350396" w:rsidRPr="00350396" w:rsidRDefault="00350396" w:rsidP="00350396">
      <w:pPr>
        <w:widowControl w:val="0"/>
        <w:numPr>
          <w:ilvl w:val="0"/>
          <w:numId w:val="39"/>
        </w:numPr>
        <w:tabs>
          <w:tab w:val="left" w:pos="63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применение некоторых рыночных механизмов позволяет бо</w:t>
      </w:r>
      <w:r w:rsidRPr="00350396">
        <w:rPr>
          <w:rFonts w:ascii="Bookman Old Style" w:eastAsia="Bookman Old Style" w:hAnsi="Bookman Old Style" w:cs="Bookman Old Style"/>
          <w:color w:val="231F20"/>
          <w:sz w:val="18"/>
          <w:szCs w:val="18"/>
        </w:rPr>
        <w:softHyphen/>
        <w:t>лее эффективно производить и доводить ПНС до потребителя.</w:t>
      </w:r>
    </w:p>
    <w:p w14:paraId="1D966EB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Поэтому производство многих видов экономических благ, осо</w:t>
      </w:r>
      <w:r w:rsidRPr="00350396">
        <w:rPr>
          <w:rFonts w:ascii="Bookman Old Style" w:eastAsia="Bookman Old Style" w:hAnsi="Bookman Old Style" w:cs="Bookman Old Style"/>
          <w:color w:val="231F20"/>
          <w:sz w:val="18"/>
          <w:szCs w:val="18"/>
        </w:rPr>
        <w:softHyphen/>
        <w:t>бенно в виде услуг, «общественных товаров», все более становится предметом функционирования некоммерческих структур.</w:t>
      </w:r>
    </w:p>
    <w:p w14:paraId="2F2132B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Резкое противопоставление «рыночного» и «нерыночного» сек</w:t>
      </w:r>
      <w:r w:rsidRPr="00350396">
        <w:rPr>
          <w:rFonts w:ascii="Bookman Old Style" w:eastAsia="Bookman Old Style" w:hAnsi="Bookman Old Style" w:cs="Bookman Old Style"/>
          <w:color w:val="231F20"/>
          <w:sz w:val="18"/>
          <w:szCs w:val="18"/>
        </w:rPr>
        <w:softHyphen/>
        <w:t xml:space="preserve">торов в применении к проблеме производства ПНС некорректно. «Нерыночный» сектор лучше классифицировать как </w:t>
      </w:r>
      <w:r w:rsidRPr="00350396">
        <w:rPr>
          <w:rFonts w:ascii="Bookman Old Style" w:eastAsia="Bookman Old Style" w:hAnsi="Bookman Old Style" w:cs="Bookman Old Style"/>
          <w:i/>
          <w:iCs/>
          <w:color w:val="231F20"/>
          <w:sz w:val="18"/>
          <w:szCs w:val="18"/>
        </w:rPr>
        <w:t>квазирынок общественных товаров и ПНС.</w:t>
      </w:r>
      <w:r w:rsidRPr="00350396">
        <w:rPr>
          <w:rFonts w:ascii="Bookman Old Style" w:eastAsia="Bookman Old Style" w:hAnsi="Bookman Old Style" w:cs="Bookman Old Style"/>
          <w:color w:val="231F20"/>
          <w:sz w:val="18"/>
          <w:szCs w:val="18"/>
        </w:rPr>
        <w:t xml:space="preserve"> Несмотря на значительные неры</w:t>
      </w:r>
      <w:r w:rsidRPr="00350396">
        <w:rPr>
          <w:rFonts w:ascii="Bookman Old Style" w:eastAsia="Bookman Old Style" w:hAnsi="Bookman Old Style" w:cs="Bookman Old Style"/>
          <w:color w:val="231F20"/>
          <w:sz w:val="18"/>
          <w:szCs w:val="18"/>
        </w:rPr>
        <w:softHyphen/>
        <w:t>ночные факторы, действующие в данном секторе, он не является полностью нерыночным, особенно применительно к производству ПНС. Существует значительное сходство между чисто рыночным сектором и квазирынком ПНС:</w:t>
      </w:r>
    </w:p>
    <w:p w14:paraId="27A275F3" w14:textId="77777777" w:rsidR="00350396" w:rsidRPr="00350396" w:rsidRDefault="00350396" w:rsidP="00350396">
      <w:pPr>
        <w:widowControl w:val="0"/>
        <w:numPr>
          <w:ilvl w:val="0"/>
          <w:numId w:val="34"/>
        </w:numPr>
        <w:tabs>
          <w:tab w:val="left" w:pos="63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наличие в них конкуренции как состояния борьбы за наилуч</w:t>
      </w:r>
      <w:r w:rsidRPr="00350396">
        <w:rPr>
          <w:rFonts w:ascii="Bookman Old Style" w:eastAsia="Bookman Old Style" w:hAnsi="Bookman Old Style" w:cs="Bookman Old Style"/>
          <w:color w:val="231F20"/>
          <w:sz w:val="18"/>
          <w:szCs w:val="18"/>
        </w:rPr>
        <w:softHyphen/>
        <w:t>шие условия воспроизводства, как среди потребителей, так и среди производителей ПНС;</w:t>
      </w:r>
    </w:p>
    <w:p w14:paraId="1E93AB9B" w14:textId="77777777" w:rsidR="00350396" w:rsidRPr="00350396" w:rsidRDefault="00350396" w:rsidP="00350396">
      <w:pPr>
        <w:widowControl w:val="0"/>
        <w:numPr>
          <w:ilvl w:val="0"/>
          <w:numId w:val="34"/>
        </w:numPr>
        <w:tabs>
          <w:tab w:val="left" w:pos="63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применимость к обоим секторам с некоторыми ограничени</w:t>
      </w:r>
      <w:r w:rsidRPr="00350396">
        <w:rPr>
          <w:rFonts w:ascii="Bookman Old Style" w:eastAsia="Bookman Old Style" w:hAnsi="Bookman Old Style" w:cs="Bookman Old Style"/>
          <w:color w:val="231F20"/>
          <w:sz w:val="18"/>
          <w:szCs w:val="18"/>
        </w:rPr>
        <w:softHyphen/>
        <w:t>ями рыночных законов — законов спроса, предложения и др.;</w:t>
      </w:r>
    </w:p>
    <w:p w14:paraId="222B1D9C" w14:textId="77777777" w:rsidR="00350396" w:rsidRPr="00350396" w:rsidRDefault="00350396" w:rsidP="00350396">
      <w:pPr>
        <w:widowControl w:val="0"/>
        <w:numPr>
          <w:ilvl w:val="0"/>
          <w:numId w:val="34"/>
        </w:numPr>
        <w:tabs>
          <w:tab w:val="left" w:pos="63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наличие обмена как способа перемещения произведенных продуктов среди членов общества;</w:t>
      </w:r>
    </w:p>
    <w:p w14:paraId="6B1B9FA8" w14:textId="77777777" w:rsidR="00350396" w:rsidRPr="00350396" w:rsidRDefault="00350396" w:rsidP="00350396">
      <w:pPr>
        <w:widowControl w:val="0"/>
        <w:numPr>
          <w:ilvl w:val="0"/>
          <w:numId w:val="34"/>
        </w:numPr>
        <w:tabs>
          <w:tab w:val="left" w:pos="67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свобода участников отношений;</w:t>
      </w:r>
    </w:p>
    <w:p w14:paraId="1DC8D826" w14:textId="77777777" w:rsidR="00350396" w:rsidRPr="00350396" w:rsidRDefault="00350396" w:rsidP="00350396">
      <w:pPr>
        <w:widowControl w:val="0"/>
        <w:numPr>
          <w:ilvl w:val="0"/>
          <w:numId w:val="34"/>
        </w:numPr>
        <w:tabs>
          <w:tab w:val="left" w:pos="63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относительная свобода в формировании как рыночной цены, так и ее аналога — общественной ценности;</w:t>
      </w:r>
    </w:p>
    <w:p w14:paraId="3D18D916" w14:textId="77777777" w:rsidR="00350396" w:rsidRPr="00350396" w:rsidRDefault="00350396" w:rsidP="00350396">
      <w:pPr>
        <w:widowControl w:val="0"/>
        <w:numPr>
          <w:ilvl w:val="0"/>
          <w:numId w:val="34"/>
        </w:numPr>
        <w:tabs>
          <w:tab w:val="left" w:pos="67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деятельность в условиях ограниченности ресурсов и др.</w:t>
      </w:r>
    </w:p>
    <w:p w14:paraId="7D4CEC1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Рассмотрим производство ПНС с точки зрения системного под</w:t>
      </w:r>
      <w:r w:rsidRPr="00350396">
        <w:rPr>
          <w:rFonts w:ascii="Bookman Old Style" w:eastAsia="Bookman Old Style" w:hAnsi="Bookman Old Style" w:cs="Bookman Old Style"/>
          <w:color w:val="231F20"/>
          <w:sz w:val="18"/>
          <w:szCs w:val="18"/>
        </w:rPr>
        <w:softHyphen/>
        <w:t>хода.</w:t>
      </w:r>
    </w:p>
    <w:p w14:paraId="0B09488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Производство ПНС ведется на факторной основе.</w:t>
      </w:r>
    </w:p>
    <w:p w14:paraId="7E3042B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Процесс производства осуществляется основными факторами общественного производства — трудом, землей, капиталом и пред</w:t>
      </w:r>
      <w:r w:rsidRPr="00350396">
        <w:rPr>
          <w:rFonts w:ascii="Bookman Old Style" w:eastAsia="Bookman Old Style" w:hAnsi="Bookman Old Style" w:cs="Bookman Old Style"/>
          <w:color w:val="231F20"/>
          <w:sz w:val="18"/>
          <w:szCs w:val="18"/>
        </w:rPr>
        <w:softHyphen/>
        <w:t>принимательскими способностями.</w:t>
      </w:r>
    </w:p>
    <w:p w14:paraId="1C7CB1B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Особенность воспроизводства ПНС состоит в том, что у органи</w:t>
      </w:r>
      <w:r w:rsidRPr="00350396">
        <w:rPr>
          <w:rFonts w:ascii="Bookman Old Style" w:eastAsia="Bookman Old Style" w:hAnsi="Bookman Old Style" w:cs="Bookman Old Style"/>
          <w:color w:val="231F20"/>
          <w:sz w:val="18"/>
          <w:szCs w:val="18"/>
        </w:rPr>
        <w:softHyphen/>
        <w:t>зованных структур некоммерческого сектора часто нет в достаточ</w:t>
      </w:r>
      <w:r w:rsidRPr="00350396">
        <w:rPr>
          <w:rFonts w:ascii="Bookman Old Style" w:eastAsia="Bookman Old Style" w:hAnsi="Bookman Old Style" w:cs="Bookman Old Style"/>
          <w:color w:val="231F20"/>
          <w:sz w:val="18"/>
          <w:szCs w:val="18"/>
        </w:rPr>
        <w:softHyphen/>
        <w:t>ном количестве собственных ресурсов для производства ПНС. Соб</w:t>
      </w:r>
      <w:r w:rsidRPr="00350396">
        <w:rPr>
          <w:rFonts w:ascii="Bookman Old Style" w:eastAsia="Bookman Old Style" w:hAnsi="Bookman Old Style" w:cs="Bookman Old Style"/>
          <w:color w:val="231F20"/>
          <w:sz w:val="18"/>
          <w:szCs w:val="18"/>
        </w:rPr>
        <w:softHyphen/>
        <w:t>ственные ресурсы некоммерческого сектора выражаются обычно в наличии факторов производства — труда (как оплачиваемых ис</w:t>
      </w:r>
      <w:r w:rsidRPr="00350396">
        <w:rPr>
          <w:rFonts w:ascii="Bookman Old Style" w:eastAsia="Bookman Old Style" w:hAnsi="Bookman Old Style" w:cs="Bookman Old Style"/>
          <w:color w:val="231F20"/>
          <w:sz w:val="18"/>
          <w:szCs w:val="18"/>
        </w:rPr>
        <w:softHyphen/>
        <w:t>полнителей, так и волонтеров), предпринимательских способностей (актив НКО — управленцы). Лишь частично может присутствовать такой фактор, как капитал, в виде оргтехники и помещений. При</w:t>
      </w:r>
      <w:r w:rsidRPr="00350396">
        <w:rPr>
          <w:rFonts w:ascii="Bookman Old Style" w:eastAsia="Bookman Old Style" w:hAnsi="Bookman Old Style" w:cs="Bookman Old Style"/>
          <w:color w:val="231F20"/>
          <w:sz w:val="18"/>
          <w:szCs w:val="18"/>
        </w:rPr>
        <w:softHyphen/>
        <w:t>родные ресурсы (фактор «земля») и особенно денежные средства, необходимые для покупки необходимых факторов производства, у некоммерческого сектора пока отсутствуют.</w:t>
      </w:r>
    </w:p>
    <w:p w14:paraId="76B977C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Лишь в отдельных случаях источники инвестиций в ПНС име</w:t>
      </w:r>
      <w:r w:rsidRPr="00350396">
        <w:rPr>
          <w:rFonts w:ascii="Bookman Old Style" w:eastAsia="Bookman Old Style" w:hAnsi="Bookman Old Style" w:cs="Bookman Old Style"/>
          <w:color w:val="231F20"/>
          <w:sz w:val="18"/>
          <w:szCs w:val="18"/>
        </w:rPr>
        <w:softHyphen/>
        <w:t>ются в полном объеме у самих НКО. В частности, это касается общественных объединений ветеранов войны в Афганистане, которые, пользуясь непродолжительной практикой налоговых льгот, сумели создать собственный мощный промышленно-фи</w:t>
      </w:r>
      <w:r w:rsidRPr="00350396">
        <w:rPr>
          <w:rFonts w:ascii="Bookman Old Style" w:eastAsia="Bookman Old Style" w:hAnsi="Bookman Old Style" w:cs="Bookman Old Style"/>
          <w:color w:val="231F20"/>
          <w:sz w:val="18"/>
          <w:szCs w:val="18"/>
        </w:rPr>
        <w:softHyphen/>
        <w:t>нансовый сектор. Иногда успешно занимаются бизнесом и на</w:t>
      </w:r>
      <w:r w:rsidRPr="00350396">
        <w:rPr>
          <w:rFonts w:ascii="Bookman Old Style" w:eastAsia="Bookman Old Style" w:hAnsi="Bookman Old Style" w:cs="Bookman Old Style"/>
          <w:color w:val="231F20"/>
          <w:sz w:val="18"/>
          <w:szCs w:val="18"/>
        </w:rPr>
        <w:softHyphen/>
        <w:t>правляют часть полученной прибыли на уставные цели коммер</w:t>
      </w:r>
      <w:r w:rsidRPr="00350396">
        <w:rPr>
          <w:rFonts w:ascii="Bookman Old Style" w:eastAsia="Bookman Old Style" w:hAnsi="Bookman Old Style" w:cs="Bookman Old Style"/>
          <w:color w:val="231F20"/>
          <w:sz w:val="18"/>
          <w:szCs w:val="18"/>
        </w:rPr>
        <w:softHyphen/>
        <w:t>ческие организации, учрежденные НКО инвалидов. В этом случае мы отмечаем первый возможный источник инвестиций в воспро</w:t>
      </w:r>
      <w:r w:rsidRPr="00350396">
        <w:rPr>
          <w:rFonts w:ascii="Bookman Old Style" w:eastAsia="Bookman Old Style" w:hAnsi="Bookman Old Style" w:cs="Bookman Old Style"/>
          <w:color w:val="231F20"/>
          <w:sz w:val="18"/>
          <w:szCs w:val="18"/>
        </w:rPr>
        <w:softHyphen/>
        <w:t>изводство ПНС.</w:t>
      </w:r>
    </w:p>
    <w:p w14:paraId="44356BD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Чаще же в создании ПНС участвуют благотворители из второго сектора (второй источник инвестиций в воспроизводство ПНС), благотворители из-за рубежа (обычно благотворительные фонды — </w:t>
      </w:r>
      <w:r w:rsidRPr="00350396">
        <w:rPr>
          <w:rFonts w:ascii="Bookman Old Style" w:eastAsia="Bookman Old Style" w:hAnsi="Bookman Old Style" w:cs="Bookman Old Style"/>
          <w:color w:val="231F20"/>
          <w:sz w:val="18"/>
          <w:szCs w:val="18"/>
        </w:rPr>
        <w:lastRenderedPageBreak/>
        <w:t>третий источник инвестиций) и государство (четвертый источник инвестиций в воспроизводство ПНС).</w:t>
      </w:r>
    </w:p>
    <w:p w14:paraId="5076902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Практика благотворительности за прошедшее столетие наиболее значительно развилась за пределами России — в развитых странах, а также в отношениях между развитыми и развивающимися стра</w:t>
      </w:r>
      <w:r w:rsidRPr="00350396">
        <w:rPr>
          <w:rFonts w:ascii="Bookman Old Style" w:eastAsia="Bookman Old Style" w:hAnsi="Bookman Old Style" w:cs="Bookman Old Style"/>
          <w:color w:val="231F20"/>
          <w:sz w:val="18"/>
          <w:szCs w:val="18"/>
        </w:rPr>
        <w:softHyphen/>
        <w:t>нами.</w:t>
      </w:r>
    </w:p>
    <w:p w14:paraId="6F846CAC"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Так, в 1990 г. в рамках оказания помощи в НКО стран «третьего мира» поступило более 7 млрд долл., из них 5 млрд долл. частных пожертвований от граждан развитых стран</w:t>
      </w:r>
      <w:r w:rsidRPr="00350396">
        <w:rPr>
          <w:rFonts w:ascii="Bookman Old Style" w:eastAsia="Bookman Old Style" w:hAnsi="Bookman Old Style" w:cs="Bookman Old Style"/>
          <w:color w:val="231F20"/>
          <w:sz w:val="18"/>
          <w:szCs w:val="18"/>
          <w:vertAlign w:val="superscript"/>
        </w:rPr>
        <w:footnoteReference w:id="51"/>
      </w:r>
      <w:r w:rsidRPr="00350396">
        <w:rPr>
          <w:rFonts w:ascii="Bookman Old Style" w:eastAsia="Bookman Old Style" w:hAnsi="Bookman Old Style" w:cs="Bookman Old Style"/>
          <w:color w:val="231F20"/>
          <w:sz w:val="18"/>
          <w:szCs w:val="18"/>
        </w:rPr>
        <w:t>.</w:t>
      </w:r>
    </w:p>
    <w:p w14:paraId="4649FA2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Осознание позитивной роли структур некоммерческого сектора понуждает благотворителей передавать нуждающемуся человеку или организации конкретные материальные ценности, деньги, не</w:t>
      </w:r>
      <w:r w:rsidRPr="00350396">
        <w:rPr>
          <w:rFonts w:ascii="Bookman Old Style" w:eastAsia="Bookman Old Style" w:hAnsi="Bookman Old Style" w:cs="Bookman Old Style"/>
          <w:color w:val="231F20"/>
          <w:sz w:val="18"/>
          <w:szCs w:val="18"/>
        </w:rPr>
        <w:softHyphen/>
        <w:t>материальные активы либо оказывать безвозмездные услуги, что вместе с факторами, принадлежащими некоммерческому сектору, создает в итоге ПННД.</w:t>
      </w:r>
    </w:p>
    <w:p w14:paraId="1F0E3A6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 данным А. Вербицкого, около 2/3 российских коммерческих структур занимаются благотворительностью. Среди банков эта доля значительно выше. В среднем российские банки жертвовали 2,4 % налогооблагаемой прибыли, а некоторые даже превышали суще</w:t>
      </w:r>
      <w:r w:rsidRPr="00350396">
        <w:rPr>
          <w:rFonts w:ascii="Bookman Old Style" w:eastAsia="Bookman Old Style" w:hAnsi="Bookman Old Style" w:cs="Bookman Old Style"/>
          <w:color w:val="231F20"/>
          <w:sz w:val="18"/>
          <w:szCs w:val="18"/>
        </w:rPr>
        <w:softHyphen/>
        <w:t>ствовавшую до 2001 г. квоту освобождаемой от налогообложения части прибыли</w:t>
      </w:r>
      <w:r w:rsidRPr="00350396">
        <w:rPr>
          <w:rFonts w:ascii="Bookman Old Style" w:eastAsia="Bookman Old Style" w:hAnsi="Bookman Old Style" w:cs="Bookman Old Style"/>
          <w:color w:val="231F20"/>
          <w:sz w:val="18"/>
          <w:szCs w:val="18"/>
          <w:vertAlign w:val="superscript"/>
        </w:rPr>
        <w:footnoteReference w:id="52"/>
      </w:r>
      <w:r w:rsidRPr="00350396">
        <w:rPr>
          <w:rFonts w:ascii="Bookman Old Style" w:eastAsia="Bookman Old Style" w:hAnsi="Bookman Old Style" w:cs="Bookman Old Style"/>
          <w:color w:val="231F20"/>
          <w:sz w:val="18"/>
          <w:szCs w:val="18"/>
        </w:rPr>
        <w:t>.</w:t>
      </w:r>
    </w:p>
    <w:p w14:paraId="7FE4516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ряде случаев значительную роль в финансировании воспроиз</w:t>
      </w:r>
      <w:r w:rsidRPr="00350396">
        <w:rPr>
          <w:rFonts w:ascii="Bookman Old Style" w:eastAsia="Bookman Old Style" w:hAnsi="Bookman Old Style" w:cs="Bookman Old Style"/>
          <w:color w:val="231F20"/>
          <w:sz w:val="18"/>
          <w:szCs w:val="18"/>
        </w:rPr>
        <w:softHyphen/>
        <w:t>водства ПНС играет государство. Например, в ФРГ 70 % финансо</w:t>
      </w:r>
      <w:r w:rsidRPr="00350396">
        <w:rPr>
          <w:rFonts w:ascii="Bookman Old Style" w:eastAsia="Bookman Old Style" w:hAnsi="Bookman Old Style" w:cs="Bookman Old Style"/>
          <w:color w:val="231F20"/>
          <w:sz w:val="18"/>
          <w:szCs w:val="18"/>
        </w:rPr>
        <w:softHyphen/>
        <w:t>вых средств, используемых общественными организациями, выде</w:t>
      </w:r>
      <w:r w:rsidRPr="00350396">
        <w:rPr>
          <w:rFonts w:ascii="Bookman Old Style" w:eastAsia="Bookman Old Style" w:hAnsi="Bookman Old Style" w:cs="Bookman Old Style"/>
          <w:color w:val="231F20"/>
          <w:sz w:val="18"/>
          <w:szCs w:val="18"/>
        </w:rPr>
        <w:softHyphen/>
        <w:t>ляются из государственного бюджета.</w:t>
      </w:r>
    </w:p>
    <w:p w14:paraId="75137BC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 экономической точки зрения в современных условиях благо</w:t>
      </w:r>
      <w:r w:rsidRPr="00350396">
        <w:rPr>
          <w:rFonts w:ascii="Bookman Old Style" w:eastAsia="Bookman Old Style" w:hAnsi="Bookman Old Style" w:cs="Bookman Old Style"/>
          <w:color w:val="231F20"/>
          <w:sz w:val="18"/>
          <w:szCs w:val="18"/>
        </w:rPr>
        <w:softHyphen/>
        <w:t xml:space="preserve">творительность можно рассматривать как вид </w:t>
      </w:r>
      <w:r w:rsidRPr="00350396">
        <w:rPr>
          <w:rFonts w:ascii="Bookman Old Style" w:eastAsia="Bookman Old Style" w:hAnsi="Bookman Old Style" w:cs="Bookman Old Style"/>
          <w:i/>
          <w:iCs/>
          <w:color w:val="231F20"/>
          <w:sz w:val="18"/>
          <w:szCs w:val="18"/>
        </w:rPr>
        <w:t>инвестиций в ПННД.</w:t>
      </w:r>
    </w:p>
    <w:p w14:paraId="0781B89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Одним из внешних стимулов для инвесторов передавать благо</w:t>
      </w:r>
      <w:r w:rsidRPr="00350396">
        <w:rPr>
          <w:rFonts w:ascii="Bookman Old Style" w:eastAsia="Bookman Old Style" w:hAnsi="Bookman Old Style" w:cs="Bookman Old Style"/>
          <w:color w:val="231F20"/>
          <w:sz w:val="18"/>
          <w:szCs w:val="18"/>
        </w:rPr>
        <w:softHyphen/>
        <w:t>творительную помощь на производство ПНС может служить необ</w:t>
      </w:r>
      <w:r w:rsidRPr="00350396">
        <w:rPr>
          <w:rFonts w:ascii="Bookman Old Style" w:eastAsia="Bookman Old Style" w:hAnsi="Bookman Old Style" w:cs="Bookman Old Style"/>
          <w:color w:val="231F20"/>
          <w:sz w:val="18"/>
          <w:szCs w:val="18"/>
        </w:rPr>
        <w:softHyphen/>
        <w:t>ходимость создания общественной атмосферы и усиления системы общественной безопасности с целью обезопасить бизнес, жизнь и здоровье свои и близких.</w:t>
      </w:r>
    </w:p>
    <w:p w14:paraId="16939DE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Политика содействия развитию благотворительности со стороны государства может включать введение налоговых льгот для благо</w:t>
      </w:r>
      <w:r w:rsidRPr="00350396">
        <w:rPr>
          <w:rFonts w:ascii="Bookman Old Style" w:eastAsia="Bookman Old Style" w:hAnsi="Bookman Old Style" w:cs="Bookman Old Style"/>
          <w:color w:val="231F20"/>
          <w:sz w:val="18"/>
          <w:szCs w:val="18"/>
        </w:rPr>
        <w:softHyphen/>
        <w:t>творителей. До введения в действие части второй Налогового ко</w:t>
      </w:r>
      <w:r w:rsidRPr="00350396">
        <w:rPr>
          <w:rFonts w:ascii="Bookman Old Style" w:eastAsia="Bookman Old Style" w:hAnsi="Bookman Old Style" w:cs="Bookman Old Style"/>
          <w:color w:val="231F20"/>
          <w:sz w:val="18"/>
          <w:szCs w:val="18"/>
        </w:rPr>
        <w:softHyphen/>
        <w:t>декса РФ</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 xml:space="preserve"> 1 января 2001 г. предприятиям, перечисляющим средства социально-культурным учреждениям и на благотворительные цели, были предоставлены небольшие налоговые льготы. До 1992 г. сум</w:t>
      </w:r>
      <w:r w:rsidRPr="00350396">
        <w:rPr>
          <w:rFonts w:ascii="Bookman Old Style" w:eastAsia="Bookman Old Style" w:hAnsi="Bookman Old Style" w:cs="Bookman Old Style"/>
          <w:color w:val="231F20"/>
          <w:sz w:val="18"/>
          <w:szCs w:val="18"/>
        </w:rPr>
        <w:softHyphen/>
        <w:t>ма облагаемой налогом прибыли уменьшалась на величину соот</w:t>
      </w:r>
      <w:r w:rsidRPr="00350396">
        <w:rPr>
          <w:rFonts w:ascii="Bookman Old Style" w:eastAsia="Bookman Old Style" w:hAnsi="Bookman Old Style" w:cs="Bookman Old Style"/>
          <w:color w:val="231F20"/>
          <w:sz w:val="18"/>
          <w:szCs w:val="18"/>
        </w:rPr>
        <w:softHyphen/>
        <w:t>ветствующих взносов, но не более чем на 1 % общего ее размера. С 1992 г. этот предел был увеличен до 2 %, а с 1993 г. — до 3 %. Между тем, как показывает мировой опыт, для действенного стиму</w:t>
      </w:r>
      <w:r w:rsidRPr="00350396">
        <w:rPr>
          <w:rFonts w:ascii="Bookman Old Style" w:eastAsia="Bookman Old Style" w:hAnsi="Bookman Old Style" w:cs="Bookman Old Style"/>
          <w:color w:val="231F20"/>
          <w:sz w:val="18"/>
          <w:szCs w:val="18"/>
        </w:rPr>
        <w:softHyphen/>
        <w:t xml:space="preserve">лирования </w:t>
      </w:r>
      <w:r w:rsidRPr="00350396">
        <w:rPr>
          <w:rFonts w:ascii="Bookman Old Style" w:eastAsia="Bookman Old Style" w:hAnsi="Bookman Old Style" w:cs="Bookman Old Style"/>
          <w:color w:val="231F20"/>
          <w:sz w:val="18"/>
          <w:szCs w:val="18"/>
        </w:rPr>
        <w:lastRenderedPageBreak/>
        <w:t>меценатства льготы должны составлять 5—10 %.</w:t>
      </w:r>
    </w:p>
    <w:p w14:paraId="381E467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российском законодательстве льгота по налогу на прибыль в размере 5 % была введена с 1994 г., но только для пожертвований государственным организациям культуры, а также творческим со</w:t>
      </w:r>
      <w:r w:rsidRPr="00350396">
        <w:rPr>
          <w:rFonts w:ascii="Bookman Old Style" w:eastAsia="Bookman Old Style" w:hAnsi="Bookman Old Style" w:cs="Bookman Old Style"/>
          <w:color w:val="231F20"/>
          <w:sz w:val="18"/>
          <w:szCs w:val="18"/>
        </w:rPr>
        <w:softHyphen/>
        <w:t>юзам и благотворительным фондам, созданным для помощи и пре</w:t>
      </w:r>
      <w:r w:rsidRPr="00350396">
        <w:rPr>
          <w:rFonts w:ascii="Bookman Old Style" w:eastAsia="Bookman Old Style" w:hAnsi="Bookman Old Style" w:cs="Bookman Old Style"/>
          <w:color w:val="231F20"/>
          <w:sz w:val="18"/>
          <w:szCs w:val="18"/>
        </w:rPr>
        <w:softHyphen/>
        <w:t>одоления последствий аварии на Чернобыльской АЭС.</w:t>
      </w:r>
    </w:p>
    <w:p w14:paraId="7C832ED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 конца 1995 г. Правительство РФ пытается проводить политику сокращения налоговых льгот. В применении к НКО это выражает</w:t>
      </w:r>
      <w:r w:rsidRPr="00350396">
        <w:rPr>
          <w:rFonts w:ascii="Bookman Old Style" w:eastAsia="Bookman Old Style" w:hAnsi="Bookman Old Style" w:cs="Bookman Old Style"/>
          <w:color w:val="231F20"/>
          <w:sz w:val="18"/>
          <w:szCs w:val="18"/>
        </w:rPr>
        <w:softHyphen/>
        <w:t>ся в отмене ряда льгот по налогообложению осуществляемой ими предпринимательской деятельности. Так, в 1993—1995 гг. библи</w:t>
      </w:r>
      <w:r w:rsidRPr="00350396">
        <w:rPr>
          <w:rFonts w:ascii="Bookman Old Style" w:eastAsia="Bookman Old Style" w:hAnsi="Bookman Old Style" w:cs="Bookman Old Style"/>
          <w:color w:val="231F20"/>
          <w:sz w:val="18"/>
          <w:szCs w:val="18"/>
        </w:rPr>
        <w:softHyphen/>
        <w:t>отеки, музеи, филармонические коллективы были освобождены от налога на прибыль. С января 1996 г. действие этой льготы было ограничено только прибылью, полученной от основной деятель</w:t>
      </w:r>
      <w:r w:rsidRPr="00350396">
        <w:rPr>
          <w:rFonts w:ascii="Bookman Old Style" w:eastAsia="Bookman Old Style" w:hAnsi="Bookman Old Style" w:cs="Bookman Old Style"/>
          <w:color w:val="231F20"/>
          <w:sz w:val="18"/>
          <w:szCs w:val="18"/>
        </w:rPr>
        <w:softHyphen/>
        <w:t>ности данных учреждений, причем из их числа исключены негосу</w:t>
      </w:r>
      <w:r w:rsidRPr="00350396">
        <w:rPr>
          <w:rFonts w:ascii="Bookman Old Style" w:eastAsia="Bookman Old Style" w:hAnsi="Bookman Old Style" w:cs="Bookman Old Style"/>
          <w:color w:val="231F20"/>
          <w:sz w:val="18"/>
          <w:szCs w:val="18"/>
        </w:rPr>
        <w:softHyphen/>
        <w:t>дарственные организации. В 1991—1995 гг. не облагалась налогом прибыль коммерческих организаций, находящихся в собственности благотворительных фондов и творческих союзов и направляемая на осуществление уставной деятельности данных некоммерческих организаций. С 1996 г. такая льгота оставалась только для пред</w:t>
      </w:r>
      <w:r w:rsidRPr="00350396">
        <w:rPr>
          <w:rFonts w:ascii="Bookman Old Style" w:eastAsia="Bookman Old Style" w:hAnsi="Bookman Old Style" w:cs="Bookman Old Style"/>
          <w:color w:val="231F20"/>
          <w:sz w:val="18"/>
          <w:szCs w:val="18"/>
        </w:rPr>
        <w:softHyphen/>
        <w:t>приятий, принадлежащих творческим союзам</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4FA974A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sectPr w:rsidR="00350396" w:rsidRPr="00350396">
          <w:footerReference w:type="even" r:id="rId24"/>
          <w:footerReference w:type="default" r:id="rId25"/>
          <w:pgSz w:w="8789" w:h="13493"/>
          <w:pgMar w:top="853" w:right="1066" w:bottom="1057" w:left="1061" w:header="0" w:footer="3" w:gutter="0"/>
          <w:cols w:space="720"/>
          <w:noEndnote/>
          <w:titlePg/>
          <w:docGrid w:linePitch="360"/>
        </w:sectPr>
      </w:pPr>
      <w:r w:rsidRPr="00350396">
        <w:rPr>
          <w:rFonts w:ascii="Bookman Old Style" w:eastAsia="Bookman Old Style" w:hAnsi="Bookman Old Style" w:cs="Bookman Old Style"/>
          <w:color w:val="231F20"/>
          <w:sz w:val="18"/>
          <w:szCs w:val="18"/>
        </w:rPr>
        <w:t>В современных условиях меры по развитию инвестирования в ПНС со стороны государства, на наш взгляд, могли бы включать введение налоговых льгот для определенной части прибыли, на</w:t>
      </w:r>
      <w:r w:rsidRPr="00350396">
        <w:rPr>
          <w:rFonts w:ascii="Bookman Old Style" w:eastAsia="Bookman Old Style" w:hAnsi="Bookman Old Style" w:cs="Bookman Old Style"/>
          <w:color w:val="231F20"/>
          <w:sz w:val="18"/>
          <w:szCs w:val="18"/>
        </w:rPr>
        <w:softHyphen/>
        <w:t xml:space="preserve">правленной на инвестиции в ПНС в виде освобождения от части налогов в бюджеты разных уровней на сумму инвестиций в ПНС. По сути, в счет уплаты уже существующих налогов можно ввести </w:t>
      </w:r>
      <w:r w:rsidRPr="00350396">
        <w:rPr>
          <w:rFonts w:ascii="Bookman Old Style" w:eastAsia="Bookman Old Style" w:hAnsi="Bookman Old Style" w:cs="Bookman Old Style"/>
          <w:color w:val="231F20"/>
          <w:sz w:val="18"/>
          <w:szCs w:val="18"/>
          <w:vertAlign w:val="superscript"/>
        </w:rPr>
        <w:footnoteReference w:id="53"/>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54"/>
      </w:r>
      <w:r w:rsidRPr="00350396">
        <w:rPr>
          <w:rFonts w:ascii="Bookman Old Style" w:eastAsia="Bookman Old Style" w:hAnsi="Bookman Old Style" w:cs="Bookman Old Style"/>
          <w:color w:val="231F20"/>
          <w:sz w:val="18"/>
          <w:szCs w:val="18"/>
        </w:rPr>
        <w:t xml:space="preserve"> </w:t>
      </w:r>
    </w:p>
    <w:p w14:paraId="32ED167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целевые налоги на содержание конкретных объектов социальной сферы при участии производителей ПНС — НКО. Тем самым мог</w:t>
      </w:r>
      <w:r w:rsidRPr="00350396">
        <w:rPr>
          <w:rFonts w:ascii="Bookman Old Style" w:eastAsia="Bookman Old Style" w:hAnsi="Bookman Old Style" w:cs="Bookman Old Style"/>
          <w:color w:val="231F20"/>
          <w:sz w:val="18"/>
          <w:szCs w:val="18"/>
        </w:rPr>
        <w:softHyphen/>
        <w:t>ли бы создаваться положительная мотивация и экономический интерес у инвесторов. Известно, что стремление скрывать доходы от налогообложения объясняется, в частности, недоверием нало</w:t>
      </w:r>
      <w:r w:rsidRPr="00350396">
        <w:rPr>
          <w:rFonts w:ascii="Bookman Old Style" w:eastAsia="Bookman Old Style" w:hAnsi="Bookman Old Style" w:cs="Bookman Old Style"/>
          <w:color w:val="231F20"/>
          <w:sz w:val="18"/>
          <w:szCs w:val="18"/>
        </w:rPr>
        <w:softHyphen/>
        <w:t>гоплательщиков к государству. Опасения, что чиновники растра</w:t>
      </w:r>
      <w:r w:rsidRPr="00350396">
        <w:rPr>
          <w:rFonts w:ascii="Bookman Old Style" w:eastAsia="Bookman Old Style" w:hAnsi="Bookman Old Style" w:cs="Bookman Old Style"/>
          <w:color w:val="231F20"/>
          <w:sz w:val="18"/>
          <w:szCs w:val="18"/>
        </w:rPr>
        <w:softHyphen/>
        <w:t>тят деньги без общественной пользы и налогоплательщики не по</w:t>
      </w:r>
      <w:r w:rsidRPr="00350396">
        <w:rPr>
          <w:rFonts w:ascii="Bookman Old Style" w:eastAsia="Bookman Old Style" w:hAnsi="Bookman Old Style" w:cs="Bookman Old Style"/>
          <w:color w:val="231F20"/>
          <w:sz w:val="18"/>
          <w:szCs w:val="18"/>
        </w:rPr>
        <w:softHyphen/>
        <w:t>лучат необходимые им общественные блага, толкает последних к неуплате части налогов. Возможность увидеть непосредствен</w:t>
      </w:r>
      <w:r w:rsidRPr="00350396">
        <w:rPr>
          <w:rFonts w:ascii="Bookman Old Style" w:eastAsia="Bookman Old Style" w:hAnsi="Bookman Old Style" w:cs="Bookman Old Style"/>
          <w:color w:val="231F20"/>
          <w:sz w:val="18"/>
          <w:szCs w:val="18"/>
        </w:rPr>
        <w:softHyphen/>
        <w:t>ный результат инвестиционной деятельности в виде ПНС усилит мотивацию платить налоги в специфической форме целевого ин</w:t>
      </w:r>
      <w:r w:rsidRPr="00350396">
        <w:rPr>
          <w:rFonts w:ascii="Bookman Old Style" w:eastAsia="Bookman Old Style" w:hAnsi="Bookman Old Style" w:cs="Bookman Old Style"/>
          <w:color w:val="231F20"/>
          <w:sz w:val="18"/>
          <w:szCs w:val="18"/>
        </w:rPr>
        <w:softHyphen/>
        <w:t>вестирования ПНС.</w:t>
      </w:r>
    </w:p>
    <w:p w14:paraId="4C84A1DC"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Особые интересы могут быть у иностранных инвесторов — го</w:t>
      </w:r>
      <w:r w:rsidRPr="00350396">
        <w:rPr>
          <w:rFonts w:ascii="Bookman Old Style" w:eastAsia="Bookman Old Style" w:hAnsi="Bookman Old Style" w:cs="Bookman Old Style"/>
          <w:color w:val="231F20"/>
          <w:sz w:val="18"/>
          <w:szCs w:val="18"/>
        </w:rPr>
        <w:softHyphen/>
        <w:t>сударств и благотворительных фондов. Поскольку вложения в ПНС не дают непосредственно прибыли, как на рынке обычных товаров, здесь также важна мотивация инвесторов. Мотивы зарубежных фондов и государств-грантодателей носят скорее всего политиче</w:t>
      </w:r>
      <w:r w:rsidRPr="00350396">
        <w:rPr>
          <w:rFonts w:ascii="Bookman Old Style" w:eastAsia="Bookman Old Style" w:hAnsi="Bookman Old Style" w:cs="Bookman Old Style"/>
          <w:color w:val="231F20"/>
          <w:sz w:val="18"/>
          <w:szCs w:val="18"/>
        </w:rPr>
        <w:softHyphen/>
        <w:t>ский и отчасти коммерческий характер: сформировать в странах бывшего СССР основы демократического антикоммунистического строя и получать стратегическую информацию экономического, технического, политического, социального и военного характера. Финансовые потоки в виде грантов от иностранных фондов стали иссякать к концу 1990-х гг., когда политические цели зарубежных магнатов (Сорос, Форды и другие) в виде разрушения социалисти</w:t>
      </w:r>
      <w:r w:rsidRPr="00350396">
        <w:rPr>
          <w:rFonts w:ascii="Bookman Old Style" w:eastAsia="Bookman Old Style" w:hAnsi="Bookman Old Style" w:cs="Bookman Old Style"/>
          <w:color w:val="231F20"/>
          <w:sz w:val="18"/>
          <w:szCs w:val="18"/>
        </w:rPr>
        <w:softHyphen/>
        <w:t>ческой системы и создания в бывшем СССР основ демократического строя были достигнуты.</w:t>
      </w:r>
    </w:p>
    <w:p w14:paraId="174256B5" w14:textId="77777777" w:rsidR="00350396" w:rsidRPr="00350396" w:rsidRDefault="00350396" w:rsidP="00350396">
      <w:pPr>
        <w:widowControl w:val="0"/>
        <w:spacing w:line="250" w:lineRule="exact"/>
        <w:ind w:firstLine="320"/>
        <w:rPr>
          <w:rFonts w:ascii="Bookman Old Style" w:eastAsia="Bookman Old Style" w:hAnsi="Bookman Old Style" w:cs="Bookman Old Style"/>
          <w:color w:val="231F20"/>
          <w:sz w:val="18"/>
          <w:szCs w:val="18"/>
        </w:rPr>
      </w:pPr>
      <w:r w:rsidRPr="00350396">
        <w:rPr>
          <w:rFonts w:ascii="Bookman Old Style" w:eastAsia="Bookman Old Style" w:hAnsi="Bookman Old Style" w:cs="Bookman Old Style"/>
          <w:color w:val="231F20"/>
          <w:sz w:val="18"/>
          <w:szCs w:val="18"/>
        </w:rPr>
        <w:t>В целом в 1990-е гг. объем правительственной помощи западных государств бедным странам сократился с 60 млрд до 55 млрд долл. в год. Вдвое больше, около 100 млрд долл., поступило по частным каналам. Наиболее щедры были Дания, Голландия, Швеция, наибо</w:t>
      </w:r>
      <w:r w:rsidRPr="00350396">
        <w:rPr>
          <w:rFonts w:ascii="Bookman Old Style" w:eastAsia="Bookman Old Style" w:hAnsi="Bookman Old Style" w:cs="Bookman Old Style"/>
          <w:color w:val="231F20"/>
          <w:sz w:val="18"/>
          <w:szCs w:val="18"/>
        </w:rPr>
        <w:softHyphen/>
        <w:t>лее скупы — США</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670512C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highlight w:val="green"/>
        </w:rPr>
      </w:pPr>
      <w:r w:rsidRPr="00350396">
        <w:rPr>
          <w:rFonts w:ascii="Bookman Old Style" w:eastAsia="Bookman Old Style" w:hAnsi="Bookman Old Style" w:cs="Bookman Old Style"/>
          <w:color w:val="231F20"/>
          <w:sz w:val="18"/>
          <w:szCs w:val="18"/>
          <w:highlight w:val="green"/>
        </w:rPr>
        <w:t xml:space="preserve">В основном благотворительные средства идут на внутреннее потребление в США. Так, </w:t>
      </w:r>
      <w:r w:rsidRPr="00350396">
        <w:rPr>
          <w:rFonts w:ascii="Bookman Old Style" w:eastAsia="Bookman Old Style" w:hAnsi="Bookman Old Style" w:cs="Bookman Old Style"/>
          <w:sz w:val="18"/>
          <w:szCs w:val="18"/>
          <w:highlight w:val="green"/>
        </w:rPr>
        <w:t>привлеченные средства являются значительным источником финансирования сферы культуры США. На протяжении последних десятилетий они составляли около 50% всех финансовых поступлений данной сферы</w:t>
      </w:r>
      <w:r w:rsidRPr="00350396">
        <w:rPr>
          <w:rFonts w:ascii="Bookman Old Style" w:eastAsia="Bookman Old Style" w:hAnsi="Bookman Old Style" w:cs="Bookman Old Style"/>
          <w:sz w:val="18"/>
          <w:szCs w:val="18"/>
          <w:highlight w:val="green"/>
          <w:vertAlign w:val="superscript"/>
        </w:rPr>
        <w:footnoteReference w:id="55"/>
      </w:r>
      <w:r w:rsidRPr="00350396">
        <w:rPr>
          <w:rFonts w:ascii="Bookman Old Style" w:eastAsia="Bookman Old Style" w:hAnsi="Bookman Old Style" w:cs="Bookman Old Style"/>
          <w:sz w:val="18"/>
          <w:szCs w:val="18"/>
          <w:highlight w:val="green"/>
        </w:rPr>
        <w:t xml:space="preserve">. </w:t>
      </w:r>
    </w:p>
    <w:p w14:paraId="48AF3364" w14:textId="77777777" w:rsidR="00350396" w:rsidRPr="00350396" w:rsidRDefault="00350396" w:rsidP="00350396">
      <w:pPr>
        <w:widowControl w:val="0"/>
        <w:spacing w:line="250" w:lineRule="exact"/>
        <w:ind w:firstLine="320"/>
        <w:rPr>
          <w:rFonts w:ascii="Bookman Old Style" w:hAnsi="Bookman Old Style"/>
          <w:sz w:val="18"/>
          <w:szCs w:val="18"/>
        </w:rPr>
      </w:pPr>
      <w:r w:rsidRPr="00350396">
        <w:rPr>
          <w:rFonts w:ascii="Bookman Old Style" w:hAnsi="Bookman Old Style"/>
          <w:sz w:val="18"/>
          <w:szCs w:val="18"/>
          <w:highlight w:val="green"/>
        </w:rPr>
        <w:t xml:space="preserve">США отличаются постоянным ростом числа благотворительных фондов и их активов. Так, если в </w:t>
      </w:r>
      <w:smartTag w:uri="urn:schemas-microsoft-com:office:smarttags" w:element="metricconverter">
        <w:smartTagPr>
          <w:attr w:name="ProductID" w:val="1980 г"/>
        </w:smartTagPr>
        <w:r w:rsidRPr="00350396">
          <w:rPr>
            <w:rFonts w:ascii="Bookman Old Style" w:hAnsi="Bookman Old Style"/>
            <w:sz w:val="18"/>
            <w:szCs w:val="18"/>
            <w:highlight w:val="green"/>
          </w:rPr>
          <w:t>1980 г</w:t>
        </w:r>
      </w:smartTag>
      <w:r w:rsidRPr="00350396">
        <w:rPr>
          <w:rFonts w:ascii="Bookman Old Style" w:hAnsi="Bookman Old Style"/>
          <w:sz w:val="18"/>
          <w:szCs w:val="18"/>
          <w:highlight w:val="green"/>
        </w:rPr>
        <w:t xml:space="preserve">. в стране насчитывалось 22,5 тыс. благотворительных фондов, то к </w:t>
      </w:r>
      <w:smartTag w:uri="urn:schemas-microsoft-com:office:smarttags" w:element="metricconverter">
        <w:smartTagPr>
          <w:attr w:name="ProductID" w:val="2001 г"/>
        </w:smartTagPr>
        <w:r w:rsidRPr="00350396">
          <w:rPr>
            <w:rFonts w:ascii="Bookman Old Style" w:hAnsi="Bookman Old Style"/>
            <w:sz w:val="18"/>
            <w:szCs w:val="18"/>
            <w:highlight w:val="green"/>
          </w:rPr>
          <w:t>2001 г</w:t>
        </w:r>
      </w:smartTag>
      <w:r w:rsidRPr="00350396">
        <w:rPr>
          <w:rFonts w:ascii="Bookman Old Style" w:hAnsi="Bookman Old Style"/>
          <w:sz w:val="18"/>
          <w:szCs w:val="18"/>
          <w:highlight w:val="green"/>
        </w:rPr>
        <w:t xml:space="preserve">. их число удвоилось и составило 46,9 тыс. Еще более значительным является рост активов фондов за данный период – более чем в шесть раз – с 41,6 млрд. долл. до 269,2 млрд. долл. Показательным являются и темпы увеличения числа предоставленных некоммерческой сфере грантов. В </w:t>
      </w:r>
      <w:smartTag w:uri="urn:schemas-microsoft-com:office:smarttags" w:element="metricconverter">
        <w:smartTagPr>
          <w:attr w:name="ProductID" w:val="2001 г"/>
        </w:smartTagPr>
        <w:r w:rsidRPr="00350396">
          <w:rPr>
            <w:rFonts w:ascii="Bookman Old Style" w:hAnsi="Bookman Old Style"/>
            <w:sz w:val="18"/>
            <w:szCs w:val="18"/>
            <w:highlight w:val="green"/>
          </w:rPr>
          <w:t>2001 г</w:t>
        </w:r>
      </w:smartTag>
      <w:r w:rsidRPr="00350396">
        <w:rPr>
          <w:rFonts w:ascii="Bookman Old Style" w:hAnsi="Bookman Old Style"/>
          <w:sz w:val="18"/>
          <w:szCs w:val="18"/>
          <w:highlight w:val="green"/>
        </w:rPr>
        <w:t xml:space="preserve">. гранты только в сферу культуры достигли 10798 ед. на сумму 792 млн. долларов, что в 4,3 раза выше уровня </w:t>
      </w:r>
      <w:smartTag w:uri="urn:schemas-microsoft-com:office:smarttags" w:element="metricconverter">
        <w:smartTagPr>
          <w:attr w:name="ProductID" w:val="1980 г"/>
        </w:smartTagPr>
        <w:r w:rsidRPr="00350396">
          <w:rPr>
            <w:rFonts w:ascii="Bookman Old Style" w:hAnsi="Bookman Old Style"/>
            <w:sz w:val="18"/>
            <w:szCs w:val="18"/>
            <w:highlight w:val="green"/>
          </w:rPr>
          <w:t>1980 г</w:t>
        </w:r>
      </w:smartTag>
      <w:r w:rsidRPr="00350396">
        <w:rPr>
          <w:rFonts w:ascii="Bookman Old Style" w:hAnsi="Bookman Old Style"/>
          <w:sz w:val="18"/>
          <w:szCs w:val="18"/>
          <w:highlight w:val="green"/>
        </w:rPr>
        <w:t>.</w:t>
      </w:r>
      <w:r w:rsidRPr="00350396">
        <w:rPr>
          <w:rFonts w:ascii="Bookman Old Style" w:hAnsi="Bookman Old Style"/>
          <w:sz w:val="18"/>
          <w:szCs w:val="18"/>
          <w:highlight w:val="green"/>
          <w:vertAlign w:val="superscript"/>
        </w:rPr>
        <w:footnoteReference w:id="56"/>
      </w:r>
      <w:r w:rsidRPr="00350396">
        <w:rPr>
          <w:rFonts w:ascii="Bookman Old Style" w:hAnsi="Bookman Old Style"/>
          <w:sz w:val="18"/>
          <w:szCs w:val="18"/>
          <w:highlight w:val="green"/>
        </w:rPr>
        <w:t>.</w:t>
      </w:r>
    </w:p>
    <w:p w14:paraId="045352E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Реализация ПНС ведется на стадии обращения (распределения и обмена) — второй стадии воспроизводства ПНС.</w:t>
      </w:r>
    </w:p>
    <w:p w14:paraId="0BA03E0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Распределение</w:t>
      </w:r>
      <w:r w:rsidRPr="00350396">
        <w:rPr>
          <w:rFonts w:ascii="Bookman Old Style" w:eastAsia="Bookman Old Style" w:hAnsi="Bookman Old Style" w:cs="Bookman Old Style"/>
          <w:color w:val="231F20"/>
          <w:sz w:val="18"/>
          <w:szCs w:val="18"/>
        </w:rPr>
        <w:t xml:space="preserve"> трактуется как разделение произведенного про</w:t>
      </w:r>
      <w:r w:rsidRPr="00350396">
        <w:rPr>
          <w:rFonts w:ascii="Bookman Old Style" w:eastAsia="Bookman Old Style" w:hAnsi="Bookman Old Style" w:cs="Bookman Old Style"/>
          <w:color w:val="231F20"/>
          <w:sz w:val="18"/>
          <w:szCs w:val="18"/>
        </w:rPr>
        <w:softHyphen/>
        <w:t>дукта, дохода, прибыли на отдельные части, имеющие адресное назначение, предназначенные для передачи в отдельные фонды, отдельным лицам. Распределение — одна из стадий воспроизвод</w:t>
      </w:r>
      <w:r w:rsidRPr="00350396">
        <w:rPr>
          <w:rFonts w:ascii="Bookman Old Style" w:eastAsia="Bookman Old Style" w:hAnsi="Bookman Old Style" w:cs="Bookman Old Style"/>
          <w:color w:val="231F20"/>
          <w:sz w:val="18"/>
          <w:szCs w:val="18"/>
        </w:rPr>
        <w:softHyphen/>
        <w:t>ственного цикла, следующая за производством продукта, созда</w:t>
      </w:r>
      <w:r w:rsidRPr="00350396">
        <w:rPr>
          <w:rFonts w:ascii="Bookman Old Style" w:eastAsia="Bookman Old Style" w:hAnsi="Bookman Old Style" w:cs="Bookman Old Style"/>
          <w:color w:val="231F20"/>
          <w:sz w:val="18"/>
          <w:szCs w:val="18"/>
        </w:rPr>
        <w:softHyphen/>
        <w:t>нием дохода. Различают операции первичного распределения, разделения доходов, непосредственно связанные с производствен</w:t>
      </w:r>
      <w:r w:rsidRPr="00350396">
        <w:rPr>
          <w:rFonts w:ascii="Bookman Old Style" w:eastAsia="Bookman Old Style" w:hAnsi="Bookman Old Style" w:cs="Bookman Old Style"/>
          <w:color w:val="231F20"/>
          <w:sz w:val="18"/>
          <w:szCs w:val="18"/>
        </w:rPr>
        <w:softHyphen/>
        <w:t>ной деятельностью (заработная плата, косвенные налоги, взносы в фонд социального страхования) и операции вторичного распре</w:t>
      </w:r>
      <w:r w:rsidRPr="00350396">
        <w:rPr>
          <w:rFonts w:ascii="Bookman Old Style" w:eastAsia="Bookman Old Style" w:hAnsi="Bookman Old Style" w:cs="Bookman Old Style"/>
          <w:color w:val="231F20"/>
          <w:sz w:val="18"/>
          <w:szCs w:val="18"/>
        </w:rPr>
        <w:softHyphen/>
        <w:t xml:space="preserve">деления, связанные с механизмом распределения первичных дохо- </w:t>
      </w:r>
      <w:r w:rsidRPr="00350396">
        <w:rPr>
          <w:rFonts w:ascii="Bookman Old Style" w:eastAsia="Bookman Old Style" w:hAnsi="Bookman Old Style" w:cs="Bookman Old Style"/>
          <w:color w:val="231F20"/>
          <w:sz w:val="18"/>
          <w:szCs w:val="18"/>
          <w:vertAlign w:val="superscript"/>
        </w:rPr>
        <w:footnoteReference w:id="57"/>
      </w:r>
      <w:r w:rsidRPr="00350396">
        <w:rPr>
          <w:rFonts w:ascii="Bookman Old Style" w:eastAsia="Bookman Old Style" w:hAnsi="Bookman Old Style" w:cs="Bookman Old Style"/>
          <w:color w:val="231F20"/>
          <w:sz w:val="18"/>
          <w:szCs w:val="18"/>
        </w:rPr>
        <w:t xml:space="preserve"> дов (прямые налоги, дивиденды, субсидии, социальные выплаты). В централизованной экономике плановое распределение ресурсов, денежных средств, продукции служит обычно важнейшим инстру</w:t>
      </w:r>
      <w:r w:rsidRPr="00350396">
        <w:rPr>
          <w:rFonts w:ascii="Bookman Old Style" w:eastAsia="Bookman Old Style" w:hAnsi="Bookman Old Style" w:cs="Bookman Old Style"/>
          <w:color w:val="231F20"/>
          <w:sz w:val="18"/>
          <w:szCs w:val="18"/>
        </w:rPr>
        <w:softHyphen/>
        <w:t>ментом управления экономикой. В рыночной экономике функции распределения в основном принимает на себя рынок, но частично они сохраняются за государством.</w:t>
      </w:r>
    </w:p>
    <w:p w14:paraId="1D77C79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Другая стадия воспроизводственного цикла — </w:t>
      </w:r>
      <w:r w:rsidRPr="00350396">
        <w:rPr>
          <w:rFonts w:ascii="Bookman Old Style" w:eastAsia="Bookman Old Style" w:hAnsi="Bookman Old Style" w:cs="Bookman Old Style"/>
          <w:i/>
          <w:iCs/>
          <w:color w:val="231F20"/>
          <w:sz w:val="18"/>
          <w:szCs w:val="18"/>
        </w:rPr>
        <w:t>обмен</w:t>
      </w:r>
      <w:r w:rsidRPr="00350396">
        <w:rPr>
          <w:rFonts w:ascii="Bookman Old Style" w:eastAsia="Bookman Old Style" w:hAnsi="Bookman Old Style" w:cs="Bookman Old Style"/>
          <w:color w:val="231F20"/>
          <w:sz w:val="18"/>
          <w:szCs w:val="18"/>
        </w:rPr>
        <w:t xml:space="preserve"> — опреде</w:t>
      </w:r>
      <w:r w:rsidRPr="00350396">
        <w:rPr>
          <w:rFonts w:ascii="Bookman Old Style" w:eastAsia="Bookman Old Style" w:hAnsi="Bookman Old Style" w:cs="Bookman Old Style"/>
          <w:color w:val="231F20"/>
          <w:sz w:val="18"/>
          <w:szCs w:val="18"/>
        </w:rPr>
        <w:softHyphen/>
        <w:t>ляется как широко распространенная экономическая операция, со</w:t>
      </w:r>
      <w:r w:rsidRPr="00350396">
        <w:rPr>
          <w:rFonts w:ascii="Bookman Old Style" w:eastAsia="Bookman Old Style" w:hAnsi="Bookman Old Style" w:cs="Bookman Old Style"/>
          <w:color w:val="231F20"/>
          <w:sz w:val="18"/>
          <w:szCs w:val="18"/>
        </w:rPr>
        <w:softHyphen/>
        <w:t>стоящая в том, что одно лицо передает другому вещь, товар, полу</w:t>
      </w:r>
      <w:r w:rsidRPr="00350396">
        <w:rPr>
          <w:rFonts w:ascii="Bookman Old Style" w:eastAsia="Bookman Old Style" w:hAnsi="Bookman Old Style" w:cs="Bookman Old Style"/>
          <w:color w:val="231F20"/>
          <w:sz w:val="18"/>
          <w:szCs w:val="18"/>
        </w:rPr>
        <w:softHyphen/>
        <w:t>чая взамен деньги либо другую вещь.</w:t>
      </w:r>
    </w:p>
    <w:p w14:paraId="1731B9A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 обычном рынке товаров и услуг эти стадии как виды эконо</w:t>
      </w:r>
      <w:r w:rsidRPr="00350396">
        <w:rPr>
          <w:rFonts w:ascii="Bookman Old Style" w:eastAsia="Bookman Old Style" w:hAnsi="Bookman Old Style" w:cs="Bookman Old Style"/>
          <w:color w:val="231F20"/>
          <w:sz w:val="18"/>
          <w:szCs w:val="18"/>
        </w:rPr>
        <w:softHyphen/>
        <w:t>мических операций существуют раздельно. Основная масса товаров и услуг обменивается по рыночным принципам. Для существования рынка необходим ряд условий и предпосылок. Одним из важней</w:t>
      </w:r>
      <w:r w:rsidRPr="00350396">
        <w:rPr>
          <w:rFonts w:ascii="Bookman Old Style" w:eastAsia="Bookman Old Style" w:hAnsi="Bookman Old Style" w:cs="Bookman Old Style"/>
          <w:color w:val="231F20"/>
          <w:sz w:val="18"/>
          <w:szCs w:val="18"/>
        </w:rPr>
        <w:softHyphen/>
        <w:t>ших является совпадение цены покупателя и цены продавца в виде равновесной цены. Если себестоимость товара выше общественно необходимых затрат, а значит, равновесной цены в условиях рын</w:t>
      </w:r>
      <w:r w:rsidRPr="00350396">
        <w:rPr>
          <w:rFonts w:ascii="Bookman Old Style" w:eastAsia="Bookman Old Style" w:hAnsi="Bookman Old Style" w:cs="Bookman Old Style"/>
          <w:color w:val="231F20"/>
          <w:sz w:val="18"/>
          <w:szCs w:val="18"/>
        </w:rPr>
        <w:softHyphen/>
        <w:t>ка совершенной конкуренции, а доходы потребителей будут недо</w:t>
      </w:r>
      <w:r w:rsidRPr="00350396">
        <w:rPr>
          <w:rFonts w:ascii="Bookman Old Style" w:eastAsia="Bookman Old Style" w:hAnsi="Bookman Old Style" w:cs="Bookman Old Style"/>
          <w:color w:val="231F20"/>
          <w:sz w:val="18"/>
          <w:szCs w:val="18"/>
        </w:rPr>
        <w:softHyphen/>
        <w:t>статочны для покупки данного товара по рыночной цене, то зна</w:t>
      </w:r>
      <w:r w:rsidRPr="00350396">
        <w:rPr>
          <w:rFonts w:ascii="Bookman Old Style" w:eastAsia="Bookman Old Style" w:hAnsi="Bookman Old Style" w:cs="Bookman Old Style"/>
          <w:color w:val="231F20"/>
          <w:sz w:val="18"/>
          <w:szCs w:val="18"/>
        </w:rPr>
        <w:softHyphen/>
        <w:t>чительная масса товаров и услуг просто не будет производиться и реализовываться на рынке. Рынок не способен покрыть издержки производства одних и дать достаточные доходы другим для покупки данных товаров.</w:t>
      </w:r>
    </w:p>
    <w:p w14:paraId="69AC6A4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Поэтому традиционно государство берет на себя функцию произ</w:t>
      </w:r>
      <w:r w:rsidRPr="00350396">
        <w:rPr>
          <w:rFonts w:ascii="Bookman Old Style" w:eastAsia="Bookman Old Style" w:hAnsi="Bookman Old Style" w:cs="Bookman Old Style"/>
          <w:color w:val="231F20"/>
          <w:sz w:val="18"/>
          <w:szCs w:val="18"/>
        </w:rPr>
        <w:softHyphen/>
        <w:t>водства данных товаров в государственном секторе либо дотирует их производство частными производителями. Это могут быть това</w:t>
      </w:r>
      <w:r w:rsidRPr="00350396">
        <w:rPr>
          <w:rFonts w:ascii="Bookman Old Style" w:eastAsia="Bookman Old Style" w:hAnsi="Bookman Old Style" w:cs="Bookman Old Style"/>
          <w:color w:val="231F20"/>
          <w:sz w:val="18"/>
          <w:szCs w:val="18"/>
        </w:rPr>
        <w:softHyphen/>
        <w:t>ры индивидуального потребления и общественные блага, потреб</w:t>
      </w:r>
      <w:r w:rsidRPr="00350396">
        <w:rPr>
          <w:rFonts w:ascii="Bookman Old Style" w:eastAsia="Bookman Old Style" w:hAnsi="Bookman Old Style" w:cs="Bookman Old Style"/>
          <w:color w:val="231F20"/>
          <w:sz w:val="18"/>
          <w:szCs w:val="18"/>
        </w:rPr>
        <w:softHyphen/>
        <w:t>ляемые всеми. Такие товары индивидуального потребления могут передаваться потребителям исключительно через систему распре</w:t>
      </w:r>
      <w:r w:rsidRPr="00350396">
        <w:rPr>
          <w:rFonts w:ascii="Bookman Old Style" w:eastAsia="Bookman Old Style" w:hAnsi="Bookman Old Style" w:cs="Bookman Old Style"/>
          <w:color w:val="231F20"/>
          <w:sz w:val="18"/>
          <w:szCs w:val="18"/>
        </w:rPr>
        <w:softHyphen/>
        <w:t>деления ввиду их дефицита. Общественные товары, напротив, до</w:t>
      </w:r>
      <w:r w:rsidRPr="00350396">
        <w:rPr>
          <w:rFonts w:ascii="Bookman Old Style" w:eastAsia="Bookman Old Style" w:hAnsi="Bookman Old Style" w:cs="Bookman Old Style"/>
          <w:color w:val="231F20"/>
          <w:sz w:val="18"/>
          <w:szCs w:val="18"/>
        </w:rPr>
        <w:softHyphen/>
        <w:t>ступны всем без исключения.</w:t>
      </w:r>
    </w:p>
    <w:p w14:paraId="1674FBA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В основе </w:t>
      </w:r>
      <w:r w:rsidRPr="00350396">
        <w:rPr>
          <w:rFonts w:ascii="Bookman Old Style" w:eastAsia="Bookman Old Style" w:hAnsi="Bookman Old Style" w:cs="Bookman Old Style"/>
          <w:i/>
          <w:iCs/>
          <w:color w:val="231F20"/>
          <w:sz w:val="18"/>
          <w:szCs w:val="18"/>
        </w:rPr>
        <w:t>модели обмена-распределения ПНС</w:t>
      </w:r>
      <w:r w:rsidRPr="00350396">
        <w:rPr>
          <w:rFonts w:ascii="Bookman Old Style" w:eastAsia="Bookman Old Style" w:hAnsi="Bookman Old Style" w:cs="Bookman Old Style"/>
          <w:color w:val="231F20"/>
          <w:sz w:val="18"/>
          <w:szCs w:val="18"/>
        </w:rPr>
        <w:t xml:space="preserve"> должна лежать мо</w:t>
      </w:r>
      <w:r w:rsidRPr="00350396">
        <w:rPr>
          <w:rFonts w:ascii="Bookman Old Style" w:eastAsia="Bookman Old Style" w:hAnsi="Bookman Old Style" w:cs="Bookman Old Style"/>
          <w:color w:val="231F20"/>
          <w:sz w:val="18"/>
          <w:szCs w:val="18"/>
        </w:rPr>
        <w:softHyphen/>
        <w:t xml:space="preserve">дель </w:t>
      </w:r>
      <w:r w:rsidRPr="00350396">
        <w:rPr>
          <w:rFonts w:ascii="Bookman Old Style" w:eastAsia="Bookman Old Style" w:hAnsi="Bookman Old Style" w:cs="Bookman Old Style"/>
          <w:color w:val="231F20"/>
          <w:sz w:val="18"/>
          <w:szCs w:val="18"/>
        </w:rPr>
        <w:lastRenderedPageBreak/>
        <w:t>рынка, соответствующая принципам неоклассической тео</w:t>
      </w:r>
      <w:r w:rsidRPr="00350396">
        <w:rPr>
          <w:rFonts w:ascii="Bookman Old Style" w:eastAsia="Bookman Old Style" w:hAnsi="Bookman Old Style" w:cs="Bookman Old Style"/>
          <w:color w:val="231F20"/>
          <w:sz w:val="18"/>
          <w:szCs w:val="18"/>
        </w:rPr>
        <w:softHyphen/>
        <w:t>рии, скорректированная институциональными (нестоимостными, нерыночными) факторами ввиду ограниченности возможности применения к данному случаю рыночных категорий. Методологи</w:t>
      </w:r>
      <w:r w:rsidRPr="00350396">
        <w:rPr>
          <w:rFonts w:ascii="Bookman Old Style" w:eastAsia="Bookman Old Style" w:hAnsi="Bookman Old Style" w:cs="Bookman Old Style"/>
          <w:color w:val="231F20"/>
          <w:sz w:val="18"/>
          <w:szCs w:val="18"/>
        </w:rPr>
        <w:softHyphen/>
        <w:t>ческий смысл данного подхода состоит в совмещении инструмен</w:t>
      </w:r>
      <w:r w:rsidRPr="00350396">
        <w:rPr>
          <w:rFonts w:ascii="Bookman Old Style" w:eastAsia="Bookman Old Style" w:hAnsi="Bookman Old Style" w:cs="Bookman Old Style"/>
          <w:color w:val="231F20"/>
          <w:sz w:val="18"/>
          <w:szCs w:val="18"/>
        </w:rPr>
        <w:softHyphen/>
        <w:t>тов неоклассической теории, неоинституционализма и некоторых экономических и бухгалтерских методик, применяемых в практике работы предприятий.</w:t>
      </w:r>
    </w:p>
    <w:p w14:paraId="20E63C4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Мы ввели несколько скорректированных для данного предмета исследования понятий: спрос на ПНС, предложение ПНС, обще</w:t>
      </w:r>
      <w:r w:rsidRPr="00350396">
        <w:rPr>
          <w:rFonts w:ascii="Bookman Old Style" w:eastAsia="Bookman Old Style" w:hAnsi="Bookman Old Style" w:cs="Bookman Old Style"/>
          <w:color w:val="231F20"/>
          <w:sz w:val="18"/>
          <w:szCs w:val="18"/>
        </w:rPr>
        <w:softHyphen/>
        <w:t>ственная ценность ПНС и некоторые другие.</w:t>
      </w:r>
    </w:p>
    <w:p w14:paraId="3BA38C7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Спрос на ПНС</w:t>
      </w:r>
      <w:r w:rsidRPr="00350396">
        <w:rPr>
          <w:rFonts w:ascii="Bookman Old Style" w:eastAsia="Bookman Old Style" w:hAnsi="Bookman Old Style" w:cs="Bookman Old Style"/>
          <w:color w:val="231F20"/>
          <w:sz w:val="18"/>
          <w:szCs w:val="18"/>
        </w:rPr>
        <w:t xml:space="preserve"> — это объем ПНС, который потребители (изби</w:t>
      </w:r>
      <w:r w:rsidRPr="00350396">
        <w:rPr>
          <w:rFonts w:ascii="Bookman Old Style" w:eastAsia="Bookman Old Style" w:hAnsi="Bookman Old Style" w:cs="Bookman Old Style"/>
          <w:color w:val="231F20"/>
          <w:sz w:val="18"/>
          <w:szCs w:val="18"/>
        </w:rPr>
        <w:softHyphen/>
        <w:t>ратели и др.) готовы приобрести на квазирынке ПНС при данном уровне общественной ценности ПНС в обмен на общественно по</w:t>
      </w:r>
      <w:r w:rsidRPr="00350396">
        <w:rPr>
          <w:rFonts w:ascii="Bookman Old Style" w:eastAsia="Bookman Old Style" w:hAnsi="Bookman Old Style" w:cs="Bookman Old Style"/>
          <w:color w:val="231F20"/>
          <w:sz w:val="18"/>
          <w:szCs w:val="18"/>
        </w:rPr>
        <w:softHyphen/>
        <w:t xml:space="preserve">лезную деятельность. Аналогично товарному рынку спрос имеет нижнюю границу в объеме спроса, связанную с ценой </w:t>
      </w:r>
      <w:r w:rsidRPr="00350396">
        <w:rPr>
          <w:rFonts w:ascii="Bookman Old Style" w:eastAsia="Bookman Old Style" w:hAnsi="Bookman Old Style" w:cs="Bookman Old Style"/>
          <w:color w:val="231F20"/>
          <w:sz w:val="18"/>
          <w:szCs w:val="18"/>
          <w:lang w:val="en-US" w:eastAsia="en-US" w:bidi="en-US"/>
        </w:rPr>
        <w:t>P</w:t>
      </w:r>
      <w:r w:rsidRPr="00350396">
        <w:rPr>
          <w:rFonts w:ascii="Bookman Old Style" w:eastAsia="Bookman Old Style" w:hAnsi="Bookman Old Style" w:cs="Bookman Old Style"/>
          <w:color w:val="231F20"/>
          <w:sz w:val="18"/>
          <w:szCs w:val="18"/>
          <w:vertAlign w:val="subscript"/>
          <w:lang w:val="en-US" w:eastAsia="en-US" w:bidi="en-US"/>
        </w:rPr>
        <w:t>max</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(цена бойкота), определяемой покупательной способностью потребителя и его субъективной оценкой полезности ПНС.</w:t>
      </w:r>
    </w:p>
    <w:p w14:paraId="0C50AA2B" w14:textId="77777777" w:rsidR="00350396" w:rsidRPr="00350396" w:rsidRDefault="00350396" w:rsidP="00350396">
      <w:pPr>
        <w:widowControl w:val="0"/>
        <w:spacing w:after="280"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Спрос на обычном товарном рынке определяется потребностью и платежеспособностью потребителя. Однако в данном случае, при отсутствии платного характера обмена, например при оказа</w:t>
      </w:r>
      <w:r w:rsidRPr="00350396">
        <w:rPr>
          <w:rFonts w:ascii="Bookman Old Style" w:eastAsia="Bookman Old Style" w:hAnsi="Bookman Old Style" w:cs="Bookman Old Style"/>
          <w:color w:val="231F20"/>
          <w:sz w:val="18"/>
          <w:szCs w:val="18"/>
        </w:rPr>
        <w:softHyphen/>
        <w:t>нии благотворительной помощи, эквивалентности обмена в эконо</w:t>
      </w:r>
      <w:r w:rsidRPr="00350396">
        <w:rPr>
          <w:rFonts w:ascii="Bookman Old Style" w:eastAsia="Bookman Old Style" w:hAnsi="Bookman Old Style" w:cs="Bookman Old Style"/>
          <w:color w:val="231F20"/>
          <w:sz w:val="18"/>
          <w:szCs w:val="18"/>
        </w:rPr>
        <w:softHyphen/>
        <w:t>мическом смысле не существует. Поэтому снижение кривой спроса на ПННД при снижении цены нельзя объяснить эффектом замеще</w:t>
      </w:r>
      <w:r w:rsidRPr="00350396">
        <w:rPr>
          <w:rFonts w:ascii="Bookman Old Style" w:eastAsia="Bookman Old Style" w:hAnsi="Bookman Old Style" w:cs="Bookman Old Style"/>
          <w:color w:val="231F20"/>
          <w:sz w:val="18"/>
          <w:szCs w:val="18"/>
        </w:rPr>
        <w:softHyphen/>
        <w:t>ния и эффектом дохода, как это делается экономической теорией для товарного рынка.</w:t>
      </w:r>
    </w:p>
    <w:p w14:paraId="0D9CED8B" w14:textId="77777777" w:rsidR="00350396" w:rsidRPr="00350396" w:rsidRDefault="00350396" w:rsidP="00350396">
      <w:pPr>
        <w:widowControl w:val="0"/>
        <w:spacing w:after="280" w:line="250" w:lineRule="exact"/>
        <w:ind w:left="320" w:firstLine="0"/>
        <w:rPr>
          <w:rFonts w:ascii="Segoe UI" w:eastAsia="Segoe UI" w:hAnsi="Segoe UI" w:cs="Segoe UI"/>
          <w:sz w:val="19"/>
          <w:szCs w:val="19"/>
        </w:rPr>
      </w:pPr>
      <w:r w:rsidRPr="00350396">
        <w:rPr>
          <w:rFonts w:ascii="Segoe UI" w:eastAsia="Segoe UI" w:hAnsi="Segoe UI" w:cs="Segoe UI"/>
          <w:b/>
          <w:bCs/>
          <w:color w:val="231F20"/>
          <w:sz w:val="19"/>
          <w:szCs w:val="19"/>
        </w:rPr>
        <w:t xml:space="preserve">Закон спроса ПНС </w:t>
      </w:r>
      <w:r w:rsidRPr="00350396">
        <w:rPr>
          <w:rFonts w:ascii="Segoe UI" w:eastAsia="Segoe UI" w:hAnsi="Segoe UI" w:cs="Segoe UI"/>
          <w:color w:val="231F20"/>
          <w:sz w:val="19"/>
          <w:szCs w:val="19"/>
        </w:rPr>
        <w:t>может быть сформулирован следующим образом: величина спроса на ПННД, обратно пропорциональная обществен</w:t>
      </w:r>
      <w:r w:rsidRPr="00350396">
        <w:rPr>
          <w:rFonts w:ascii="Segoe UI" w:eastAsia="Segoe UI" w:hAnsi="Segoe UI" w:cs="Segoe UI"/>
          <w:color w:val="231F20"/>
          <w:sz w:val="19"/>
          <w:szCs w:val="19"/>
        </w:rPr>
        <w:softHyphen/>
        <w:t>ной ценности ПНС, имеет нижнюю границу, определяемую возмож</w:t>
      </w:r>
      <w:r w:rsidRPr="00350396">
        <w:rPr>
          <w:rFonts w:ascii="Segoe UI" w:eastAsia="Segoe UI" w:hAnsi="Segoe UI" w:cs="Segoe UI"/>
          <w:color w:val="231F20"/>
          <w:sz w:val="19"/>
          <w:szCs w:val="19"/>
        </w:rPr>
        <w:softHyphen/>
        <w:t>ностями потребителя, и верхнюю границу, определяемую насыщени</w:t>
      </w:r>
      <w:r w:rsidRPr="00350396">
        <w:rPr>
          <w:rFonts w:ascii="Segoe UI" w:eastAsia="Segoe UI" w:hAnsi="Segoe UI" w:cs="Segoe UI"/>
          <w:color w:val="231F20"/>
          <w:sz w:val="19"/>
          <w:szCs w:val="19"/>
        </w:rPr>
        <w:softHyphen/>
        <w:t>ем потребности и снижением предельной полезности ПНС</w:t>
      </w:r>
      <w:r w:rsidRPr="00350396">
        <w:rPr>
          <w:rFonts w:ascii="Segoe UI" w:eastAsia="Segoe UI" w:hAnsi="Segoe UI" w:cs="Segoe UI"/>
          <w:color w:val="231F20"/>
          <w:sz w:val="19"/>
          <w:szCs w:val="19"/>
          <w:vertAlign w:val="superscript"/>
        </w:rPr>
        <w:t>1</w:t>
      </w:r>
      <w:r w:rsidRPr="00350396">
        <w:rPr>
          <w:rFonts w:ascii="Segoe UI" w:eastAsia="Segoe UI" w:hAnsi="Segoe UI" w:cs="Segoe UI"/>
          <w:color w:val="231F20"/>
          <w:sz w:val="19"/>
          <w:szCs w:val="19"/>
        </w:rPr>
        <w:t>.</w:t>
      </w:r>
    </w:p>
    <w:p w14:paraId="5851B0A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снижении общественной ценности ПНС, а значит, необхо</w:t>
      </w:r>
      <w:r w:rsidRPr="00350396">
        <w:rPr>
          <w:rFonts w:ascii="Bookman Old Style" w:eastAsia="Bookman Old Style" w:hAnsi="Bookman Old Style" w:cs="Bookman Old Style"/>
          <w:color w:val="231F20"/>
          <w:sz w:val="18"/>
          <w:szCs w:val="18"/>
        </w:rPr>
        <w:softHyphen/>
        <w:t>димости для потребителя отдавать воспроизводству ПНС адекват</w:t>
      </w:r>
      <w:r w:rsidRPr="00350396">
        <w:rPr>
          <w:rFonts w:ascii="Bookman Old Style" w:eastAsia="Bookman Old Style" w:hAnsi="Bookman Old Style" w:cs="Bookman Old Style"/>
          <w:color w:val="231F20"/>
          <w:sz w:val="18"/>
          <w:szCs w:val="18"/>
        </w:rPr>
        <w:softHyphen/>
        <w:t>ную долю своего участия, спрос на него первоначально будет расти. Однако по мере потребления все новых единиц ПНС и снижения их предельной полезности, прямо пропорциональной их обще</w:t>
      </w:r>
      <w:r w:rsidRPr="00350396">
        <w:rPr>
          <w:rFonts w:ascii="Bookman Old Style" w:eastAsia="Bookman Old Style" w:hAnsi="Bookman Old Style" w:cs="Bookman Old Style"/>
          <w:color w:val="231F20"/>
          <w:sz w:val="18"/>
          <w:szCs w:val="18"/>
        </w:rPr>
        <w:softHyphen/>
        <w:t>ственной ценности, будет наступать предел насыщения. Этим об</w:t>
      </w:r>
      <w:r w:rsidRPr="00350396">
        <w:rPr>
          <w:rFonts w:ascii="Bookman Old Style" w:eastAsia="Bookman Old Style" w:hAnsi="Bookman Old Style" w:cs="Bookman Old Style"/>
          <w:color w:val="231F20"/>
          <w:sz w:val="18"/>
          <w:szCs w:val="18"/>
        </w:rPr>
        <w:softHyphen/>
        <w:t>условлено существование верхней границы спроса.</w:t>
      </w:r>
    </w:p>
    <w:p w14:paraId="50F2071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Нижняя граница спроса ПНС (спрос на одну единицу ПНС) ана</w:t>
      </w:r>
      <w:r w:rsidRPr="00350396">
        <w:rPr>
          <w:rFonts w:ascii="Bookman Old Style" w:eastAsia="Bookman Old Style" w:hAnsi="Bookman Old Style" w:cs="Bookman Old Style"/>
          <w:color w:val="231F20"/>
          <w:sz w:val="18"/>
          <w:szCs w:val="18"/>
        </w:rPr>
        <w:softHyphen/>
        <w:t>логична цене бойкота покупателя, которая зависит от финансовых возможностей покупателя и его субъективной оценки качества товара. Применительно к ПННД это означает ограничение воз</w:t>
      </w:r>
      <w:r w:rsidRPr="00350396">
        <w:rPr>
          <w:rFonts w:ascii="Bookman Old Style" w:eastAsia="Bookman Old Style" w:hAnsi="Bookman Old Style" w:cs="Bookman Old Style"/>
          <w:color w:val="231F20"/>
          <w:sz w:val="18"/>
          <w:szCs w:val="18"/>
        </w:rPr>
        <w:softHyphen/>
        <w:t>можностей потребителя ПНС вносить хотя бы относительно экви</w:t>
      </w:r>
      <w:r w:rsidRPr="00350396">
        <w:rPr>
          <w:rFonts w:ascii="Bookman Old Style" w:eastAsia="Bookman Old Style" w:hAnsi="Bookman Old Style" w:cs="Bookman Old Style"/>
          <w:color w:val="231F20"/>
          <w:sz w:val="18"/>
          <w:szCs w:val="18"/>
        </w:rPr>
        <w:softHyphen/>
        <w:t xml:space="preserve">валентный вклад в процесс воспроизводства ПННД, аналогичный уплате денег за обычный товар. Данный вклад потребителей ПННД в процесс воспроизводства </w:t>
      </w:r>
      <w:r w:rsidRPr="00350396">
        <w:rPr>
          <w:rFonts w:ascii="Bookman Old Style" w:eastAsia="Bookman Old Style" w:hAnsi="Bookman Old Style" w:cs="Bookman Old Style"/>
          <w:color w:val="231F20"/>
          <w:sz w:val="18"/>
          <w:szCs w:val="18"/>
        </w:rPr>
        <w:lastRenderedPageBreak/>
        <w:t>ПННД может заключаться в следующем: волонтерском труде при создании ПННД; символической плате за ПННД; способности потребителя удовлетворить определенные духовные потребности производителя ПННД.</w:t>
      </w:r>
    </w:p>
    <w:p w14:paraId="7007388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Верхняя граница спроса определяется степенью насыщения потреб</w:t>
      </w:r>
      <w:r w:rsidRPr="00350396">
        <w:rPr>
          <w:rFonts w:ascii="Bookman Old Style" w:eastAsia="Bookman Old Style" w:hAnsi="Bookman Old Style" w:cs="Bookman Old Style"/>
          <w:color w:val="231F20"/>
          <w:sz w:val="18"/>
          <w:szCs w:val="18"/>
        </w:rPr>
        <w:softHyphen/>
        <w:t>ности в данном ПННД. Как верхняя, так и нижняя границы в спросе на ПННД определяются субъективно каждым его потребителем.</w:t>
      </w:r>
    </w:p>
    <w:p w14:paraId="601062D7" w14:textId="77777777" w:rsidR="00350396" w:rsidRPr="00350396" w:rsidRDefault="00350396" w:rsidP="00350396">
      <w:pPr>
        <w:widowControl w:val="0"/>
        <w:spacing w:after="280" w:line="250" w:lineRule="exact"/>
        <w:ind w:firstLine="320"/>
        <w:rPr>
          <w:rFonts w:ascii="Bookman Old Style" w:eastAsia="Bookman Old Style" w:hAnsi="Bookman Old Style" w:cs="Bookman Old Style"/>
          <w:sz w:val="18"/>
          <w:szCs w:val="18"/>
        </w:rPr>
        <w:sectPr w:rsidR="00350396" w:rsidRPr="00350396">
          <w:footerReference w:type="even" r:id="rId26"/>
          <w:footerReference w:type="default" r:id="rId27"/>
          <w:footerReference w:type="first" r:id="rId28"/>
          <w:pgSz w:w="8789" w:h="13493"/>
          <w:pgMar w:top="853" w:right="1066" w:bottom="1057" w:left="1061" w:header="0" w:footer="3" w:gutter="0"/>
          <w:cols w:space="720"/>
          <w:noEndnote/>
          <w:titlePg/>
          <w:docGrid w:linePitch="360"/>
        </w:sectPr>
      </w:pPr>
      <w:r w:rsidRPr="00350396">
        <w:rPr>
          <w:rFonts w:ascii="Bookman Old Style" w:eastAsia="Bookman Old Style" w:hAnsi="Bookman Old Style" w:cs="Bookman Old Style"/>
          <w:i/>
          <w:iCs/>
          <w:color w:val="231F20"/>
          <w:sz w:val="18"/>
          <w:szCs w:val="18"/>
        </w:rPr>
        <w:t>Предложение ПНС</w:t>
      </w:r>
      <w:r w:rsidRPr="00350396">
        <w:rPr>
          <w:rFonts w:ascii="Bookman Old Style" w:eastAsia="Bookman Old Style" w:hAnsi="Bookman Old Style" w:cs="Bookman Old Style"/>
          <w:color w:val="231F20"/>
          <w:sz w:val="18"/>
          <w:szCs w:val="18"/>
        </w:rPr>
        <w:t xml:space="preserve"> — это количество единиц ПНС определенно</w:t>
      </w:r>
      <w:r w:rsidRPr="00350396">
        <w:rPr>
          <w:rFonts w:ascii="Bookman Old Style" w:eastAsia="Bookman Old Style" w:hAnsi="Bookman Old Style" w:cs="Bookman Old Style"/>
          <w:color w:val="231F20"/>
          <w:sz w:val="18"/>
          <w:szCs w:val="18"/>
        </w:rPr>
        <w:softHyphen/>
        <w:t xml:space="preserve">го вида, которое производитель готов предложить нуждающимся </w:t>
      </w:r>
    </w:p>
    <w:p w14:paraId="6FACBD2D" w14:textId="77777777" w:rsidR="00350396" w:rsidRPr="00350396" w:rsidRDefault="00350396" w:rsidP="00350396">
      <w:pPr>
        <w:widowControl w:val="0"/>
        <w:spacing w:after="280"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членам общества при данном уровне общественной ценности ПНС и прочих равных условиях, включая его финансовые и другие эко</w:t>
      </w:r>
      <w:r w:rsidRPr="00350396">
        <w:rPr>
          <w:rFonts w:ascii="Bookman Old Style" w:eastAsia="Bookman Old Style" w:hAnsi="Bookman Old Style" w:cs="Bookman Old Style"/>
          <w:color w:val="231F20"/>
          <w:sz w:val="18"/>
          <w:szCs w:val="18"/>
        </w:rPr>
        <w:softHyphen/>
        <w:t>номические возможности.</w:t>
      </w:r>
    </w:p>
    <w:p w14:paraId="50E256D7" w14:textId="77777777" w:rsidR="00350396" w:rsidRPr="00350396" w:rsidRDefault="00350396" w:rsidP="00350396">
      <w:pPr>
        <w:widowControl w:val="0"/>
        <w:spacing w:after="280" w:line="250" w:lineRule="exact"/>
        <w:ind w:left="320" w:firstLine="0"/>
        <w:rPr>
          <w:rFonts w:ascii="Segoe UI" w:eastAsia="Segoe UI" w:hAnsi="Segoe UI" w:cs="Segoe UI"/>
          <w:sz w:val="19"/>
          <w:szCs w:val="19"/>
        </w:rPr>
      </w:pPr>
      <w:r w:rsidRPr="00350396">
        <w:rPr>
          <w:rFonts w:ascii="Segoe UI" w:eastAsia="Segoe UI" w:hAnsi="Segoe UI" w:cs="Segoe UI"/>
          <w:b/>
          <w:bCs/>
          <w:color w:val="231F20"/>
          <w:sz w:val="19"/>
          <w:szCs w:val="19"/>
        </w:rPr>
        <w:t xml:space="preserve">Закон предложения ПНС </w:t>
      </w:r>
      <w:r w:rsidRPr="00350396">
        <w:rPr>
          <w:rFonts w:ascii="Segoe UI" w:eastAsia="Segoe UI" w:hAnsi="Segoe UI" w:cs="Segoe UI"/>
          <w:color w:val="231F20"/>
          <w:sz w:val="19"/>
          <w:szCs w:val="19"/>
        </w:rPr>
        <w:t>звучит так: объем предложения ПНС, прямо пропорциональный его общественной ценности, имеет верхнюю гра</w:t>
      </w:r>
      <w:r w:rsidRPr="00350396">
        <w:rPr>
          <w:rFonts w:ascii="Segoe UI" w:eastAsia="Segoe UI" w:hAnsi="Segoe UI" w:cs="Segoe UI"/>
          <w:color w:val="231F20"/>
          <w:sz w:val="19"/>
          <w:szCs w:val="19"/>
        </w:rPr>
        <w:softHyphen/>
        <w:t>ницу, обусловленную материальными возможностями производите</w:t>
      </w:r>
      <w:r w:rsidRPr="00350396">
        <w:rPr>
          <w:rFonts w:ascii="Segoe UI" w:eastAsia="Segoe UI" w:hAnsi="Segoe UI" w:cs="Segoe UI"/>
          <w:color w:val="231F20"/>
          <w:sz w:val="19"/>
          <w:szCs w:val="19"/>
        </w:rPr>
        <w:softHyphen/>
        <w:t>ля и инвестора ПНС.</w:t>
      </w:r>
    </w:p>
    <w:p w14:paraId="162A5AB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Квазицена и общественная ценность ПНС с трудом поддают</w:t>
      </w:r>
      <w:r w:rsidRPr="00350396">
        <w:rPr>
          <w:rFonts w:ascii="Bookman Old Style" w:eastAsia="Bookman Old Style" w:hAnsi="Bookman Old Style" w:cs="Bookman Old Style"/>
          <w:color w:val="231F20"/>
          <w:sz w:val="18"/>
          <w:szCs w:val="18"/>
        </w:rPr>
        <w:softHyphen/>
        <w:t xml:space="preserve">ся финансовой оценке. Понятие </w:t>
      </w:r>
      <w:r w:rsidRPr="00350396">
        <w:rPr>
          <w:rFonts w:ascii="Bookman Old Style" w:eastAsia="Bookman Old Style" w:hAnsi="Bookman Old Style" w:cs="Bookman Old Style"/>
          <w:i/>
          <w:iCs/>
          <w:color w:val="231F20"/>
          <w:sz w:val="18"/>
          <w:szCs w:val="18"/>
        </w:rPr>
        <w:t>квазицены ПНС</w:t>
      </w:r>
      <w:r w:rsidRPr="00350396">
        <w:rPr>
          <w:rFonts w:ascii="Bookman Old Style" w:eastAsia="Bookman Old Style" w:hAnsi="Bookman Old Style" w:cs="Bookman Old Style"/>
          <w:color w:val="231F20"/>
          <w:sz w:val="18"/>
          <w:szCs w:val="18"/>
        </w:rPr>
        <w:t xml:space="preserve"> аналогично (хотя и не равнозначно) понятию цены на обычном товарном рынке. Она определяется взаимодействием величины затрат производителя и полезностью ПНС.</w:t>
      </w:r>
    </w:p>
    <w:p w14:paraId="71E7B5F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Общественная ценность ПНС</w:t>
      </w:r>
      <w:r w:rsidRPr="00350396">
        <w:rPr>
          <w:rFonts w:ascii="Bookman Old Style" w:eastAsia="Bookman Old Style" w:hAnsi="Bookman Old Style" w:cs="Bookman Old Style"/>
          <w:color w:val="231F20"/>
          <w:sz w:val="18"/>
          <w:szCs w:val="18"/>
        </w:rPr>
        <w:t xml:space="preserve"> равна совокупности экономиче</w:t>
      </w:r>
      <w:r w:rsidRPr="00350396">
        <w:rPr>
          <w:rFonts w:ascii="Bookman Old Style" w:eastAsia="Bookman Old Style" w:hAnsi="Bookman Old Style" w:cs="Bookman Old Style"/>
          <w:color w:val="231F20"/>
          <w:sz w:val="18"/>
          <w:szCs w:val="18"/>
        </w:rPr>
        <w:softHyphen/>
        <w:t>ских издержек его производства, квазиприбыли и внешних эффек</w:t>
      </w:r>
      <w:r w:rsidRPr="00350396">
        <w:rPr>
          <w:rFonts w:ascii="Bookman Old Style" w:eastAsia="Bookman Old Style" w:hAnsi="Bookman Old Style" w:cs="Bookman Old Style"/>
          <w:color w:val="231F20"/>
          <w:sz w:val="18"/>
          <w:szCs w:val="18"/>
        </w:rPr>
        <w:softHyphen/>
        <w:t>тов, сопровождающих воспроизводство ПНС в целом</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613C8C2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Положительные эффекты увеличивают общественную ценность ПНС, а отрицательные, соответственно, ее снижают. Внутренние положительные эффекты производители получают в виде нефак</w:t>
      </w:r>
      <w:r w:rsidRPr="00350396">
        <w:rPr>
          <w:rFonts w:ascii="Bookman Old Style" w:eastAsia="Bookman Old Style" w:hAnsi="Bookman Old Style" w:cs="Bookman Old Style"/>
          <w:color w:val="231F20"/>
          <w:sz w:val="18"/>
          <w:szCs w:val="18"/>
        </w:rPr>
        <w:softHyphen/>
        <w:t>торных доходов, а потребители ПНС — в виде как факторных, так и нефакторных доходов. Эффекты от воспроизводства ПНС могут быть и краткосрочными, и долгосрочными.</w:t>
      </w:r>
    </w:p>
    <w:p w14:paraId="6AD8F89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 общественной ценности ПНС, т. е. квазицены ПНС с учетом положительных или отрицательных внешних эффектов, следует от</w:t>
      </w:r>
      <w:r w:rsidRPr="00350396">
        <w:rPr>
          <w:rFonts w:ascii="Bookman Old Style" w:eastAsia="Bookman Old Style" w:hAnsi="Bookman Old Style" w:cs="Bookman Old Style"/>
          <w:color w:val="231F20"/>
          <w:sz w:val="18"/>
          <w:szCs w:val="18"/>
        </w:rPr>
        <w:softHyphen/>
        <w:t xml:space="preserve">личать </w:t>
      </w:r>
      <w:r w:rsidRPr="00350396">
        <w:rPr>
          <w:rFonts w:ascii="Bookman Old Style" w:eastAsia="Bookman Old Style" w:hAnsi="Bookman Old Style" w:cs="Bookman Old Style"/>
          <w:i/>
          <w:iCs/>
          <w:color w:val="231F20"/>
          <w:sz w:val="18"/>
          <w:szCs w:val="18"/>
        </w:rPr>
        <w:t>квазирыночную цену ПНС</w:t>
      </w:r>
      <w:r w:rsidRPr="00350396">
        <w:rPr>
          <w:rFonts w:ascii="Bookman Old Style" w:eastAsia="Bookman Old Style" w:hAnsi="Bookman Old Style" w:cs="Bookman Old Style"/>
          <w:color w:val="231F20"/>
          <w:sz w:val="18"/>
          <w:szCs w:val="18"/>
        </w:rPr>
        <w:t xml:space="preserve"> (или </w:t>
      </w:r>
      <w:r w:rsidRPr="00350396">
        <w:rPr>
          <w:rFonts w:ascii="Bookman Old Style" w:eastAsia="Bookman Old Style" w:hAnsi="Bookman Old Style" w:cs="Bookman Old Style"/>
          <w:i/>
          <w:iCs/>
          <w:color w:val="231F20"/>
          <w:sz w:val="18"/>
          <w:szCs w:val="18"/>
        </w:rPr>
        <w:t>квазицену ПНС),</w:t>
      </w:r>
      <w:r w:rsidRPr="00350396">
        <w:rPr>
          <w:rFonts w:ascii="Bookman Old Style" w:eastAsia="Bookman Old Style" w:hAnsi="Bookman Old Style" w:cs="Bookman Old Style"/>
          <w:color w:val="231F20"/>
          <w:sz w:val="18"/>
          <w:szCs w:val="18"/>
        </w:rPr>
        <w:t xml:space="preserve"> которая яв</w:t>
      </w:r>
      <w:r w:rsidRPr="00350396">
        <w:rPr>
          <w:rFonts w:ascii="Bookman Old Style" w:eastAsia="Bookman Old Style" w:hAnsi="Bookman Old Style" w:cs="Bookman Old Style"/>
          <w:color w:val="231F20"/>
          <w:sz w:val="18"/>
          <w:szCs w:val="18"/>
        </w:rPr>
        <w:softHyphen/>
        <w:t>ляется аналогом рыночной цены. Квазирыночная цена ПНС может быть в форме равновесной либо неравновесной квазицены ПНС, т. е. в ситуации равенства либо неравенства спроса и предложения ПНС. Эквивалентом квазицены ПНС, уплачиваемым за ПНС по</w:t>
      </w:r>
      <w:r w:rsidRPr="00350396">
        <w:rPr>
          <w:rFonts w:ascii="Bookman Old Style" w:eastAsia="Bookman Old Style" w:hAnsi="Bookman Old Style" w:cs="Bookman Old Style"/>
          <w:color w:val="231F20"/>
          <w:sz w:val="18"/>
          <w:szCs w:val="18"/>
        </w:rPr>
        <w:softHyphen/>
        <w:t>требителем, является сумма его усилий и других ресурсов (время, деньги и т. п.), которые он затрачивает для приобретения непосред</w:t>
      </w:r>
      <w:r w:rsidRPr="00350396">
        <w:rPr>
          <w:rFonts w:ascii="Bookman Old Style" w:eastAsia="Bookman Old Style" w:hAnsi="Bookman Old Style" w:cs="Bookman Old Style"/>
          <w:color w:val="231F20"/>
          <w:sz w:val="18"/>
          <w:szCs w:val="18"/>
        </w:rPr>
        <w:softHyphen/>
        <w:t>ственно ПНС либо права на его получение в будущем.</w:t>
      </w:r>
    </w:p>
    <w:p w14:paraId="20C5F64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Общественная ценность ПННД не включает в себя политическую ренту, как имеет место в случае с ППД. Однако эффект, получаемый от потребления ПННД, дает его производителю общественный ав</w:t>
      </w:r>
      <w:r w:rsidRPr="00350396">
        <w:rPr>
          <w:rFonts w:ascii="Bookman Old Style" w:eastAsia="Bookman Old Style" w:hAnsi="Bookman Old Style" w:cs="Bookman Old Style"/>
          <w:color w:val="231F20"/>
          <w:sz w:val="18"/>
          <w:szCs w:val="18"/>
        </w:rPr>
        <w:softHyphen/>
        <w:t>торитет, который также может быть реинвестирован в новый вос</w:t>
      </w:r>
      <w:r w:rsidRPr="00350396">
        <w:rPr>
          <w:rFonts w:ascii="Bookman Old Style" w:eastAsia="Bookman Old Style" w:hAnsi="Bookman Old Style" w:cs="Bookman Old Style"/>
          <w:color w:val="231F20"/>
          <w:sz w:val="18"/>
          <w:szCs w:val="18"/>
        </w:rPr>
        <w:softHyphen/>
        <w:t>производственный цикл ПННД. Пользуясь им, можно и дальше получать материальные и иные инвестиции в производство ПННД или ППД. Последнее возможно при желании лидера НКО занимать</w:t>
      </w:r>
      <w:r w:rsidRPr="00350396">
        <w:rPr>
          <w:rFonts w:ascii="Bookman Old Style" w:eastAsia="Bookman Old Style" w:hAnsi="Bookman Old Style" w:cs="Bookman Old Style"/>
          <w:color w:val="231F20"/>
          <w:sz w:val="18"/>
          <w:szCs w:val="18"/>
        </w:rPr>
        <w:softHyphen/>
        <w:t xml:space="preserve">ся политикой. Поэтому </w:t>
      </w:r>
      <w:r w:rsidRPr="00350396">
        <w:rPr>
          <w:rFonts w:ascii="Bookman Old Style" w:eastAsia="Bookman Old Style" w:hAnsi="Bookman Old Style" w:cs="Bookman Old Style"/>
          <w:i/>
          <w:iCs/>
          <w:color w:val="231F20"/>
          <w:sz w:val="18"/>
          <w:szCs w:val="18"/>
        </w:rPr>
        <w:t>квазиприбылъ для ПННД</w:t>
      </w:r>
      <w:r w:rsidRPr="00350396">
        <w:rPr>
          <w:rFonts w:ascii="Bookman Old Style" w:eastAsia="Bookman Old Style" w:hAnsi="Bookman Old Style" w:cs="Bookman Old Style"/>
          <w:color w:val="231F20"/>
          <w:sz w:val="18"/>
          <w:szCs w:val="18"/>
        </w:rPr>
        <w:t xml:space="preserve"> имеет специфику по сравнению со случаем ППД. Она может иметь меньший обще</w:t>
      </w:r>
      <w:r w:rsidRPr="00350396">
        <w:rPr>
          <w:rFonts w:ascii="Bookman Old Style" w:eastAsia="Bookman Old Style" w:hAnsi="Bookman Old Style" w:cs="Bookman Old Style"/>
          <w:color w:val="231F20"/>
          <w:sz w:val="18"/>
          <w:szCs w:val="18"/>
        </w:rPr>
        <w:softHyphen/>
        <w:t>ственный, в том числе политический, эффект и часто рассматрива</w:t>
      </w:r>
      <w:r w:rsidRPr="00350396">
        <w:rPr>
          <w:rFonts w:ascii="Bookman Old Style" w:eastAsia="Bookman Old Style" w:hAnsi="Bookman Old Style" w:cs="Bookman Old Style"/>
          <w:color w:val="231F20"/>
          <w:sz w:val="18"/>
          <w:szCs w:val="18"/>
        </w:rPr>
        <w:softHyphen/>
        <w:t>ется как определенное условие для производства ПННД и получе</w:t>
      </w:r>
      <w:r w:rsidRPr="00350396">
        <w:rPr>
          <w:rFonts w:ascii="Bookman Old Style" w:eastAsia="Bookman Old Style" w:hAnsi="Bookman Old Style" w:cs="Bookman Old Style"/>
          <w:color w:val="231F20"/>
          <w:sz w:val="18"/>
          <w:szCs w:val="18"/>
        </w:rPr>
        <w:softHyphen/>
        <w:t>ния уже в дальнейшем политической квазиприбыли. Квазиприбыль у ПНС может увеличиваться при значительных положительных экс</w:t>
      </w:r>
      <w:r w:rsidRPr="00350396">
        <w:rPr>
          <w:rFonts w:ascii="Bookman Old Style" w:eastAsia="Bookman Old Style" w:hAnsi="Bookman Old Style" w:cs="Bookman Old Style"/>
          <w:color w:val="231F20"/>
          <w:sz w:val="18"/>
          <w:szCs w:val="18"/>
        </w:rPr>
        <w:softHyphen/>
        <w:t xml:space="preserve">терналиях, что </w:t>
      </w:r>
      <w:r w:rsidRPr="00350396">
        <w:rPr>
          <w:rFonts w:ascii="Bookman Old Style" w:eastAsia="Bookman Old Style" w:hAnsi="Bookman Old Style" w:cs="Bookman Old Style"/>
          <w:color w:val="231F20"/>
          <w:sz w:val="18"/>
          <w:szCs w:val="18"/>
        </w:rPr>
        <w:lastRenderedPageBreak/>
        <w:t>должно повышать общественный авторитет произ</w:t>
      </w:r>
      <w:r w:rsidRPr="00350396">
        <w:rPr>
          <w:rFonts w:ascii="Bookman Old Style" w:eastAsia="Bookman Old Style" w:hAnsi="Bookman Old Style" w:cs="Bookman Old Style"/>
          <w:color w:val="231F20"/>
          <w:sz w:val="18"/>
          <w:szCs w:val="18"/>
        </w:rPr>
        <w:softHyphen/>
        <w:t>водителей ПНС.</w:t>
      </w:r>
    </w:p>
    <w:p w14:paraId="6585BC76"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Общественная ценность ПНС будет иметь влияние на формиро</w:t>
      </w:r>
      <w:r w:rsidRPr="00350396">
        <w:rPr>
          <w:rFonts w:ascii="Bookman Old Style" w:eastAsia="Bookman Old Style" w:hAnsi="Bookman Old Style" w:cs="Bookman Old Style"/>
          <w:color w:val="231F20"/>
          <w:sz w:val="18"/>
          <w:szCs w:val="18"/>
        </w:rPr>
        <w:softHyphen/>
        <w:t xml:space="preserve">вание </w:t>
      </w:r>
      <w:r w:rsidRPr="00350396">
        <w:rPr>
          <w:rFonts w:ascii="Bookman Old Style" w:eastAsia="Bookman Old Style" w:hAnsi="Bookman Old Style" w:cs="Bookman Old Style"/>
          <w:i/>
          <w:iCs/>
          <w:color w:val="231F20"/>
          <w:sz w:val="18"/>
          <w:szCs w:val="18"/>
        </w:rPr>
        <w:t>квазицены ПНС,</w:t>
      </w:r>
      <w:r w:rsidRPr="00350396">
        <w:rPr>
          <w:rFonts w:ascii="Bookman Old Style" w:eastAsia="Bookman Old Style" w:hAnsi="Bookman Old Style" w:cs="Bookman Old Style"/>
          <w:color w:val="231F20"/>
          <w:sz w:val="18"/>
          <w:szCs w:val="18"/>
        </w:rPr>
        <w:t xml:space="preserve"> хотя и не сравняется с ней. Равновесная ква</w:t>
      </w:r>
      <w:r w:rsidRPr="00350396">
        <w:rPr>
          <w:rFonts w:ascii="Bookman Old Style" w:eastAsia="Bookman Old Style" w:hAnsi="Bookman Old Style" w:cs="Bookman Old Style"/>
          <w:color w:val="231F20"/>
          <w:sz w:val="18"/>
          <w:szCs w:val="18"/>
        </w:rPr>
        <w:softHyphen/>
        <w:t>зицена на рынке ПНС в своей видимой форме будет определяться взаимодействием спроса и предложения. Здесь можно попытаться применить наработки неоклассической и институциональной те</w:t>
      </w:r>
      <w:r w:rsidRPr="00350396">
        <w:rPr>
          <w:rFonts w:ascii="Bookman Old Style" w:eastAsia="Bookman Old Style" w:hAnsi="Bookman Old Style" w:cs="Bookman Old Style"/>
          <w:color w:val="231F20"/>
          <w:sz w:val="18"/>
          <w:szCs w:val="18"/>
        </w:rPr>
        <w:softHyphen/>
        <w:t>орий. Предложение ПНС определяется в первую очередь издерж</w:t>
      </w:r>
      <w:r w:rsidRPr="00350396">
        <w:rPr>
          <w:rFonts w:ascii="Bookman Old Style" w:eastAsia="Bookman Old Style" w:hAnsi="Bookman Old Style" w:cs="Bookman Old Style"/>
          <w:color w:val="231F20"/>
          <w:sz w:val="18"/>
          <w:szCs w:val="18"/>
        </w:rPr>
        <w:softHyphen/>
        <w:t>ками производства. Однако издержки определяют скорее не ниж</w:t>
      </w:r>
      <w:r w:rsidRPr="00350396">
        <w:rPr>
          <w:rFonts w:ascii="Bookman Old Style" w:eastAsia="Bookman Old Style" w:hAnsi="Bookman Old Style" w:cs="Bookman Old Style"/>
          <w:color w:val="231F20"/>
          <w:sz w:val="18"/>
          <w:szCs w:val="18"/>
        </w:rPr>
        <w:softHyphen/>
        <w:t xml:space="preserve">нюю границу цены </w:t>
      </w:r>
      <w:r w:rsidRPr="00350396">
        <w:rPr>
          <w:rFonts w:ascii="Bookman Old Style" w:eastAsia="Bookman Old Style" w:hAnsi="Bookman Old Style" w:cs="Bookman Old Style"/>
          <w:color w:val="231F20"/>
          <w:sz w:val="18"/>
          <w:szCs w:val="18"/>
          <w:lang w:val="en-US" w:eastAsia="en-US" w:bidi="en-US"/>
        </w:rPr>
        <w:t>P</w:t>
      </w:r>
      <w:r w:rsidRPr="00350396">
        <w:rPr>
          <w:rFonts w:ascii="Bookman Old Style" w:eastAsia="Bookman Old Style" w:hAnsi="Bookman Old Style" w:cs="Bookman Old Style"/>
          <w:color w:val="231F20"/>
          <w:sz w:val="18"/>
          <w:szCs w:val="18"/>
          <w:vertAlign w:val="subscript"/>
          <w:lang w:val="en-US" w:eastAsia="en-US" w:bidi="en-US"/>
        </w:rPr>
        <w:t>min</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 xml:space="preserve">— цену предложения, а верхнюю границу </w:t>
      </w:r>
      <w:r w:rsidRPr="00350396">
        <w:rPr>
          <w:rFonts w:ascii="Bookman Old Style" w:eastAsia="Bookman Old Style" w:hAnsi="Bookman Old Style" w:cs="Bookman Old Style"/>
          <w:color w:val="231F20"/>
          <w:sz w:val="18"/>
          <w:szCs w:val="18"/>
          <w:lang w:eastAsia="en-US" w:bidi="en-US"/>
        </w:rPr>
        <w:t>(</w:t>
      </w:r>
      <w:r w:rsidRPr="00350396">
        <w:rPr>
          <w:rFonts w:ascii="Bookman Old Style" w:eastAsia="Bookman Old Style" w:hAnsi="Bookman Old Style" w:cs="Bookman Old Style"/>
          <w:color w:val="231F20"/>
          <w:sz w:val="18"/>
          <w:szCs w:val="18"/>
          <w:lang w:val="en-US" w:eastAsia="en-US" w:bidi="en-US"/>
        </w:rPr>
        <w:t>P</w:t>
      </w:r>
      <w:r w:rsidRPr="00350396">
        <w:rPr>
          <w:rFonts w:ascii="Bookman Old Style" w:eastAsia="Bookman Old Style" w:hAnsi="Bookman Old Style" w:cs="Bookman Old Style"/>
          <w:color w:val="231F20"/>
          <w:sz w:val="18"/>
          <w:szCs w:val="18"/>
          <w:vertAlign w:val="subscript"/>
          <w:lang w:val="en-US" w:eastAsia="en-US" w:bidi="en-US"/>
        </w:rPr>
        <w:t>max</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обусловленную материальными возможностями производи</w:t>
      </w:r>
      <w:r w:rsidRPr="00350396">
        <w:rPr>
          <w:rFonts w:ascii="Bookman Old Style" w:eastAsia="Bookman Old Style" w:hAnsi="Bookman Old Style" w:cs="Bookman Old Style"/>
          <w:color w:val="231F20"/>
          <w:sz w:val="18"/>
          <w:szCs w:val="18"/>
        </w:rPr>
        <w:softHyphen/>
        <w:t>теля и инвестора ПНС. Это относится прежде всего к производству ПННД. Поэтому возрастание общественной ценности и квазицены ПННД первоначально вызывает интерес у производителей и инве</w:t>
      </w:r>
      <w:r w:rsidRPr="00350396">
        <w:rPr>
          <w:rFonts w:ascii="Bookman Old Style" w:eastAsia="Bookman Old Style" w:hAnsi="Bookman Old Style" w:cs="Bookman Old Style"/>
          <w:color w:val="231F20"/>
          <w:sz w:val="18"/>
          <w:szCs w:val="18"/>
        </w:rPr>
        <w:softHyphen/>
        <w:t>сторов к увеличению производства ПННД, однако ввиду затратного и непосредственно (в данном цикле воспроизводства) неокупаемо- го в финансовом плане характера производства ПННД ставит верх</w:t>
      </w:r>
      <w:r w:rsidRPr="00350396">
        <w:rPr>
          <w:rFonts w:ascii="Bookman Old Style" w:eastAsia="Bookman Old Style" w:hAnsi="Bookman Old Style" w:cs="Bookman Old Style"/>
          <w:color w:val="231F20"/>
          <w:sz w:val="18"/>
          <w:szCs w:val="18"/>
        </w:rPr>
        <w:softHyphen/>
        <w:t>нюю границу его производства.</w:t>
      </w:r>
    </w:p>
    <w:p w14:paraId="569BDD52"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Применимость неоклассических понятий к теории ПНС под</w:t>
      </w:r>
      <w:r w:rsidRPr="00350396">
        <w:rPr>
          <w:rFonts w:ascii="Bookman Old Style" w:eastAsia="Bookman Old Style" w:hAnsi="Bookman Old Style" w:cs="Bookman Old Style"/>
          <w:color w:val="231F20"/>
          <w:sz w:val="18"/>
          <w:szCs w:val="18"/>
        </w:rPr>
        <w:softHyphen/>
        <w:t>тверждается сходством ПНС и общественных благ. Спрос на обще</w:t>
      </w:r>
      <w:r w:rsidRPr="00350396">
        <w:rPr>
          <w:rFonts w:ascii="Bookman Old Style" w:eastAsia="Bookman Old Style" w:hAnsi="Bookman Old Style" w:cs="Bookman Old Style"/>
          <w:color w:val="231F20"/>
          <w:sz w:val="18"/>
          <w:szCs w:val="18"/>
        </w:rPr>
        <w:softHyphen/>
        <w:t>ственные блага зависит от готовности потребителей платить за них. Он выявляется косвенно с помощью механизма общественного выбора, избирателей-налогоплательщиков, общественных опро</w:t>
      </w:r>
      <w:r w:rsidRPr="00350396">
        <w:rPr>
          <w:rFonts w:ascii="Bookman Old Style" w:eastAsia="Bookman Old Style" w:hAnsi="Bookman Old Style" w:cs="Bookman Old Style"/>
          <w:color w:val="231F20"/>
          <w:sz w:val="18"/>
          <w:szCs w:val="18"/>
        </w:rPr>
        <w:softHyphen/>
        <w:t>сов, коллективных договоренностей потребителей, а также метода аналогии с рыночными ценами. Поэтому предельную полезность общественного блага можно рассматривать как готовность людей всех вместе заплатить за дополнительную единицу общественно</w:t>
      </w:r>
      <w:r w:rsidRPr="00350396">
        <w:rPr>
          <w:rFonts w:ascii="Bookman Old Style" w:eastAsia="Bookman Old Style" w:hAnsi="Bookman Old Style" w:cs="Bookman Old Style"/>
          <w:color w:val="231F20"/>
          <w:sz w:val="18"/>
          <w:szCs w:val="18"/>
        </w:rPr>
        <w:softHyphen/>
        <w:t>го блага. Равновесный объем общественных благ будет находиться на пересечении предельной полезности (предельных выгод) обще</w:t>
      </w:r>
      <w:r w:rsidRPr="00350396">
        <w:rPr>
          <w:rFonts w:ascii="Bookman Old Style" w:eastAsia="Bookman Old Style" w:hAnsi="Bookman Old Style" w:cs="Bookman Old Style"/>
          <w:color w:val="231F20"/>
          <w:sz w:val="18"/>
          <w:szCs w:val="18"/>
        </w:rPr>
        <w:softHyphen/>
        <w:t>ственных благ с предельными затратами на них</w:t>
      </w:r>
      <w:r w:rsidRPr="00350396">
        <w:rPr>
          <w:rFonts w:ascii="Bookman Old Style" w:eastAsia="Bookman Old Style" w:hAnsi="Bookman Old Style" w:cs="Bookman Old Style"/>
          <w:color w:val="231F20"/>
          <w:sz w:val="18"/>
          <w:szCs w:val="18"/>
          <w:vertAlign w:val="superscript"/>
        </w:rPr>
        <w:footnoteReference w:id="58"/>
      </w:r>
      <w:r w:rsidRPr="00350396">
        <w:rPr>
          <w:rFonts w:ascii="Bookman Old Style" w:eastAsia="Bookman Old Style" w:hAnsi="Bookman Old Style" w:cs="Bookman Old Style"/>
          <w:color w:val="231F20"/>
          <w:sz w:val="18"/>
          <w:szCs w:val="18"/>
        </w:rPr>
        <w:t>.</w:t>
      </w:r>
    </w:p>
    <w:p w14:paraId="3486868E"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Приравнивая, как это обычно делается, предельную полезность ПНС к спросу на ПНС, а предельные затраты на производство ПНС — к предложению ПНС, мы получим равновесный объем ПНС в точке равенства спроса и предложения.</w:t>
      </w:r>
    </w:p>
    <w:p w14:paraId="27E4C16A"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Помимо неоклассической теории равновесной цены к оцен</w:t>
      </w:r>
      <w:r w:rsidRPr="00350396">
        <w:rPr>
          <w:rFonts w:ascii="Bookman Old Style" w:eastAsia="Bookman Old Style" w:hAnsi="Bookman Old Style" w:cs="Bookman Old Style"/>
          <w:color w:val="231F20"/>
          <w:sz w:val="18"/>
          <w:szCs w:val="18"/>
        </w:rPr>
        <w:softHyphen/>
        <w:t xml:space="preserve">ке квазицены ПННД можно привлечь и методики, применяемые в практике ценообразования на уровне предприятий, например </w:t>
      </w:r>
      <w:r w:rsidRPr="00350396">
        <w:rPr>
          <w:rFonts w:ascii="Bookman Old Style" w:eastAsia="Bookman Old Style" w:hAnsi="Bookman Old Style" w:cs="Bookman Old Style"/>
          <w:i/>
          <w:iCs/>
          <w:color w:val="231F20"/>
          <w:sz w:val="18"/>
          <w:szCs w:val="18"/>
        </w:rPr>
        <w:t>ме</w:t>
      </w:r>
      <w:r w:rsidRPr="00350396">
        <w:rPr>
          <w:rFonts w:ascii="Bookman Old Style" w:eastAsia="Bookman Old Style" w:hAnsi="Bookman Old Style" w:cs="Bookman Old Style"/>
          <w:i/>
          <w:iCs/>
          <w:color w:val="231F20"/>
          <w:sz w:val="18"/>
          <w:szCs w:val="18"/>
        </w:rPr>
        <w:softHyphen/>
        <w:t>тодику альтернативной оценки.</w:t>
      </w:r>
      <w:r w:rsidRPr="00350396">
        <w:rPr>
          <w:rFonts w:ascii="Bookman Old Style" w:eastAsia="Bookman Old Style" w:hAnsi="Bookman Old Style" w:cs="Bookman Old Style"/>
          <w:color w:val="231F20"/>
          <w:sz w:val="18"/>
          <w:szCs w:val="18"/>
        </w:rPr>
        <w:t xml:space="preserve"> Суть ее состоит в том, что ПННД часто имеет аналоги — общественные товары, выпускаемые госу</w:t>
      </w:r>
      <w:r w:rsidRPr="00350396">
        <w:rPr>
          <w:rFonts w:ascii="Bookman Old Style" w:eastAsia="Bookman Old Style" w:hAnsi="Bookman Old Style" w:cs="Bookman Old Style"/>
          <w:color w:val="231F20"/>
          <w:sz w:val="18"/>
          <w:szCs w:val="18"/>
        </w:rPr>
        <w:softHyphen/>
        <w:t>дарством. Зная структуру себестоимости и цен на аналоги и неко</w:t>
      </w:r>
      <w:r w:rsidRPr="00350396">
        <w:rPr>
          <w:rFonts w:ascii="Bookman Old Style" w:eastAsia="Bookman Old Style" w:hAnsi="Bookman Old Style" w:cs="Bookman Old Style"/>
          <w:color w:val="231F20"/>
          <w:sz w:val="18"/>
          <w:szCs w:val="18"/>
        </w:rPr>
        <w:softHyphen/>
        <w:t>торые фактические данные по издержкам на производство ПННД, можно определить как примерную величину квазицены ПННД, так и величину составляющих ее частей. Например, учитывая, что доля фонда оплаты труда (ФОТ) в стоимости выпускаемой продукции в России составляет примерно 20—25 %, можно по величине на</w:t>
      </w:r>
      <w:r w:rsidRPr="00350396">
        <w:rPr>
          <w:rFonts w:ascii="Bookman Old Style" w:eastAsia="Bookman Old Style" w:hAnsi="Bookman Old Style" w:cs="Bookman Old Style"/>
          <w:color w:val="231F20"/>
          <w:sz w:val="18"/>
          <w:szCs w:val="18"/>
        </w:rPr>
        <w:softHyphen/>
        <w:t xml:space="preserve">численной заработной платы в </w:t>
      </w:r>
      <w:r w:rsidRPr="00350396">
        <w:rPr>
          <w:rFonts w:ascii="Bookman Old Style" w:eastAsia="Bookman Old Style" w:hAnsi="Bookman Old Style" w:cs="Bookman Old Style"/>
          <w:color w:val="231F20"/>
          <w:sz w:val="18"/>
          <w:szCs w:val="18"/>
        </w:rPr>
        <w:lastRenderedPageBreak/>
        <w:t>общественных организациях опре</w:t>
      </w:r>
      <w:r w:rsidRPr="00350396">
        <w:rPr>
          <w:rFonts w:ascii="Bookman Old Style" w:eastAsia="Bookman Old Style" w:hAnsi="Bookman Old Style" w:cs="Bookman Old Style"/>
          <w:color w:val="231F20"/>
          <w:sz w:val="18"/>
          <w:szCs w:val="18"/>
        </w:rPr>
        <w:softHyphen/>
        <w:t>делить примерную квазицену ПННД. При этом необходимо учесть, что доля ФОТ в себестоимости услуги обычно больше, чем в себе</w:t>
      </w:r>
      <w:r w:rsidRPr="00350396">
        <w:rPr>
          <w:rFonts w:ascii="Bookman Old Style" w:eastAsia="Bookman Old Style" w:hAnsi="Bookman Old Style" w:cs="Bookman Old Style"/>
          <w:color w:val="231F20"/>
          <w:sz w:val="18"/>
          <w:szCs w:val="18"/>
        </w:rPr>
        <w:softHyphen/>
        <w:t>стоимости товара</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0DDCD27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Совокупная выручка от ППД,</w:t>
      </w:r>
      <w:r w:rsidRPr="00350396">
        <w:rPr>
          <w:rFonts w:ascii="Bookman Old Style" w:eastAsia="Bookman Old Style" w:hAnsi="Bookman Old Style" w:cs="Bookman Old Style"/>
          <w:color w:val="231F20"/>
          <w:sz w:val="18"/>
          <w:szCs w:val="18"/>
        </w:rPr>
        <w:t xml:space="preserve"> полученная партией на выборах, может формально при первой оценке выражаться в числе голосов избирателей, поданных за партию, а в дальнейшем она должна вы</w:t>
      </w:r>
      <w:r w:rsidRPr="00350396">
        <w:rPr>
          <w:rFonts w:ascii="Bookman Old Style" w:eastAsia="Bookman Old Style" w:hAnsi="Bookman Old Style" w:cs="Bookman Old Style"/>
          <w:color w:val="231F20"/>
          <w:sz w:val="18"/>
          <w:szCs w:val="18"/>
        </w:rPr>
        <w:softHyphen/>
        <w:t>разиться во всей совокупности благ, полученных партией после прихода к власти, включая затраты на производство ППД.</w:t>
      </w:r>
    </w:p>
    <w:p w14:paraId="6B8288E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случае достижения партией цели своего производственного про</w:t>
      </w:r>
      <w:r w:rsidRPr="00350396">
        <w:rPr>
          <w:rFonts w:ascii="Bookman Old Style" w:eastAsia="Bookman Old Style" w:hAnsi="Bookman Old Style" w:cs="Bookman Old Style"/>
          <w:color w:val="231F20"/>
          <w:sz w:val="18"/>
          <w:szCs w:val="18"/>
        </w:rPr>
        <w:softHyphen/>
        <w:t>цесса квазиприбыль от ППД должна выражаться, на наш взгляд, в по</w:t>
      </w:r>
      <w:r w:rsidRPr="00350396">
        <w:rPr>
          <w:rFonts w:ascii="Bookman Old Style" w:eastAsia="Bookman Old Style" w:hAnsi="Bookman Old Style" w:cs="Bookman Old Style"/>
          <w:color w:val="231F20"/>
          <w:sz w:val="18"/>
          <w:szCs w:val="18"/>
        </w:rPr>
        <w:softHyphen/>
        <w:t>лучении производителями ППД ресурса политической власти, в ро</w:t>
      </w:r>
      <w:r w:rsidRPr="00350396">
        <w:rPr>
          <w:rFonts w:ascii="Bookman Old Style" w:eastAsia="Bookman Old Style" w:hAnsi="Bookman Old Style" w:cs="Bookman Old Style"/>
          <w:color w:val="231F20"/>
          <w:sz w:val="18"/>
          <w:szCs w:val="18"/>
        </w:rPr>
        <w:softHyphen/>
        <w:t>сте их политического авторитета. Все эти блага имеют способность быть повторно инвестированными в политическую деятельность, подобно обычной прибыли. Ресурс власти («административный ре</w:t>
      </w:r>
      <w:r w:rsidRPr="00350396">
        <w:rPr>
          <w:rFonts w:ascii="Bookman Old Style" w:eastAsia="Bookman Old Style" w:hAnsi="Bookman Old Style" w:cs="Bookman Old Style"/>
          <w:color w:val="231F20"/>
          <w:sz w:val="18"/>
          <w:szCs w:val="18"/>
        </w:rPr>
        <w:softHyphen/>
        <w:t>сурс») дает возможность прошедшим в органы власти представите</w:t>
      </w:r>
      <w:r w:rsidRPr="00350396">
        <w:rPr>
          <w:rFonts w:ascii="Bookman Old Style" w:eastAsia="Bookman Old Style" w:hAnsi="Bookman Old Style" w:cs="Bookman Old Style"/>
          <w:color w:val="231F20"/>
          <w:sz w:val="18"/>
          <w:szCs w:val="18"/>
        </w:rPr>
        <w:softHyphen/>
        <w:t>лям партий или иных структур лоббировать интересы организаций, которые они представляют, и получать для них значительное бюд</w:t>
      </w:r>
      <w:r w:rsidRPr="00350396">
        <w:rPr>
          <w:rFonts w:ascii="Bookman Old Style" w:eastAsia="Bookman Old Style" w:hAnsi="Bookman Old Style" w:cs="Bookman Old Style"/>
          <w:color w:val="231F20"/>
          <w:sz w:val="18"/>
          <w:szCs w:val="18"/>
        </w:rPr>
        <w:softHyphen/>
        <w:t>жетное или частное благотворительное финансирование.</w:t>
      </w:r>
    </w:p>
    <w:p w14:paraId="09CADAD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После стадии обращения ПНС попадает в распоряжение потре</w:t>
      </w:r>
      <w:r w:rsidRPr="00350396">
        <w:rPr>
          <w:rFonts w:ascii="Bookman Old Style" w:eastAsia="Bookman Old Style" w:hAnsi="Bookman Old Style" w:cs="Bookman Old Style"/>
          <w:color w:val="231F20"/>
          <w:sz w:val="18"/>
          <w:szCs w:val="18"/>
        </w:rPr>
        <w:softHyphen/>
        <w:t>бителя, в роли которого могут выступать нуждающиеся домохозяй</w:t>
      </w:r>
      <w:r w:rsidRPr="00350396">
        <w:rPr>
          <w:rFonts w:ascii="Bookman Old Style" w:eastAsia="Bookman Old Style" w:hAnsi="Bookman Old Style" w:cs="Bookman Old Style"/>
          <w:color w:val="231F20"/>
          <w:sz w:val="18"/>
          <w:szCs w:val="18"/>
        </w:rPr>
        <w:softHyphen/>
        <w:t>ства, отдельные НКО, коммерческие организации, иногда органы государственной власти и зарубежные организации. Особенность состоит в том, что ПНС является услугой и поэтому потребляться может обычно только целевым образом, т. е. в соответствии с его назначением.</w:t>
      </w:r>
    </w:p>
    <w:p w14:paraId="46392FC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Традиционно различают производственное и непроизводствен</w:t>
      </w:r>
      <w:r w:rsidRPr="00350396">
        <w:rPr>
          <w:rFonts w:ascii="Bookman Old Style" w:eastAsia="Bookman Old Style" w:hAnsi="Bookman Old Style" w:cs="Bookman Old Style"/>
          <w:color w:val="231F20"/>
          <w:sz w:val="18"/>
          <w:szCs w:val="18"/>
        </w:rPr>
        <w:softHyphen/>
        <w:t>ное потребление.</w:t>
      </w:r>
    </w:p>
    <w:p w14:paraId="1AEA094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Потребление в воспроизводственном цикле продукта некоммер</w:t>
      </w:r>
      <w:r w:rsidRPr="00350396">
        <w:rPr>
          <w:rFonts w:ascii="Bookman Old Style" w:eastAsia="Bookman Old Style" w:hAnsi="Bookman Old Style" w:cs="Bookman Old Style"/>
          <w:color w:val="231F20"/>
          <w:sz w:val="18"/>
          <w:szCs w:val="18"/>
        </w:rPr>
        <w:softHyphen/>
        <w:t>ческого сектора, который является по отношению к потреблению вышележащей системой, выполняет следующие основные функции:</w:t>
      </w:r>
    </w:p>
    <w:p w14:paraId="1F72E6E6" w14:textId="77777777" w:rsidR="00350396" w:rsidRPr="00350396" w:rsidRDefault="00350396" w:rsidP="00350396">
      <w:pPr>
        <w:widowControl w:val="0"/>
        <w:numPr>
          <w:ilvl w:val="0"/>
          <w:numId w:val="40"/>
        </w:numPr>
        <w:tabs>
          <w:tab w:val="left" w:pos="62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удовлетворение основной массы частных и части всеобщих интересов членов гражданского общества — домохозяйств через обеспечение их факторных и нефакторных доходов;</w:t>
      </w:r>
    </w:p>
    <w:p w14:paraId="1610D3EF" w14:textId="77777777" w:rsidR="00350396" w:rsidRPr="00350396" w:rsidRDefault="00350396" w:rsidP="00350396">
      <w:pPr>
        <w:widowControl w:val="0"/>
        <w:numPr>
          <w:ilvl w:val="0"/>
          <w:numId w:val="40"/>
        </w:numPr>
        <w:tabs>
          <w:tab w:val="left" w:pos="62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удовлетворение потребности некоммерческих объединений в ресурсах, необходимых для производства ПНС;</w:t>
      </w:r>
    </w:p>
    <w:p w14:paraId="1E9F2B27" w14:textId="77777777" w:rsidR="00350396" w:rsidRPr="00350396" w:rsidRDefault="00350396" w:rsidP="00350396">
      <w:pPr>
        <w:widowControl w:val="0"/>
        <w:numPr>
          <w:ilvl w:val="0"/>
          <w:numId w:val="40"/>
        </w:numPr>
        <w:tabs>
          <w:tab w:val="left" w:pos="621"/>
        </w:tabs>
        <w:spacing w:line="250" w:lineRule="exact"/>
        <w:ind w:firstLine="320"/>
        <w:jc w:val="left"/>
        <w:rPr>
          <w:rFonts w:ascii="Bookman Old Style" w:eastAsia="Bookman Old Style" w:hAnsi="Bookman Old Style" w:cs="Bookman Old Style"/>
          <w:sz w:val="18"/>
          <w:szCs w:val="18"/>
        </w:rPr>
        <w:sectPr w:rsidR="00350396" w:rsidRPr="00350396">
          <w:footerReference w:type="even" r:id="rId29"/>
          <w:footerReference w:type="default" r:id="rId30"/>
          <w:footerReference w:type="first" r:id="rId31"/>
          <w:pgSz w:w="8789" w:h="13493"/>
          <w:pgMar w:top="853" w:right="1066" w:bottom="1057" w:left="1061" w:header="0" w:footer="3" w:gutter="0"/>
          <w:cols w:space="720"/>
          <w:noEndnote/>
          <w:titlePg/>
          <w:docGrid w:linePitch="360"/>
        </w:sectPr>
      </w:pPr>
      <w:r w:rsidRPr="00350396">
        <w:rPr>
          <w:rFonts w:ascii="Bookman Old Style" w:eastAsia="Bookman Old Style" w:hAnsi="Bookman Old Style" w:cs="Bookman Old Style"/>
          <w:color w:val="231F20"/>
          <w:sz w:val="18"/>
          <w:szCs w:val="18"/>
        </w:rPr>
        <w:t>снижение социальной напряженности, стабилизация обще</w:t>
      </w:r>
      <w:r w:rsidRPr="00350396">
        <w:rPr>
          <w:rFonts w:ascii="Bookman Old Style" w:eastAsia="Bookman Old Style" w:hAnsi="Bookman Old Style" w:cs="Bookman Old Style"/>
          <w:color w:val="231F20"/>
          <w:sz w:val="18"/>
          <w:szCs w:val="18"/>
        </w:rPr>
        <w:softHyphen/>
        <w:t>ственной системы.</w:t>
      </w:r>
    </w:p>
    <w:p w14:paraId="5B473AE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Потребителя ПНС и потребителя рыночных товаров сближают следующие моменты.</w:t>
      </w:r>
    </w:p>
    <w:p w14:paraId="56AB918C" w14:textId="77777777" w:rsidR="00350396" w:rsidRPr="00350396" w:rsidRDefault="00350396" w:rsidP="00350396">
      <w:pPr>
        <w:widowControl w:val="0"/>
        <w:numPr>
          <w:ilvl w:val="0"/>
          <w:numId w:val="41"/>
        </w:numPr>
        <w:tabs>
          <w:tab w:val="left" w:pos="642"/>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Сходство потребностей. Многие потребности способны удов</w:t>
      </w:r>
      <w:r w:rsidRPr="00350396">
        <w:rPr>
          <w:rFonts w:ascii="Bookman Old Style" w:eastAsia="Bookman Old Style" w:hAnsi="Bookman Old Style" w:cs="Bookman Old Style"/>
          <w:color w:val="231F20"/>
          <w:sz w:val="18"/>
          <w:szCs w:val="18"/>
        </w:rPr>
        <w:softHyphen/>
        <w:t>летворяться как рыночными товарами, так и ПНС. Это касается всех материальных и значительной части духовных потребностей. Лишь часть духовных потребностей, удовлетворяемых традиционно част</w:t>
      </w:r>
      <w:r w:rsidRPr="00350396">
        <w:rPr>
          <w:rFonts w:ascii="Bookman Old Style" w:eastAsia="Bookman Old Style" w:hAnsi="Bookman Old Style" w:cs="Bookman Old Style"/>
          <w:color w:val="231F20"/>
          <w:sz w:val="18"/>
          <w:szCs w:val="18"/>
        </w:rPr>
        <w:softHyphen/>
        <w:t>ным образом (в любви, уважении, дружбе и т. п.), не могут реали</w:t>
      </w:r>
      <w:r w:rsidRPr="00350396">
        <w:rPr>
          <w:rFonts w:ascii="Bookman Old Style" w:eastAsia="Bookman Old Style" w:hAnsi="Bookman Old Style" w:cs="Bookman Old Style"/>
          <w:color w:val="231F20"/>
          <w:sz w:val="18"/>
          <w:szCs w:val="18"/>
        </w:rPr>
        <w:softHyphen/>
        <w:t>зовываться на коммерческих условиях.</w:t>
      </w:r>
    </w:p>
    <w:p w14:paraId="0EFB9BB4" w14:textId="77777777" w:rsidR="00350396" w:rsidRPr="00350396" w:rsidRDefault="00350396" w:rsidP="00350396">
      <w:pPr>
        <w:widowControl w:val="0"/>
        <w:numPr>
          <w:ilvl w:val="0"/>
          <w:numId w:val="41"/>
        </w:numPr>
        <w:tabs>
          <w:tab w:val="left" w:pos="642"/>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Общая цель — максимизация полезности. Потребность на</w:t>
      </w:r>
      <w:r w:rsidRPr="00350396">
        <w:rPr>
          <w:rFonts w:ascii="Bookman Old Style" w:eastAsia="Bookman Old Style" w:hAnsi="Bookman Old Style" w:cs="Bookman Old Style"/>
          <w:color w:val="231F20"/>
          <w:sz w:val="18"/>
          <w:szCs w:val="18"/>
        </w:rPr>
        <w:softHyphen/>
        <w:t>сыщается через процесс потребления. Потребление — это процесс усвоения полезности.</w:t>
      </w:r>
    </w:p>
    <w:p w14:paraId="6590F4D2" w14:textId="77777777" w:rsidR="00350396" w:rsidRPr="00350396" w:rsidRDefault="00350396" w:rsidP="00350396">
      <w:pPr>
        <w:widowControl w:val="0"/>
        <w:numPr>
          <w:ilvl w:val="0"/>
          <w:numId w:val="41"/>
        </w:numPr>
        <w:tabs>
          <w:tab w:val="left" w:pos="642"/>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Общий механизм удовлетворения потребности.</w:t>
      </w:r>
    </w:p>
    <w:p w14:paraId="050D117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Типичный (средний) потребитель ПНС должен иметь следующие</w:t>
      </w:r>
    </w:p>
    <w:p w14:paraId="61645274" w14:textId="77777777" w:rsidR="00350396" w:rsidRPr="00350396" w:rsidRDefault="00350396" w:rsidP="00350396">
      <w:pPr>
        <w:widowControl w:val="0"/>
        <w:spacing w:line="250" w:lineRule="exact"/>
        <w:ind w:firstLine="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признаки рационального потребителя:</w:t>
      </w:r>
    </w:p>
    <w:p w14:paraId="60BC23E0" w14:textId="77777777" w:rsidR="00350396" w:rsidRPr="00350396" w:rsidRDefault="00350396" w:rsidP="00350396">
      <w:pPr>
        <w:widowControl w:val="0"/>
        <w:tabs>
          <w:tab w:val="left" w:pos="642"/>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w:t>
      </w:r>
      <w:r w:rsidRPr="00350396">
        <w:rPr>
          <w:rFonts w:ascii="Bookman Old Style" w:eastAsia="Bookman Old Style" w:hAnsi="Bookman Old Style" w:cs="Bookman Old Style"/>
          <w:color w:val="231F20"/>
          <w:sz w:val="18"/>
          <w:szCs w:val="18"/>
        </w:rPr>
        <w:tab/>
        <w:t>знать качество, общественную ценность, общую и предель</w:t>
      </w:r>
      <w:r w:rsidRPr="00350396">
        <w:rPr>
          <w:rFonts w:ascii="Bookman Old Style" w:eastAsia="Bookman Old Style" w:hAnsi="Bookman Old Style" w:cs="Bookman Old Style"/>
          <w:color w:val="231F20"/>
          <w:sz w:val="18"/>
          <w:szCs w:val="18"/>
        </w:rPr>
        <w:softHyphen/>
        <w:t>ную полезность ПНС;</w:t>
      </w:r>
    </w:p>
    <w:p w14:paraId="2CB92C42" w14:textId="77777777" w:rsidR="00350396" w:rsidRPr="00350396" w:rsidRDefault="00350396" w:rsidP="00350396">
      <w:pPr>
        <w:widowControl w:val="0"/>
        <w:tabs>
          <w:tab w:val="left" w:pos="642"/>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w:t>
      </w:r>
      <w:r w:rsidRPr="00350396">
        <w:rPr>
          <w:rFonts w:ascii="Bookman Old Style" w:eastAsia="Bookman Old Style" w:hAnsi="Bookman Old Style" w:cs="Bookman Old Style"/>
          <w:color w:val="231F20"/>
          <w:sz w:val="18"/>
          <w:szCs w:val="18"/>
        </w:rPr>
        <w:tab/>
        <w:t>ориентироваться на квазирынке ПНС;</w:t>
      </w:r>
    </w:p>
    <w:p w14:paraId="56E39852" w14:textId="77777777" w:rsidR="00350396" w:rsidRPr="00350396" w:rsidRDefault="00350396" w:rsidP="00350396">
      <w:pPr>
        <w:widowControl w:val="0"/>
        <w:tabs>
          <w:tab w:val="left" w:pos="642"/>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w:t>
      </w:r>
      <w:r w:rsidRPr="00350396">
        <w:rPr>
          <w:rFonts w:ascii="Bookman Old Style" w:eastAsia="Bookman Old Style" w:hAnsi="Bookman Old Style" w:cs="Bookman Old Style"/>
          <w:color w:val="231F20"/>
          <w:sz w:val="18"/>
          <w:szCs w:val="18"/>
        </w:rPr>
        <w:tab/>
        <w:t>хорошо знать свои потребности;</w:t>
      </w:r>
    </w:p>
    <w:p w14:paraId="74577267" w14:textId="77777777" w:rsidR="00350396" w:rsidRPr="00350396" w:rsidRDefault="00350396" w:rsidP="00350396">
      <w:pPr>
        <w:widowControl w:val="0"/>
        <w:tabs>
          <w:tab w:val="left" w:pos="642"/>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w:t>
      </w:r>
      <w:r w:rsidRPr="00350396">
        <w:rPr>
          <w:rFonts w:ascii="Bookman Old Style" w:eastAsia="Bookman Old Style" w:hAnsi="Bookman Old Style" w:cs="Bookman Old Style"/>
          <w:color w:val="231F20"/>
          <w:sz w:val="18"/>
          <w:szCs w:val="18"/>
        </w:rPr>
        <w:tab/>
        <w:t>не выходить за пределы своего квазибюджета ПНС;</w:t>
      </w:r>
    </w:p>
    <w:p w14:paraId="59CCD9D8" w14:textId="77777777" w:rsidR="00350396" w:rsidRPr="00350396" w:rsidRDefault="00350396" w:rsidP="00350396">
      <w:pPr>
        <w:widowControl w:val="0"/>
        <w:tabs>
          <w:tab w:val="left" w:pos="642"/>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w:t>
      </w:r>
      <w:r w:rsidRPr="00350396">
        <w:rPr>
          <w:rFonts w:ascii="Bookman Old Style" w:eastAsia="Bookman Old Style" w:hAnsi="Bookman Old Style" w:cs="Bookman Old Style"/>
          <w:color w:val="231F20"/>
          <w:sz w:val="18"/>
          <w:szCs w:val="18"/>
        </w:rPr>
        <w:tab/>
        <w:t>потратить свои усилия так, чтобы максимизировать общую полезность.</w:t>
      </w:r>
    </w:p>
    <w:p w14:paraId="22CE1A3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ПНС, как и всякое потребляемое благо, теоретически можно раз</w:t>
      </w:r>
      <w:r w:rsidRPr="00350396">
        <w:rPr>
          <w:rFonts w:ascii="Bookman Old Style" w:eastAsia="Bookman Old Style" w:hAnsi="Bookman Old Style" w:cs="Bookman Old Style"/>
          <w:color w:val="231F20"/>
          <w:sz w:val="18"/>
          <w:szCs w:val="18"/>
        </w:rPr>
        <w:softHyphen/>
        <w:t>ложить на составные части. Полезность, в соответствии с концепци</w:t>
      </w:r>
      <w:r w:rsidRPr="00350396">
        <w:rPr>
          <w:rFonts w:ascii="Bookman Old Style" w:eastAsia="Bookman Old Style" w:hAnsi="Bookman Old Style" w:cs="Bookman Old Style"/>
          <w:color w:val="231F20"/>
          <w:sz w:val="18"/>
          <w:szCs w:val="18"/>
        </w:rPr>
        <w:softHyphen/>
        <w:t>ей маржинализма, можно представить как субъективно определяе</w:t>
      </w:r>
      <w:r w:rsidRPr="00350396">
        <w:rPr>
          <w:rFonts w:ascii="Bookman Old Style" w:eastAsia="Bookman Old Style" w:hAnsi="Bookman Old Style" w:cs="Bookman Old Style"/>
          <w:color w:val="231F20"/>
          <w:sz w:val="18"/>
          <w:szCs w:val="18"/>
        </w:rPr>
        <w:softHyphen/>
        <w:t>мую самим потребителем величину, размер которой также может обозначаться в условных единицах. Полезность последней потреб</w:t>
      </w:r>
      <w:r w:rsidRPr="00350396">
        <w:rPr>
          <w:rFonts w:ascii="Bookman Old Style" w:eastAsia="Bookman Old Style" w:hAnsi="Bookman Old Style" w:cs="Bookman Old Style"/>
          <w:color w:val="231F20"/>
          <w:sz w:val="18"/>
          <w:szCs w:val="18"/>
        </w:rPr>
        <w:softHyphen/>
        <w:t>ляемой единицы будет называться предельной. Сумма полезностей, которую извлекает потребитель от потребления всего количества данного товара или услуги, обозначается как совокупная, или об</w:t>
      </w:r>
      <w:r w:rsidRPr="00350396">
        <w:rPr>
          <w:rFonts w:ascii="Bookman Old Style" w:eastAsia="Bookman Old Style" w:hAnsi="Bookman Old Style" w:cs="Bookman Old Style"/>
          <w:color w:val="231F20"/>
          <w:sz w:val="18"/>
          <w:szCs w:val="18"/>
        </w:rPr>
        <w:softHyphen/>
        <w:t>щая, полезность.</w:t>
      </w:r>
    </w:p>
    <w:p w14:paraId="57CFCB2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Естественно, что при этом следует учитывать </w:t>
      </w:r>
      <w:r w:rsidRPr="00350396">
        <w:rPr>
          <w:rFonts w:ascii="Bookman Old Style" w:eastAsia="Bookman Old Style" w:hAnsi="Bookman Old Style" w:cs="Bookman Old Style"/>
          <w:i/>
          <w:iCs/>
          <w:color w:val="231F20"/>
          <w:sz w:val="18"/>
          <w:szCs w:val="18"/>
        </w:rPr>
        <w:t>специфику потре</w:t>
      </w:r>
      <w:r w:rsidRPr="00350396">
        <w:rPr>
          <w:rFonts w:ascii="Bookman Old Style" w:eastAsia="Bookman Old Style" w:hAnsi="Bookman Old Style" w:cs="Bookman Old Style"/>
          <w:i/>
          <w:iCs/>
          <w:color w:val="231F20"/>
          <w:sz w:val="18"/>
          <w:szCs w:val="18"/>
        </w:rPr>
        <w:softHyphen/>
        <w:t>бления ПНС:</w:t>
      </w:r>
    </w:p>
    <w:p w14:paraId="59B07818" w14:textId="77777777" w:rsidR="00350396" w:rsidRPr="00350396" w:rsidRDefault="00350396" w:rsidP="00350396">
      <w:pPr>
        <w:widowControl w:val="0"/>
        <w:numPr>
          <w:ilvl w:val="0"/>
          <w:numId w:val="42"/>
        </w:numPr>
        <w:tabs>
          <w:tab w:val="left" w:pos="642"/>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потребитель сам частично является участником производства ПНС. Лишь в отдельных случаях потребитель может вносить за ПНС символическую плату, значительно меньшую его фактической об</w:t>
      </w:r>
      <w:r w:rsidRPr="00350396">
        <w:rPr>
          <w:rFonts w:ascii="Bookman Old Style" w:eastAsia="Bookman Old Style" w:hAnsi="Bookman Old Style" w:cs="Bookman Old Style"/>
          <w:color w:val="231F20"/>
          <w:sz w:val="18"/>
          <w:szCs w:val="18"/>
        </w:rPr>
        <w:softHyphen/>
        <w:t>щественной ценности, в виде членских или добровольных благотво</w:t>
      </w:r>
      <w:r w:rsidRPr="00350396">
        <w:rPr>
          <w:rFonts w:ascii="Bookman Old Style" w:eastAsia="Bookman Old Style" w:hAnsi="Bookman Old Style" w:cs="Bookman Old Style"/>
          <w:color w:val="231F20"/>
          <w:sz w:val="18"/>
          <w:szCs w:val="18"/>
        </w:rPr>
        <w:softHyphen/>
        <w:t>рительных взносов</w:t>
      </w:r>
      <w:r w:rsidRPr="00350396">
        <w:rPr>
          <w:rFonts w:ascii="Bookman Old Style" w:eastAsia="Bookman Old Style" w:hAnsi="Bookman Old Style" w:cs="Bookman Old Style"/>
          <w:color w:val="231F20"/>
          <w:sz w:val="18"/>
          <w:szCs w:val="18"/>
          <w:vertAlign w:val="superscript"/>
        </w:rPr>
        <w:footnoteReference w:id="59"/>
      </w:r>
      <w:r w:rsidRPr="00350396">
        <w:rPr>
          <w:rFonts w:ascii="Bookman Old Style" w:eastAsia="Bookman Old Style" w:hAnsi="Bookman Old Style" w:cs="Bookman Old Style"/>
          <w:color w:val="231F20"/>
          <w:sz w:val="18"/>
          <w:szCs w:val="18"/>
        </w:rPr>
        <w:t>;</w:t>
      </w:r>
    </w:p>
    <w:p w14:paraId="61FC1904" w14:textId="77777777" w:rsidR="00350396" w:rsidRPr="00350396" w:rsidRDefault="00350396" w:rsidP="00350396">
      <w:pPr>
        <w:widowControl w:val="0"/>
        <w:numPr>
          <w:ilvl w:val="0"/>
          <w:numId w:val="42"/>
        </w:numPr>
        <w:tabs>
          <w:tab w:val="left" w:pos="642"/>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огромную роль при потреблении, как и в целом при воспро</w:t>
      </w:r>
      <w:r w:rsidRPr="00350396">
        <w:rPr>
          <w:rFonts w:ascii="Bookman Old Style" w:eastAsia="Bookman Old Style" w:hAnsi="Bookman Old Style" w:cs="Bookman Old Style"/>
          <w:color w:val="231F20"/>
          <w:sz w:val="18"/>
          <w:szCs w:val="18"/>
        </w:rPr>
        <w:softHyphen/>
        <w:t>изводстве ПНС, играют духовные факторы. Только удовлетворени</w:t>
      </w:r>
      <w:r w:rsidRPr="00350396">
        <w:rPr>
          <w:rFonts w:ascii="Bookman Old Style" w:eastAsia="Bookman Old Style" w:hAnsi="Bookman Old Style" w:cs="Bookman Old Style"/>
          <w:color w:val="231F20"/>
          <w:sz w:val="18"/>
          <w:szCs w:val="18"/>
        </w:rPr>
        <w:softHyphen/>
        <w:t>ем духовных потребностей можно адекватно объяснить положение потребительского равновесия, так же как и равновесие при произ</w:t>
      </w:r>
      <w:r w:rsidRPr="00350396">
        <w:rPr>
          <w:rFonts w:ascii="Bookman Old Style" w:eastAsia="Bookman Old Style" w:hAnsi="Bookman Old Style" w:cs="Bookman Old Style"/>
          <w:color w:val="231F20"/>
          <w:sz w:val="18"/>
          <w:szCs w:val="18"/>
        </w:rPr>
        <w:softHyphen/>
        <w:t>водстве и обмене-распределении ПНС, достигаемое участниками воспроизводства ПНС при внешней неэквивалентности обмена между ними с точки зрения учета только материальных благ. Волон</w:t>
      </w:r>
      <w:r w:rsidRPr="00350396">
        <w:rPr>
          <w:rFonts w:ascii="Bookman Old Style" w:eastAsia="Bookman Old Style" w:hAnsi="Bookman Old Style" w:cs="Bookman Old Style"/>
          <w:color w:val="231F20"/>
          <w:sz w:val="18"/>
          <w:szCs w:val="18"/>
        </w:rPr>
        <w:softHyphen/>
        <w:t>терский труд, вложенный в производство ПНС, может быть в сто</w:t>
      </w:r>
      <w:r w:rsidRPr="00350396">
        <w:rPr>
          <w:rFonts w:ascii="Bookman Old Style" w:eastAsia="Bookman Old Style" w:hAnsi="Bookman Old Style" w:cs="Bookman Old Style"/>
          <w:color w:val="231F20"/>
          <w:sz w:val="18"/>
          <w:szCs w:val="18"/>
        </w:rPr>
        <w:softHyphen/>
        <w:t xml:space="preserve">имостной </w:t>
      </w:r>
      <w:r w:rsidRPr="00350396">
        <w:rPr>
          <w:rFonts w:ascii="Bookman Old Style" w:eastAsia="Bookman Old Style" w:hAnsi="Bookman Old Style" w:cs="Bookman Old Style"/>
          <w:color w:val="231F20"/>
          <w:sz w:val="18"/>
          <w:szCs w:val="18"/>
        </w:rPr>
        <w:lastRenderedPageBreak/>
        <w:t>рыночной оценке гораздо больше рыночной квазицены полученного в итоге ПНС. Удовлетворение духовных потребностей участниками воспроизводства ПНС в ходе производства, распреде</w:t>
      </w:r>
      <w:r w:rsidRPr="00350396">
        <w:rPr>
          <w:rFonts w:ascii="Bookman Old Style" w:eastAsia="Bookman Old Style" w:hAnsi="Bookman Old Style" w:cs="Bookman Old Style"/>
          <w:color w:val="231F20"/>
          <w:sz w:val="18"/>
          <w:szCs w:val="18"/>
        </w:rPr>
        <w:softHyphen/>
        <w:t xml:space="preserve">ления-обмена и потребления ПНС можно назвать </w:t>
      </w:r>
      <w:r w:rsidRPr="00350396">
        <w:rPr>
          <w:rFonts w:ascii="Bookman Old Style" w:eastAsia="Bookman Old Style" w:hAnsi="Bookman Old Style" w:cs="Bookman Old Style"/>
          <w:i/>
          <w:iCs/>
          <w:color w:val="231F20"/>
          <w:sz w:val="18"/>
          <w:szCs w:val="18"/>
        </w:rPr>
        <w:t>внутренним по</w:t>
      </w:r>
      <w:r w:rsidRPr="00350396">
        <w:rPr>
          <w:rFonts w:ascii="Bookman Old Style" w:eastAsia="Bookman Old Style" w:hAnsi="Bookman Old Style" w:cs="Bookman Old Style"/>
          <w:i/>
          <w:iCs/>
          <w:color w:val="231F20"/>
          <w:sz w:val="18"/>
          <w:szCs w:val="18"/>
        </w:rPr>
        <w:softHyphen/>
        <w:t>ложительным эффектом воспроизводства ПНС;</w:t>
      </w:r>
    </w:p>
    <w:p w14:paraId="1F58A8AA" w14:textId="77777777" w:rsidR="00350396" w:rsidRPr="00350396" w:rsidRDefault="00350396" w:rsidP="00350396">
      <w:pPr>
        <w:widowControl w:val="0"/>
        <w:numPr>
          <w:ilvl w:val="0"/>
          <w:numId w:val="42"/>
        </w:numPr>
        <w:tabs>
          <w:tab w:val="left" w:pos="62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значительные различия наблюдаются при потреблении ППД и ПННД.</w:t>
      </w:r>
    </w:p>
    <w:p w14:paraId="274B3F0D"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Потребление ПННД, в отличие от ППД, в большинстве случаев должно быть адресным.</w:t>
      </w:r>
    </w:p>
    <w:p w14:paraId="0CBE9F88"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Имеются, правда, значительные группы ПННД, потребителями которых могут быть все без исключения домохозяйства, находящи</w:t>
      </w:r>
      <w:r w:rsidRPr="00350396">
        <w:rPr>
          <w:rFonts w:ascii="Bookman Old Style" w:eastAsia="Bookman Old Style" w:hAnsi="Bookman Old Style" w:cs="Bookman Old Style"/>
          <w:color w:val="231F20"/>
          <w:sz w:val="18"/>
          <w:szCs w:val="18"/>
        </w:rPr>
        <w:softHyphen/>
        <w:t>еся на данной территории, ввиду их близости по физической форме к чистым общественным благам. Это здоровая окружающая среда, общественная безопасность, гражданские свободы и т. п. Однако данные виды ПННД невозможно произвести без соответствующих политических решений, т. е. взаимосвязанных с ними ППД. Грань между политическим и неполитическим процессом производства подобных ПНС не всегда является четко определимой, тем более что традиционно такие блага под названием чистых общественных благ производятся государством.</w:t>
      </w:r>
    </w:p>
    <w:p w14:paraId="07FAD4AA"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Указанные особенности потребления ПНС определяют институцио</w:t>
      </w:r>
      <w:r w:rsidRPr="00350396">
        <w:rPr>
          <w:rFonts w:ascii="Bookman Old Style" w:eastAsia="Bookman Old Style" w:hAnsi="Bookman Old Style" w:cs="Bookman Old Style"/>
          <w:color w:val="231F20"/>
          <w:sz w:val="18"/>
          <w:szCs w:val="18"/>
        </w:rPr>
        <w:softHyphen/>
        <w:t>нальные факторы, учитываемые при создании модели потребитель</w:t>
      </w:r>
      <w:r w:rsidRPr="00350396">
        <w:rPr>
          <w:rFonts w:ascii="Bookman Old Style" w:eastAsia="Bookman Old Style" w:hAnsi="Bookman Old Style" w:cs="Bookman Old Style"/>
          <w:color w:val="231F20"/>
          <w:sz w:val="18"/>
          <w:szCs w:val="18"/>
        </w:rPr>
        <w:softHyphen/>
        <w:t>ского выбора ПНС. Помимо маржинальных инструментов потреби</w:t>
      </w:r>
      <w:r w:rsidRPr="00350396">
        <w:rPr>
          <w:rFonts w:ascii="Bookman Old Style" w:eastAsia="Bookman Old Style" w:hAnsi="Bookman Old Style" w:cs="Bookman Old Style"/>
          <w:color w:val="231F20"/>
          <w:sz w:val="18"/>
          <w:szCs w:val="18"/>
        </w:rPr>
        <w:softHyphen/>
        <w:t>тельского выбора, описанных выше, мы вводим в данную модель некоторые институциональные элементы, учитывающие специфику некоммерческого сектора. Это касается, например, правила макси</w:t>
      </w:r>
      <w:r w:rsidRPr="00350396">
        <w:rPr>
          <w:rFonts w:ascii="Bookman Old Style" w:eastAsia="Bookman Old Style" w:hAnsi="Bookman Old Style" w:cs="Bookman Old Style"/>
          <w:color w:val="231F20"/>
          <w:sz w:val="18"/>
          <w:szCs w:val="18"/>
        </w:rPr>
        <w:softHyphen/>
        <w:t>мизации полезности, где понятие общественной ценности ПНС вы</w:t>
      </w:r>
      <w:r w:rsidRPr="00350396">
        <w:rPr>
          <w:rFonts w:ascii="Bookman Old Style" w:eastAsia="Bookman Old Style" w:hAnsi="Bookman Old Style" w:cs="Bookman Old Style"/>
          <w:color w:val="231F20"/>
          <w:sz w:val="18"/>
          <w:szCs w:val="18"/>
        </w:rPr>
        <w:softHyphen/>
        <w:t>ражается не через денежные единицы, а через всю совокупность за</w:t>
      </w:r>
      <w:r w:rsidRPr="00350396">
        <w:rPr>
          <w:rFonts w:ascii="Bookman Old Style" w:eastAsia="Bookman Old Style" w:hAnsi="Bookman Old Style" w:cs="Bookman Old Style"/>
          <w:color w:val="231F20"/>
          <w:sz w:val="18"/>
          <w:szCs w:val="18"/>
        </w:rPr>
        <w:softHyphen/>
        <w:t>трат и прироста ценности, получаемой при воспроизводстве ПНС</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 Формирование общественной ценности ПНС аналогично формиро</w:t>
      </w:r>
      <w:r w:rsidRPr="00350396">
        <w:rPr>
          <w:rFonts w:ascii="Bookman Old Style" w:eastAsia="Bookman Old Style" w:hAnsi="Bookman Old Style" w:cs="Bookman Old Style"/>
          <w:color w:val="231F20"/>
          <w:sz w:val="18"/>
          <w:szCs w:val="18"/>
        </w:rPr>
        <w:softHyphen/>
        <w:t>ванию социального дохода (по терминологии Гэри Беккера)</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3CBD3056"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Полезность ПНС определяется его потребителем с учетом не толь</w:t>
      </w:r>
      <w:r w:rsidRPr="00350396">
        <w:rPr>
          <w:rFonts w:ascii="Bookman Old Style" w:eastAsia="Bookman Old Style" w:hAnsi="Bookman Old Style" w:cs="Bookman Old Style"/>
          <w:color w:val="231F20"/>
          <w:sz w:val="18"/>
          <w:szCs w:val="18"/>
        </w:rPr>
        <w:softHyphen/>
        <w:t>ко удовлетворения его непосредственной потребности, но и духов</w:t>
      </w:r>
      <w:r w:rsidRPr="00350396">
        <w:rPr>
          <w:rFonts w:ascii="Bookman Old Style" w:eastAsia="Bookman Old Style" w:hAnsi="Bookman Old Style" w:cs="Bookman Old Style"/>
          <w:color w:val="231F20"/>
          <w:sz w:val="18"/>
          <w:szCs w:val="18"/>
        </w:rPr>
        <w:softHyphen/>
        <w:t>ных факторов, неизбежно присутствующих при воспроизводстве ПНС, называемых нами разновидностями нефакторных доходов, или внутренними эффектами воспроизводства ПНС.</w:t>
      </w:r>
    </w:p>
    <w:p w14:paraId="40F41E05"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Производительным способом могут потребляться следующие типы ПНС:</w:t>
      </w:r>
    </w:p>
    <w:p w14:paraId="70308A4B" w14:textId="77777777" w:rsidR="00350396" w:rsidRPr="00350396" w:rsidRDefault="00350396" w:rsidP="00350396">
      <w:pPr>
        <w:widowControl w:val="0"/>
        <w:numPr>
          <w:ilvl w:val="0"/>
          <w:numId w:val="43"/>
        </w:numPr>
        <w:tabs>
          <w:tab w:val="left" w:pos="62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информация, необходимая для работы НКО, юридического, бухгалтерского и иного характера; </w:t>
      </w:r>
      <w:r w:rsidRPr="00350396">
        <w:rPr>
          <w:rFonts w:ascii="Bookman Old Style" w:eastAsia="Bookman Old Style" w:hAnsi="Bookman Old Style" w:cs="Bookman Old Style"/>
          <w:color w:val="231F20"/>
          <w:sz w:val="18"/>
          <w:szCs w:val="18"/>
          <w:vertAlign w:val="superscript"/>
        </w:rPr>
        <w:t xml:space="preserve">1 </w:t>
      </w:r>
      <w:r w:rsidRPr="00350396">
        <w:rPr>
          <w:rFonts w:ascii="Bookman Old Style" w:eastAsia="Bookman Old Style" w:hAnsi="Bookman Old Style" w:cs="Bookman Old Style"/>
          <w:color w:val="231F20"/>
          <w:sz w:val="18"/>
          <w:szCs w:val="18"/>
          <w:vertAlign w:val="superscript"/>
        </w:rPr>
        <w:footnoteReference w:id="60"/>
      </w:r>
    </w:p>
    <w:p w14:paraId="11364F58" w14:textId="77777777" w:rsidR="00350396" w:rsidRPr="00350396" w:rsidRDefault="00350396" w:rsidP="00350396">
      <w:pPr>
        <w:widowControl w:val="0"/>
        <w:numPr>
          <w:ilvl w:val="0"/>
          <w:numId w:val="43"/>
        </w:numPr>
        <w:tabs>
          <w:tab w:val="left" w:pos="626"/>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обучение актива НКО технологиям работы (партийное стро</w:t>
      </w:r>
      <w:r w:rsidRPr="00350396">
        <w:rPr>
          <w:rFonts w:ascii="Bookman Old Style" w:eastAsia="Bookman Old Style" w:hAnsi="Bookman Old Style" w:cs="Bookman Old Style"/>
          <w:color w:val="231F20"/>
          <w:sz w:val="18"/>
          <w:szCs w:val="18"/>
        </w:rPr>
        <w:softHyphen/>
        <w:t>ительство, пиар и др.);</w:t>
      </w:r>
    </w:p>
    <w:p w14:paraId="6B8E8C40" w14:textId="77777777" w:rsidR="00350396" w:rsidRPr="00350396" w:rsidRDefault="00350396" w:rsidP="00350396">
      <w:pPr>
        <w:widowControl w:val="0"/>
        <w:numPr>
          <w:ilvl w:val="0"/>
          <w:numId w:val="43"/>
        </w:numPr>
        <w:tabs>
          <w:tab w:val="left" w:pos="626"/>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политическое действие, необходимое для производства дру</w:t>
      </w:r>
      <w:r w:rsidRPr="00350396">
        <w:rPr>
          <w:rFonts w:ascii="Bookman Old Style" w:eastAsia="Bookman Old Style" w:hAnsi="Bookman Old Style" w:cs="Bookman Old Style"/>
          <w:color w:val="231F20"/>
          <w:sz w:val="18"/>
          <w:szCs w:val="18"/>
        </w:rPr>
        <w:softHyphen/>
        <w:t>гого ППД или ПННД.</w:t>
      </w:r>
    </w:p>
    <w:p w14:paraId="56A776AC"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ПНС, потребляемый другой НКО, тут же мгновенно включается в производство нового ПНС. Обычно здесь отсутствует стадия об</w:t>
      </w:r>
      <w:r w:rsidRPr="00350396">
        <w:rPr>
          <w:rFonts w:ascii="Bookman Old Style" w:eastAsia="Bookman Old Style" w:hAnsi="Bookman Old Style" w:cs="Bookman Old Style"/>
          <w:color w:val="231F20"/>
          <w:sz w:val="18"/>
          <w:szCs w:val="18"/>
        </w:rPr>
        <w:softHyphen/>
        <w:t>мена, характерная для рынка, так как нет эквивалентного обмена. ПНС передается безвозмездно потребителю, что обычно является условием инвесторов или всей некоммерческой программы</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7180956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Иногда ПНС будет потребляться коммерческим сектором. По сути, это коммерческая деятельность, однако обе сотруднича</w:t>
      </w:r>
      <w:r w:rsidRPr="00350396">
        <w:rPr>
          <w:rFonts w:ascii="Bookman Old Style" w:eastAsia="Bookman Old Style" w:hAnsi="Bookman Old Style" w:cs="Bookman Old Style"/>
          <w:color w:val="231F20"/>
          <w:sz w:val="18"/>
          <w:szCs w:val="18"/>
        </w:rPr>
        <w:softHyphen/>
        <w:t>ющие стороны (НКО и предприниматель) могут найти взаимный интерес в нетрадиционных способах работы и расчета за услуги, в частности для уклонения от уплаты налогов. НКО заинтересована в получении денежных или материальных инвестиций в производ</w:t>
      </w:r>
      <w:r w:rsidRPr="00350396">
        <w:rPr>
          <w:rFonts w:ascii="Bookman Old Style" w:eastAsia="Bookman Old Style" w:hAnsi="Bookman Old Style" w:cs="Bookman Old Style"/>
          <w:color w:val="231F20"/>
          <w:sz w:val="18"/>
          <w:szCs w:val="18"/>
        </w:rPr>
        <w:softHyphen/>
        <w:t>ство ПНС, а предприниматель — в развитии и укреплении своего общественного авторитета и политического капитала</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6CF05FF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Государство также может быть потребителем политических и </w:t>
      </w:r>
      <w:r w:rsidRPr="00350396">
        <w:rPr>
          <w:rFonts w:ascii="Bookman Old Style" w:eastAsia="Bookman Old Style" w:hAnsi="Bookman Old Style" w:cs="Bookman Old Style"/>
          <w:i/>
          <w:iCs/>
          <w:color w:val="231F20"/>
          <w:sz w:val="18"/>
          <w:szCs w:val="18"/>
          <w:lang w:val="en-US" w:eastAsia="en-US" w:bidi="en-US"/>
        </w:rPr>
        <w:t>PR</w:t>
      </w:r>
      <w:r w:rsidRPr="00350396">
        <w:rPr>
          <w:rFonts w:ascii="Bookman Old Style" w:eastAsia="Bookman Old Style" w:hAnsi="Bookman Old Style" w:cs="Bookman Old Style"/>
          <w:i/>
          <w:iCs/>
          <w:color w:val="231F20"/>
          <w:sz w:val="18"/>
          <w:szCs w:val="18"/>
        </w:rPr>
        <w:t>- услуг</w:t>
      </w:r>
      <w:r w:rsidRPr="00350396">
        <w:rPr>
          <w:rFonts w:ascii="Bookman Old Style" w:eastAsia="Bookman Old Style" w:hAnsi="Bookman Old Style" w:cs="Bookman Old Style"/>
          <w:color w:val="231F20"/>
          <w:sz w:val="18"/>
          <w:szCs w:val="18"/>
        </w:rPr>
        <w:t xml:space="preserve"> некоммерческого сектора. Заказчиками явно или неявно вы</w:t>
      </w:r>
      <w:r w:rsidRPr="00350396">
        <w:rPr>
          <w:rFonts w:ascii="Bookman Old Style" w:eastAsia="Bookman Old Style" w:hAnsi="Bookman Old Style" w:cs="Bookman Old Style"/>
          <w:color w:val="231F20"/>
          <w:sz w:val="18"/>
          <w:szCs w:val="18"/>
        </w:rPr>
        <w:softHyphen/>
        <w:t>ступают отдельные политические деятели, чиновники или полити</w:t>
      </w:r>
      <w:r w:rsidRPr="00350396">
        <w:rPr>
          <w:rFonts w:ascii="Bookman Old Style" w:eastAsia="Bookman Old Style" w:hAnsi="Bookman Old Style" w:cs="Bookman Old Style"/>
          <w:color w:val="231F20"/>
          <w:sz w:val="18"/>
          <w:szCs w:val="18"/>
        </w:rPr>
        <w:softHyphen/>
        <w:t>ческие группы. Впрочем, государство, как и коммерческий сектор, во всех этих примерах выступают скорее не как потребители, а как заказчики ПНС — инвесторы, поскольку непосредственными потре</w:t>
      </w:r>
      <w:r w:rsidRPr="00350396">
        <w:rPr>
          <w:rFonts w:ascii="Bookman Old Style" w:eastAsia="Bookman Old Style" w:hAnsi="Bookman Old Style" w:cs="Bookman Old Style"/>
          <w:color w:val="231F20"/>
          <w:sz w:val="18"/>
          <w:szCs w:val="18"/>
        </w:rPr>
        <w:softHyphen/>
        <w:t xml:space="preserve">бителями </w:t>
      </w:r>
      <w:r w:rsidRPr="00350396">
        <w:rPr>
          <w:rFonts w:ascii="Bookman Old Style" w:eastAsia="Bookman Old Style" w:hAnsi="Bookman Old Style" w:cs="Bookman Old Style"/>
          <w:color w:val="231F20"/>
          <w:sz w:val="18"/>
          <w:szCs w:val="18"/>
          <w:lang w:val="en-US" w:eastAsia="en-US" w:bidi="en-US"/>
        </w:rPr>
        <w:t>PR</w:t>
      </w:r>
      <w:r w:rsidRPr="00350396">
        <w:rPr>
          <w:rFonts w:ascii="Bookman Old Style" w:eastAsia="Bookman Old Style" w:hAnsi="Bookman Old Style" w:cs="Bookman Old Style"/>
          <w:color w:val="231F20"/>
          <w:sz w:val="18"/>
          <w:szCs w:val="18"/>
        </w:rPr>
        <w:t>-услуг выступает общественность (избиратели в целом или отдельные группы домохозяйств).</w:t>
      </w:r>
    </w:p>
    <w:p w14:paraId="5C9F698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Более явным примером потребления коммерческим сектором и государством ПНС служит удовлетворение части всеобщих ин</w:t>
      </w:r>
      <w:r w:rsidRPr="00350396">
        <w:rPr>
          <w:rFonts w:ascii="Bookman Old Style" w:eastAsia="Bookman Old Style" w:hAnsi="Bookman Old Style" w:cs="Bookman Old Style"/>
          <w:color w:val="231F20"/>
          <w:sz w:val="18"/>
          <w:szCs w:val="18"/>
        </w:rPr>
        <w:softHyphen/>
        <w:t>тересов посредством производства общественных благ — охрана окружающей среды, профилактика общественной безопасности, сохранение духовных ценностей, что в конечном итоге снижает со</w:t>
      </w:r>
      <w:r w:rsidRPr="00350396">
        <w:rPr>
          <w:rFonts w:ascii="Bookman Old Style" w:eastAsia="Bookman Old Style" w:hAnsi="Bookman Old Style" w:cs="Bookman Old Style"/>
          <w:color w:val="231F20"/>
          <w:sz w:val="18"/>
          <w:szCs w:val="18"/>
        </w:rPr>
        <w:softHyphen/>
        <w:t>циальную напряженность и сохраняет общественное равновесие.</w:t>
      </w:r>
    </w:p>
    <w:p w14:paraId="6A9FC97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Полная формула воспроизводства ПНС будет иметь следующий вид (рис. 3.1).</w:t>
      </w:r>
    </w:p>
    <w:p w14:paraId="0F01A6C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ряде случаев Т = Т</w:t>
      </w:r>
      <w:r w:rsidRPr="00350396">
        <w:rPr>
          <w:rFonts w:ascii="Bookman Old Style" w:eastAsia="Bookman Old Style" w:hAnsi="Bookman Old Style" w:cs="Bookman Old Style"/>
          <w:color w:val="231F20"/>
          <w:sz w:val="18"/>
          <w:szCs w:val="18"/>
          <w:vertAlign w:val="subscript"/>
        </w:rPr>
        <w:t>1</w:t>
      </w:r>
      <w:r w:rsidRPr="00350396">
        <w:rPr>
          <w:rFonts w:ascii="Bookman Old Style" w:eastAsia="Bookman Old Style" w:hAnsi="Bookman Old Style" w:cs="Bookman Old Style"/>
          <w:color w:val="231F20"/>
          <w:sz w:val="18"/>
          <w:szCs w:val="18"/>
        </w:rPr>
        <w:t xml:space="preserve"> — обязательное условие бесприбыльного производства с точки зрения стоимостного подхода. Ценность Д, по</w:t>
      </w:r>
      <w:r w:rsidRPr="00350396">
        <w:rPr>
          <w:rFonts w:ascii="Bookman Old Style" w:eastAsia="Bookman Old Style" w:hAnsi="Bookman Old Style" w:cs="Bookman Old Style"/>
          <w:color w:val="231F20"/>
          <w:sz w:val="18"/>
          <w:szCs w:val="18"/>
        </w:rPr>
        <w:softHyphen/>
        <w:t>шедшая на покупку факторов производства Тр, Сп, С и Пс, в процес</w:t>
      </w:r>
      <w:r w:rsidRPr="00350396">
        <w:rPr>
          <w:rFonts w:ascii="Bookman Old Style" w:eastAsia="Bookman Old Style" w:hAnsi="Bookman Old Style" w:cs="Bookman Old Style"/>
          <w:color w:val="231F20"/>
          <w:sz w:val="18"/>
          <w:szCs w:val="18"/>
        </w:rPr>
        <w:softHyphen/>
        <w:t>се производства сменила свою физическую природу, но сохранила свою величину.</w:t>
      </w:r>
    </w:p>
    <w:p w14:paraId="4D67655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Самовозрастания ценности не произошло, так же как и приба</w:t>
      </w:r>
      <w:r w:rsidRPr="00350396">
        <w:rPr>
          <w:rFonts w:ascii="Bookman Old Style" w:eastAsia="Bookman Old Style" w:hAnsi="Bookman Old Style" w:cs="Bookman Old Style"/>
          <w:color w:val="231F20"/>
          <w:sz w:val="18"/>
          <w:szCs w:val="18"/>
        </w:rPr>
        <w:softHyphen/>
        <w:t>вочный продукт не был произведен. Инвестиции пошли на опла</w:t>
      </w:r>
      <w:r w:rsidRPr="00350396">
        <w:rPr>
          <w:rFonts w:ascii="Bookman Old Style" w:eastAsia="Bookman Old Style" w:hAnsi="Bookman Old Style" w:cs="Bookman Old Style"/>
          <w:color w:val="231F20"/>
          <w:sz w:val="18"/>
          <w:szCs w:val="18"/>
        </w:rPr>
        <w:softHyphen/>
        <w:t xml:space="preserve">ту всех издержек. Собственники факторов производства получили компенсацию за предоставление своих ресурсов, равную величине </w:t>
      </w:r>
      <w:r w:rsidRPr="00350396">
        <w:rPr>
          <w:rFonts w:ascii="Bookman Old Style" w:eastAsia="Bookman Old Style" w:hAnsi="Bookman Old Style" w:cs="Bookman Old Style"/>
          <w:color w:val="231F20"/>
          <w:sz w:val="18"/>
          <w:szCs w:val="18"/>
          <w:vertAlign w:val="superscript"/>
        </w:rPr>
        <w:footnoteReference w:id="61"/>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62"/>
      </w:r>
      <w:r w:rsidRPr="00350396">
        <w:rPr>
          <w:rFonts w:ascii="Bookman Old Style" w:eastAsia="Bookman Old Style" w:hAnsi="Bookman Old Style" w:cs="Bookman Old Style"/>
          <w:sz w:val="18"/>
          <w:szCs w:val="18"/>
        </w:rPr>
        <w:br w:type="page"/>
      </w:r>
    </w:p>
    <w:p w14:paraId="12A6FCDE" w14:textId="77777777" w:rsidR="00350396" w:rsidRPr="00350396" w:rsidRDefault="00350396" w:rsidP="00350396">
      <w:pPr>
        <w:widowControl w:val="0"/>
        <w:spacing w:line="250" w:lineRule="exact"/>
        <w:ind w:firstLine="0"/>
        <w:rPr>
          <w:rFonts w:ascii="Bookman Old Style" w:eastAsia="Bookman Old Style" w:hAnsi="Bookman Old Style" w:cs="Bookman Old Style"/>
          <w:sz w:val="18"/>
          <w:szCs w:val="18"/>
        </w:rPr>
      </w:pPr>
      <w:r w:rsidRPr="00350396">
        <w:rPr>
          <w:rFonts w:ascii="Bookman Old Style" w:eastAsia="Bookman Old Style" w:hAnsi="Bookman Old Style" w:cs="Bookman Old Style"/>
          <w:noProof/>
          <w:sz w:val="18"/>
          <w:szCs w:val="18"/>
          <w:lang w:bidi="ar-SA"/>
        </w:rPr>
        <w:lastRenderedPageBreak/>
        <mc:AlternateContent>
          <mc:Choice Requires="wps">
            <w:drawing>
              <wp:anchor distT="0" distB="0" distL="63500" distR="63500" simplePos="0" relativeHeight="377507646" behindDoc="1" locked="0" layoutInCell="1" allowOverlap="1" wp14:anchorId="057F9A50" wp14:editId="0B4FB127">
                <wp:simplePos x="0" y="0"/>
                <wp:positionH relativeFrom="margin">
                  <wp:posOffset>1386205</wp:posOffset>
                </wp:positionH>
                <wp:positionV relativeFrom="paragraph">
                  <wp:posOffset>1249680</wp:posOffset>
                </wp:positionV>
                <wp:extent cx="225425" cy="121920"/>
                <wp:effectExtent l="2540" t="635" r="635" b="1270"/>
                <wp:wrapTopAndBottom/>
                <wp:docPr id="2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157C1" w14:textId="77777777" w:rsidR="00350396" w:rsidRDefault="00350396" w:rsidP="00350396">
                            <w:pPr>
                              <w:pStyle w:val="af0"/>
                              <w:shd w:val="clear" w:color="auto" w:fill="auto"/>
                              <w:spacing w:line="192" w:lineRule="exact"/>
                              <w:jc w:val="left"/>
                            </w:pPr>
                            <w:r>
                              <w:rPr>
                                <w:rStyle w:val="Exact1"/>
                              </w:rPr>
                              <w:t>Тр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7F9A50" id="Text Box 30" o:spid="_x0000_s1035" type="#_x0000_t202" style="position:absolute;left:0;text-align:left;margin-left:109.15pt;margin-top:98.4pt;width:17.75pt;height:9.6pt;z-index:-1258088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" filled="f" stroked="f">
                <v:textbox style="mso-fit-shape-to-text:t" inset="0,0,0,0">
                  <w:txbxContent>
                    <w:p w14:paraId="514157C1" w14:textId="77777777" w:rsidR="00350396" w:rsidRDefault="00350396" w:rsidP="00350396">
                      <w:pPr>
                        <w:pStyle w:val="af0"/>
                        <w:shd w:val="clear" w:color="auto" w:fill="auto"/>
                        <w:spacing w:line="192" w:lineRule="exact"/>
                        <w:jc w:val="left"/>
                      </w:pPr>
                      <w:r>
                        <w:rPr>
                          <w:rStyle w:val="Exact1"/>
                        </w:rPr>
                        <w:t>Тр</w:t>
                      </w:r>
                    </w:p>
                  </w:txbxContent>
                </v:textbox>
                <w10:wrap type="topAndBottom" anchorx="margin"/>
              </v:shape>
            </w:pict>
          </mc:Fallback>
        </mc:AlternateContent>
      </w:r>
      <w:r w:rsidRPr="00350396">
        <w:rPr>
          <w:rFonts w:ascii="Bookman Old Style" w:eastAsia="Bookman Old Style" w:hAnsi="Bookman Old Style" w:cs="Bookman Old Style"/>
          <w:noProof/>
          <w:sz w:val="18"/>
          <w:szCs w:val="18"/>
          <w:lang w:bidi="ar-SA"/>
        </w:rPr>
        <mc:AlternateContent>
          <mc:Choice Requires="wps">
            <w:drawing>
              <wp:anchor distT="0" distB="0" distL="63500" distR="63500" simplePos="0" relativeHeight="377508670" behindDoc="1" locked="0" layoutInCell="1" allowOverlap="1" wp14:anchorId="0B4BE097" wp14:editId="78F3B5E7">
                <wp:simplePos x="0" y="0"/>
                <wp:positionH relativeFrom="margin">
                  <wp:posOffset>2526030</wp:posOffset>
                </wp:positionH>
                <wp:positionV relativeFrom="paragraph">
                  <wp:posOffset>1249680</wp:posOffset>
                </wp:positionV>
                <wp:extent cx="231775" cy="121920"/>
                <wp:effectExtent l="0" t="635" r="0" b="1270"/>
                <wp:wrapTopAndBottom/>
                <wp:docPr id="19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7ACD" w14:textId="77777777" w:rsidR="00350396" w:rsidRDefault="00350396" w:rsidP="00350396">
                            <w:pPr>
                              <w:pStyle w:val="af0"/>
                              <w:shd w:val="clear" w:color="auto" w:fill="auto"/>
                              <w:spacing w:line="192" w:lineRule="exact"/>
                              <w:jc w:val="left"/>
                            </w:pPr>
                            <w:r>
                              <w:rPr>
                                <w:rStyle w:val="Exact1"/>
                                <w:lang w:val="en-US" w:eastAsia="en-US" w:bidi="en-US"/>
                              </w:rPr>
                              <w:t>Tpi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4BE097" id="Text Box 31" o:spid="_x0000_s1036" type="#_x0000_t202" style="position:absolute;left:0;text-align:left;margin-left:198.9pt;margin-top:98.4pt;width:18.25pt;height:9.6pt;z-index:-12580781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" filled="f" stroked="f">
                <v:textbox style="mso-fit-shape-to-text:t" inset="0,0,0,0">
                  <w:txbxContent>
                    <w:p w14:paraId="52D07ACD" w14:textId="77777777" w:rsidR="00350396" w:rsidRDefault="00350396" w:rsidP="00350396">
                      <w:pPr>
                        <w:pStyle w:val="af0"/>
                        <w:shd w:val="clear" w:color="auto" w:fill="auto"/>
                        <w:spacing w:line="192" w:lineRule="exact"/>
                        <w:jc w:val="left"/>
                      </w:pPr>
                      <w:r>
                        <w:rPr>
                          <w:rStyle w:val="Exact1"/>
                          <w:lang w:val="en-US" w:eastAsia="en-US" w:bidi="en-US"/>
                        </w:rPr>
                        <w:t>Tpi</w:t>
                      </w:r>
                    </w:p>
                  </w:txbxContent>
                </v:textbox>
                <w10:wrap type="topAndBottom" anchorx="margin"/>
              </v:shape>
            </w:pict>
          </mc:Fallback>
        </mc:AlternateContent>
      </w:r>
      <w:r w:rsidRPr="00350396">
        <w:rPr>
          <w:rFonts w:ascii="Bookman Old Style" w:eastAsia="Bookman Old Style" w:hAnsi="Bookman Old Style" w:cs="Bookman Old Style"/>
          <w:noProof/>
          <w:sz w:val="18"/>
          <w:szCs w:val="18"/>
          <w:lang w:bidi="ar-SA"/>
        </w:rPr>
        <mc:AlternateContent>
          <mc:Choice Requires="wps">
            <w:drawing>
              <wp:anchor distT="0" distB="0" distL="63500" distR="63500" simplePos="0" relativeHeight="377509694" behindDoc="1" locked="0" layoutInCell="1" allowOverlap="1" wp14:anchorId="38964FD6" wp14:editId="79819463">
                <wp:simplePos x="0" y="0"/>
                <wp:positionH relativeFrom="margin">
                  <wp:posOffset>2971165</wp:posOffset>
                </wp:positionH>
                <wp:positionV relativeFrom="paragraph">
                  <wp:posOffset>2397125</wp:posOffset>
                </wp:positionV>
                <wp:extent cx="164465" cy="128270"/>
                <wp:effectExtent l="0" t="0" r="635" b="0"/>
                <wp:wrapTopAndBottom/>
                <wp:docPr id="19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3F5B2" w14:textId="77777777" w:rsidR="00350396" w:rsidRDefault="00350396" w:rsidP="00350396">
                            <w:pPr>
                              <w:pStyle w:val="4f2"/>
                              <w:shd w:val="clear" w:color="auto" w:fill="auto"/>
                            </w:pPr>
                            <w:r>
                              <w:rPr>
                                <w:rStyle w:val="4Exact0"/>
                                <w:lang w:val="en-US" w:eastAsia="en-US" w:bidi="en-US"/>
                              </w:rPr>
                              <w:t>Ci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964FD6" id="Text Box 32" o:spid="_x0000_s1037" type="#_x0000_t202" style="position:absolute;left:0;text-align:left;margin-left:233.95pt;margin-top:188.75pt;width:12.95pt;height:10.1pt;z-index:-12580678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" filled="f" stroked="f">
                <v:textbox style="mso-fit-shape-to-text:t" inset="0,0,0,0">
                  <w:txbxContent>
                    <w:p w14:paraId="2303F5B2" w14:textId="77777777" w:rsidR="00350396" w:rsidRDefault="00350396" w:rsidP="00350396">
                      <w:pPr>
                        <w:pStyle w:val="4f2"/>
                        <w:shd w:val="clear" w:color="auto" w:fill="auto"/>
                      </w:pPr>
                      <w:r>
                        <w:rPr>
                          <w:rStyle w:val="4Exact0"/>
                          <w:lang w:val="en-US" w:eastAsia="en-US" w:bidi="en-US"/>
                        </w:rPr>
                        <w:t>Ci</w:t>
                      </w:r>
                    </w:p>
                  </w:txbxContent>
                </v:textbox>
                <w10:wrap type="topAndBottom" anchorx="margin"/>
              </v:shape>
            </w:pict>
          </mc:Fallback>
        </mc:AlternateContent>
      </w:r>
      <w:r w:rsidRPr="00350396">
        <w:rPr>
          <w:rFonts w:ascii="Bookman Old Style" w:eastAsia="Bookman Old Style" w:hAnsi="Bookman Old Style" w:cs="Bookman Old Style"/>
          <w:noProof/>
          <w:sz w:val="18"/>
          <w:szCs w:val="18"/>
          <w:lang w:bidi="ar-SA"/>
        </w:rPr>
        <mc:AlternateContent>
          <mc:Choice Requires="wps">
            <w:drawing>
              <wp:anchor distT="0" distB="0" distL="63500" distR="63500" simplePos="0" relativeHeight="377510718" behindDoc="1" locked="0" layoutInCell="1" allowOverlap="1" wp14:anchorId="7B269D63" wp14:editId="1370CFE3">
                <wp:simplePos x="0" y="0"/>
                <wp:positionH relativeFrom="margin">
                  <wp:posOffset>24130</wp:posOffset>
                </wp:positionH>
                <wp:positionV relativeFrom="paragraph">
                  <wp:posOffset>2795270</wp:posOffset>
                </wp:positionV>
                <wp:extent cx="4182110" cy="2194560"/>
                <wp:effectExtent l="2540" t="3175" r="0" b="2540"/>
                <wp:wrapTopAndBottom/>
                <wp:docPr id="19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84BA" w14:textId="77777777" w:rsidR="00350396" w:rsidRDefault="00350396" w:rsidP="00350396">
                            <w:pPr>
                              <w:pStyle w:val="3f4"/>
                              <w:shd w:val="clear" w:color="auto" w:fill="auto"/>
                            </w:pPr>
                            <w:r>
                              <w:rPr>
                                <w:rStyle w:val="3Exact0"/>
                              </w:rPr>
                              <w:t>Рис. 3.1.</w:t>
                            </w:r>
                            <w:r>
                              <w:rPr>
                                <w:rStyle w:val="3Exact1"/>
                                <w:b/>
                                <w:bCs/>
                              </w:rPr>
                              <w:t xml:space="preserve"> Полная формула воспроизводства продукта некоммерческого сектора:</w:t>
                            </w:r>
                          </w:p>
                          <w:p w14:paraId="0AF1D653" w14:textId="77777777" w:rsidR="00350396" w:rsidRDefault="00350396" w:rsidP="00350396">
                            <w:pPr>
                              <w:pStyle w:val="af0"/>
                              <w:shd w:val="clear" w:color="auto" w:fill="auto"/>
                            </w:pPr>
                            <w:r>
                              <w:rPr>
                                <w:rStyle w:val="Exact1"/>
                              </w:rPr>
                              <w:t>Д — деньги, инвестиции в производство ПНС; Т — товарная форма инвестиций после покупки на рынке факторов производства; Тр — фактор «труд»; Сп — средства производства (физический капитал), традиционно называемый фактором «капитал»; С — сырье (фактор «земля»);</w:t>
                            </w:r>
                          </w:p>
                          <w:p w14:paraId="7AB7E034" w14:textId="77777777" w:rsidR="00350396" w:rsidRDefault="00350396" w:rsidP="00350396">
                            <w:pPr>
                              <w:pStyle w:val="af0"/>
                              <w:shd w:val="clear" w:color="auto" w:fill="auto"/>
                              <w:ind w:left="220"/>
                              <w:jc w:val="left"/>
                            </w:pPr>
                            <w:r>
                              <w:rPr>
                                <w:rStyle w:val="Exact1"/>
                              </w:rPr>
                              <w:t>Пс — труд по управлению (фактор «предпринимательские способности»;</w:t>
                            </w:r>
                          </w:p>
                          <w:p w14:paraId="7B21119D" w14:textId="77777777" w:rsidR="00350396" w:rsidRDefault="00350396" w:rsidP="00350396">
                            <w:pPr>
                              <w:pStyle w:val="af0"/>
                              <w:shd w:val="clear" w:color="auto" w:fill="auto"/>
                            </w:pPr>
                            <w:r>
                              <w:rPr>
                                <w:rStyle w:val="Exact1"/>
                              </w:rPr>
                              <w:t>П — процесс производства; У — услуга — ПНС, используемый другими НКО для приобретения факторов производства нового ПНС. У аналогична Д, однако обычно без прибавочного продукта или прибыли; Тр</w:t>
                            </w:r>
                            <w:r>
                              <w:rPr>
                                <w:rStyle w:val="Exact1"/>
                                <w:vertAlign w:val="subscript"/>
                              </w:rPr>
                              <w:t>1</w:t>
                            </w:r>
                            <w:r>
                              <w:rPr>
                                <w:rStyle w:val="Exact1"/>
                              </w:rPr>
                              <w:t xml:space="preserve"> — новый «труд»; Сп</w:t>
                            </w:r>
                            <w:r>
                              <w:rPr>
                                <w:rStyle w:val="Exact1"/>
                                <w:vertAlign w:val="subscript"/>
                              </w:rPr>
                              <w:t>1</w:t>
                            </w:r>
                            <w:r>
                              <w:rPr>
                                <w:rStyle w:val="Exact1"/>
                              </w:rPr>
                              <w:t xml:space="preserve"> — новые «средства производства»; С</w:t>
                            </w:r>
                            <w:r>
                              <w:rPr>
                                <w:rStyle w:val="Exact1"/>
                                <w:vertAlign w:val="subscript"/>
                              </w:rPr>
                              <w:t>1</w:t>
                            </w:r>
                            <w:r>
                              <w:rPr>
                                <w:rStyle w:val="Exact1"/>
                              </w:rPr>
                              <w:t xml:space="preserve"> — новое сырье; Пс</w:t>
                            </w:r>
                            <w:r>
                              <w:rPr>
                                <w:rStyle w:val="Exact1"/>
                                <w:vertAlign w:val="subscript"/>
                              </w:rPr>
                              <w:t>1</w:t>
                            </w:r>
                            <w:r>
                              <w:rPr>
                                <w:rStyle w:val="Exact1"/>
                              </w:rPr>
                              <w:t xml:space="preserve"> — новый труд по управлению; Лп — личное потребление; Д</w:t>
                            </w:r>
                            <w:r>
                              <w:rPr>
                                <w:rStyle w:val="Exact1"/>
                                <w:vertAlign w:val="subscript"/>
                              </w:rPr>
                              <w:t>1</w:t>
                            </w:r>
                            <w:r>
                              <w:rPr>
                                <w:rStyle w:val="Exact1"/>
                              </w:rPr>
                              <w:t xml:space="preserve"> — новые инвестиции в производство нового ПНС; Т</w:t>
                            </w:r>
                            <w:r>
                              <w:rPr>
                                <w:rStyle w:val="Exact1"/>
                                <w:vertAlign w:val="subscript"/>
                              </w:rPr>
                              <w:t>1</w:t>
                            </w:r>
                            <w:r>
                              <w:rPr>
                                <w:rStyle w:val="Exact1"/>
                              </w:rPr>
                              <w:t xml:space="preserve"> — часть ПНС, ушедшая на потребление другим НКО, коммерческому сектору или государству; Т</w:t>
                            </w:r>
                            <w:r>
                              <w:rPr>
                                <w:rStyle w:val="Exact1"/>
                                <w:vertAlign w:val="subscript"/>
                              </w:rPr>
                              <w:t>2</w:t>
                            </w:r>
                            <w:r>
                              <w:rPr>
                                <w:rStyle w:val="Exact1"/>
                              </w:rPr>
                              <w:t xml:space="preserve"> — товарная форма инвестиций (Д</w:t>
                            </w:r>
                            <w:r>
                              <w:rPr>
                                <w:rStyle w:val="Exact1"/>
                                <w:vertAlign w:val="subscript"/>
                              </w:rPr>
                              <w:t>1</w:t>
                            </w:r>
                            <w:r>
                              <w:rPr>
                                <w:rStyle w:val="Exact1"/>
                              </w:rPr>
                              <w:t xml:space="preserve"> + часть Т</w:t>
                            </w:r>
                            <w:r>
                              <w:rPr>
                                <w:rStyle w:val="Exact1"/>
                                <w:vertAlign w:val="subscript"/>
                              </w:rPr>
                              <w:t>1</w:t>
                            </w:r>
                            <w:r>
                              <w:rPr>
                                <w:rStyle w:val="Exact1"/>
                              </w:rPr>
                              <w:t>), которая воплощается в факторах производства</w:t>
                            </w:r>
                          </w:p>
                          <w:p w14:paraId="3EADB570" w14:textId="77777777" w:rsidR="00350396" w:rsidRDefault="00350396" w:rsidP="00350396">
                            <w:pPr>
                              <w:pStyle w:val="af0"/>
                              <w:shd w:val="clear" w:color="auto" w:fill="auto"/>
                            </w:pPr>
                            <w:r>
                              <w:rPr>
                                <w:rStyle w:val="Exact1"/>
                              </w:rPr>
                              <w:t>Тр</w:t>
                            </w:r>
                            <w:r>
                              <w:rPr>
                                <w:rStyle w:val="Exact1"/>
                                <w:vertAlign w:val="subscript"/>
                              </w:rPr>
                              <w:t>1</w:t>
                            </w:r>
                            <w:r>
                              <w:rPr>
                                <w:rStyle w:val="Exact1"/>
                              </w:rPr>
                              <w:t>, Сп</w:t>
                            </w:r>
                            <w:r>
                              <w:rPr>
                                <w:rStyle w:val="Exact1"/>
                                <w:vertAlign w:val="subscript"/>
                              </w:rPr>
                              <w:t>1</w:t>
                            </w:r>
                            <w:r>
                              <w:rPr>
                                <w:rStyle w:val="Exact1"/>
                              </w:rPr>
                              <w:t>, С</w:t>
                            </w:r>
                            <w:r>
                              <w:rPr>
                                <w:rStyle w:val="Exact1"/>
                                <w:vertAlign w:val="subscript"/>
                              </w:rPr>
                              <w:t>1</w:t>
                            </w:r>
                            <w:r>
                              <w:rPr>
                                <w:rStyle w:val="Exact1"/>
                              </w:rPr>
                              <w:t xml:space="preserve"> и Пс</w:t>
                            </w:r>
                            <w:r>
                              <w:rPr>
                                <w:rStyle w:val="Exact1"/>
                                <w:vertAlign w:val="sub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269D63" id="Text Box 33" o:spid="_x0000_s1038" type="#_x0000_t202" style="position:absolute;left:0;text-align:left;margin-left:1.9pt;margin-top:220.1pt;width:329.3pt;height:172.8pt;z-index:-12580576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" filled="f" stroked="f">
                <v:textbox style="mso-fit-shape-to-text:t" inset="0,0,0,0">
                  <w:txbxContent>
                    <w:p w14:paraId="69F584BA" w14:textId="77777777" w:rsidR="00350396" w:rsidRDefault="00350396" w:rsidP="00350396">
                      <w:pPr>
                        <w:pStyle w:val="3f4"/>
                        <w:shd w:val="clear" w:color="auto" w:fill="auto"/>
                      </w:pPr>
                      <w:r>
                        <w:rPr>
                          <w:rStyle w:val="3Exact0"/>
                        </w:rPr>
                        <w:t>Рис. 3.1.</w:t>
                      </w:r>
                      <w:r>
                        <w:rPr>
                          <w:rStyle w:val="3Exact1"/>
                          <w:b/>
                          <w:bCs/>
                        </w:rPr>
                        <w:t xml:space="preserve"> Полная формула воспроизводства продукта некоммерческого сектора:</w:t>
                      </w:r>
                    </w:p>
                    <w:p w14:paraId="0AF1D653" w14:textId="77777777" w:rsidR="00350396" w:rsidRDefault="00350396" w:rsidP="00350396">
                      <w:pPr>
                        <w:pStyle w:val="af0"/>
                        <w:shd w:val="clear" w:color="auto" w:fill="auto"/>
                      </w:pPr>
                      <w:r>
                        <w:rPr>
                          <w:rStyle w:val="Exact1"/>
                        </w:rPr>
                        <w:t>Д — деньги, инвестиции в производство ПНС; Т — товарная форма инвестиций после покупки на рынке факторов производства; Тр — фактор «труд»; Сп — средства производства (физический капитал), традиционно называемый фактором «капитал»; С — сырье (фактор «земля»);</w:t>
                      </w:r>
                    </w:p>
                    <w:p w14:paraId="7AB7E034" w14:textId="77777777" w:rsidR="00350396" w:rsidRDefault="00350396" w:rsidP="00350396">
                      <w:pPr>
                        <w:pStyle w:val="af0"/>
                        <w:shd w:val="clear" w:color="auto" w:fill="auto"/>
                        <w:ind w:left="220"/>
                        <w:jc w:val="left"/>
                      </w:pPr>
                      <w:r>
                        <w:rPr>
                          <w:rStyle w:val="Exact1"/>
                        </w:rPr>
                        <w:t>Пс — труд по управлению (фактор «предпринимательские способности»;</w:t>
                      </w:r>
                    </w:p>
                    <w:p w14:paraId="7B21119D" w14:textId="77777777" w:rsidR="00350396" w:rsidRDefault="00350396" w:rsidP="00350396">
                      <w:pPr>
                        <w:pStyle w:val="af0"/>
                        <w:shd w:val="clear" w:color="auto" w:fill="auto"/>
                      </w:pPr>
                      <w:r>
                        <w:rPr>
                          <w:rStyle w:val="Exact1"/>
                        </w:rPr>
                        <w:t>П — процесс производства; У — услуга — ПНС, используемый другими НКО для приобретения факторов производства нового ПНС. У аналогична Д, однако обычно без прибавочного продукта или прибыли; Тр</w:t>
                      </w:r>
                      <w:r>
                        <w:rPr>
                          <w:rStyle w:val="Exact1"/>
                          <w:vertAlign w:val="subscript"/>
                        </w:rPr>
                        <w:t>1</w:t>
                      </w:r>
                      <w:r>
                        <w:rPr>
                          <w:rStyle w:val="Exact1"/>
                        </w:rPr>
                        <w:t xml:space="preserve"> — новый «труд»; Сп</w:t>
                      </w:r>
                      <w:r>
                        <w:rPr>
                          <w:rStyle w:val="Exact1"/>
                          <w:vertAlign w:val="subscript"/>
                        </w:rPr>
                        <w:t>1</w:t>
                      </w:r>
                      <w:r>
                        <w:rPr>
                          <w:rStyle w:val="Exact1"/>
                        </w:rPr>
                        <w:t xml:space="preserve"> — новые «средства производства»; С</w:t>
                      </w:r>
                      <w:r>
                        <w:rPr>
                          <w:rStyle w:val="Exact1"/>
                          <w:vertAlign w:val="subscript"/>
                        </w:rPr>
                        <w:t>1</w:t>
                      </w:r>
                      <w:r>
                        <w:rPr>
                          <w:rStyle w:val="Exact1"/>
                        </w:rPr>
                        <w:t xml:space="preserve"> — новое сырье; Пс</w:t>
                      </w:r>
                      <w:r>
                        <w:rPr>
                          <w:rStyle w:val="Exact1"/>
                          <w:vertAlign w:val="subscript"/>
                        </w:rPr>
                        <w:t>1</w:t>
                      </w:r>
                      <w:r>
                        <w:rPr>
                          <w:rStyle w:val="Exact1"/>
                        </w:rPr>
                        <w:t xml:space="preserve"> — новый труд по управлению; Лп — личное потребление; Д</w:t>
                      </w:r>
                      <w:r>
                        <w:rPr>
                          <w:rStyle w:val="Exact1"/>
                          <w:vertAlign w:val="subscript"/>
                        </w:rPr>
                        <w:t>1</w:t>
                      </w:r>
                      <w:r>
                        <w:rPr>
                          <w:rStyle w:val="Exact1"/>
                        </w:rPr>
                        <w:t xml:space="preserve"> — новые инвестиции в производство нового ПНС; Т</w:t>
                      </w:r>
                      <w:r>
                        <w:rPr>
                          <w:rStyle w:val="Exact1"/>
                          <w:vertAlign w:val="subscript"/>
                        </w:rPr>
                        <w:t>1</w:t>
                      </w:r>
                      <w:r>
                        <w:rPr>
                          <w:rStyle w:val="Exact1"/>
                        </w:rPr>
                        <w:t xml:space="preserve"> — часть ПНС, ушедшая на потребление другим НКО, коммерческому сектору или государству; Т</w:t>
                      </w:r>
                      <w:r>
                        <w:rPr>
                          <w:rStyle w:val="Exact1"/>
                          <w:vertAlign w:val="subscript"/>
                        </w:rPr>
                        <w:t>2</w:t>
                      </w:r>
                      <w:r>
                        <w:rPr>
                          <w:rStyle w:val="Exact1"/>
                        </w:rPr>
                        <w:t xml:space="preserve"> — товарная форма инвестиций (Д</w:t>
                      </w:r>
                      <w:r>
                        <w:rPr>
                          <w:rStyle w:val="Exact1"/>
                          <w:vertAlign w:val="subscript"/>
                        </w:rPr>
                        <w:t>1</w:t>
                      </w:r>
                      <w:r>
                        <w:rPr>
                          <w:rStyle w:val="Exact1"/>
                        </w:rPr>
                        <w:t xml:space="preserve"> + часть Т</w:t>
                      </w:r>
                      <w:r>
                        <w:rPr>
                          <w:rStyle w:val="Exact1"/>
                          <w:vertAlign w:val="subscript"/>
                        </w:rPr>
                        <w:t>1</w:t>
                      </w:r>
                      <w:r>
                        <w:rPr>
                          <w:rStyle w:val="Exact1"/>
                        </w:rPr>
                        <w:t>), которая воплощается в факторах производства</w:t>
                      </w:r>
                    </w:p>
                    <w:p w14:paraId="3EADB570" w14:textId="77777777" w:rsidR="00350396" w:rsidRDefault="00350396" w:rsidP="00350396">
                      <w:pPr>
                        <w:pStyle w:val="af0"/>
                        <w:shd w:val="clear" w:color="auto" w:fill="auto"/>
                      </w:pPr>
                      <w:r>
                        <w:rPr>
                          <w:rStyle w:val="Exact1"/>
                        </w:rPr>
                        <w:t>Тр</w:t>
                      </w:r>
                      <w:r>
                        <w:rPr>
                          <w:rStyle w:val="Exact1"/>
                          <w:vertAlign w:val="subscript"/>
                        </w:rPr>
                        <w:t>1</w:t>
                      </w:r>
                      <w:r>
                        <w:rPr>
                          <w:rStyle w:val="Exact1"/>
                        </w:rPr>
                        <w:t>, Сп</w:t>
                      </w:r>
                      <w:r>
                        <w:rPr>
                          <w:rStyle w:val="Exact1"/>
                          <w:vertAlign w:val="subscript"/>
                        </w:rPr>
                        <w:t>1</w:t>
                      </w:r>
                      <w:r>
                        <w:rPr>
                          <w:rStyle w:val="Exact1"/>
                        </w:rPr>
                        <w:t>, С</w:t>
                      </w:r>
                      <w:r>
                        <w:rPr>
                          <w:rStyle w:val="Exact1"/>
                          <w:vertAlign w:val="subscript"/>
                        </w:rPr>
                        <w:t>1</w:t>
                      </w:r>
                      <w:r>
                        <w:rPr>
                          <w:rStyle w:val="Exact1"/>
                        </w:rPr>
                        <w:t xml:space="preserve"> и Пс</w:t>
                      </w:r>
                      <w:r>
                        <w:rPr>
                          <w:rStyle w:val="Exact1"/>
                          <w:vertAlign w:val="subscript"/>
                        </w:rPr>
                        <w:t>1</w:t>
                      </w:r>
                    </w:p>
                  </w:txbxContent>
                </v:textbox>
                <w10:wrap type="topAndBottom" anchorx="margin"/>
              </v:shape>
            </w:pict>
          </mc:Fallback>
        </mc:AlternateContent>
      </w:r>
      <w:r w:rsidRPr="00350396">
        <w:rPr>
          <w:rFonts w:ascii="Bookman Old Style" w:eastAsia="Bookman Old Style" w:hAnsi="Bookman Old Style" w:cs="Bookman Old Style"/>
          <w:noProof/>
          <w:sz w:val="18"/>
          <w:szCs w:val="18"/>
          <w:lang w:bidi="ar-SA"/>
        </w:rPr>
        <w:drawing>
          <wp:anchor distT="0" distB="0" distL="63500" distR="63500" simplePos="0" relativeHeight="377511742" behindDoc="1" locked="0" layoutInCell="1" allowOverlap="1" wp14:anchorId="69E3E0C0" wp14:editId="663202CF">
            <wp:simplePos x="0" y="0"/>
            <wp:positionH relativeFrom="margin">
              <wp:posOffset>1115060</wp:posOffset>
            </wp:positionH>
            <wp:positionV relativeFrom="paragraph">
              <wp:posOffset>1393190</wp:posOffset>
            </wp:positionV>
            <wp:extent cx="1847215" cy="1264920"/>
            <wp:effectExtent l="0" t="0" r="635" b="0"/>
            <wp:wrapTopAndBottom/>
            <wp:docPr id="196" name="Рисунок 3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7215" cy="1264920"/>
                    </a:xfrm>
                    <a:prstGeom prst="rect">
                      <a:avLst/>
                    </a:prstGeom>
                    <a:noFill/>
                  </pic:spPr>
                </pic:pic>
              </a:graphicData>
            </a:graphic>
            <wp14:sizeRelH relativeFrom="page">
              <wp14:pctWidth>0</wp14:pctWidth>
            </wp14:sizeRelH>
            <wp14:sizeRelV relativeFrom="page">
              <wp14:pctHeight>0</wp14:pctHeight>
            </wp14:sizeRelV>
          </wp:anchor>
        </w:drawing>
      </w:r>
      <w:r w:rsidRPr="00350396">
        <w:rPr>
          <w:rFonts w:ascii="Bookman Old Style" w:eastAsia="Bookman Old Style" w:hAnsi="Bookman Old Style" w:cs="Bookman Old Style"/>
          <w:color w:val="231F20"/>
          <w:sz w:val="18"/>
          <w:szCs w:val="18"/>
        </w:rPr>
        <w:t>произведенного ими необходимого продукта. Если эти собственни</w:t>
      </w:r>
      <w:r w:rsidRPr="00350396">
        <w:rPr>
          <w:rFonts w:ascii="Bookman Old Style" w:eastAsia="Bookman Old Style" w:hAnsi="Bookman Old Style" w:cs="Bookman Old Style"/>
          <w:color w:val="231F20"/>
          <w:sz w:val="18"/>
          <w:szCs w:val="18"/>
        </w:rPr>
        <w:softHyphen/>
        <w:t>ки предоставили ресурсы, исходя не из коммерческих, а из более высоких нравственных мотивов, их можно рассматривать как бла- готворителей-инвесторов. Инвесторы могут предоставить ресурсы как на безвозвратной, так и на возвратной основе. В последнем случае долг без процентов им можно вернуть за счет других инве</w:t>
      </w:r>
      <w:r w:rsidRPr="00350396">
        <w:rPr>
          <w:rFonts w:ascii="Bookman Old Style" w:eastAsia="Bookman Old Style" w:hAnsi="Bookman Old Style" w:cs="Bookman Old Style"/>
          <w:color w:val="231F20"/>
          <w:sz w:val="18"/>
          <w:szCs w:val="18"/>
        </w:rPr>
        <w:softHyphen/>
        <w:t>сторов.</w:t>
      </w:r>
    </w:p>
    <w:p w14:paraId="2B3F90B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случае если факторы производства используются достаточно эффективно, объективно происходит самовозрастание ценности, поскольку каждый фактор стремится не только компенсировать собственные затраты, но и произвести прибавочный продукт.</w:t>
      </w:r>
    </w:p>
    <w:p w14:paraId="409F7B9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Часть факторных доходов в виде прибыли, процента и ренты, входящих в прибавочный продукт, однако, не будут получены вви</w:t>
      </w:r>
      <w:r w:rsidRPr="00350396">
        <w:rPr>
          <w:rFonts w:ascii="Bookman Old Style" w:eastAsia="Bookman Old Style" w:hAnsi="Bookman Old Style" w:cs="Bookman Old Style"/>
          <w:color w:val="231F20"/>
          <w:sz w:val="18"/>
          <w:szCs w:val="18"/>
        </w:rPr>
        <w:softHyphen/>
        <w:t>ду того, что ПНС будет не продан, а передан потребителям безвоз</w:t>
      </w:r>
      <w:r w:rsidRPr="00350396">
        <w:rPr>
          <w:rFonts w:ascii="Bookman Old Style" w:eastAsia="Bookman Old Style" w:hAnsi="Bookman Old Style" w:cs="Bookman Old Style"/>
          <w:color w:val="231F20"/>
          <w:sz w:val="18"/>
          <w:szCs w:val="18"/>
        </w:rPr>
        <w:softHyphen/>
        <w:t>мездно.</w:t>
      </w:r>
    </w:p>
    <w:p w14:paraId="415467A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Другой факторный доход — заработная плата части работников, с которыми заключены трудовые договоры или договоры подря</w:t>
      </w:r>
      <w:r w:rsidRPr="00350396">
        <w:rPr>
          <w:rFonts w:ascii="Bookman Old Style" w:eastAsia="Bookman Old Style" w:hAnsi="Bookman Old Style" w:cs="Bookman Old Style"/>
          <w:color w:val="231F20"/>
          <w:sz w:val="18"/>
          <w:szCs w:val="18"/>
        </w:rPr>
        <w:softHyphen/>
        <w:t>да, будет выплачен из инвестиций. Значительная же доля фактора «труд» не будет оплачена ввиду привлечения волонтеров, работаю</w:t>
      </w:r>
      <w:r w:rsidRPr="00350396">
        <w:rPr>
          <w:rFonts w:ascii="Bookman Old Style" w:eastAsia="Bookman Old Style" w:hAnsi="Bookman Old Style" w:cs="Bookman Old Style"/>
          <w:color w:val="231F20"/>
          <w:sz w:val="18"/>
          <w:szCs w:val="18"/>
        </w:rPr>
        <w:softHyphen/>
        <w:t>щих за идею.</w:t>
      </w:r>
      <w:r w:rsidRPr="00350396">
        <w:rPr>
          <w:rFonts w:ascii="Bookman Old Style" w:eastAsia="Bookman Old Style" w:hAnsi="Bookman Old Style" w:cs="Bookman Old Style"/>
          <w:sz w:val="18"/>
          <w:szCs w:val="18"/>
        </w:rPr>
        <w:br w:type="page"/>
      </w:r>
    </w:p>
    <w:p w14:paraId="5E18724A" w14:textId="77777777" w:rsidR="00350396" w:rsidRPr="00350396" w:rsidRDefault="00350396" w:rsidP="00350396">
      <w:pPr>
        <w:keepNext/>
        <w:keepLines/>
        <w:widowControl w:val="0"/>
        <w:spacing w:after="220" w:line="274" w:lineRule="exact"/>
        <w:ind w:firstLine="0"/>
        <w:jc w:val="center"/>
        <w:outlineLvl w:val="3"/>
        <w:rPr>
          <w:rFonts w:ascii="Arial Narrow" w:eastAsia="Arial Narrow" w:hAnsi="Arial Narrow" w:cs="Arial Narrow"/>
          <w:b/>
          <w:bCs/>
        </w:rPr>
      </w:pPr>
      <w:bookmarkStart w:id="41" w:name="bookmark41"/>
      <w:bookmarkStart w:id="42" w:name="bookmark42"/>
      <w:r w:rsidRPr="00350396">
        <w:rPr>
          <w:rFonts w:ascii="Arial Narrow" w:eastAsia="Arial Narrow" w:hAnsi="Arial Narrow" w:cs="Arial Narrow"/>
          <w:b/>
          <w:bCs/>
          <w:color w:val="231F20"/>
        </w:rPr>
        <w:lastRenderedPageBreak/>
        <w:t>Выводы</w:t>
      </w:r>
      <w:bookmarkEnd w:id="41"/>
      <w:bookmarkEnd w:id="42"/>
    </w:p>
    <w:p w14:paraId="6AE562D0" w14:textId="77777777" w:rsidR="00350396" w:rsidRPr="00350396" w:rsidRDefault="00350396" w:rsidP="00350396">
      <w:pPr>
        <w:widowControl w:val="0"/>
        <w:numPr>
          <w:ilvl w:val="0"/>
          <w:numId w:val="44"/>
        </w:numPr>
        <w:tabs>
          <w:tab w:val="left" w:pos="62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Государство, бизнес и общество в лице некоммерческого сектора являются основными элементами системы социального партнерства, призванной стабилизировать общество через компро</w:t>
      </w:r>
      <w:r w:rsidRPr="00350396">
        <w:rPr>
          <w:rFonts w:ascii="Bookman Old Style" w:eastAsia="Bookman Old Style" w:hAnsi="Bookman Old Style" w:cs="Bookman Old Style"/>
          <w:color w:val="231F20"/>
          <w:sz w:val="18"/>
          <w:szCs w:val="18"/>
        </w:rPr>
        <w:softHyphen/>
        <w:t>миссные договорные отношения и перераспределение части произ</w:t>
      </w:r>
      <w:r w:rsidRPr="00350396">
        <w:rPr>
          <w:rFonts w:ascii="Bookman Old Style" w:eastAsia="Bookman Old Style" w:hAnsi="Bookman Old Style" w:cs="Bookman Old Style"/>
          <w:color w:val="231F20"/>
          <w:sz w:val="18"/>
          <w:szCs w:val="18"/>
        </w:rPr>
        <w:softHyphen/>
        <w:t>веденного общественного продукта.</w:t>
      </w:r>
    </w:p>
    <w:p w14:paraId="7D0CAEE9" w14:textId="77777777" w:rsidR="00350396" w:rsidRPr="00350396" w:rsidRDefault="00350396" w:rsidP="00350396">
      <w:pPr>
        <w:widowControl w:val="0"/>
        <w:numPr>
          <w:ilvl w:val="0"/>
          <w:numId w:val="44"/>
        </w:numPr>
        <w:tabs>
          <w:tab w:val="left" w:pos="62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Проблемы гражданского согласия, договорных отношений и достижения компромисса изучали Н. Макиавелли, Ф. Бэкон, Т. Гоббс, Ж.-Ж. Руссо, А. Смит, Г. Ф. Лейбниц, И. Кант, П. Ж. Прудон и другие мыслители.</w:t>
      </w:r>
    </w:p>
    <w:p w14:paraId="6A9F0978" w14:textId="77777777" w:rsidR="00350396" w:rsidRPr="00350396" w:rsidRDefault="00350396" w:rsidP="00350396">
      <w:pPr>
        <w:widowControl w:val="0"/>
        <w:numPr>
          <w:ilvl w:val="0"/>
          <w:numId w:val="44"/>
        </w:numPr>
        <w:tabs>
          <w:tab w:val="left" w:pos="62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 этической точки зрения основной целью СП является обе</w:t>
      </w:r>
      <w:r w:rsidRPr="00350396">
        <w:rPr>
          <w:rFonts w:ascii="Bookman Old Style" w:eastAsia="Bookman Old Style" w:hAnsi="Bookman Old Style" w:cs="Bookman Old Style"/>
          <w:color w:val="231F20"/>
          <w:sz w:val="18"/>
          <w:szCs w:val="18"/>
        </w:rPr>
        <w:softHyphen/>
        <w:t>спечение социальной справедливости в условиях развитой рыноч</w:t>
      </w:r>
      <w:r w:rsidRPr="00350396">
        <w:rPr>
          <w:rFonts w:ascii="Bookman Old Style" w:eastAsia="Bookman Old Style" w:hAnsi="Bookman Old Style" w:cs="Bookman Old Style"/>
          <w:color w:val="231F20"/>
          <w:sz w:val="18"/>
          <w:szCs w:val="18"/>
        </w:rPr>
        <w:softHyphen/>
        <w:t>ной экономики.</w:t>
      </w:r>
    </w:p>
    <w:p w14:paraId="723B1EED" w14:textId="77777777" w:rsidR="00350396" w:rsidRPr="00350396" w:rsidRDefault="00350396" w:rsidP="00350396">
      <w:pPr>
        <w:widowControl w:val="0"/>
        <w:numPr>
          <w:ilvl w:val="0"/>
          <w:numId w:val="44"/>
        </w:numPr>
        <w:tabs>
          <w:tab w:val="left" w:pos="62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Исторические корни СП: практика самоуправления первых христианских общин; самоуправление в средневековых цехах ре</w:t>
      </w:r>
      <w:r w:rsidRPr="00350396">
        <w:rPr>
          <w:rFonts w:ascii="Bookman Old Style" w:eastAsia="Bookman Old Style" w:hAnsi="Bookman Old Style" w:cs="Bookman Old Style"/>
          <w:color w:val="231F20"/>
          <w:sz w:val="18"/>
          <w:szCs w:val="18"/>
        </w:rPr>
        <w:softHyphen/>
        <w:t>месленников; городское самоуправление в средневековой Западной Европе; деятельность и борьба профсоюзов за свои права в кон</w:t>
      </w:r>
      <w:r w:rsidRPr="00350396">
        <w:rPr>
          <w:rFonts w:ascii="Bookman Old Style" w:eastAsia="Bookman Old Style" w:hAnsi="Bookman Old Style" w:cs="Bookman Old Style"/>
          <w:color w:val="231F20"/>
          <w:sz w:val="18"/>
          <w:szCs w:val="18"/>
        </w:rPr>
        <w:softHyphen/>
        <w:t>це XIX — начале ХХ в.</w:t>
      </w:r>
    </w:p>
    <w:p w14:paraId="611E5E3C" w14:textId="77777777" w:rsidR="00350396" w:rsidRPr="00350396" w:rsidRDefault="00350396" w:rsidP="00350396">
      <w:pPr>
        <w:widowControl w:val="0"/>
        <w:numPr>
          <w:ilvl w:val="0"/>
          <w:numId w:val="44"/>
        </w:numPr>
        <w:tabs>
          <w:tab w:val="left" w:pos="62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Гносеологические корни СП: христианская проповедь нена</w:t>
      </w:r>
      <w:r w:rsidRPr="00350396">
        <w:rPr>
          <w:rFonts w:ascii="Bookman Old Style" w:eastAsia="Bookman Old Style" w:hAnsi="Bookman Old Style" w:cs="Bookman Old Style"/>
          <w:color w:val="231F20"/>
          <w:sz w:val="18"/>
          <w:szCs w:val="18"/>
        </w:rPr>
        <w:softHyphen/>
        <w:t>силия и любви; социал-демократическая идеология.</w:t>
      </w:r>
    </w:p>
    <w:p w14:paraId="6512129D" w14:textId="77777777" w:rsidR="00350396" w:rsidRPr="00350396" w:rsidRDefault="00350396" w:rsidP="00350396">
      <w:pPr>
        <w:widowControl w:val="0"/>
        <w:numPr>
          <w:ilvl w:val="0"/>
          <w:numId w:val="44"/>
        </w:numPr>
        <w:tabs>
          <w:tab w:val="left" w:pos="62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Исследователями выделяются два варианта СП — тред- юнионистский (в сфере труда) и межсекторный (регулирует широ</w:t>
      </w:r>
      <w:r w:rsidRPr="00350396">
        <w:rPr>
          <w:rFonts w:ascii="Bookman Old Style" w:eastAsia="Bookman Old Style" w:hAnsi="Bookman Old Style" w:cs="Bookman Old Style"/>
          <w:color w:val="231F20"/>
          <w:sz w:val="18"/>
          <w:szCs w:val="18"/>
        </w:rPr>
        <w:softHyphen/>
        <w:t>кие социальные отношения).</w:t>
      </w:r>
    </w:p>
    <w:p w14:paraId="016103A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первом варианте социальное партнерство — это цивилизо</w:t>
      </w:r>
      <w:r w:rsidRPr="00350396">
        <w:rPr>
          <w:rFonts w:ascii="Bookman Old Style" w:eastAsia="Bookman Old Style" w:hAnsi="Bookman Old Style" w:cs="Bookman Old Style"/>
          <w:color w:val="231F20"/>
          <w:sz w:val="18"/>
          <w:szCs w:val="18"/>
        </w:rPr>
        <w:softHyphen/>
        <w:t>ванная система общественных отношений в социально-трудовой сфере, строящаяся на согласовании и защите интересов работни</w:t>
      </w:r>
      <w:r w:rsidRPr="00350396">
        <w:rPr>
          <w:rFonts w:ascii="Bookman Old Style" w:eastAsia="Bookman Old Style" w:hAnsi="Bookman Old Style" w:cs="Bookman Old Style"/>
          <w:color w:val="231F20"/>
          <w:sz w:val="18"/>
          <w:szCs w:val="18"/>
        </w:rPr>
        <w:softHyphen/>
        <w:t>ков, предпринимателей, органов государственной власти и местно</w:t>
      </w:r>
      <w:r w:rsidRPr="00350396">
        <w:rPr>
          <w:rFonts w:ascii="Bookman Old Style" w:eastAsia="Bookman Old Style" w:hAnsi="Bookman Old Style" w:cs="Bookman Old Style"/>
          <w:color w:val="231F20"/>
          <w:sz w:val="18"/>
          <w:szCs w:val="18"/>
        </w:rPr>
        <w:softHyphen/>
        <w:t>го самоуправления на основе договоров, соглашений, достижения компромисса, консенсуса по актуальным проблемам экономиче</w:t>
      </w:r>
      <w:r w:rsidRPr="00350396">
        <w:rPr>
          <w:rFonts w:ascii="Bookman Old Style" w:eastAsia="Bookman Old Style" w:hAnsi="Bookman Old Style" w:cs="Bookman Old Style"/>
          <w:color w:val="231F20"/>
          <w:sz w:val="18"/>
          <w:szCs w:val="18"/>
        </w:rPr>
        <w:softHyphen/>
        <w:t>ской и социально-политической жизни общества.</w:t>
      </w:r>
    </w:p>
    <w:p w14:paraId="01D6DA3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Межсекторное социальное партнерство — это конструктивное взаимодействие организаций из двух или трех секторов (государ</w:t>
      </w:r>
      <w:r w:rsidRPr="00350396">
        <w:rPr>
          <w:rFonts w:ascii="Bookman Old Style" w:eastAsia="Bookman Old Style" w:hAnsi="Bookman Old Style" w:cs="Bookman Old Style"/>
          <w:color w:val="231F20"/>
          <w:sz w:val="18"/>
          <w:szCs w:val="18"/>
        </w:rPr>
        <w:softHyphen/>
        <w:t>ство, бизнес, НКО) при решении социальных проблем, обеспечива</w:t>
      </w:r>
      <w:r w:rsidRPr="00350396">
        <w:rPr>
          <w:rFonts w:ascii="Bookman Old Style" w:eastAsia="Bookman Old Style" w:hAnsi="Bookman Old Style" w:cs="Bookman Old Style"/>
          <w:color w:val="231F20"/>
          <w:sz w:val="18"/>
          <w:szCs w:val="18"/>
        </w:rPr>
        <w:softHyphen/>
        <w:t>ющее синергетический эффект от сложения разных ресурсов и вы</w:t>
      </w:r>
      <w:r w:rsidRPr="00350396">
        <w:rPr>
          <w:rFonts w:ascii="Bookman Old Style" w:eastAsia="Bookman Old Style" w:hAnsi="Bookman Old Style" w:cs="Bookman Old Style"/>
          <w:color w:val="231F20"/>
          <w:sz w:val="18"/>
          <w:szCs w:val="18"/>
        </w:rPr>
        <w:softHyphen/>
        <w:t>годное каждой из сторон и населению.</w:t>
      </w:r>
    </w:p>
    <w:p w14:paraId="2A7F4090" w14:textId="77777777" w:rsidR="00350396" w:rsidRPr="00350396" w:rsidRDefault="00350396" w:rsidP="00350396">
      <w:pPr>
        <w:widowControl w:val="0"/>
        <w:numPr>
          <w:ilvl w:val="0"/>
          <w:numId w:val="44"/>
        </w:numPr>
        <w:tabs>
          <w:tab w:val="left" w:pos="62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Стратегической целью СП является сохранение стабильности производственных отношений рыночной экономики через спец</w:t>
      </w:r>
      <w:r w:rsidRPr="00350396">
        <w:rPr>
          <w:rFonts w:ascii="Bookman Old Style" w:eastAsia="Bookman Old Style" w:hAnsi="Bookman Old Style" w:cs="Bookman Old Style"/>
          <w:color w:val="231F20"/>
          <w:sz w:val="18"/>
          <w:szCs w:val="18"/>
        </w:rPr>
        <w:softHyphen/>
        <w:t>ифические механизмы перераспределения части доходов между участниками производства.</w:t>
      </w:r>
    </w:p>
    <w:p w14:paraId="6EDC9096" w14:textId="77777777" w:rsidR="00350396" w:rsidRPr="00350396" w:rsidRDefault="00350396" w:rsidP="00350396">
      <w:pPr>
        <w:widowControl w:val="0"/>
        <w:numPr>
          <w:ilvl w:val="0"/>
          <w:numId w:val="44"/>
        </w:numPr>
        <w:tabs>
          <w:tab w:val="left" w:pos="62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Существуют различные формы участия в социальном пар</w:t>
      </w:r>
      <w:r w:rsidRPr="00350396">
        <w:rPr>
          <w:rFonts w:ascii="Bookman Old Style" w:eastAsia="Bookman Old Style" w:hAnsi="Bookman Old Style" w:cs="Bookman Old Style"/>
          <w:color w:val="231F20"/>
          <w:sz w:val="18"/>
          <w:szCs w:val="18"/>
        </w:rPr>
        <w:softHyphen/>
        <w:t>тнерстве на рынке труда. Самая развитая форма — трипартизм, или трехстороннее сотрудничество между наемными работниками, предпринимателями и государством. Наряду с ним практикуется участие трудящихся в управлении производством, участие в при</w:t>
      </w:r>
      <w:r w:rsidRPr="00350396">
        <w:rPr>
          <w:rFonts w:ascii="Bookman Old Style" w:eastAsia="Bookman Old Style" w:hAnsi="Bookman Old Style" w:cs="Bookman Old Style"/>
          <w:color w:val="231F20"/>
          <w:sz w:val="18"/>
          <w:szCs w:val="18"/>
        </w:rPr>
        <w:softHyphen/>
      </w:r>
      <w:bookmarkStart w:id="43" w:name="bookmark43"/>
      <w:r w:rsidRPr="00350396">
        <w:rPr>
          <w:rFonts w:ascii="Bookman Old Style" w:eastAsia="Bookman Old Style" w:hAnsi="Bookman Old Style" w:cs="Bookman Old Style"/>
          <w:color w:val="231F20"/>
          <w:sz w:val="18"/>
          <w:szCs w:val="18"/>
        </w:rPr>
        <w:t xml:space="preserve">былях, участие в инновационных процессах (рационализаторская </w:t>
      </w:r>
      <w:r w:rsidRPr="00350396">
        <w:rPr>
          <w:rFonts w:ascii="Bookman Old Style" w:eastAsia="Bookman Old Style" w:hAnsi="Bookman Old Style" w:cs="Bookman Old Style"/>
          <w:color w:val="231F20"/>
          <w:sz w:val="18"/>
          <w:szCs w:val="18"/>
        </w:rPr>
        <w:lastRenderedPageBreak/>
        <w:t>деятельность) и т. п.</w:t>
      </w:r>
      <w:bookmarkEnd w:id="43"/>
    </w:p>
    <w:p w14:paraId="1EA3CBDC" w14:textId="77777777" w:rsidR="00350396" w:rsidRPr="00350396" w:rsidRDefault="00350396" w:rsidP="00350396">
      <w:pPr>
        <w:widowControl w:val="0"/>
        <w:numPr>
          <w:ilvl w:val="0"/>
          <w:numId w:val="44"/>
        </w:numPr>
        <w:tabs>
          <w:tab w:val="left" w:pos="597"/>
        </w:tabs>
        <w:spacing w:after="361"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широком плане социальное партнерство — это цивилизо</w:t>
      </w:r>
      <w:r w:rsidRPr="00350396">
        <w:rPr>
          <w:rFonts w:ascii="Bookman Old Style" w:eastAsia="Bookman Old Style" w:hAnsi="Bookman Old Style" w:cs="Bookman Old Style"/>
          <w:color w:val="231F20"/>
          <w:sz w:val="18"/>
          <w:szCs w:val="18"/>
        </w:rPr>
        <w:softHyphen/>
        <w:t>ванная система общественных отношений по поводу воспроизвод</w:t>
      </w:r>
      <w:r w:rsidRPr="00350396">
        <w:rPr>
          <w:rFonts w:ascii="Bookman Old Style" w:eastAsia="Bookman Old Style" w:hAnsi="Bookman Old Style" w:cs="Bookman Old Style"/>
          <w:color w:val="231F20"/>
          <w:sz w:val="18"/>
          <w:szCs w:val="18"/>
        </w:rPr>
        <w:softHyphen/>
        <w:t>ства продукта некоммерческого сектора.</w:t>
      </w:r>
    </w:p>
    <w:p w14:paraId="0CD06E72" w14:textId="77777777" w:rsidR="00350396" w:rsidRPr="00350396" w:rsidRDefault="00350396" w:rsidP="00350396">
      <w:pPr>
        <w:keepNext/>
        <w:keepLines/>
        <w:widowControl w:val="0"/>
        <w:spacing w:after="178" w:line="274" w:lineRule="exact"/>
        <w:ind w:firstLine="0"/>
        <w:jc w:val="center"/>
        <w:outlineLvl w:val="3"/>
        <w:rPr>
          <w:rFonts w:ascii="Arial Narrow" w:eastAsia="Arial Narrow" w:hAnsi="Arial Narrow" w:cs="Arial Narrow"/>
          <w:b/>
          <w:bCs/>
        </w:rPr>
      </w:pPr>
      <w:bookmarkStart w:id="44" w:name="bookmark44"/>
      <w:r w:rsidRPr="00350396">
        <w:rPr>
          <w:rFonts w:ascii="Arial Narrow" w:eastAsia="Arial Narrow" w:hAnsi="Arial Narrow" w:cs="Arial Narrow"/>
          <w:b/>
          <w:bCs/>
          <w:color w:val="231F20"/>
        </w:rPr>
        <w:t>Практикум</w:t>
      </w:r>
      <w:bookmarkEnd w:id="44"/>
    </w:p>
    <w:p w14:paraId="3329D5BE" w14:textId="77777777" w:rsidR="00350396" w:rsidRPr="00350396" w:rsidRDefault="00350396" w:rsidP="00350396">
      <w:pPr>
        <w:widowControl w:val="0"/>
        <w:spacing w:after="109" w:line="202"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Вопросы и задания для самоконтроля</w:t>
      </w:r>
    </w:p>
    <w:p w14:paraId="66F9BB0E" w14:textId="77777777" w:rsidR="00350396" w:rsidRPr="00350396" w:rsidRDefault="00350396" w:rsidP="00350396">
      <w:pPr>
        <w:widowControl w:val="0"/>
        <w:numPr>
          <w:ilvl w:val="0"/>
          <w:numId w:val="45"/>
        </w:numPr>
        <w:tabs>
          <w:tab w:val="left" w:pos="593"/>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К каким секторам в различных системах классификаций относятся некоммерческие организации?</w:t>
      </w:r>
    </w:p>
    <w:p w14:paraId="1589EA8B" w14:textId="77777777" w:rsidR="00350396" w:rsidRPr="00350396" w:rsidRDefault="00350396" w:rsidP="00350396">
      <w:pPr>
        <w:widowControl w:val="0"/>
        <w:numPr>
          <w:ilvl w:val="0"/>
          <w:numId w:val="45"/>
        </w:numPr>
        <w:tabs>
          <w:tab w:val="left" w:pos="614"/>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Назовите основные формы социального партнерства.</w:t>
      </w:r>
    </w:p>
    <w:p w14:paraId="66F7A3E5" w14:textId="77777777" w:rsidR="00350396" w:rsidRPr="00350396" w:rsidRDefault="00350396" w:rsidP="00350396">
      <w:pPr>
        <w:widowControl w:val="0"/>
        <w:numPr>
          <w:ilvl w:val="0"/>
          <w:numId w:val="45"/>
        </w:numPr>
        <w:tabs>
          <w:tab w:val="left" w:pos="614"/>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Каковы основные задачи социального партнерства в сфере труда?</w:t>
      </w:r>
    </w:p>
    <w:p w14:paraId="45577A62" w14:textId="77777777" w:rsidR="00350396" w:rsidRPr="00350396" w:rsidRDefault="00350396" w:rsidP="00350396">
      <w:pPr>
        <w:widowControl w:val="0"/>
        <w:numPr>
          <w:ilvl w:val="0"/>
          <w:numId w:val="45"/>
        </w:numPr>
        <w:tabs>
          <w:tab w:val="left" w:pos="614"/>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Что является стратегической целью социального партнерства?</w:t>
      </w:r>
    </w:p>
    <w:p w14:paraId="47FED48C" w14:textId="77777777" w:rsidR="00350396" w:rsidRPr="00350396" w:rsidRDefault="00350396" w:rsidP="00350396">
      <w:pPr>
        <w:widowControl w:val="0"/>
        <w:numPr>
          <w:ilvl w:val="0"/>
          <w:numId w:val="45"/>
        </w:numPr>
        <w:tabs>
          <w:tab w:val="left" w:pos="593"/>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Перечислите основные философские принципы социального партнер</w:t>
      </w:r>
      <w:r w:rsidRPr="00350396">
        <w:rPr>
          <w:rFonts w:ascii="Bookman Old Style" w:eastAsia="Bookman Old Style" w:hAnsi="Bookman Old Style" w:cs="Bookman Old Style"/>
          <w:color w:val="231F20"/>
          <w:sz w:val="17"/>
          <w:szCs w:val="17"/>
        </w:rPr>
        <w:softHyphen/>
        <w:t>ства.</w:t>
      </w:r>
    </w:p>
    <w:p w14:paraId="162CDBA0" w14:textId="77777777" w:rsidR="00350396" w:rsidRPr="00350396" w:rsidRDefault="00350396" w:rsidP="00350396">
      <w:pPr>
        <w:widowControl w:val="0"/>
        <w:numPr>
          <w:ilvl w:val="0"/>
          <w:numId w:val="45"/>
        </w:numPr>
        <w:tabs>
          <w:tab w:val="left" w:pos="614"/>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Что такое трипартизм?</w:t>
      </w:r>
    </w:p>
    <w:p w14:paraId="51F237A8" w14:textId="77777777" w:rsidR="00350396" w:rsidRPr="00350396" w:rsidRDefault="00350396" w:rsidP="00350396">
      <w:pPr>
        <w:widowControl w:val="0"/>
        <w:numPr>
          <w:ilvl w:val="0"/>
          <w:numId w:val="45"/>
        </w:numPr>
        <w:tabs>
          <w:tab w:val="left" w:pos="593"/>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Какие основные модели социального партнерства, известные в мире, вы знаете?</w:t>
      </w:r>
    </w:p>
    <w:p w14:paraId="544DFA27" w14:textId="77777777" w:rsidR="00350396" w:rsidRPr="00350396" w:rsidRDefault="00350396" w:rsidP="00350396">
      <w:pPr>
        <w:widowControl w:val="0"/>
        <w:numPr>
          <w:ilvl w:val="0"/>
          <w:numId w:val="45"/>
        </w:numPr>
        <w:tabs>
          <w:tab w:val="left" w:pos="614"/>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Что такое продукт некоммерческого сектора?</w:t>
      </w:r>
    </w:p>
    <w:p w14:paraId="4E828701" w14:textId="77777777" w:rsidR="00350396" w:rsidRPr="00350396" w:rsidRDefault="00350396" w:rsidP="00350396">
      <w:pPr>
        <w:widowControl w:val="0"/>
        <w:numPr>
          <w:ilvl w:val="0"/>
          <w:numId w:val="45"/>
        </w:numPr>
        <w:tabs>
          <w:tab w:val="left" w:pos="593"/>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Что является внутренним положительным эффектом воспроизводства продукта некоммерческого сектора?</w:t>
      </w:r>
    </w:p>
    <w:p w14:paraId="00820D3B" w14:textId="77777777" w:rsidR="00350396" w:rsidRPr="00350396" w:rsidRDefault="00350396" w:rsidP="00350396">
      <w:pPr>
        <w:widowControl w:val="0"/>
        <w:numPr>
          <w:ilvl w:val="0"/>
          <w:numId w:val="45"/>
        </w:numPr>
        <w:tabs>
          <w:tab w:val="left" w:pos="678"/>
        </w:tabs>
        <w:spacing w:after="131"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Что является внешним положительным эффектом воспроизводства продукта некоммерческого сектора?</w:t>
      </w:r>
    </w:p>
    <w:p w14:paraId="18423813" w14:textId="77777777" w:rsidR="00350396" w:rsidRPr="00350396" w:rsidRDefault="00350396" w:rsidP="00350396">
      <w:pPr>
        <w:widowControl w:val="0"/>
        <w:spacing w:after="109" w:line="202"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Кейс</w:t>
      </w:r>
    </w:p>
    <w:p w14:paraId="3F6DE7C0" w14:textId="77777777" w:rsidR="00350396" w:rsidRPr="00350396" w:rsidRDefault="00350396" w:rsidP="00350396">
      <w:pPr>
        <w:widowControl w:val="0"/>
        <w:spacing w:after="334" w:line="216" w:lineRule="exact"/>
        <w:ind w:firstLine="320"/>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Оцените эффекты социально-ориентированных проектов, опираясь на современные методики</w:t>
      </w:r>
      <w:r w:rsidRPr="00350396">
        <w:rPr>
          <w:rFonts w:ascii="Bookman Old Style" w:eastAsia="Bookman Old Style" w:hAnsi="Bookman Old Style" w:cs="Bookman Old Style"/>
          <w:color w:val="231F20"/>
          <w:sz w:val="17"/>
          <w:szCs w:val="17"/>
          <w:vertAlign w:val="superscript"/>
        </w:rPr>
        <w:footnoteReference w:id="63"/>
      </w:r>
      <w:r w:rsidRPr="00350396">
        <w:rPr>
          <w:rFonts w:ascii="Bookman Old Style" w:eastAsia="Bookman Old Style" w:hAnsi="Bookman Old Style" w:cs="Bookman Old Style"/>
          <w:color w:val="231F20"/>
          <w:sz w:val="17"/>
          <w:szCs w:val="17"/>
        </w:rPr>
        <w:t>. В качестве примеров можно использовать идеи проектов, сгенерированные самостоятельно в группах либо используя кейсы (см. ссылку)</w:t>
      </w:r>
      <w:r w:rsidRPr="00350396">
        <w:rPr>
          <w:rFonts w:ascii="Bookman Old Style" w:eastAsia="Bookman Old Style" w:hAnsi="Bookman Old Style" w:cs="Bookman Old Style"/>
          <w:color w:val="231F20"/>
          <w:sz w:val="17"/>
          <w:szCs w:val="17"/>
          <w:vertAlign w:val="superscript"/>
        </w:rPr>
        <w:footnoteReference w:id="64"/>
      </w:r>
      <w:r w:rsidRPr="00350396">
        <w:rPr>
          <w:rFonts w:ascii="Bookman Old Style" w:eastAsia="Bookman Old Style" w:hAnsi="Bookman Old Style" w:cs="Bookman Old Style"/>
          <w:color w:val="231F20"/>
          <w:sz w:val="17"/>
          <w:szCs w:val="17"/>
        </w:rPr>
        <w:t>.</w:t>
      </w:r>
    </w:p>
    <w:p w14:paraId="76609497" w14:textId="77777777" w:rsidR="00350396" w:rsidRPr="00350396" w:rsidRDefault="00350396" w:rsidP="00350396">
      <w:pPr>
        <w:keepNext/>
        <w:keepLines/>
        <w:widowControl w:val="0"/>
        <w:spacing w:line="274" w:lineRule="exact"/>
        <w:ind w:firstLine="0"/>
        <w:jc w:val="center"/>
        <w:outlineLvl w:val="3"/>
        <w:rPr>
          <w:rFonts w:ascii="Arial Narrow" w:eastAsia="Arial Narrow" w:hAnsi="Arial Narrow" w:cs="Arial Narrow"/>
          <w:b/>
          <w:bCs/>
        </w:rPr>
      </w:pPr>
      <w:bookmarkStart w:id="45" w:name="bookmark45"/>
      <w:r w:rsidRPr="00350396">
        <w:rPr>
          <w:rFonts w:ascii="Arial Narrow" w:eastAsia="Arial Narrow" w:hAnsi="Arial Narrow" w:cs="Arial Narrow"/>
          <w:b/>
          <w:bCs/>
          <w:color w:val="231F20"/>
        </w:rPr>
        <w:t>Литература</w:t>
      </w:r>
      <w:bookmarkEnd w:id="45"/>
    </w:p>
    <w:p w14:paraId="7231534C" w14:textId="77777777" w:rsidR="00350396" w:rsidRPr="00350396" w:rsidRDefault="00350396" w:rsidP="00350396">
      <w:pPr>
        <w:widowControl w:val="0"/>
        <w:numPr>
          <w:ilvl w:val="0"/>
          <w:numId w:val="46"/>
        </w:numPr>
        <w:tabs>
          <w:tab w:val="left" w:pos="593"/>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Ахинов, Г. А.</w:t>
      </w:r>
      <w:r w:rsidRPr="00350396">
        <w:rPr>
          <w:rFonts w:ascii="Bookman Old Style" w:eastAsia="Bookman Old Style" w:hAnsi="Bookman Old Style" w:cs="Bookman Old Style"/>
          <w:color w:val="231F20"/>
          <w:sz w:val="17"/>
          <w:szCs w:val="17"/>
        </w:rPr>
        <w:t xml:space="preserve"> Экономика общественного сектора : учеб. пособие / Г. А. Ахинов, Е. Н. Жильцов. — М. : ИНФРА-М, 2008.</w:t>
      </w:r>
    </w:p>
    <w:p w14:paraId="695580EB" w14:textId="77777777" w:rsidR="00350396" w:rsidRPr="00350396" w:rsidRDefault="00350396" w:rsidP="00350396">
      <w:pPr>
        <w:widowControl w:val="0"/>
        <w:numPr>
          <w:ilvl w:val="0"/>
          <w:numId w:val="46"/>
        </w:numPr>
        <w:tabs>
          <w:tab w:val="left" w:pos="593"/>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Блок, С.</w:t>
      </w:r>
      <w:r w:rsidRPr="00350396">
        <w:rPr>
          <w:rFonts w:ascii="Bookman Old Style" w:eastAsia="Bookman Old Style" w:hAnsi="Bookman Old Style" w:cs="Bookman Old Style"/>
          <w:color w:val="231F20"/>
          <w:sz w:val="17"/>
          <w:szCs w:val="17"/>
        </w:rPr>
        <w:t xml:space="preserve"> Неприбыльный сектор США: правовая основа, масштабы, конкурентоспособность, эффективность / С. Блок, В. Н. Якимец. — М. : Изд-во ЛКИ, 2008.</w:t>
      </w:r>
    </w:p>
    <w:p w14:paraId="103FB062" w14:textId="77777777" w:rsidR="00350396" w:rsidRPr="00350396" w:rsidRDefault="00350396" w:rsidP="00350396">
      <w:pPr>
        <w:widowControl w:val="0"/>
        <w:numPr>
          <w:ilvl w:val="0"/>
          <w:numId w:val="46"/>
        </w:numPr>
        <w:tabs>
          <w:tab w:val="left" w:pos="593"/>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Восколович, Н. А.</w:t>
      </w:r>
      <w:r w:rsidRPr="00350396">
        <w:rPr>
          <w:rFonts w:ascii="Bookman Old Style" w:eastAsia="Bookman Old Style" w:hAnsi="Bookman Old Style" w:cs="Bookman Old Style"/>
          <w:color w:val="231F20"/>
          <w:sz w:val="17"/>
          <w:szCs w:val="17"/>
        </w:rPr>
        <w:t xml:space="preserve"> Экономика, организация и управление обществен</w:t>
      </w:r>
      <w:r w:rsidRPr="00350396">
        <w:rPr>
          <w:rFonts w:ascii="Bookman Old Style" w:eastAsia="Bookman Old Style" w:hAnsi="Bookman Old Style" w:cs="Bookman Old Style"/>
          <w:color w:val="231F20"/>
          <w:sz w:val="17"/>
          <w:szCs w:val="17"/>
        </w:rPr>
        <w:softHyphen/>
        <w:t>ным сектором / Н. А. Восколович, Е. Н. Жильцов, С. Д. Еникеева. — М. : ЮНИТИ-ДАНА, 2012.</w:t>
      </w:r>
    </w:p>
    <w:p w14:paraId="765E607D" w14:textId="77777777" w:rsidR="00350396" w:rsidRPr="00350396" w:rsidRDefault="00350396" w:rsidP="00350396">
      <w:pPr>
        <w:widowControl w:val="0"/>
        <w:numPr>
          <w:ilvl w:val="0"/>
          <w:numId w:val="46"/>
        </w:numPr>
        <w:tabs>
          <w:tab w:val="left" w:pos="593"/>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Голубева, В.</w:t>
      </w:r>
      <w:r w:rsidRPr="00350396">
        <w:rPr>
          <w:rFonts w:ascii="Bookman Old Style" w:eastAsia="Bookman Old Style" w:hAnsi="Bookman Old Style" w:cs="Bookman Old Style"/>
          <w:color w:val="231F20"/>
          <w:sz w:val="17"/>
          <w:szCs w:val="17"/>
        </w:rPr>
        <w:t xml:space="preserve"> Как заставить социальные инвестиции работать на Ваш бизнес / В. Голубева, Ю. Слащева, С. Трофименко, В. Якимец. — М. : АКОС, 2007.</w:t>
      </w:r>
    </w:p>
    <w:p w14:paraId="1DA880CA" w14:textId="77777777" w:rsidR="00350396" w:rsidRPr="00350396" w:rsidRDefault="00350396" w:rsidP="00350396">
      <w:pPr>
        <w:widowControl w:val="0"/>
        <w:numPr>
          <w:ilvl w:val="0"/>
          <w:numId w:val="46"/>
        </w:numPr>
        <w:tabs>
          <w:tab w:val="left" w:pos="575"/>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Закон РФ «О коллективных договорах и соглашениях». Комментарий / под ред. И. О. Снигиревой, С. А. Шалаева. — М. : Издательство Юрайт, 2006.</w:t>
      </w:r>
    </w:p>
    <w:p w14:paraId="64619614" w14:textId="77777777" w:rsidR="00350396" w:rsidRPr="00350396" w:rsidRDefault="00350396" w:rsidP="00350396">
      <w:pPr>
        <w:widowControl w:val="0"/>
        <w:numPr>
          <w:ilvl w:val="0"/>
          <w:numId w:val="46"/>
        </w:numPr>
        <w:tabs>
          <w:tab w:val="left" w:pos="575"/>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lastRenderedPageBreak/>
        <w:t>Зинченко, Г. П.</w:t>
      </w:r>
      <w:r w:rsidRPr="00350396">
        <w:rPr>
          <w:rFonts w:ascii="Bookman Old Style" w:eastAsia="Bookman Old Style" w:hAnsi="Bookman Old Style" w:cs="Bookman Old Style"/>
          <w:color w:val="231F20"/>
          <w:sz w:val="17"/>
          <w:szCs w:val="17"/>
        </w:rPr>
        <w:t xml:space="preserve"> Социальное партнерство / Г. П. Зинченко, И. И. Ро</w:t>
      </w:r>
      <w:r w:rsidRPr="00350396">
        <w:rPr>
          <w:rFonts w:ascii="Bookman Old Style" w:eastAsia="Bookman Old Style" w:hAnsi="Bookman Old Style" w:cs="Bookman Old Style"/>
          <w:color w:val="231F20"/>
          <w:sz w:val="17"/>
          <w:szCs w:val="17"/>
        </w:rPr>
        <w:softHyphen/>
        <w:t>гов. — М. : Академцентр, 2011.</w:t>
      </w:r>
    </w:p>
    <w:p w14:paraId="0EC76F29" w14:textId="77777777" w:rsidR="00350396" w:rsidRPr="00350396" w:rsidRDefault="00350396" w:rsidP="00350396">
      <w:pPr>
        <w:widowControl w:val="0"/>
        <w:numPr>
          <w:ilvl w:val="0"/>
          <w:numId w:val="46"/>
        </w:numPr>
        <w:tabs>
          <w:tab w:val="left" w:pos="575"/>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Киселев, В. Н.</w:t>
      </w:r>
      <w:r w:rsidRPr="00350396">
        <w:rPr>
          <w:rFonts w:ascii="Bookman Old Style" w:eastAsia="Bookman Old Style" w:hAnsi="Bookman Old Style" w:cs="Bookman Old Style"/>
          <w:color w:val="231F20"/>
          <w:sz w:val="17"/>
          <w:szCs w:val="17"/>
        </w:rPr>
        <w:t xml:space="preserve"> Социальное партнерство в России / В. Н. Киселев, В. Г. Смольков. — М. : Луч, 1998.</w:t>
      </w:r>
    </w:p>
    <w:p w14:paraId="14002EF8" w14:textId="77777777" w:rsidR="00350396" w:rsidRPr="00350396" w:rsidRDefault="00350396" w:rsidP="00350396">
      <w:pPr>
        <w:widowControl w:val="0"/>
        <w:numPr>
          <w:ilvl w:val="0"/>
          <w:numId w:val="46"/>
        </w:numPr>
        <w:tabs>
          <w:tab w:val="left" w:pos="575"/>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Костин, Л. А.</w:t>
      </w:r>
      <w:r w:rsidRPr="00350396">
        <w:rPr>
          <w:rFonts w:ascii="Bookman Old Style" w:eastAsia="Bookman Old Style" w:hAnsi="Bookman Old Style" w:cs="Bookman Old Style"/>
          <w:color w:val="231F20"/>
          <w:sz w:val="17"/>
          <w:szCs w:val="17"/>
        </w:rPr>
        <w:t xml:space="preserve"> Международная организация труда / Л. А. Костин. — М. : Экзамен, 2002.</w:t>
      </w:r>
    </w:p>
    <w:p w14:paraId="6616A6F9" w14:textId="77777777" w:rsidR="00350396" w:rsidRPr="00350396" w:rsidRDefault="00350396" w:rsidP="00350396">
      <w:pPr>
        <w:widowControl w:val="0"/>
        <w:numPr>
          <w:ilvl w:val="0"/>
          <w:numId w:val="46"/>
        </w:numPr>
        <w:tabs>
          <w:tab w:val="left" w:pos="575"/>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Кязимов, К. Г.</w:t>
      </w:r>
      <w:r w:rsidRPr="00350396">
        <w:rPr>
          <w:rFonts w:ascii="Bookman Old Style" w:eastAsia="Bookman Old Style" w:hAnsi="Bookman Old Style" w:cs="Bookman Old Style"/>
          <w:color w:val="231F20"/>
          <w:sz w:val="17"/>
          <w:szCs w:val="17"/>
        </w:rPr>
        <w:t xml:space="preserve"> Социальное партнерство: теория и практика / К. Г. Кя- зимов. — М. : МИК, 2011.</w:t>
      </w:r>
    </w:p>
    <w:p w14:paraId="0E109838" w14:textId="77777777" w:rsidR="00350396" w:rsidRPr="00350396" w:rsidRDefault="00350396" w:rsidP="00350396">
      <w:pPr>
        <w:widowControl w:val="0"/>
        <w:numPr>
          <w:ilvl w:val="0"/>
          <w:numId w:val="46"/>
        </w:numPr>
        <w:tabs>
          <w:tab w:val="left" w:pos="65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Лушникова, М. В.</w:t>
      </w:r>
      <w:r w:rsidRPr="00350396">
        <w:rPr>
          <w:rFonts w:ascii="Bookman Old Style" w:eastAsia="Bookman Old Style" w:hAnsi="Bookman Old Style" w:cs="Bookman Old Style"/>
          <w:color w:val="231F20"/>
          <w:sz w:val="17"/>
          <w:szCs w:val="17"/>
        </w:rPr>
        <w:t xml:space="preserve"> Социальное партнерство в сфере труда : учеб. по</w:t>
      </w:r>
      <w:r w:rsidRPr="00350396">
        <w:rPr>
          <w:rFonts w:ascii="Bookman Old Style" w:eastAsia="Bookman Old Style" w:hAnsi="Bookman Old Style" w:cs="Bookman Old Style"/>
          <w:color w:val="231F20"/>
          <w:sz w:val="17"/>
          <w:szCs w:val="17"/>
        </w:rPr>
        <w:softHyphen/>
        <w:t>собие / М. В. Лушникова, А. М. Лушников. — Ярославль : ЯрГУ, 2008.</w:t>
      </w:r>
    </w:p>
    <w:p w14:paraId="2DAC5631" w14:textId="77777777" w:rsidR="00350396" w:rsidRPr="00350396" w:rsidRDefault="00350396" w:rsidP="00350396">
      <w:pPr>
        <w:widowControl w:val="0"/>
        <w:numPr>
          <w:ilvl w:val="0"/>
          <w:numId w:val="46"/>
        </w:numPr>
        <w:tabs>
          <w:tab w:val="left" w:pos="663"/>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Механизмы оценки влияния социальной ответственности бизнеса на устойчивое развитие регионов России / под ред. д.э.н. Е. Л. Андреевой. — Екатеринбург : Институт экономики УрО РАН, 2010.</w:t>
      </w:r>
    </w:p>
    <w:p w14:paraId="477351F8" w14:textId="77777777" w:rsidR="00350396" w:rsidRPr="00350396" w:rsidRDefault="00350396" w:rsidP="00350396">
      <w:pPr>
        <w:widowControl w:val="0"/>
        <w:numPr>
          <w:ilvl w:val="0"/>
          <w:numId w:val="46"/>
        </w:numPr>
        <w:tabs>
          <w:tab w:val="left" w:pos="663"/>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Михеев, В. А.</w:t>
      </w:r>
      <w:r w:rsidRPr="00350396">
        <w:rPr>
          <w:rFonts w:ascii="Bookman Old Style" w:eastAsia="Bookman Old Style" w:hAnsi="Bookman Old Style" w:cs="Bookman Old Style"/>
          <w:color w:val="231F20"/>
          <w:sz w:val="17"/>
          <w:szCs w:val="17"/>
        </w:rPr>
        <w:t xml:space="preserve"> Основы социального партнерства: теория и политика / В. А. Михеев. — М. : Экзамен, 2001.</w:t>
      </w:r>
    </w:p>
    <w:p w14:paraId="2E1C6B77" w14:textId="77777777" w:rsidR="00350396" w:rsidRPr="00350396" w:rsidRDefault="00350396" w:rsidP="00350396">
      <w:pPr>
        <w:widowControl w:val="0"/>
        <w:numPr>
          <w:ilvl w:val="0"/>
          <w:numId w:val="46"/>
        </w:numPr>
        <w:tabs>
          <w:tab w:val="left" w:pos="66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Нещадин, А. А.</w:t>
      </w:r>
      <w:r w:rsidRPr="00350396">
        <w:rPr>
          <w:rFonts w:ascii="Bookman Old Style" w:eastAsia="Bookman Old Style" w:hAnsi="Bookman Old Style" w:cs="Bookman Old Style"/>
          <w:color w:val="231F20"/>
          <w:sz w:val="17"/>
          <w:szCs w:val="17"/>
        </w:rPr>
        <w:t xml:space="preserve"> Бизнес и общество: выгодное партнерство / А. А. Не- щадин ; под общ. ред. А. А. Нещадина. — М. : Вершина, 2006.</w:t>
      </w:r>
    </w:p>
    <w:p w14:paraId="13537BF1" w14:textId="77777777" w:rsidR="00350396" w:rsidRPr="00350396" w:rsidRDefault="00350396" w:rsidP="00350396">
      <w:pPr>
        <w:widowControl w:val="0"/>
        <w:numPr>
          <w:ilvl w:val="0"/>
          <w:numId w:val="46"/>
        </w:numPr>
        <w:tabs>
          <w:tab w:val="left" w:pos="673"/>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Никовская, Л. И.</w:t>
      </w:r>
      <w:r w:rsidRPr="00350396">
        <w:rPr>
          <w:rFonts w:ascii="Bookman Old Style" w:eastAsia="Bookman Old Style" w:hAnsi="Bookman Old Style" w:cs="Bookman Old Style"/>
          <w:color w:val="231F20"/>
          <w:sz w:val="17"/>
          <w:szCs w:val="17"/>
        </w:rPr>
        <w:t xml:space="preserve"> Гражданские инициативы и модернизация России / Л. И. Никовская, В. Н. Якимец, М. А. Молокова. — М. : Ключ-С, 2011.</w:t>
      </w:r>
    </w:p>
    <w:p w14:paraId="04C67983" w14:textId="77777777" w:rsidR="00350396" w:rsidRPr="00350396" w:rsidRDefault="00350396" w:rsidP="00350396">
      <w:pPr>
        <w:widowControl w:val="0"/>
        <w:numPr>
          <w:ilvl w:val="0"/>
          <w:numId w:val="46"/>
        </w:numPr>
        <w:tabs>
          <w:tab w:val="left" w:pos="663"/>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Привалов, Н. Г.</w:t>
      </w:r>
      <w:r w:rsidRPr="00350396">
        <w:rPr>
          <w:rFonts w:ascii="Bookman Old Style" w:eastAsia="Bookman Old Style" w:hAnsi="Bookman Old Style" w:cs="Bookman Old Style"/>
          <w:color w:val="231F20"/>
          <w:sz w:val="17"/>
          <w:szCs w:val="17"/>
        </w:rPr>
        <w:t xml:space="preserve"> Третий путь России: новая надежда в ХХ! веке / Н. Г. Привалов. — Екатеринбург : Уральское изд-во, 2012.</w:t>
      </w:r>
    </w:p>
    <w:p w14:paraId="4D304977" w14:textId="77777777" w:rsidR="00350396" w:rsidRPr="00350396" w:rsidRDefault="00350396" w:rsidP="00350396">
      <w:pPr>
        <w:widowControl w:val="0"/>
        <w:numPr>
          <w:ilvl w:val="0"/>
          <w:numId w:val="46"/>
        </w:numPr>
        <w:tabs>
          <w:tab w:val="left" w:pos="673"/>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Привалов</w:t>
      </w:r>
      <w:r w:rsidRPr="00350396">
        <w:rPr>
          <w:rFonts w:ascii="Bookman Old Style" w:eastAsia="Bookman Old Style" w:hAnsi="Bookman Old Style" w:cs="Bookman Old Style"/>
          <w:color w:val="231F20"/>
          <w:sz w:val="17"/>
          <w:szCs w:val="17"/>
        </w:rPr>
        <w:t xml:space="preserve">, </w:t>
      </w:r>
      <w:r w:rsidRPr="00350396">
        <w:rPr>
          <w:rFonts w:ascii="Bookman Old Style" w:eastAsia="Bookman Old Style" w:hAnsi="Bookman Old Style" w:cs="Bookman Old Style"/>
          <w:i/>
          <w:iCs/>
          <w:color w:val="231F20"/>
          <w:sz w:val="17"/>
          <w:szCs w:val="17"/>
        </w:rPr>
        <w:t>Н. Г.</w:t>
      </w:r>
      <w:r w:rsidRPr="00350396">
        <w:rPr>
          <w:rFonts w:ascii="Bookman Old Style" w:eastAsia="Bookman Old Style" w:hAnsi="Bookman Old Style" w:cs="Bookman Old Style"/>
          <w:color w:val="231F20"/>
          <w:sz w:val="17"/>
          <w:szCs w:val="17"/>
        </w:rPr>
        <w:t xml:space="preserve"> Экономические основы гражданского общества: к новой парадигме мирового развития / Н. Г. Привалов ; под ред. проф. А. И. Татаркина. — Екатеринбург : Изд-во Урал. гос. экон. ун-та, 2005.</w:t>
      </w:r>
    </w:p>
    <w:p w14:paraId="507F40E2" w14:textId="77777777" w:rsidR="00350396" w:rsidRPr="00350396" w:rsidRDefault="00350396" w:rsidP="00350396">
      <w:pPr>
        <w:widowControl w:val="0"/>
        <w:numPr>
          <w:ilvl w:val="0"/>
          <w:numId w:val="46"/>
        </w:numPr>
        <w:tabs>
          <w:tab w:val="left" w:pos="673"/>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Сафонов, В.</w:t>
      </w:r>
      <w:r w:rsidRPr="00350396">
        <w:rPr>
          <w:rFonts w:ascii="Bookman Old Style" w:eastAsia="Bookman Old Style" w:hAnsi="Bookman Old Style" w:cs="Bookman Old Style"/>
          <w:color w:val="231F20"/>
          <w:sz w:val="17"/>
          <w:szCs w:val="17"/>
        </w:rPr>
        <w:t xml:space="preserve"> А. Социальное партнерство / В. А Сафонов. — М. : Из</w:t>
      </w:r>
      <w:r w:rsidRPr="00350396">
        <w:rPr>
          <w:rFonts w:ascii="Bookman Old Style" w:eastAsia="Bookman Old Style" w:hAnsi="Bookman Old Style" w:cs="Bookman Old Style"/>
          <w:color w:val="231F20"/>
          <w:sz w:val="17"/>
          <w:szCs w:val="17"/>
        </w:rPr>
        <w:softHyphen/>
        <w:t>дательство Юрайт, 2015.</w:t>
      </w:r>
    </w:p>
    <w:p w14:paraId="3CE8F219" w14:textId="77777777" w:rsidR="00350396" w:rsidRPr="00350396" w:rsidRDefault="00350396" w:rsidP="00350396">
      <w:pPr>
        <w:widowControl w:val="0"/>
        <w:numPr>
          <w:ilvl w:val="0"/>
          <w:numId w:val="46"/>
        </w:numPr>
        <w:tabs>
          <w:tab w:val="left" w:pos="66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Семигин, Г. Ю.</w:t>
      </w:r>
      <w:r w:rsidRPr="00350396">
        <w:rPr>
          <w:rFonts w:ascii="Bookman Old Style" w:eastAsia="Bookman Old Style" w:hAnsi="Bookman Old Style" w:cs="Bookman Old Style"/>
          <w:color w:val="231F20"/>
          <w:sz w:val="17"/>
          <w:szCs w:val="17"/>
        </w:rPr>
        <w:t xml:space="preserve"> Социальное партнерство / Г. Ю. Семигин. — М. : Мысль,1996.</w:t>
      </w:r>
    </w:p>
    <w:p w14:paraId="4F9C744F" w14:textId="77777777" w:rsidR="00350396" w:rsidRPr="00350396" w:rsidRDefault="00350396" w:rsidP="00350396">
      <w:pPr>
        <w:widowControl w:val="0"/>
        <w:numPr>
          <w:ilvl w:val="0"/>
          <w:numId w:val="46"/>
        </w:numPr>
        <w:tabs>
          <w:tab w:val="left" w:pos="66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Тульчинский, Г. Л.</w:t>
      </w:r>
      <w:r w:rsidRPr="00350396">
        <w:rPr>
          <w:rFonts w:ascii="Bookman Old Style" w:eastAsia="Bookman Old Style" w:hAnsi="Bookman Old Style" w:cs="Bookman Old Style"/>
          <w:color w:val="231F20"/>
          <w:sz w:val="17"/>
          <w:szCs w:val="17"/>
        </w:rPr>
        <w:t xml:space="preserve"> Корпоративная социальная ответственность : тех</w:t>
      </w:r>
      <w:r w:rsidRPr="00350396">
        <w:rPr>
          <w:rFonts w:ascii="Bookman Old Style" w:eastAsia="Bookman Old Style" w:hAnsi="Bookman Old Style" w:cs="Bookman Old Style"/>
          <w:color w:val="231F20"/>
          <w:sz w:val="17"/>
          <w:szCs w:val="17"/>
        </w:rPr>
        <w:softHyphen/>
        <w:t>нология и оценка эффективности / Г. Л. Тульчинский. — М. : Издательство Юрайт, 2015.</w:t>
      </w:r>
    </w:p>
    <w:p w14:paraId="4026E2A0" w14:textId="77777777" w:rsidR="00350396" w:rsidRPr="00350396" w:rsidRDefault="00350396" w:rsidP="00350396">
      <w:pPr>
        <w:widowControl w:val="0"/>
        <w:numPr>
          <w:ilvl w:val="0"/>
          <w:numId w:val="46"/>
        </w:numPr>
        <w:tabs>
          <w:tab w:val="left" w:pos="66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Черняева, Д. В.</w:t>
      </w:r>
      <w:r w:rsidRPr="00350396">
        <w:rPr>
          <w:rFonts w:ascii="Bookman Old Style" w:eastAsia="Bookman Old Style" w:hAnsi="Bookman Old Style" w:cs="Bookman Old Style"/>
          <w:color w:val="231F20"/>
          <w:sz w:val="17"/>
          <w:szCs w:val="17"/>
        </w:rPr>
        <w:t xml:space="preserve"> Международные стандарты труда / Д. В. Черняева. — М. : КноРус, 2010.</w:t>
      </w:r>
    </w:p>
    <w:p w14:paraId="2ED0EB7E" w14:textId="77777777" w:rsidR="00350396" w:rsidRPr="00350396" w:rsidRDefault="00350396" w:rsidP="00350396">
      <w:pPr>
        <w:widowControl w:val="0"/>
        <w:numPr>
          <w:ilvl w:val="0"/>
          <w:numId w:val="46"/>
        </w:numPr>
        <w:tabs>
          <w:tab w:val="left" w:pos="66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Шекова, Е. Л.</w:t>
      </w:r>
      <w:r w:rsidRPr="00350396">
        <w:rPr>
          <w:rFonts w:ascii="Bookman Old Style" w:eastAsia="Bookman Old Style" w:hAnsi="Bookman Old Style" w:cs="Bookman Old Style"/>
          <w:color w:val="231F20"/>
          <w:sz w:val="17"/>
          <w:szCs w:val="17"/>
        </w:rPr>
        <w:t xml:space="preserve"> Экономика и менеджмент некоммерческих организа</w:t>
      </w:r>
      <w:r w:rsidRPr="00350396">
        <w:rPr>
          <w:rFonts w:ascii="Bookman Old Style" w:eastAsia="Bookman Old Style" w:hAnsi="Bookman Old Style" w:cs="Bookman Old Style"/>
          <w:color w:val="231F20"/>
          <w:sz w:val="17"/>
          <w:szCs w:val="17"/>
        </w:rPr>
        <w:softHyphen/>
        <w:t>ций : учебник / Е. Л. Шекова. — СПб. ; М. ; Краснодар : Лань, 2004.</w:t>
      </w:r>
    </w:p>
    <w:p w14:paraId="1FE712AC" w14:textId="77777777" w:rsidR="00350396" w:rsidRPr="00350396" w:rsidRDefault="00350396" w:rsidP="00350396">
      <w:pPr>
        <w:widowControl w:val="0"/>
        <w:numPr>
          <w:ilvl w:val="0"/>
          <w:numId w:val="46"/>
        </w:numPr>
        <w:tabs>
          <w:tab w:val="left" w:pos="644"/>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Экономика общественного сектора : учебник / М. А. Абрамова [и др.]. — 2-е изд., доп. и перераб. — М. : ИНФРА-М, 2015.</w:t>
      </w:r>
    </w:p>
    <w:p w14:paraId="7EC41869" w14:textId="77777777" w:rsidR="00350396" w:rsidRPr="00350396" w:rsidRDefault="00350396" w:rsidP="00350396">
      <w:pPr>
        <w:widowControl w:val="0"/>
        <w:numPr>
          <w:ilvl w:val="0"/>
          <w:numId w:val="46"/>
        </w:numPr>
        <w:tabs>
          <w:tab w:val="left" w:pos="66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Экономика общественного сектора : учебник для академического бакалавриата / под ред</w:t>
      </w:r>
      <w:r w:rsidRPr="00350396">
        <w:rPr>
          <w:rFonts w:ascii="Bookman Old Style" w:eastAsia="Bookman Old Style" w:hAnsi="Bookman Old Style" w:cs="Bookman Old Style"/>
          <w:i/>
          <w:iCs/>
          <w:color w:val="231F20"/>
          <w:sz w:val="17"/>
          <w:szCs w:val="17"/>
        </w:rPr>
        <w:t>.</w:t>
      </w:r>
      <w:r w:rsidRPr="00350396">
        <w:rPr>
          <w:rFonts w:ascii="Bookman Old Style" w:eastAsia="Bookman Old Style" w:hAnsi="Bookman Old Style" w:cs="Bookman Old Style"/>
          <w:color w:val="231F20"/>
          <w:sz w:val="17"/>
          <w:szCs w:val="17"/>
        </w:rPr>
        <w:t xml:space="preserve"> Л</w:t>
      </w:r>
      <w:r w:rsidRPr="00350396">
        <w:rPr>
          <w:rFonts w:ascii="Bookman Old Style" w:eastAsia="Bookman Old Style" w:hAnsi="Bookman Old Style" w:cs="Bookman Old Style"/>
          <w:i/>
          <w:iCs/>
          <w:color w:val="231F20"/>
          <w:sz w:val="17"/>
          <w:szCs w:val="17"/>
        </w:rPr>
        <w:t>.</w:t>
      </w:r>
      <w:r w:rsidRPr="00350396">
        <w:rPr>
          <w:rFonts w:ascii="Bookman Old Style" w:eastAsia="Bookman Old Style" w:hAnsi="Bookman Old Style" w:cs="Bookman Old Style"/>
          <w:color w:val="231F20"/>
          <w:sz w:val="17"/>
          <w:szCs w:val="17"/>
        </w:rPr>
        <w:t xml:space="preserve"> И</w:t>
      </w:r>
      <w:r w:rsidRPr="00350396">
        <w:rPr>
          <w:rFonts w:ascii="Bookman Old Style" w:eastAsia="Bookman Old Style" w:hAnsi="Bookman Old Style" w:cs="Bookman Old Style"/>
          <w:i/>
          <w:iCs/>
          <w:color w:val="231F20"/>
          <w:sz w:val="17"/>
          <w:szCs w:val="17"/>
        </w:rPr>
        <w:t>.</w:t>
      </w:r>
      <w:r w:rsidRPr="00350396">
        <w:rPr>
          <w:rFonts w:ascii="Bookman Old Style" w:eastAsia="Bookman Old Style" w:hAnsi="Bookman Old Style" w:cs="Bookman Old Style"/>
          <w:color w:val="231F20"/>
          <w:sz w:val="17"/>
          <w:szCs w:val="17"/>
        </w:rPr>
        <w:t xml:space="preserve"> Якобсона, М. Г Колосницыной. — 3-е изд., перераб. и доп. — М. : Издательство Юрайт, 2015.</w:t>
      </w:r>
    </w:p>
    <w:p w14:paraId="43E982BC" w14:textId="77777777" w:rsidR="00350396" w:rsidRPr="00350396" w:rsidRDefault="00350396" w:rsidP="00350396">
      <w:pPr>
        <w:widowControl w:val="0"/>
        <w:numPr>
          <w:ilvl w:val="0"/>
          <w:numId w:val="46"/>
        </w:numPr>
        <w:tabs>
          <w:tab w:val="left" w:pos="66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Экономика общественного сектора : учебник / Е. В. Егоров [и др.]. — М. : ИНФРА-М, 2009.</w:t>
      </w:r>
    </w:p>
    <w:p w14:paraId="7049333F" w14:textId="77777777" w:rsidR="00350396" w:rsidRPr="00350396" w:rsidRDefault="00350396" w:rsidP="00350396">
      <w:pPr>
        <w:widowControl w:val="0"/>
        <w:numPr>
          <w:ilvl w:val="0"/>
          <w:numId w:val="46"/>
        </w:numPr>
        <w:tabs>
          <w:tab w:val="left" w:pos="673"/>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Якимец, В. Н.</w:t>
      </w:r>
      <w:r w:rsidRPr="00350396">
        <w:rPr>
          <w:rFonts w:ascii="Bookman Old Style" w:eastAsia="Bookman Old Style" w:hAnsi="Bookman Old Style" w:cs="Bookman Old Style"/>
          <w:color w:val="231F20"/>
          <w:sz w:val="17"/>
          <w:szCs w:val="17"/>
        </w:rPr>
        <w:t xml:space="preserve"> Межсекторное социальное партнерство / В. Н. Якимец, Л. И. Никовская, Л. Н. Коновалова ; под ред. А. Г. Поршнева и Ю. Л. Старо</w:t>
      </w:r>
      <w:r w:rsidRPr="00350396">
        <w:rPr>
          <w:rFonts w:ascii="Bookman Old Style" w:eastAsia="Bookman Old Style" w:hAnsi="Bookman Old Style" w:cs="Bookman Old Style"/>
          <w:color w:val="231F20"/>
          <w:sz w:val="17"/>
          <w:szCs w:val="17"/>
        </w:rPr>
        <w:softHyphen/>
        <w:t>стина. — М. : Изд-во ГУУ, 2004.</w:t>
      </w:r>
    </w:p>
    <w:p w14:paraId="433FE6A2" w14:textId="77777777" w:rsidR="00350396" w:rsidRPr="00350396" w:rsidRDefault="00350396" w:rsidP="00350396">
      <w:pPr>
        <w:widowControl w:val="0"/>
        <w:numPr>
          <w:ilvl w:val="0"/>
          <w:numId w:val="46"/>
        </w:numPr>
        <w:tabs>
          <w:tab w:val="left" w:pos="668"/>
        </w:tabs>
        <w:spacing w:line="22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i/>
          <w:iCs/>
          <w:color w:val="231F20"/>
          <w:sz w:val="17"/>
          <w:szCs w:val="17"/>
        </w:rPr>
        <w:t>Якимец, В. Н.</w:t>
      </w:r>
      <w:r w:rsidRPr="00350396">
        <w:rPr>
          <w:rFonts w:ascii="Bookman Old Style" w:eastAsia="Bookman Old Style" w:hAnsi="Bookman Old Style" w:cs="Bookman Old Style"/>
          <w:color w:val="231F20"/>
          <w:sz w:val="17"/>
          <w:szCs w:val="17"/>
        </w:rPr>
        <w:t xml:space="preserve"> Социальные инвестиции российского бизнеса: меха</w:t>
      </w:r>
      <w:r w:rsidRPr="00350396">
        <w:rPr>
          <w:rFonts w:ascii="Bookman Old Style" w:eastAsia="Bookman Old Style" w:hAnsi="Bookman Old Style" w:cs="Bookman Old Style"/>
          <w:color w:val="231F20"/>
          <w:sz w:val="17"/>
          <w:szCs w:val="17"/>
        </w:rPr>
        <w:softHyphen/>
        <w:t>низмы, примеры, проблемы, перспективы / В. Н. Якимец. — М. : КомКнига, 2005.</w:t>
      </w:r>
    </w:p>
    <w:p w14:paraId="0446555B" w14:textId="77777777" w:rsidR="00350396" w:rsidRPr="004E0FC4" w:rsidRDefault="00350396" w:rsidP="004E0FC4">
      <w:pPr>
        <w:keepNext/>
        <w:keepLines/>
        <w:widowControl w:val="0"/>
        <w:spacing w:line="240" w:lineRule="auto"/>
        <w:ind w:firstLine="0"/>
        <w:rPr>
          <w:rFonts w:ascii="Bookman Old Style" w:hAnsi="Bookman Old Style"/>
          <w:sz w:val="18"/>
          <w:szCs w:val="18"/>
        </w:rPr>
      </w:pPr>
      <w:bookmarkStart w:id="46" w:name="bookmark69"/>
      <w:bookmarkEnd w:id="32"/>
      <w:r w:rsidRPr="004E0FC4">
        <w:rPr>
          <w:rFonts w:ascii="Bookman Old Style" w:eastAsia="Arial Narrow" w:hAnsi="Bookman Old Style" w:cs="Arial Narrow"/>
          <w:color w:val="231F20"/>
          <w:sz w:val="18"/>
          <w:szCs w:val="18"/>
        </w:rPr>
        <w:lastRenderedPageBreak/>
        <w:t>Глава 4</w:t>
      </w:r>
    </w:p>
    <w:p w14:paraId="19453464" w14:textId="1B32B61F" w:rsidR="00350396" w:rsidRPr="004E0FC4" w:rsidRDefault="00350396" w:rsidP="004E0FC4">
      <w:pPr>
        <w:keepNext/>
        <w:keepLines/>
        <w:widowControl w:val="0"/>
        <w:spacing w:line="240" w:lineRule="auto"/>
        <w:ind w:firstLine="0"/>
        <w:rPr>
          <w:rFonts w:ascii="Bookman Old Style" w:hAnsi="Bookman Old Style"/>
          <w:sz w:val="18"/>
          <w:szCs w:val="18"/>
        </w:rPr>
      </w:pPr>
      <w:bookmarkStart w:id="47" w:name="bookmark47"/>
      <w:r w:rsidRPr="004E0FC4">
        <w:rPr>
          <w:rFonts w:ascii="Bookman Old Style" w:eastAsia="Arial Narrow" w:hAnsi="Bookman Old Style" w:cs="Arial Narrow"/>
          <w:color w:val="231F20"/>
          <w:sz w:val="18"/>
          <w:szCs w:val="18"/>
        </w:rPr>
        <w:t>ОСОБЕННОСТИ ВЗАИМОДЕЙСТВИЯ ВЛАСТИ</w:t>
      </w:r>
      <w:r w:rsidRPr="004E0FC4">
        <w:rPr>
          <w:rFonts w:ascii="Bookman Old Style" w:eastAsia="Arial Narrow" w:hAnsi="Bookman Old Style" w:cs="Arial Narrow"/>
          <w:color w:val="231F20"/>
          <w:sz w:val="18"/>
          <w:szCs w:val="18"/>
        </w:rPr>
        <w:br/>
        <w:t>И БИЗНЕСА С ПОМОЩЬЮ МЕХАНИЗМА</w:t>
      </w:r>
      <w:r w:rsidRPr="004E0FC4">
        <w:rPr>
          <w:rFonts w:ascii="Bookman Old Style" w:eastAsia="Arial Narrow" w:hAnsi="Bookman Old Style" w:cs="Arial Narrow"/>
          <w:color w:val="231F20"/>
          <w:sz w:val="18"/>
          <w:szCs w:val="18"/>
        </w:rPr>
        <w:br/>
        <w:t>ГОСУДАРСТВЕННО-ЧАСТНОГО ПАРТНЕРСТВА</w:t>
      </w:r>
      <w:bookmarkEnd w:id="47"/>
      <w:r w:rsidR="001C3DE9">
        <w:rPr>
          <w:rStyle w:val="af8"/>
          <w:rFonts w:ascii="Bookman Old Style" w:eastAsia="Arial Narrow" w:hAnsi="Bookman Old Style" w:cs="Arial Narrow"/>
          <w:color w:val="231F20"/>
          <w:sz w:val="18"/>
          <w:szCs w:val="18"/>
        </w:rPr>
        <w:footnoteReference w:id="65"/>
      </w:r>
    </w:p>
    <w:p w14:paraId="0EF799E0"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результате изучения данной главы студент должен:</w:t>
      </w:r>
    </w:p>
    <w:p w14:paraId="4BD6ED08"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знать</w:t>
      </w:r>
    </w:p>
    <w:p w14:paraId="0F5030C3" w14:textId="77777777" w:rsidR="00350396" w:rsidRPr="004E0FC4" w:rsidRDefault="00350396" w:rsidP="004E0FC4">
      <w:pPr>
        <w:widowControl w:val="0"/>
        <w:numPr>
          <w:ilvl w:val="0"/>
          <w:numId w:val="36"/>
        </w:numPr>
        <w:tabs>
          <w:tab w:val="left" w:pos="538"/>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теоретические основы взаимодействия государства и бизнеса;</w:t>
      </w:r>
    </w:p>
    <w:p w14:paraId="126B6F0D" w14:textId="77777777" w:rsidR="00350396" w:rsidRPr="004E0FC4" w:rsidRDefault="00350396" w:rsidP="004E0FC4">
      <w:pPr>
        <w:widowControl w:val="0"/>
        <w:numPr>
          <w:ilvl w:val="0"/>
          <w:numId w:val="36"/>
        </w:numPr>
        <w:tabs>
          <w:tab w:val="left" w:pos="525"/>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основные формы, механизмы и модели государственно-частных пар</w:t>
      </w:r>
      <w:r w:rsidRPr="004E0FC4">
        <w:rPr>
          <w:rFonts w:ascii="Bookman Old Style" w:eastAsia="Bookman Old Style" w:hAnsi="Bookman Old Style" w:cs="Bookman Old Style"/>
          <w:color w:val="231F20"/>
          <w:sz w:val="18"/>
          <w:szCs w:val="18"/>
        </w:rPr>
        <w:softHyphen/>
        <w:t>тнерств;</w:t>
      </w:r>
    </w:p>
    <w:p w14:paraId="3E9000C4" w14:textId="77777777" w:rsidR="00350396" w:rsidRPr="004E0FC4" w:rsidRDefault="00350396" w:rsidP="004E0FC4">
      <w:pPr>
        <w:widowControl w:val="0"/>
        <w:numPr>
          <w:ilvl w:val="0"/>
          <w:numId w:val="36"/>
        </w:numPr>
        <w:tabs>
          <w:tab w:val="left" w:pos="530"/>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особенности зарубежного опыта реализации проектов государственно</w:t>
      </w:r>
      <w:r w:rsidRPr="004E0FC4">
        <w:rPr>
          <w:rFonts w:ascii="Bookman Old Style" w:eastAsia="Bookman Old Style" w:hAnsi="Bookman Old Style" w:cs="Bookman Old Style"/>
          <w:color w:val="231F20"/>
          <w:sz w:val="18"/>
          <w:szCs w:val="18"/>
        </w:rPr>
        <w:softHyphen/>
        <w:t>частного партнерства;</w:t>
      </w:r>
    </w:p>
    <w:p w14:paraId="357A3E23" w14:textId="77777777" w:rsidR="00350396" w:rsidRPr="004E0FC4" w:rsidRDefault="00350396" w:rsidP="004E0FC4">
      <w:pPr>
        <w:widowControl w:val="0"/>
        <w:numPr>
          <w:ilvl w:val="0"/>
          <w:numId w:val="36"/>
        </w:numPr>
        <w:tabs>
          <w:tab w:val="left" w:pos="525"/>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особенности реализации проектов государственно-частных партнерств в Российской Федерации;</w:t>
      </w:r>
    </w:p>
    <w:p w14:paraId="2DAEA3E0" w14:textId="77777777" w:rsidR="00350396" w:rsidRPr="004E0FC4" w:rsidRDefault="00350396" w:rsidP="004E0FC4">
      <w:pPr>
        <w:widowControl w:val="0"/>
        <w:numPr>
          <w:ilvl w:val="0"/>
          <w:numId w:val="36"/>
        </w:numPr>
        <w:tabs>
          <w:tab w:val="left" w:pos="530"/>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особенности и ограничения Федерального закона «О государственно</w:t>
      </w:r>
      <w:r w:rsidRPr="004E0FC4">
        <w:rPr>
          <w:rFonts w:ascii="Bookman Old Style" w:eastAsia="Bookman Old Style" w:hAnsi="Bookman Old Style" w:cs="Bookman Old Style"/>
          <w:color w:val="231F20"/>
          <w:sz w:val="18"/>
          <w:szCs w:val="18"/>
        </w:rPr>
        <w:softHyphen/>
        <w:t>частном партнерстве»;</w:t>
      </w:r>
    </w:p>
    <w:p w14:paraId="1FD19614" w14:textId="77777777" w:rsidR="00350396" w:rsidRPr="004E0FC4" w:rsidRDefault="00350396" w:rsidP="004E0FC4">
      <w:pPr>
        <w:widowControl w:val="0"/>
        <w:numPr>
          <w:ilvl w:val="0"/>
          <w:numId w:val="36"/>
        </w:numPr>
        <w:tabs>
          <w:tab w:val="left" w:pos="525"/>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актуальное состояние и перспективы внедрения государственно-част</w:t>
      </w:r>
      <w:r w:rsidRPr="004E0FC4">
        <w:rPr>
          <w:rFonts w:ascii="Bookman Old Style" w:eastAsia="Bookman Old Style" w:hAnsi="Bookman Old Style" w:cs="Bookman Old Style"/>
          <w:color w:val="231F20"/>
          <w:sz w:val="18"/>
          <w:szCs w:val="18"/>
        </w:rPr>
        <w:softHyphen/>
        <w:t>ных партнерств в инновационную деятельность;</w:t>
      </w:r>
    </w:p>
    <w:p w14:paraId="46773E9A"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уметь</w:t>
      </w:r>
    </w:p>
    <w:p w14:paraId="67A982C5" w14:textId="77777777" w:rsidR="00350396" w:rsidRPr="004E0FC4" w:rsidRDefault="00350396" w:rsidP="004E0FC4">
      <w:pPr>
        <w:widowControl w:val="0"/>
        <w:numPr>
          <w:ilvl w:val="0"/>
          <w:numId w:val="36"/>
        </w:numPr>
        <w:tabs>
          <w:tab w:val="left" w:pos="525"/>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формулировать цели взаимодействия государства и бизнеса на основе государственно-частного партнерства;</w:t>
      </w:r>
    </w:p>
    <w:p w14:paraId="6D0A9DD3" w14:textId="77777777" w:rsidR="00350396" w:rsidRPr="004E0FC4" w:rsidRDefault="00350396" w:rsidP="004E0FC4">
      <w:pPr>
        <w:widowControl w:val="0"/>
        <w:numPr>
          <w:ilvl w:val="0"/>
          <w:numId w:val="36"/>
        </w:numPr>
        <w:tabs>
          <w:tab w:val="left" w:pos="525"/>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классифицировать формы реализации государственно-частных пар</w:t>
      </w:r>
      <w:r w:rsidRPr="004E0FC4">
        <w:rPr>
          <w:rFonts w:ascii="Bookman Old Style" w:eastAsia="Bookman Old Style" w:hAnsi="Bookman Old Style" w:cs="Bookman Old Style"/>
          <w:color w:val="231F20"/>
          <w:sz w:val="18"/>
          <w:szCs w:val="18"/>
        </w:rPr>
        <w:softHyphen/>
        <w:t>тнерств;</w:t>
      </w:r>
    </w:p>
    <w:p w14:paraId="4B5594D3" w14:textId="77777777" w:rsidR="00350396" w:rsidRPr="004E0FC4" w:rsidRDefault="00350396" w:rsidP="004E0FC4">
      <w:pPr>
        <w:widowControl w:val="0"/>
        <w:numPr>
          <w:ilvl w:val="0"/>
          <w:numId w:val="36"/>
        </w:numPr>
        <w:tabs>
          <w:tab w:val="left" w:pos="525"/>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использовать модели функционирования государственно-частных партнерств применительно к российской действительности;</w:t>
      </w:r>
    </w:p>
    <w:p w14:paraId="2D3B2F28"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владеть</w:t>
      </w:r>
    </w:p>
    <w:p w14:paraId="528CD677" w14:textId="77777777" w:rsidR="00350396" w:rsidRPr="004E0FC4" w:rsidRDefault="00350396" w:rsidP="004E0FC4">
      <w:pPr>
        <w:widowControl w:val="0"/>
        <w:numPr>
          <w:ilvl w:val="0"/>
          <w:numId w:val="36"/>
        </w:numPr>
        <w:tabs>
          <w:tab w:val="left" w:pos="525"/>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технологиями взаимодействия власти и бизнеса с помощью механизма государственно-частного партнерства;</w:t>
      </w:r>
    </w:p>
    <w:p w14:paraId="000C7145" w14:textId="77777777" w:rsidR="00350396" w:rsidRPr="004E0FC4" w:rsidRDefault="00350396" w:rsidP="004E0FC4">
      <w:pPr>
        <w:widowControl w:val="0"/>
        <w:numPr>
          <w:ilvl w:val="0"/>
          <w:numId w:val="36"/>
        </w:numPr>
        <w:tabs>
          <w:tab w:val="left" w:pos="525"/>
        </w:tabs>
        <w:spacing w:after="412"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методами реализации различных форм государственно-частного пар</w:t>
      </w:r>
      <w:r w:rsidRPr="004E0FC4">
        <w:rPr>
          <w:rFonts w:ascii="Bookman Old Style" w:eastAsia="Bookman Old Style" w:hAnsi="Bookman Old Style" w:cs="Bookman Old Style"/>
          <w:color w:val="231F20"/>
          <w:sz w:val="18"/>
          <w:szCs w:val="18"/>
        </w:rPr>
        <w:softHyphen/>
        <w:t>тнерства в российской действительности.</w:t>
      </w:r>
    </w:p>
    <w:p w14:paraId="786215F7"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48" w:name="bookmark48"/>
      <w:bookmarkStart w:id="49" w:name="_Toc118131263"/>
      <w:r w:rsidRPr="004E0FC4">
        <w:rPr>
          <w:rFonts w:ascii="Bookman Old Style" w:eastAsia="Arial Narrow" w:hAnsi="Bookman Old Style" w:cs="Arial Narrow"/>
          <w:b/>
          <w:bCs/>
          <w:i/>
          <w:iCs/>
          <w:color w:val="231F20"/>
          <w:sz w:val="18"/>
          <w:szCs w:val="18"/>
        </w:rPr>
        <w:t>4.1. Государственно-частное партнерство: теоретический и исторический аспекты</w:t>
      </w:r>
      <w:bookmarkEnd w:id="48"/>
      <w:bookmarkEnd w:id="49"/>
    </w:p>
    <w:p w14:paraId="65F1A3E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w:t>
      </w:r>
      <w:r w:rsidRPr="004E0FC4">
        <w:rPr>
          <w:rFonts w:ascii="Bookman Old Style" w:eastAsia="Bookman Old Style" w:hAnsi="Bookman Old Style" w:cs="Bookman Old Style"/>
          <w:color w:val="231F20"/>
          <w:sz w:val="18"/>
          <w:szCs w:val="18"/>
          <w:highlight w:val="green"/>
        </w:rPr>
        <w:t>первые два десятилетия 21 века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в России и многих других странах была характерна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auto"/>
          <w:sz w:val="18"/>
          <w:szCs w:val="18"/>
          <w:highlight w:val="red"/>
        </w:rPr>
        <w:t>настоящее время в России и мире усиливается</w:t>
      </w:r>
      <w:r w:rsidRPr="004E0FC4">
        <w:rPr>
          <w:rFonts w:ascii="Bookman Old Style" w:eastAsia="Bookman Old Style" w:hAnsi="Bookman Old Style" w:cs="Bookman Old Style"/>
          <w:color w:val="auto"/>
          <w:sz w:val="18"/>
          <w:szCs w:val="18"/>
        </w:rPr>
        <w:t xml:space="preserve"> </w:t>
      </w:r>
      <w:r w:rsidRPr="004E0FC4">
        <w:rPr>
          <w:rFonts w:ascii="Bookman Old Style" w:eastAsia="Bookman Old Style" w:hAnsi="Bookman Old Style" w:cs="Bookman Old Style"/>
          <w:color w:val="231F20"/>
          <w:sz w:val="18"/>
          <w:szCs w:val="18"/>
        </w:rPr>
        <w:t>тенденция к ак</w:t>
      </w:r>
      <w:r w:rsidRPr="004E0FC4">
        <w:rPr>
          <w:rFonts w:ascii="Bookman Old Style" w:eastAsia="Bookman Old Style" w:hAnsi="Bookman Old Style" w:cs="Bookman Old Style"/>
          <w:color w:val="231F20"/>
          <w:sz w:val="18"/>
          <w:szCs w:val="18"/>
        </w:rPr>
        <w:softHyphen/>
        <w:t>тивизации отношений государства и частного бизнеса для совмест</w:t>
      </w:r>
      <w:r w:rsidRPr="004E0FC4">
        <w:rPr>
          <w:rFonts w:ascii="Bookman Old Style" w:eastAsia="Bookman Old Style" w:hAnsi="Bookman Old Style" w:cs="Bookman Old Style"/>
          <w:color w:val="231F20"/>
          <w:sz w:val="18"/>
          <w:szCs w:val="18"/>
        </w:rPr>
        <w:softHyphen/>
        <w:t>ной работы при решении экономических проблем. Государство и частные компании, банки, международные финансовые организации и другие субъекты вступают во взаимодействие, совместно решая все новые задачи.</w:t>
      </w:r>
    </w:p>
    <w:p w14:paraId="02290606" w14:textId="77777777" w:rsidR="00350396" w:rsidRPr="004E0FC4" w:rsidRDefault="00350396" w:rsidP="004E0FC4">
      <w:pPr>
        <w:widowControl w:val="0"/>
        <w:spacing w:after="280"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Государство при этом нацелено на выполнение социальных функций, реализацию общенациональных интересов, а бизнес ищет источники приращения прибыли и стоимости. Использовать пре</w:t>
      </w:r>
      <w:r w:rsidRPr="004E0FC4">
        <w:rPr>
          <w:rFonts w:ascii="Bookman Old Style" w:eastAsia="Bookman Old Style" w:hAnsi="Bookman Old Style" w:cs="Bookman Old Style"/>
          <w:color w:val="231F20"/>
          <w:sz w:val="18"/>
          <w:szCs w:val="18"/>
        </w:rPr>
        <w:softHyphen/>
        <w:t>имущества разных форм собственности без глубоких социальных перемен и потрясений оказывается возможным в рамках разноо</w:t>
      </w:r>
      <w:r w:rsidRPr="004E0FC4">
        <w:rPr>
          <w:rFonts w:ascii="Bookman Old Style" w:eastAsia="Bookman Old Style" w:hAnsi="Bookman Old Style" w:cs="Bookman Old Style"/>
          <w:color w:val="231F20"/>
          <w:sz w:val="18"/>
          <w:szCs w:val="18"/>
        </w:rPr>
        <w:softHyphen/>
        <w:t>бразных форм и методов и моделей государственно-частного пар</w:t>
      </w:r>
      <w:r w:rsidRPr="004E0FC4">
        <w:rPr>
          <w:rFonts w:ascii="Bookman Old Style" w:eastAsia="Bookman Old Style" w:hAnsi="Bookman Old Style" w:cs="Bookman Old Style"/>
          <w:color w:val="231F20"/>
          <w:sz w:val="18"/>
          <w:szCs w:val="18"/>
        </w:rPr>
        <w:softHyphen/>
        <w:t>тнерства (ГЧП).</w:t>
      </w:r>
    </w:p>
    <w:p w14:paraId="7AD8BD63"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Segoe UI" w:hAnsi="Bookman Old Style" w:cs="Segoe UI"/>
          <w:b/>
          <w:bCs/>
          <w:color w:val="231F20"/>
          <w:sz w:val="18"/>
          <w:szCs w:val="18"/>
        </w:rPr>
        <w:t>В современном понимании государственно-частное партнерство —</w:t>
      </w:r>
    </w:p>
    <w:p w14:paraId="67E67B6C" w14:textId="77777777" w:rsidR="00350396" w:rsidRPr="004E0FC4" w:rsidRDefault="00350396" w:rsidP="004E0FC4">
      <w:pPr>
        <w:widowControl w:val="0"/>
        <w:spacing w:line="250" w:lineRule="exact"/>
        <w:ind w:left="320" w:firstLine="0"/>
        <w:rPr>
          <w:rFonts w:ascii="Bookman Old Style" w:hAnsi="Bookman Old Style"/>
          <w:sz w:val="18"/>
          <w:szCs w:val="18"/>
        </w:rPr>
      </w:pPr>
      <w:r w:rsidRPr="004E0FC4">
        <w:rPr>
          <w:rFonts w:ascii="Bookman Old Style" w:eastAsia="Segoe UI" w:hAnsi="Bookman Old Style" w:cs="Segoe UI"/>
          <w:color w:val="231F20"/>
          <w:sz w:val="18"/>
          <w:szCs w:val="18"/>
        </w:rPr>
        <w:lastRenderedPageBreak/>
        <w:t>институциональный и организационный альянс государства (или му</w:t>
      </w:r>
      <w:r w:rsidRPr="004E0FC4">
        <w:rPr>
          <w:rFonts w:ascii="Bookman Old Style" w:eastAsia="Segoe UI" w:hAnsi="Bookman Old Style" w:cs="Segoe UI"/>
          <w:color w:val="231F20"/>
          <w:sz w:val="18"/>
          <w:szCs w:val="18"/>
        </w:rPr>
        <w:softHyphen/>
        <w:t>ниципальной власти) и бизнеса, подразумевающий объединение материальных и нематериальных ресурсов обеих сторон на взаи</w:t>
      </w:r>
      <w:r w:rsidRPr="004E0FC4">
        <w:rPr>
          <w:rFonts w:ascii="Bookman Old Style" w:eastAsia="Segoe UI" w:hAnsi="Bookman Old Style" w:cs="Segoe UI"/>
          <w:color w:val="231F20"/>
          <w:sz w:val="18"/>
          <w:szCs w:val="18"/>
        </w:rPr>
        <w:softHyphen/>
        <w:t>мовыгодной договорной основе в целях реализации общественно значимых проектов и программ в широком спектре сфер деятель</w:t>
      </w:r>
      <w:r w:rsidRPr="004E0FC4">
        <w:rPr>
          <w:rFonts w:ascii="Bookman Old Style" w:eastAsia="Segoe UI" w:hAnsi="Bookman Old Style" w:cs="Segoe UI"/>
          <w:color w:val="231F20"/>
          <w:sz w:val="18"/>
          <w:szCs w:val="18"/>
        </w:rPr>
        <w:softHyphen/>
        <w:t>ности: от базовых отраслей промышленности и НИОКР до оказания общественных услуг</w:t>
      </w:r>
      <w:r w:rsidRPr="004E0FC4">
        <w:rPr>
          <w:rFonts w:ascii="Bookman Old Style" w:eastAsia="Segoe UI" w:hAnsi="Bookman Old Style" w:cs="Segoe UI"/>
          <w:color w:val="231F20"/>
          <w:sz w:val="18"/>
          <w:szCs w:val="18"/>
          <w:vertAlign w:val="superscript"/>
        </w:rPr>
        <w:footnoteReference w:id="66"/>
      </w:r>
      <w:r w:rsidRPr="004E0FC4">
        <w:rPr>
          <w:rFonts w:ascii="Bookman Old Style" w:eastAsia="Segoe UI" w:hAnsi="Bookman Old Style" w:cs="Segoe UI"/>
          <w:color w:val="231F20"/>
          <w:sz w:val="18"/>
          <w:szCs w:val="18"/>
        </w:rPr>
        <w:t>.</w:t>
      </w:r>
    </w:p>
    <w:p w14:paraId="1019C3C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Рассматриваемая форма взаимодействия государства и бизне</w:t>
      </w:r>
      <w:r w:rsidRPr="004E0FC4">
        <w:rPr>
          <w:rFonts w:ascii="Bookman Old Style" w:eastAsia="Bookman Old Style" w:hAnsi="Bookman Old Style" w:cs="Bookman Old Style"/>
          <w:color w:val="231F20"/>
          <w:sz w:val="18"/>
          <w:szCs w:val="18"/>
        </w:rPr>
        <w:softHyphen/>
        <w:t>са в научно-экспертной литературе обозначается рядом терми</w:t>
      </w:r>
      <w:r w:rsidRPr="004E0FC4">
        <w:rPr>
          <w:rFonts w:ascii="Bookman Old Style" w:eastAsia="Bookman Old Style" w:hAnsi="Bookman Old Style" w:cs="Bookman Old Style"/>
          <w:color w:val="231F20"/>
          <w:sz w:val="18"/>
          <w:szCs w:val="18"/>
        </w:rPr>
        <w:softHyphen/>
        <w:t>нов: «государственно-частное партнерство», «публично-частное партнерство», «общественно-частное партнерство», «частно-госу</w:t>
      </w:r>
      <w:r w:rsidRPr="004E0FC4">
        <w:rPr>
          <w:rFonts w:ascii="Bookman Old Style" w:eastAsia="Bookman Old Style" w:hAnsi="Bookman Old Style" w:cs="Bookman Old Style"/>
          <w:color w:val="231F20"/>
          <w:sz w:val="18"/>
          <w:szCs w:val="18"/>
        </w:rPr>
        <w:softHyphen/>
        <w:t>дарственное партнерство». Первое место в названии партнерства государства или бизнеса подчеркивает главенство и инициативу со стороны того или иного субъекта в реализации совместных про</w:t>
      </w:r>
      <w:r w:rsidRPr="004E0FC4">
        <w:rPr>
          <w:rFonts w:ascii="Bookman Old Style" w:eastAsia="Bookman Old Style" w:hAnsi="Bookman Old Style" w:cs="Bookman Old Style"/>
          <w:color w:val="231F20"/>
          <w:sz w:val="18"/>
          <w:szCs w:val="18"/>
        </w:rPr>
        <w:softHyphen/>
        <w:t>ектов. С учетом исторических и современных особенностей эконо</w:t>
      </w:r>
      <w:r w:rsidRPr="004E0FC4">
        <w:rPr>
          <w:rFonts w:ascii="Bookman Old Style" w:eastAsia="Bookman Old Style" w:hAnsi="Bookman Old Style" w:cs="Bookman Old Style"/>
          <w:color w:val="231F20"/>
          <w:sz w:val="18"/>
          <w:szCs w:val="18"/>
        </w:rPr>
        <w:softHyphen/>
        <w:t>мики России, в которой государство чаще является инициатором от</w:t>
      </w:r>
      <w:r w:rsidRPr="004E0FC4">
        <w:rPr>
          <w:rFonts w:ascii="Bookman Old Style" w:eastAsia="Bookman Old Style" w:hAnsi="Bookman Old Style" w:cs="Bookman Old Style"/>
          <w:color w:val="231F20"/>
          <w:sz w:val="18"/>
          <w:szCs w:val="18"/>
        </w:rPr>
        <w:softHyphen/>
        <w:t>ношений, в российской практике в основном применяют понятие «государственно-частное партнерство».</w:t>
      </w:r>
    </w:p>
    <w:p w14:paraId="4777EE66"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Основой для взаимодействия является согласование целей участ</w:t>
      </w:r>
      <w:r w:rsidRPr="004E0FC4">
        <w:rPr>
          <w:rFonts w:ascii="Bookman Old Style" w:eastAsia="Bookman Old Style" w:hAnsi="Bookman Old Style" w:cs="Bookman Old Style"/>
          <w:color w:val="231F20"/>
          <w:sz w:val="18"/>
          <w:szCs w:val="18"/>
        </w:rPr>
        <w:softHyphen/>
        <w:t>ников. Если бизнес от участия в ГЧП ожидает получение прибыли, приращения стоимости, повышения собственной репутации, то го</w:t>
      </w:r>
      <w:r w:rsidRPr="004E0FC4">
        <w:rPr>
          <w:rFonts w:ascii="Bookman Old Style" w:eastAsia="Bookman Old Style" w:hAnsi="Bookman Old Style" w:cs="Bookman Old Style"/>
          <w:color w:val="231F20"/>
          <w:sz w:val="18"/>
          <w:szCs w:val="18"/>
        </w:rPr>
        <w:softHyphen/>
        <w:t>сударство в рамках решения своих задач стремится к улучшению качества и увеличению объемов предоставляемых услуг, к рацио</w:t>
      </w:r>
      <w:r w:rsidRPr="004E0FC4">
        <w:rPr>
          <w:rFonts w:ascii="Bookman Old Style" w:eastAsia="Bookman Old Style" w:hAnsi="Bookman Old Style" w:cs="Bookman Old Style"/>
          <w:color w:val="231F20"/>
          <w:sz w:val="18"/>
          <w:szCs w:val="18"/>
        </w:rPr>
        <w:softHyphen/>
        <w:t>нальному управлению государственной собственностью. Решаемые государством задачи при этом относятся как к текущему обслужи</w:t>
      </w:r>
      <w:r w:rsidRPr="004E0FC4">
        <w:rPr>
          <w:rFonts w:ascii="Bookman Old Style" w:eastAsia="Bookman Old Style" w:hAnsi="Bookman Old Style" w:cs="Bookman Old Style"/>
          <w:color w:val="231F20"/>
          <w:sz w:val="18"/>
          <w:szCs w:val="18"/>
        </w:rPr>
        <w:softHyphen/>
        <w:t>ванию населения, так и к перспективному развитию экономики (хозяйства) страны, включая развитие инновационных направле</w:t>
      </w:r>
      <w:r w:rsidRPr="004E0FC4">
        <w:rPr>
          <w:rFonts w:ascii="Bookman Old Style" w:eastAsia="Bookman Old Style" w:hAnsi="Bookman Old Style" w:cs="Bookman Old Style"/>
          <w:color w:val="231F20"/>
          <w:sz w:val="18"/>
          <w:szCs w:val="18"/>
        </w:rPr>
        <w:softHyphen/>
        <w:t>ний, обеспечение доступности инфраструктуры.</w:t>
      </w:r>
    </w:p>
    <w:p w14:paraId="5F01A1B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Стороны согласно своим особенностям и целям вносят опреде</w:t>
      </w:r>
      <w:r w:rsidRPr="004E0FC4">
        <w:rPr>
          <w:rFonts w:ascii="Bookman Old Style" w:eastAsia="Bookman Old Style" w:hAnsi="Bookman Old Style" w:cs="Bookman Old Style"/>
          <w:color w:val="231F20"/>
          <w:sz w:val="18"/>
          <w:szCs w:val="18"/>
        </w:rPr>
        <w:softHyphen/>
        <w:t>ленные вклады в совместные проекты. От бизнеса ожидается предо</w:t>
      </w:r>
      <w:r w:rsidRPr="004E0FC4">
        <w:rPr>
          <w:rFonts w:ascii="Bookman Old Style" w:eastAsia="Bookman Old Style" w:hAnsi="Bookman Old Style" w:cs="Bookman Old Style"/>
          <w:color w:val="231F20"/>
          <w:sz w:val="18"/>
          <w:szCs w:val="18"/>
        </w:rPr>
        <w:softHyphen/>
        <w:t>ставление финансовых ресурсов, профессионального опыта, инно</w:t>
      </w:r>
      <w:r w:rsidRPr="004E0FC4">
        <w:rPr>
          <w:rFonts w:ascii="Bookman Old Style" w:eastAsia="Bookman Old Style" w:hAnsi="Bookman Old Style" w:cs="Bookman Old Style"/>
          <w:color w:val="231F20"/>
          <w:sz w:val="18"/>
          <w:szCs w:val="18"/>
        </w:rPr>
        <w:softHyphen/>
        <w:t>вационных технологий, эффективного менеджмента. Государство обеспечивает надежность проектов через предоставление гаран</w:t>
      </w:r>
      <w:r w:rsidRPr="004E0FC4">
        <w:rPr>
          <w:rFonts w:ascii="Bookman Old Style" w:eastAsia="Bookman Old Style" w:hAnsi="Bookman Old Style" w:cs="Bookman Old Style"/>
          <w:color w:val="231F20"/>
          <w:sz w:val="18"/>
          <w:szCs w:val="18"/>
        </w:rPr>
        <w:softHyphen/>
        <w:t>тий, налоговых и других льгот и собственных финансовых ресурсов в определенном объеме (рис. 4.1).</w:t>
      </w:r>
    </w:p>
    <w:p w14:paraId="5CA68B9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Государственно-частное партнерство в целом нацелено на долго</w:t>
      </w:r>
      <w:r w:rsidRPr="004E0FC4">
        <w:rPr>
          <w:rFonts w:ascii="Bookman Old Style" w:eastAsia="Bookman Old Style" w:hAnsi="Bookman Old Style" w:cs="Bookman Old Style"/>
          <w:color w:val="231F20"/>
          <w:sz w:val="18"/>
          <w:szCs w:val="18"/>
        </w:rPr>
        <w:softHyphen/>
        <w:t>срочное развитие экономической и социальной инфраструктуры для реализации общественно значимых проектов с наименьшими рисками и высокими требованиями к качеству услуг с минимиза</w:t>
      </w:r>
      <w:r w:rsidRPr="004E0FC4">
        <w:rPr>
          <w:rFonts w:ascii="Bookman Old Style" w:eastAsia="Bookman Old Style" w:hAnsi="Bookman Old Style" w:cs="Bookman Old Style"/>
          <w:color w:val="231F20"/>
          <w:sz w:val="18"/>
          <w:szCs w:val="18"/>
        </w:rPr>
        <w:softHyphen/>
        <w:t>цией государственных расходов в текущем периоде. В случае ког</w:t>
      </w:r>
      <w:r w:rsidRPr="004E0FC4">
        <w:rPr>
          <w:rFonts w:ascii="Bookman Old Style" w:eastAsia="Bookman Old Style" w:hAnsi="Bookman Old Style" w:cs="Bookman Old Style"/>
          <w:color w:val="231F20"/>
          <w:sz w:val="18"/>
          <w:szCs w:val="18"/>
        </w:rPr>
        <w:softHyphen/>
        <w:t>да государству удается организовать взаимоотношения с бизнесом в форме ГЧП (а, например, не в виде только налоговых отношений), ресурсы бизнеса, включая эффективные методы работы, технику и технологии, новые формы организации производства, связи с по</w:t>
      </w:r>
      <w:r w:rsidRPr="004E0FC4">
        <w:rPr>
          <w:rFonts w:ascii="Bookman Old Style" w:eastAsia="Bookman Old Style" w:hAnsi="Bookman Old Style" w:cs="Bookman Old Style"/>
          <w:color w:val="231F20"/>
          <w:sz w:val="18"/>
          <w:szCs w:val="18"/>
        </w:rPr>
        <w:softHyphen/>
        <w:t xml:space="preserve">ставщиками и подрядчиками, высококвалифицированные кадры, могут быть задействованы в областях, непосредственно указанных государством. </w:t>
      </w:r>
      <w:r w:rsidRPr="004E0FC4">
        <w:rPr>
          <w:rFonts w:ascii="Bookman Old Style" w:eastAsia="Bookman Old Style" w:hAnsi="Bookman Old Style" w:cs="Bookman Old Style"/>
          <w:color w:val="231F20"/>
          <w:sz w:val="18"/>
          <w:szCs w:val="18"/>
          <w:vertAlign w:val="superscript"/>
        </w:rPr>
        <w:footnoteReference w:id="67"/>
      </w:r>
    </w:p>
    <w:p w14:paraId="7C4678C5" w14:textId="77777777" w:rsidR="00350396" w:rsidRPr="004E0FC4" w:rsidRDefault="00350396" w:rsidP="004E0FC4">
      <w:pPr>
        <w:framePr w:h="5443"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hAnsi="Bookman Old Style"/>
          <w:noProof/>
          <w:sz w:val="18"/>
          <w:szCs w:val="18"/>
          <w:lang w:bidi="ar-SA"/>
        </w:rPr>
        <w:lastRenderedPageBreak/>
        <w:drawing>
          <wp:inline distT="0" distB="0" distL="0" distR="0" wp14:anchorId="72770C69" wp14:editId="5C2415DF">
            <wp:extent cx="4182110" cy="3450590"/>
            <wp:effectExtent l="19050" t="0" r="8890" b="0"/>
            <wp:docPr id="252" name="Рисунок 252" descr="C:\Users\A2D98~1.SHI\AppData\Local\Temp\433\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2D98~1.SHI\AppData\Local\Temp\433\ABBYY\PDFTransformer\12.00\media\image11.jpeg"/>
                    <pic:cNvPicPr>
                      <a:picLocks noChangeAspect="1" noChangeArrowheads="1"/>
                    </pic:cNvPicPr>
                  </pic:nvPicPr>
                  <pic:blipFill>
                    <a:blip r:embed="rId33" cstate="print"/>
                    <a:srcRect/>
                    <a:stretch>
                      <a:fillRect/>
                    </a:stretch>
                  </pic:blipFill>
                  <pic:spPr bwMode="auto">
                    <a:xfrm>
                      <a:off x="0" y="0"/>
                      <a:ext cx="4182110" cy="3450590"/>
                    </a:xfrm>
                    <a:prstGeom prst="rect">
                      <a:avLst/>
                    </a:prstGeom>
                    <a:noFill/>
                    <a:ln w="9525">
                      <a:noFill/>
                      <a:miter lim="800000"/>
                      <a:headEnd/>
                      <a:tailEnd/>
                    </a:ln>
                  </pic:spPr>
                </pic:pic>
              </a:graphicData>
            </a:graphic>
          </wp:inline>
        </w:drawing>
      </w:r>
    </w:p>
    <w:p w14:paraId="36941800" w14:textId="77777777" w:rsidR="00350396" w:rsidRPr="004E0FC4" w:rsidRDefault="00350396" w:rsidP="004E0FC4">
      <w:pPr>
        <w:framePr w:h="5443" w:wrap="notBeside" w:vAnchor="text" w:hAnchor="text" w:xAlign="center" w:y="1"/>
        <w:widowControl w:val="0"/>
        <w:spacing w:line="240" w:lineRule="exact"/>
        <w:ind w:firstLine="0"/>
        <w:rPr>
          <w:rFonts w:ascii="Bookman Old Style" w:hAnsi="Bookman Old Style"/>
          <w:sz w:val="18"/>
          <w:szCs w:val="18"/>
        </w:rPr>
      </w:pPr>
      <w:r w:rsidRPr="004E0FC4">
        <w:rPr>
          <w:rFonts w:ascii="Bookman Old Style" w:eastAsia="Arial Narrow" w:hAnsi="Bookman Old Style" w:cs="Arial Narrow"/>
          <w:b/>
          <w:bCs/>
          <w:i/>
          <w:iCs/>
          <w:color w:val="231F20"/>
          <w:sz w:val="18"/>
          <w:szCs w:val="18"/>
        </w:rPr>
        <w:t>Рис. 4.1.</w:t>
      </w:r>
      <w:r w:rsidRPr="004E0FC4">
        <w:rPr>
          <w:rFonts w:ascii="Bookman Old Style" w:eastAsia="Arial Narrow" w:hAnsi="Bookman Old Style" w:cs="Arial Narrow"/>
          <w:color w:val="231F20"/>
          <w:sz w:val="18"/>
          <w:szCs w:val="18"/>
        </w:rPr>
        <w:t xml:space="preserve"> Цели и вклады государства и бизнеса при реализации проектов государственно-частного партнерства</w:t>
      </w:r>
      <w:r w:rsidRPr="004E0FC4">
        <w:rPr>
          <w:rFonts w:ascii="Bookman Old Style" w:eastAsia="Bookman Old Style" w:hAnsi="Bookman Old Style" w:cs="Bookman Old Style"/>
          <w:b/>
          <w:bCs/>
          <w:color w:val="231F20"/>
          <w:sz w:val="18"/>
          <w:szCs w:val="18"/>
          <w:vertAlign w:val="superscript"/>
        </w:rPr>
        <w:t>1</w:t>
      </w:r>
    </w:p>
    <w:p w14:paraId="6A698A58" w14:textId="77777777" w:rsidR="00350396" w:rsidRPr="004E0FC4" w:rsidRDefault="00350396" w:rsidP="004E0FC4">
      <w:pPr>
        <w:widowControl w:val="0"/>
        <w:spacing w:line="240" w:lineRule="auto"/>
        <w:ind w:firstLine="0"/>
        <w:rPr>
          <w:rFonts w:ascii="Bookman Old Style" w:hAnsi="Bookman Old Style"/>
          <w:sz w:val="18"/>
          <w:szCs w:val="18"/>
        </w:rPr>
      </w:pPr>
    </w:p>
    <w:p w14:paraId="6DED43B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Характерный эффект ГЧП состоит в том, что государство в своей деятельности смещает акценты с конкретных проблем строитель</w:t>
      </w:r>
      <w:r w:rsidRPr="004E0FC4">
        <w:rPr>
          <w:rFonts w:ascii="Bookman Old Style" w:eastAsia="Bookman Old Style" w:hAnsi="Bookman Old Style" w:cs="Bookman Old Style"/>
          <w:color w:val="231F20"/>
          <w:sz w:val="18"/>
          <w:szCs w:val="18"/>
        </w:rPr>
        <w:softHyphen/>
        <w:t>ства и эксплуатации объектов на административно-контрольные функции. Делегируя в ходе проектов ГЧП исполнительские функции бизнесу, государственные структуры сосредотачиваются на функци</w:t>
      </w:r>
      <w:r w:rsidRPr="004E0FC4">
        <w:rPr>
          <w:rFonts w:ascii="Bookman Old Style" w:eastAsia="Bookman Old Style" w:hAnsi="Bookman Old Style" w:cs="Bookman Old Style"/>
          <w:color w:val="231F20"/>
          <w:sz w:val="18"/>
          <w:szCs w:val="18"/>
        </w:rPr>
        <w:softHyphen/>
        <w:t>ях контроля, регулирования, соблюдения общественных интересов. Операционные предпринимательские риски при этом перераспре</w:t>
      </w:r>
      <w:r w:rsidRPr="004E0FC4">
        <w:rPr>
          <w:rFonts w:ascii="Bookman Old Style" w:eastAsia="Bookman Old Style" w:hAnsi="Bookman Old Style" w:cs="Bookman Old Style"/>
          <w:color w:val="231F20"/>
          <w:sz w:val="18"/>
          <w:szCs w:val="18"/>
        </w:rPr>
        <w:softHyphen/>
        <w:t>деляются в сторону бизнеса, в то время как государство продолжает нести стратегические риски.</w:t>
      </w:r>
    </w:p>
    <w:p w14:paraId="424B6C9E"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В некоторых случаях необходимость ГЧП возникает в тех ситуа</w:t>
      </w:r>
      <w:r w:rsidRPr="004E0FC4">
        <w:rPr>
          <w:rFonts w:ascii="Bookman Old Style" w:eastAsia="Bookman Old Style" w:hAnsi="Bookman Old Style" w:cs="Bookman Old Style"/>
          <w:color w:val="231F20"/>
          <w:sz w:val="18"/>
          <w:szCs w:val="18"/>
        </w:rPr>
        <w:softHyphen/>
        <w:t>циях, когда у государства не хватает собственных средств и резервов (финансовых, временных, организационно-управленческих) для ис</w:t>
      </w:r>
      <w:r w:rsidRPr="004E0FC4">
        <w:rPr>
          <w:rFonts w:ascii="Bookman Old Style" w:eastAsia="Bookman Old Style" w:hAnsi="Bookman Old Style" w:cs="Bookman Old Style"/>
          <w:color w:val="231F20"/>
          <w:sz w:val="18"/>
          <w:szCs w:val="18"/>
        </w:rPr>
        <w:softHyphen/>
        <w:t>полнения принятых обязательств и намеченных планов на должном уровне качества. Часто передача функций в определенных, ставших традиционными сферах ответственности частному бизнесу позво</w:t>
      </w:r>
      <w:r w:rsidRPr="004E0FC4">
        <w:rPr>
          <w:rFonts w:ascii="Bookman Old Style" w:eastAsia="Bookman Old Style" w:hAnsi="Bookman Old Style" w:cs="Bookman Old Style"/>
          <w:color w:val="231F20"/>
          <w:sz w:val="18"/>
          <w:szCs w:val="18"/>
        </w:rPr>
        <w:softHyphen/>
        <w:t xml:space="preserve">ляет государству сосредоточиться на решении </w:t>
      </w:r>
      <w:r w:rsidRPr="004E0FC4">
        <w:rPr>
          <w:rFonts w:ascii="Bookman Old Style" w:eastAsia="Bookman Old Style" w:hAnsi="Bookman Old Style" w:cs="Bookman Old Style"/>
          <w:color w:val="231F20"/>
          <w:sz w:val="18"/>
          <w:szCs w:val="18"/>
          <w:highlight w:val="red"/>
        </w:rPr>
        <w:t>новых,</w:t>
      </w:r>
      <w:r w:rsidRPr="004E0FC4">
        <w:rPr>
          <w:rFonts w:ascii="Bookman Old Style" w:eastAsia="Bookman Old Style" w:hAnsi="Bookman Old Style" w:cs="Bookman Old Style"/>
          <w:color w:val="231F20"/>
          <w:sz w:val="18"/>
          <w:szCs w:val="18"/>
        </w:rPr>
        <w:t xml:space="preserve"> наиболее ак</w:t>
      </w:r>
      <w:r w:rsidRPr="004E0FC4">
        <w:rPr>
          <w:rFonts w:ascii="Bookman Old Style" w:eastAsia="Bookman Old Style" w:hAnsi="Bookman Old Style" w:cs="Bookman Old Style"/>
          <w:color w:val="231F20"/>
          <w:sz w:val="18"/>
          <w:szCs w:val="18"/>
        </w:rPr>
        <w:softHyphen/>
        <w:t xml:space="preserve">туальных </w:t>
      </w:r>
      <w:r w:rsidRPr="004E0FC4">
        <w:rPr>
          <w:rFonts w:ascii="Bookman Old Style" w:eastAsia="Bookman Old Style" w:hAnsi="Bookman Old Style" w:cs="Bookman Old Style"/>
          <w:color w:val="231F20"/>
          <w:sz w:val="18"/>
          <w:szCs w:val="18"/>
          <w:highlight w:val="green"/>
        </w:rPr>
        <w:t>для него в данный момент</w:t>
      </w:r>
      <w:r w:rsidRPr="004E0FC4">
        <w:rPr>
          <w:rFonts w:ascii="Bookman Old Style" w:eastAsia="Bookman Old Style" w:hAnsi="Bookman Old Style" w:cs="Bookman Old Style"/>
          <w:color w:val="231F20"/>
          <w:sz w:val="18"/>
          <w:szCs w:val="18"/>
        </w:rPr>
        <w:t xml:space="preserve"> задач.</w:t>
      </w:r>
    </w:p>
    <w:p w14:paraId="6292B89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 xml:space="preserve">Опираясь на анализ развития ГЧП в передовых странах и промежуточные результаты развития ГЧП в России, можно сформировать стратегическую модель, на которой отображены (1) факторы, влияющие на активизацию модели государственно-частного партнёрства на определённом историческом этапе развития государства, (2) факторы успеха данной формы привлечения частных лиц в развитие инфраструктурного комплекса и (3) влияние модели ГЧП на социально-экономическое развитие и страновую </w:t>
      </w:r>
      <w:r w:rsidRPr="004E0FC4">
        <w:rPr>
          <w:rFonts w:ascii="Bookman Old Style" w:eastAsia="Bookman Old Style" w:hAnsi="Bookman Old Style" w:cs="Bookman Old Style"/>
          <w:color w:val="231F20"/>
          <w:sz w:val="18"/>
          <w:szCs w:val="18"/>
          <w:highlight w:val="green"/>
        </w:rPr>
        <w:lastRenderedPageBreak/>
        <w:t>конкурентоспособность (через вклад в инфраструктурное развитие) (рис. 4.2).</w:t>
      </w:r>
    </w:p>
    <w:p w14:paraId="31C09F33"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p>
    <w:p w14:paraId="45A8244B"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noProof/>
          <w:color w:val="231F20"/>
          <w:sz w:val="18"/>
          <w:szCs w:val="18"/>
          <w:lang w:bidi="ar-SA"/>
        </w:rPr>
        <w:drawing>
          <wp:inline distT="0" distB="0" distL="0" distR="0" wp14:anchorId="6F68046B" wp14:editId="047E791B">
            <wp:extent cx="3975975" cy="3236181"/>
            <wp:effectExtent l="19050" t="0" r="5475" b="0"/>
            <wp:docPr id="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3312" t="1897" r="4345" b="3267"/>
                    <a:stretch>
                      <a:fillRect/>
                    </a:stretch>
                  </pic:blipFill>
                  <pic:spPr bwMode="auto">
                    <a:xfrm>
                      <a:off x="0" y="0"/>
                      <a:ext cx="3975976" cy="3236182"/>
                    </a:xfrm>
                    <a:prstGeom prst="rect">
                      <a:avLst/>
                    </a:prstGeom>
                    <a:noFill/>
                    <a:ln w="9525">
                      <a:noFill/>
                      <a:miter lim="800000"/>
                      <a:headEnd/>
                      <a:tailEnd/>
                    </a:ln>
                  </pic:spPr>
                </pic:pic>
              </a:graphicData>
            </a:graphic>
          </wp:inline>
        </w:drawing>
      </w:r>
    </w:p>
    <w:p w14:paraId="5E8536FF" w14:textId="77777777" w:rsidR="00350396" w:rsidRPr="004E0FC4" w:rsidRDefault="00350396" w:rsidP="004E0FC4">
      <w:pPr>
        <w:widowControl w:val="0"/>
        <w:spacing w:line="240" w:lineRule="auto"/>
        <w:ind w:firstLine="320"/>
        <w:rPr>
          <w:rFonts w:ascii="Bookman Old Style" w:eastAsia="Arial Narrow" w:hAnsi="Bookman Old Style" w:cs="Arial Narrow"/>
          <w:bCs/>
          <w:color w:val="231F20"/>
          <w:sz w:val="18"/>
          <w:szCs w:val="18"/>
        </w:rPr>
      </w:pPr>
      <w:r w:rsidRPr="004E0FC4">
        <w:rPr>
          <w:rFonts w:ascii="Bookman Old Style" w:eastAsia="Arial Narrow" w:hAnsi="Bookman Old Style" w:cs="Arial Narrow"/>
          <w:b/>
          <w:bCs/>
          <w:i/>
          <w:iCs/>
          <w:color w:val="231F20"/>
          <w:sz w:val="18"/>
          <w:szCs w:val="18"/>
          <w:highlight w:val="green"/>
        </w:rPr>
        <w:t>Рис. 4.2.</w:t>
      </w:r>
      <w:r w:rsidRPr="004E0FC4">
        <w:rPr>
          <w:rFonts w:ascii="Bookman Old Style" w:eastAsia="Arial Narrow" w:hAnsi="Bookman Old Style" w:cs="Arial Narrow"/>
          <w:color w:val="231F20"/>
          <w:sz w:val="18"/>
          <w:szCs w:val="18"/>
          <w:highlight w:val="green"/>
        </w:rPr>
        <w:t xml:space="preserve"> </w:t>
      </w:r>
      <w:r w:rsidRPr="004E0FC4">
        <w:rPr>
          <w:rFonts w:ascii="Bookman Old Style" w:eastAsia="Arial Narrow" w:hAnsi="Bookman Old Style" w:cs="Arial Narrow"/>
          <w:bCs/>
          <w:color w:val="231F20"/>
          <w:sz w:val="18"/>
          <w:szCs w:val="18"/>
          <w:highlight w:val="green"/>
        </w:rPr>
        <w:t>Стратегическая модель ГЧП: предпосылки, условия развития, результаты</w:t>
      </w:r>
      <w:r w:rsidRPr="004E0FC4">
        <w:rPr>
          <w:rFonts w:ascii="Bookman Old Style" w:eastAsia="Arial Narrow" w:hAnsi="Bookman Old Style" w:cs="Arial Narrow"/>
          <w:bCs/>
          <w:color w:val="231F20"/>
          <w:sz w:val="18"/>
          <w:szCs w:val="18"/>
          <w:highlight w:val="green"/>
          <w:vertAlign w:val="superscript"/>
        </w:rPr>
        <w:footnoteReference w:id="68"/>
      </w:r>
    </w:p>
    <w:p w14:paraId="379BC81A" w14:textId="77777777" w:rsidR="00350396" w:rsidRPr="004E0FC4" w:rsidRDefault="00350396" w:rsidP="004E0FC4">
      <w:pPr>
        <w:widowControl w:val="0"/>
        <w:spacing w:line="240" w:lineRule="auto"/>
        <w:ind w:firstLine="320"/>
        <w:rPr>
          <w:rFonts w:ascii="Bookman Old Style" w:hAnsi="Bookman Old Style"/>
          <w:sz w:val="18"/>
          <w:szCs w:val="18"/>
        </w:rPr>
      </w:pPr>
    </w:p>
    <w:p w14:paraId="6E5863C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Взаимодействию государства и частного капитала при решении насущных общественных задач насчитывается не одно столетие не только в мире, но и в России. Термину «государственно-част</w:t>
      </w:r>
      <w:r w:rsidRPr="004E0FC4">
        <w:rPr>
          <w:rFonts w:ascii="Bookman Old Style" w:eastAsia="Bookman Old Style" w:hAnsi="Bookman Old Style" w:cs="Bookman Old Style"/>
          <w:color w:val="231F20"/>
          <w:sz w:val="18"/>
          <w:szCs w:val="18"/>
        </w:rPr>
        <w:softHyphen/>
        <w:t xml:space="preserve">ное партнерство»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public</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private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partnership</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PPP</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при этом много меньше: его появление связывают с совместным государственным и частным финансированием образовательных программ в США, позднее, в 1950-х гг., — с финансированием объектов обществен</w:t>
      </w:r>
      <w:r w:rsidRPr="004E0FC4">
        <w:rPr>
          <w:rFonts w:ascii="Bookman Old Style" w:eastAsia="Bookman Old Style" w:hAnsi="Bookman Old Style" w:cs="Bookman Old Style"/>
          <w:color w:val="231F20"/>
          <w:sz w:val="18"/>
          <w:szCs w:val="18"/>
        </w:rPr>
        <w:softHyphen/>
        <w:t>ного пользования, а в 1960-х гг. — с совместными государственно</w:t>
      </w:r>
      <w:r w:rsidRPr="004E0FC4">
        <w:rPr>
          <w:rFonts w:ascii="Bookman Old Style" w:eastAsia="Bookman Old Style" w:hAnsi="Bookman Old Style" w:cs="Bookman Old Style"/>
          <w:color w:val="231F20"/>
          <w:sz w:val="18"/>
          <w:szCs w:val="18"/>
        </w:rPr>
        <w:softHyphen/>
        <w:t>частными предприятиями, занятыми реконструкцией городов.</w:t>
      </w:r>
    </w:p>
    <w:p w14:paraId="4FF81345"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Анализируя сотрудничество государства с частными лицами в разные эпохи, можно предложить следующие этапы его развития</w:t>
      </w:r>
      <w:r w:rsidRPr="004E0FC4">
        <w:rPr>
          <w:rFonts w:ascii="Bookman Old Style" w:eastAsia="Bookman Old Style" w:hAnsi="Bookman Old Style" w:cs="Bookman Old Style"/>
          <w:color w:val="231F20"/>
          <w:sz w:val="18"/>
          <w:szCs w:val="18"/>
          <w:highlight w:val="green"/>
          <w:vertAlign w:val="superscript"/>
        </w:rPr>
        <w:footnoteReference w:id="69"/>
      </w:r>
      <w:r w:rsidRPr="004E0FC4">
        <w:rPr>
          <w:rFonts w:ascii="Bookman Old Style" w:eastAsia="Bookman Old Style" w:hAnsi="Bookman Old Style" w:cs="Bookman Old Style"/>
          <w:color w:val="231F20"/>
          <w:sz w:val="18"/>
          <w:szCs w:val="18"/>
          <w:highlight w:val="green"/>
        </w:rPr>
        <w:t xml:space="preserve">: </w:t>
      </w:r>
    </w:p>
    <w:p w14:paraId="7B081967"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1) Античность – использование откупов; применение институтов manceps (строительство на конкурсной основе по всей империи почтовых пунктов с городами, портов и гаваней) и precarium (инфраструктурное строительство). </w:t>
      </w:r>
    </w:p>
    <w:p w14:paraId="00C36E5F"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2) Средневековье – «казуальное» применение государственно-частного партнёрства (например, Испанская концессия 1256 г. по освоению полезных ископаемых, Итальянская концессия 1400 г. по добыче нефти в медицинких целях). Использование откупов на новой стадии развития государства (например, во Франции с XIII в. большая часть налогов собиралась частными лицами), Французские концессии </w:t>
      </w:r>
      <w:r w:rsidRPr="004E0FC4">
        <w:rPr>
          <w:rFonts w:ascii="Bookman Old Style" w:eastAsia="Bookman Old Style" w:hAnsi="Bookman Old Style" w:cs="Bookman Old Style"/>
          <w:color w:val="231F20"/>
          <w:sz w:val="18"/>
          <w:szCs w:val="18"/>
          <w:highlight w:val="green"/>
        </w:rPr>
        <w:lastRenderedPageBreak/>
        <w:t>XII-XIII вв., направленные на улучшение условий жизни в деревнях (прообразы современных концессий в сфере жилищно-коммунального хозяйства), регалии (почтовая, дорожная, горная, соляная, телеграфная, печатная, монетная, стекольная, алкогольная и др.).</w:t>
      </w:r>
    </w:p>
    <w:p w14:paraId="646DDFFE"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3) Позднее средневековье – масштабное использование концессий для развития новых земель-колоний (например, Договор от 17 апреля 1492 г. между королем Испании Фердинандом и Изабеллой Кастильской с Христофором Колумбом, который назначался вице-королём всех открытых земель), для развития международной торговли (например, Договор от 6 февраля 1555 г., подписанный королём Филиппом и королевой Марией и предоставлявший исключительные права новому обществу, созданному для торговли с Москвой) и транспортной инфраструктуры (Французская концессия 1554 г. на строительство канала, выданная Адаму де Крапонну). </w:t>
      </w:r>
    </w:p>
    <w:p w14:paraId="6636F6E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4) Зарождение и развитие капитализма, индустриализация – начало развития систематичного законодательства о ГЧП (например, Испанский Королевский декрет от 1761 г. о концессиях), реализация грандиозных для того времени капиталоемких проектов (Суэцкий канал в 1869 г., Эйфелева башня в 1889 г., Панамский канал в 1914 г.), привлечение частного капитала для развития коммунального сектора (например, контракт 1782 г. с братьями Перрье на поставку воды в Париж, после чего аналогичные проекты были реализованы в Бельгии, Германии, Италии, Испании, Турции). </w:t>
      </w:r>
    </w:p>
    <w:p w14:paraId="65ABDDBA"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5) Текущий этап – со второй половины конца XX в. – в 60-е гг. небольшой импульс получили концессионные формы сотрудничества во Франции и Испании. Основной толчок развитию ГЧП придали масштабные изменения в государственном управлении Великобритании, которая в 90-е годы XX в. активизировала частный сектор в развитии инфраструктуры через «частную финансовую инициативу» (или private finance initiative, PFI), что было связано с переходом от политики государственного администрирования (Public Administration) к модели нового государственного управления (New Public Management / NPM). Происходит дальнейшее развитие регулирования ГЧП по всему миру (на сегодня более чем в 100 странах мира принято законодательство о ГЧП), реализация мегапроектов (таких, как тоннель под проливом Ла-Манш).</w:t>
      </w:r>
    </w:p>
    <w:p w14:paraId="0D661D89"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Западной Европе первые совместные инвестиции в форме го</w:t>
      </w:r>
      <w:r w:rsidRPr="004E0FC4">
        <w:rPr>
          <w:rFonts w:ascii="Bookman Old Style" w:eastAsia="Bookman Old Style" w:hAnsi="Bookman Old Style" w:cs="Bookman Old Style"/>
          <w:color w:val="231F20"/>
          <w:sz w:val="18"/>
          <w:szCs w:val="18"/>
        </w:rPr>
        <w:softHyphen/>
        <w:t xml:space="preserve">сударственно-частного партнерства датируют </w:t>
      </w:r>
      <w:r w:rsidRPr="004E0FC4">
        <w:rPr>
          <w:rFonts w:ascii="Bookman Old Style" w:eastAsia="Bookman Old Style" w:hAnsi="Bookman Old Style" w:cs="Bookman Old Style"/>
          <w:color w:val="231F20"/>
          <w:sz w:val="18"/>
          <w:szCs w:val="18"/>
          <w:lang w:val="en-US" w:eastAsia="en-US" w:bidi="en-US"/>
        </w:rPr>
        <w:t>WI</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Тогда во Фран</w:t>
      </w:r>
      <w:r w:rsidRPr="004E0FC4">
        <w:rPr>
          <w:rFonts w:ascii="Bookman Old Style" w:eastAsia="Bookman Old Style" w:hAnsi="Bookman Old Style" w:cs="Bookman Old Style"/>
          <w:color w:val="231F20"/>
          <w:sz w:val="18"/>
          <w:szCs w:val="18"/>
        </w:rPr>
        <w:softHyphen/>
        <w:t xml:space="preserve">ции при короле Генрихе </w:t>
      </w:r>
      <w:r w:rsidRPr="004E0FC4">
        <w:rPr>
          <w:rFonts w:ascii="Bookman Old Style" w:eastAsia="Bookman Old Style" w:hAnsi="Bookman Old Style" w:cs="Bookman Old Style"/>
          <w:color w:val="231F20"/>
          <w:sz w:val="18"/>
          <w:szCs w:val="18"/>
          <w:lang w:val="en-US" w:eastAsia="en-US" w:bidi="en-US"/>
        </w:rPr>
        <w:t>II</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рамках концессии был построен канал города Салон-де-Прованс, который считают первым в истории про</w:t>
      </w:r>
      <w:r w:rsidRPr="004E0FC4">
        <w:rPr>
          <w:rFonts w:ascii="Bookman Old Style" w:eastAsia="Bookman Old Style" w:hAnsi="Bookman Old Style" w:cs="Bookman Old Style"/>
          <w:color w:val="231F20"/>
          <w:sz w:val="18"/>
          <w:szCs w:val="18"/>
        </w:rPr>
        <w:softHyphen/>
        <w:t>ектом государственно-частного партнерства (1552-</w:t>
      </w:r>
      <w:r w:rsidRPr="004E0FC4">
        <w:rPr>
          <w:rFonts w:ascii="Bookman Old Style" w:eastAsia="Bookman Old Style" w:hAnsi="Bookman Old Style" w:cs="Bookman Old Style"/>
          <w:color w:val="231F20"/>
          <w:sz w:val="18"/>
          <w:szCs w:val="18"/>
          <w:highlight w:val="green"/>
        </w:rPr>
        <w:t>1554</w:t>
      </w:r>
      <w:r w:rsidRPr="004E0FC4">
        <w:rPr>
          <w:rFonts w:ascii="Bookman Old Style" w:eastAsia="Bookman Old Style" w:hAnsi="Bookman Old Style" w:cs="Bookman Old Style"/>
          <w:color w:val="231F20"/>
          <w:sz w:val="18"/>
          <w:szCs w:val="18"/>
        </w:rPr>
        <w:t>). Совместные проекты государства и бизнеса и далее развивались во Франции. Так, появление Эйфелевой башни в Париже в XIX в. также стало ре</w:t>
      </w:r>
      <w:r w:rsidRPr="004E0FC4">
        <w:rPr>
          <w:rFonts w:ascii="Bookman Old Style" w:eastAsia="Bookman Old Style" w:hAnsi="Bookman Old Style" w:cs="Bookman Old Style"/>
          <w:color w:val="231F20"/>
          <w:sz w:val="18"/>
          <w:szCs w:val="18"/>
        </w:rPr>
        <w:softHyphen/>
        <w:t>зультатом совместного государственно-частного финансирования</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w:t>
      </w:r>
    </w:p>
    <w:p w14:paraId="2187D90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Прообраз еще одной формы ГЧП связывают с другим известным историческим примером санкционирования частных инвестиций для реализации государственных полномочий, который относится к середине </w:t>
      </w:r>
      <w:r w:rsidRPr="004E0FC4">
        <w:rPr>
          <w:rFonts w:ascii="Bookman Old Style" w:eastAsia="Bookman Old Style" w:hAnsi="Bookman Old Style" w:cs="Bookman Old Style"/>
          <w:color w:val="231F20"/>
          <w:sz w:val="18"/>
          <w:szCs w:val="18"/>
          <w:lang w:val="en-US" w:eastAsia="en-US" w:bidi="en-US"/>
        </w:rPr>
        <w:t>XVII</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В этот период в государственной казне Велико</w:t>
      </w:r>
      <w:r w:rsidRPr="004E0FC4">
        <w:rPr>
          <w:rFonts w:ascii="Bookman Old Style" w:eastAsia="Bookman Old Style" w:hAnsi="Bookman Old Style" w:cs="Bookman Old Style"/>
          <w:color w:val="231F20"/>
          <w:sz w:val="18"/>
          <w:szCs w:val="18"/>
        </w:rPr>
        <w:softHyphen/>
        <w:t>британии было недостаточно средств для развития необходимого внутреннего дорожного сообщения в стране. Выход был найден в предоставлении возможности частным предпринимателям само</w:t>
      </w:r>
      <w:r w:rsidRPr="004E0FC4">
        <w:rPr>
          <w:rFonts w:ascii="Bookman Old Style" w:eastAsia="Bookman Old Style" w:hAnsi="Bookman Old Style" w:cs="Bookman Old Style"/>
          <w:color w:val="231F20"/>
          <w:sz w:val="18"/>
          <w:szCs w:val="18"/>
        </w:rPr>
        <w:softHyphen/>
        <w:t xml:space="preserve">стоятельно строить </w:t>
      </w:r>
      <w:r w:rsidRPr="004E0FC4">
        <w:rPr>
          <w:rFonts w:ascii="Bookman Old Style" w:eastAsia="Bookman Old Style" w:hAnsi="Bookman Old Style" w:cs="Bookman Old Style"/>
          <w:color w:val="231F20"/>
          <w:sz w:val="18"/>
          <w:szCs w:val="18"/>
        </w:rPr>
        <w:lastRenderedPageBreak/>
        <w:t xml:space="preserve">дороги и переправы (мосты), за проезд по кото- </w:t>
      </w:r>
      <w:r w:rsidRPr="004E0FC4">
        <w:rPr>
          <w:rFonts w:ascii="Bookman Old Style" w:eastAsia="Bookman Old Style" w:hAnsi="Bookman Old Style" w:cs="Bookman Old Style"/>
          <w:color w:val="231F20"/>
          <w:sz w:val="18"/>
          <w:szCs w:val="18"/>
          <w:vertAlign w:val="superscript"/>
        </w:rPr>
        <w:footnoteReference w:id="70"/>
      </w:r>
      <w:r w:rsidRPr="004E0FC4">
        <w:rPr>
          <w:rFonts w:ascii="Bookman Old Style" w:eastAsia="Bookman Old Style" w:hAnsi="Bookman Old Style" w:cs="Bookman Old Style"/>
          <w:color w:val="231F20"/>
          <w:sz w:val="18"/>
          <w:szCs w:val="18"/>
        </w:rPr>
        <w:t xml:space="preserve"> рым взималась плата. Государственные органы при этом лишь выда</w:t>
      </w:r>
      <w:r w:rsidRPr="004E0FC4">
        <w:rPr>
          <w:rFonts w:ascii="Bookman Old Style" w:eastAsia="Bookman Old Style" w:hAnsi="Bookman Old Style" w:cs="Bookman Old Style"/>
          <w:color w:val="231F20"/>
          <w:sz w:val="18"/>
          <w:szCs w:val="18"/>
        </w:rPr>
        <w:softHyphen/>
        <w:t>вали специальные разрешения на строительство заинтересованным лицам, имеющим собственные средства на строительство.</w:t>
      </w:r>
    </w:p>
    <w:p w14:paraId="739CB2B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История взаимодействия государства и частных лиц в форме пе</w:t>
      </w:r>
      <w:r w:rsidRPr="004E0FC4">
        <w:rPr>
          <w:rFonts w:ascii="Bookman Old Style" w:eastAsia="Bookman Old Style" w:hAnsi="Bookman Old Style" w:cs="Bookman Old Style"/>
          <w:color w:val="231F20"/>
          <w:sz w:val="18"/>
          <w:szCs w:val="18"/>
        </w:rPr>
        <w:softHyphen/>
        <w:t>редачи в частное управление государственных объектов и функций (без осуществления частных инвестиций) уходит своими корнями в еще более древние времена. Еще до нашей эры в ряде государств (Древняя Греция, Рим, Вавилон) «на откуп» частным структурам передавались полномочия, которые сегодня можно назвать кол</w:t>
      </w:r>
      <w:r w:rsidRPr="004E0FC4">
        <w:rPr>
          <w:rFonts w:ascii="Bookman Old Style" w:eastAsia="Bookman Old Style" w:hAnsi="Bookman Old Style" w:cs="Bookman Old Style"/>
          <w:color w:val="231F20"/>
          <w:sz w:val="18"/>
          <w:szCs w:val="18"/>
        </w:rPr>
        <w:softHyphen/>
        <w:t>лекторскими. В Риме для сбора налогов действовал институт мыта</w:t>
      </w:r>
      <w:r w:rsidRPr="004E0FC4">
        <w:rPr>
          <w:rFonts w:ascii="Bookman Old Style" w:eastAsia="Bookman Old Style" w:hAnsi="Bookman Old Style" w:cs="Bookman Old Style"/>
          <w:color w:val="231F20"/>
          <w:sz w:val="18"/>
          <w:szCs w:val="18"/>
        </w:rPr>
        <w:softHyphen/>
        <w:t>рей — частных лиц, получавших права на сбор налогов (право от</w:t>
      </w:r>
      <w:r w:rsidRPr="004E0FC4">
        <w:rPr>
          <w:rFonts w:ascii="Bookman Old Style" w:eastAsia="Bookman Old Style" w:hAnsi="Bookman Old Style" w:cs="Bookman Old Style"/>
          <w:color w:val="231F20"/>
          <w:sz w:val="18"/>
          <w:szCs w:val="18"/>
        </w:rPr>
        <w:softHyphen/>
        <w:t>купа налогов) в результате ежегодных торгов. Римские провинции через уполномоченное центральной властью лицо (прокуратора) передавали в пользование частным лицам за определенную плату в казну Рима земельные участки для освоения и поиска полезных ископаемых. Впоследствии частным лицам передавались права по управлению портами, станциями, банками.</w:t>
      </w:r>
    </w:p>
    <w:p w14:paraId="5D81B90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rPr>
        <w:t>Использование частных интересов и структур для реализации го</w:t>
      </w:r>
      <w:r w:rsidRPr="004E0FC4">
        <w:rPr>
          <w:rFonts w:ascii="Bookman Old Style" w:eastAsia="Bookman Old Style" w:hAnsi="Bookman Old Style" w:cs="Bookman Old Style"/>
          <w:color w:val="231F20"/>
          <w:sz w:val="18"/>
          <w:szCs w:val="18"/>
        </w:rPr>
        <w:softHyphen/>
        <w:t xml:space="preserve">сударственных полномочий характерно и для истории России. </w:t>
      </w:r>
      <w:r w:rsidRPr="004E0FC4">
        <w:rPr>
          <w:rFonts w:ascii="Bookman Old Style" w:eastAsia="Bookman Old Style" w:hAnsi="Bookman Old Style" w:cs="Bookman Old Style"/>
          <w:color w:val="231F20"/>
          <w:sz w:val="18"/>
          <w:szCs w:val="18"/>
          <w:highlight w:val="red"/>
        </w:rPr>
        <w:t>Ряд примеров из истории российского государства можно соотнести с современным понятием государственно-частного партнерства.</w:t>
      </w:r>
      <w:r w:rsidRPr="004E0FC4">
        <w:rPr>
          <w:rFonts w:ascii="Bookman Old Style" w:eastAsia="Bookman Old Style" w:hAnsi="Bookman Old Style" w:cs="Bookman Old Style"/>
          <w:color w:val="231F20"/>
          <w:sz w:val="18"/>
          <w:szCs w:val="18"/>
        </w:rPr>
        <w:t xml:space="preserve"> Так, внутри страны для местных военачальников (князей, воевод) была установлена система «кормлений» и сбора налогов с населения (XII—XIV вв.).</w:t>
      </w:r>
      <w:r w:rsidRPr="004E0FC4">
        <w:rPr>
          <w:rFonts w:ascii="Bookman Old Style" w:eastAsia="Bookman Old Style" w:hAnsi="Bookman Old Style" w:cs="Bookman Old Style"/>
          <w:color w:val="231F20"/>
          <w:sz w:val="18"/>
          <w:szCs w:val="18"/>
          <w:highlight w:val="green"/>
        </w:rPr>
        <w:t xml:space="preserve"> Уже в средневековье государство начало привлекать частных лиц (как правило, купов) к развитию экспортно-импортных операций, чеканке монет, развитию промышленности в Сибири, таможенной деятельности. Появляется система «гостей» и первые концессионеры (купцы Строгановы и атаман казачьего войска Ермак). </w:t>
      </w:r>
    </w:p>
    <w:p w14:paraId="54A51125"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В XVIII в. сотрудничество государства и частных лиц осуществляется в форме «контрактного маркитантства» (для снабжения армии). По аналогии со странами Западной Европы появляется система «откупов»</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действовала система откупов</w:t>
      </w:r>
      <w:r w:rsidRPr="004E0FC4">
        <w:rPr>
          <w:rFonts w:ascii="Bookman Old Style" w:eastAsia="Bookman Old Style" w:hAnsi="Bookman Old Style" w:cs="Bookman Old Style"/>
          <w:color w:val="231F20"/>
          <w:sz w:val="18"/>
          <w:szCs w:val="18"/>
        </w:rPr>
        <w:t xml:space="preserve"> (XV—XVII вв.). Частные лица — иностранцы привлекались великими князьями московски</w:t>
      </w:r>
      <w:r w:rsidRPr="004E0FC4">
        <w:rPr>
          <w:rFonts w:ascii="Bookman Old Style" w:eastAsia="Bookman Old Style" w:hAnsi="Bookman Old Style" w:cs="Bookman Old Style"/>
          <w:color w:val="231F20"/>
          <w:sz w:val="18"/>
          <w:szCs w:val="18"/>
        </w:rPr>
        <w:softHyphen/>
        <w:t xml:space="preserve">ми, а затем Петром I и другими императорами для развития ряда отраслей промышленности, включая горное дело, фармацевтику и др. (XVII—XIX вв.). </w:t>
      </w:r>
      <w:r w:rsidRPr="004E0FC4">
        <w:rPr>
          <w:rFonts w:ascii="Bookman Old Style" w:eastAsia="Bookman Old Style" w:hAnsi="Bookman Old Style" w:cs="Bookman Old Style"/>
          <w:color w:val="231F20"/>
          <w:sz w:val="18"/>
          <w:szCs w:val="18"/>
          <w:highlight w:val="green"/>
        </w:rPr>
        <w:t>Так, в 1717 году берега рек Уны и Шлины были переданы в концессию мельнику Сердюкову для строительства мельниц. Это был незрелый вид концессии, имеющий признаки коммерческой аренды государственной собственности</w:t>
      </w:r>
      <w:r w:rsidRPr="004E0FC4">
        <w:rPr>
          <w:rFonts w:ascii="Bookman Old Style" w:eastAsia="Bookman Old Style" w:hAnsi="Bookman Old Style" w:cs="Bookman Old Style"/>
          <w:color w:val="231F20"/>
          <w:sz w:val="18"/>
          <w:szCs w:val="18"/>
        </w:rPr>
        <w:t xml:space="preserve">. </w:t>
      </w:r>
    </w:p>
    <w:p w14:paraId="5B8FA815"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rPr>
        <w:t xml:space="preserve">Широко использовался частный капитал — как отечественный, так и иностранный — при строительстве железных дорог и объектов коммунального хозяйства в конце </w:t>
      </w:r>
      <w:r w:rsidRPr="004E0FC4">
        <w:rPr>
          <w:rFonts w:ascii="Bookman Old Style" w:eastAsia="Bookman Old Style" w:hAnsi="Bookman Old Style" w:cs="Bookman Old Style"/>
          <w:color w:val="231F20"/>
          <w:sz w:val="18"/>
          <w:szCs w:val="18"/>
          <w:lang w:val="en-US" w:eastAsia="en-US" w:bidi="en-US"/>
        </w:rPr>
        <w:t>XIX</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нача</w:t>
      </w:r>
      <w:r w:rsidRPr="004E0FC4">
        <w:rPr>
          <w:rFonts w:ascii="Bookman Old Style" w:eastAsia="Bookman Old Style" w:hAnsi="Bookman Old Style" w:cs="Bookman Old Style"/>
          <w:color w:val="231F20"/>
          <w:sz w:val="18"/>
          <w:szCs w:val="18"/>
        </w:rPr>
        <w:softHyphen/>
        <w:t>ле XX в., в 1869 г. англичанин Джон Юз получил концессию на строительство метал</w:t>
      </w:r>
      <w:r w:rsidRPr="004E0FC4">
        <w:rPr>
          <w:rFonts w:ascii="Bookman Old Style" w:eastAsia="Bookman Old Style" w:hAnsi="Bookman Old Style" w:cs="Bookman Old Style"/>
          <w:color w:val="231F20"/>
          <w:sz w:val="18"/>
          <w:szCs w:val="18"/>
        </w:rPr>
        <w:softHyphen/>
        <w:t xml:space="preserve">лургического завода в Донбассе </w:t>
      </w:r>
      <w:r w:rsidRPr="004E0FC4">
        <w:rPr>
          <w:rFonts w:ascii="Bookman Old Style" w:eastAsia="Bookman Old Style" w:hAnsi="Bookman Old Style" w:cs="Bookman Old Style"/>
          <w:color w:val="231F20"/>
          <w:sz w:val="18"/>
          <w:szCs w:val="18"/>
          <w:highlight w:val="green"/>
        </w:rPr>
        <w:t>(появление города Донецка, пгт Юзовки и других)</w:t>
      </w:r>
      <w:r w:rsidRPr="004E0FC4">
        <w:rPr>
          <w:rFonts w:ascii="Bookman Old Style" w:eastAsia="Bookman Old Style" w:hAnsi="Bookman Old Style" w:cs="Bookman Old Style"/>
          <w:color w:val="231F20"/>
          <w:sz w:val="18"/>
          <w:szCs w:val="18"/>
        </w:rPr>
        <w:t>, а в 1897—1901 гг. в рамках такого соглашения была построена Китайско-восточная железная дорога</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w:t>
      </w:r>
      <w:r w:rsidRPr="004E0FC4">
        <w:rPr>
          <w:rFonts w:ascii="Bookman Old Style" w:hAnsi="Bookman Old Style"/>
          <w:sz w:val="18"/>
          <w:szCs w:val="18"/>
        </w:rPr>
        <w:t xml:space="preserve"> </w:t>
      </w:r>
      <w:r w:rsidRPr="004E0FC4">
        <w:rPr>
          <w:rFonts w:ascii="Bookman Old Style" w:eastAsia="Bookman Old Style" w:hAnsi="Bookman Old Style" w:cs="Bookman Old Style"/>
          <w:color w:val="231F20"/>
          <w:sz w:val="18"/>
          <w:szCs w:val="18"/>
          <w:highlight w:val="green"/>
        </w:rPr>
        <w:t>В начале XIX века на основе концессии была построена первая в России железная дорога, связавшая Петербург и Царское Село. В 1866–1880 годах заключено 53 концессии на строительство 23 тыс. км железных дорог.</w:t>
      </w:r>
      <w:r w:rsidRPr="004E0FC4">
        <w:rPr>
          <w:rFonts w:ascii="Bookman Old Style" w:hAnsi="Bookman Old Style"/>
          <w:sz w:val="18"/>
          <w:szCs w:val="18"/>
        </w:rPr>
        <w:t xml:space="preserve"> </w:t>
      </w:r>
      <w:r w:rsidRPr="004E0FC4">
        <w:rPr>
          <w:rFonts w:ascii="Bookman Old Style" w:eastAsia="Bookman Old Style" w:hAnsi="Bookman Old Style" w:cs="Bookman Old Style"/>
          <w:color w:val="231F20"/>
          <w:sz w:val="18"/>
          <w:szCs w:val="18"/>
          <w:highlight w:val="green"/>
        </w:rPr>
        <w:t>Первая ж/д ветка по этой схеме, «Козлов–Воронеж», запущена в 1866 г.</w:t>
      </w:r>
    </w:p>
    <w:p w14:paraId="31302032"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lastRenderedPageBreak/>
        <w:t xml:space="preserve"> Аналогично во второй половине XIX и в начале XX века на основе концессионного механизма развивались телеграфные сети, электрическое освещение в Москве и Санкт-Петербурге, прокладывались трамвайные линии, были построены кабельный и электротехнический заводы, велась нефтедобыча.</w:t>
      </w:r>
    </w:p>
    <w:p w14:paraId="1E4FED97"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Концессии для иностранцев широко распространились в Совет</w:t>
      </w:r>
      <w:r w:rsidRPr="004E0FC4">
        <w:rPr>
          <w:rFonts w:ascii="Bookman Old Style" w:eastAsia="Bookman Old Style" w:hAnsi="Bookman Old Style" w:cs="Bookman Old Style"/>
          <w:color w:val="231F20"/>
          <w:sz w:val="18"/>
          <w:szCs w:val="18"/>
        </w:rPr>
        <w:softHyphen/>
        <w:t>ской России в период нэпа и индустриализации. В 1920-е гг. концес</w:t>
      </w:r>
      <w:r w:rsidRPr="004E0FC4">
        <w:rPr>
          <w:rFonts w:ascii="Bookman Old Style" w:eastAsia="Bookman Old Style" w:hAnsi="Bookman Old Style" w:cs="Bookman Old Style"/>
          <w:color w:val="231F20"/>
          <w:sz w:val="18"/>
          <w:szCs w:val="18"/>
        </w:rPr>
        <w:softHyphen/>
        <w:t>сии заключаются почти во всех отраслях промышленности СССР. Проектирование и надзор за строительством новых советских за</w:t>
      </w:r>
      <w:r w:rsidRPr="004E0FC4">
        <w:rPr>
          <w:rFonts w:ascii="Bookman Old Style" w:eastAsia="Bookman Old Style" w:hAnsi="Bookman Old Style" w:cs="Bookman Old Style"/>
          <w:color w:val="231F20"/>
          <w:sz w:val="18"/>
          <w:szCs w:val="18"/>
        </w:rPr>
        <w:softHyphen/>
        <w:t>водов были во многом обеспечены за счет заключенных концес</w:t>
      </w:r>
      <w:r w:rsidRPr="004E0FC4">
        <w:rPr>
          <w:rFonts w:ascii="Bookman Old Style" w:eastAsia="Bookman Old Style" w:hAnsi="Bookman Old Style" w:cs="Bookman Old Style"/>
          <w:color w:val="231F20"/>
          <w:sz w:val="18"/>
          <w:szCs w:val="18"/>
        </w:rPr>
        <w:softHyphen/>
        <w:t xml:space="preserve">сионных соглашений с иностранными фирмами </w:t>
      </w:r>
      <w:r w:rsidRPr="004E0FC4">
        <w:rPr>
          <w:rFonts w:ascii="Bookman Old Style" w:eastAsia="Bookman Old Style" w:hAnsi="Bookman Old Style" w:cs="Bookman Old Style"/>
          <w:color w:val="231F20"/>
          <w:sz w:val="18"/>
          <w:szCs w:val="18"/>
          <w:highlight w:val="green"/>
        </w:rPr>
        <w:t>(прежде всего из США и Германии)</w:t>
      </w:r>
      <w:r w:rsidRPr="004E0FC4">
        <w:rPr>
          <w:rFonts w:ascii="Bookman Old Style" w:eastAsia="Bookman Old Style" w:hAnsi="Bookman Old Style" w:cs="Bookman Old Style"/>
          <w:color w:val="231F20"/>
          <w:sz w:val="18"/>
          <w:szCs w:val="18"/>
        </w:rPr>
        <w:t xml:space="preserve">. Свыше 80 % этих </w:t>
      </w:r>
      <w:r w:rsidRPr="004E0FC4">
        <w:rPr>
          <w:rFonts w:ascii="Bookman Old Style" w:eastAsia="Bookman Old Style" w:hAnsi="Bookman Old Style" w:cs="Bookman Old Style"/>
          <w:color w:val="231F20"/>
          <w:sz w:val="18"/>
          <w:szCs w:val="18"/>
          <w:vertAlign w:val="superscript"/>
        </w:rPr>
        <w:footnoteReference w:id="71"/>
      </w:r>
      <w:r w:rsidRPr="004E0FC4">
        <w:rPr>
          <w:rFonts w:ascii="Bookman Old Style" w:eastAsia="Bookman Old Style" w:hAnsi="Bookman Old Style" w:cs="Bookman Old Style"/>
          <w:color w:val="231F20"/>
          <w:sz w:val="18"/>
          <w:szCs w:val="18"/>
        </w:rPr>
        <w:t xml:space="preserve"> концессий были сосредоточены в сфере добычи золота, серебра, свинца, марганца, нефти, в производстве цветных металлов, в экс</w:t>
      </w:r>
      <w:r w:rsidRPr="004E0FC4">
        <w:rPr>
          <w:rFonts w:ascii="Bookman Old Style" w:eastAsia="Bookman Old Style" w:hAnsi="Bookman Old Style" w:cs="Bookman Old Style"/>
          <w:color w:val="231F20"/>
          <w:sz w:val="18"/>
          <w:szCs w:val="18"/>
        </w:rPr>
        <w:softHyphen/>
        <w:t>плуатации лесных, рыбных ресурсов, в машиностроении, электро</w:t>
      </w:r>
      <w:r w:rsidRPr="004E0FC4">
        <w:rPr>
          <w:rFonts w:ascii="Bookman Old Style" w:eastAsia="Bookman Old Style" w:hAnsi="Bookman Old Style" w:cs="Bookman Old Style"/>
          <w:color w:val="231F20"/>
          <w:sz w:val="18"/>
          <w:szCs w:val="18"/>
        </w:rPr>
        <w:softHyphen/>
        <w:t>энергетике и т. п. Немногим сегодня известно, что в 1920-е гг. иностранные концессии были широко распространены в крупных городах (например, в Москве) в сфере городской инфраструктуры, коммунального хозяйства</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В СССР в период нэпа действовал Глав</w:t>
      </w:r>
      <w:r w:rsidRPr="004E0FC4">
        <w:rPr>
          <w:rFonts w:ascii="Bookman Old Style" w:eastAsia="Bookman Old Style" w:hAnsi="Bookman Old Style" w:cs="Bookman Old Style"/>
          <w:color w:val="231F20"/>
          <w:sz w:val="18"/>
          <w:szCs w:val="18"/>
        </w:rPr>
        <w:softHyphen/>
        <w:t>ный концессионный комитет, регулировавший и направлявший всю концессионную деятельность в стране.</w:t>
      </w:r>
      <w:r w:rsidRPr="004E0FC4">
        <w:rPr>
          <w:rFonts w:ascii="Bookman Old Style" w:hAnsi="Bookman Old Style"/>
          <w:sz w:val="18"/>
          <w:szCs w:val="18"/>
        </w:rPr>
        <w:t xml:space="preserve"> </w:t>
      </w:r>
      <w:r w:rsidRPr="004E0FC4">
        <w:rPr>
          <w:rFonts w:ascii="Bookman Old Style" w:eastAsia="Bookman Old Style" w:hAnsi="Bookman Old Style" w:cs="Bookman Old Style"/>
          <w:color w:val="231F20"/>
          <w:sz w:val="18"/>
          <w:szCs w:val="18"/>
          <w:highlight w:val="green"/>
        </w:rPr>
        <w:t>В 1937 г. концессии были отменены, в том числе в связи с подготовкой страны к мировой войне и необходимостью переориентации приоритетов на военную сферу.</w:t>
      </w:r>
    </w:p>
    <w:p w14:paraId="7B5A820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историческом аспекте взаимодействие государства и крупного частного капитала, выполнение последним государственных зака</w:t>
      </w:r>
      <w:r w:rsidRPr="004E0FC4">
        <w:rPr>
          <w:rFonts w:ascii="Bookman Old Style" w:eastAsia="Bookman Old Style" w:hAnsi="Bookman Old Style" w:cs="Bookman Old Style"/>
          <w:color w:val="231F20"/>
          <w:sz w:val="18"/>
          <w:szCs w:val="18"/>
        </w:rPr>
        <w:softHyphen/>
        <w:t>зов, финансирование государственных проектов, реализация части полномочий — широко распространенная практика. При этом вы</w:t>
      </w:r>
      <w:r w:rsidRPr="004E0FC4">
        <w:rPr>
          <w:rFonts w:ascii="Bookman Old Style" w:eastAsia="Bookman Old Style" w:hAnsi="Bookman Old Style" w:cs="Bookman Old Style"/>
          <w:color w:val="231F20"/>
          <w:sz w:val="18"/>
          <w:szCs w:val="18"/>
        </w:rPr>
        <w:softHyphen/>
        <w:t>деляются исторические периоды, когда такое взаимодействие ста</w:t>
      </w:r>
      <w:r w:rsidRPr="004E0FC4">
        <w:rPr>
          <w:rFonts w:ascii="Bookman Old Style" w:eastAsia="Bookman Old Style" w:hAnsi="Bookman Old Style" w:cs="Bookman Old Style"/>
          <w:color w:val="231F20"/>
          <w:sz w:val="18"/>
          <w:szCs w:val="18"/>
        </w:rPr>
        <w:softHyphen/>
        <w:t>новится более широким, а впоследствии сужается. Массовая прак</w:t>
      </w:r>
      <w:r w:rsidRPr="004E0FC4">
        <w:rPr>
          <w:rFonts w:ascii="Bookman Old Style" w:eastAsia="Bookman Old Style" w:hAnsi="Bookman Old Style" w:cs="Bookman Old Style"/>
          <w:color w:val="231F20"/>
          <w:sz w:val="18"/>
          <w:szCs w:val="18"/>
        </w:rPr>
        <w:softHyphen/>
        <w:t>тика тесного взаимодействия государства и бизнеса для решения совместных задач для Западной Европы характерна в период после окончания Второй мировой войны. Значительные средства на вос</w:t>
      </w:r>
      <w:r w:rsidRPr="004E0FC4">
        <w:rPr>
          <w:rFonts w:ascii="Bookman Old Style" w:eastAsia="Bookman Old Style" w:hAnsi="Bookman Old Style" w:cs="Bookman Old Style"/>
          <w:color w:val="231F20"/>
          <w:sz w:val="18"/>
          <w:szCs w:val="18"/>
        </w:rPr>
        <w:softHyphen/>
        <w:t>становление разрушенного жилья и объектов городской инфра</w:t>
      </w:r>
      <w:r w:rsidRPr="004E0FC4">
        <w:rPr>
          <w:rFonts w:ascii="Bookman Old Style" w:eastAsia="Bookman Old Style" w:hAnsi="Bookman Old Style" w:cs="Bookman Old Style"/>
          <w:color w:val="231F20"/>
          <w:sz w:val="18"/>
          <w:szCs w:val="18"/>
        </w:rPr>
        <w:softHyphen/>
        <w:t>структуры, промышленных объектов были получены в виде частных кредитов и займов, в первую очередь от американских кредиторов и инвесторов. Впоследствии, в 1960-х гг., подобные механизмы были использованы в США также для реконструкции жилья.</w:t>
      </w:r>
    </w:p>
    <w:p w14:paraId="5A3A83D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Последний виток развития государственно-частного партнер</w:t>
      </w:r>
      <w:r w:rsidRPr="004E0FC4">
        <w:rPr>
          <w:rFonts w:ascii="Bookman Old Style" w:eastAsia="Bookman Old Style" w:hAnsi="Bookman Old Style" w:cs="Bookman Old Style"/>
          <w:color w:val="231F20"/>
          <w:sz w:val="18"/>
          <w:szCs w:val="18"/>
        </w:rPr>
        <w:softHyphen/>
        <w:t>ства, с которым связывают его становление как неотъемлемого института развития современной экономики, датируют 1990-ми гг. После успешного опыта приватизации госсобственности 1980-х гг. (при премьер-министре М. Тэтчер) правительством Великобрита</w:t>
      </w:r>
      <w:r w:rsidRPr="004E0FC4">
        <w:rPr>
          <w:rFonts w:ascii="Bookman Old Style" w:eastAsia="Bookman Old Style" w:hAnsi="Bookman Old Style" w:cs="Bookman Old Style"/>
          <w:color w:val="231F20"/>
          <w:sz w:val="18"/>
          <w:szCs w:val="18"/>
        </w:rPr>
        <w:softHyphen/>
        <w:t>нии в 1992 г. были объявлены ориентиры новой политики, кото</w:t>
      </w:r>
      <w:r w:rsidRPr="004E0FC4">
        <w:rPr>
          <w:rFonts w:ascii="Bookman Old Style" w:eastAsia="Bookman Old Style" w:hAnsi="Bookman Old Style" w:cs="Bookman Old Style"/>
          <w:color w:val="231F20"/>
          <w:sz w:val="18"/>
          <w:szCs w:val="18"/>
        </w:rPr>
        <w:softHyphen/>
        <w:t>рая продолжала расширять сферу приложения частного капитала и инициативы. Суть британской формы ГЧП под названием «част</w:t>
      </w:r>
      <w:r w:rsidRPr="004E0FC4">
        <w:rPr>
          <w:rFonts w:ascii="Bookman Old Style" w:eastAsia="Bookman Old Style" w:hAnsi="Bookman Old Style" w:cs="Bookman Old Style"/>
          <w:color w:val="231F20"/>
          <w:sz w:val="18"/>
          <w:szCs w:val="18"/>
        </w:rPr>
        <w:softHyphen/>
        <w:t xml:space="preserve">ная финансовая инициатива»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private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financing</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initiative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PFI</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со</w:t>
      </w:r>
      <w:r w:rsidRPr="004E0FC4">
        <w:rPr>
          <w:rFonts w:ascii="Bookman Old Style" w:eastAsia="Bookman Old Style" w:hAnsi="Bookman Old Style" w:cs="Bookman Old Style"/>
          <w:color w:val="231F20"/>
          <w:sz w:val="18"/>
          <w:szCs w:val="18"/>
        </w:rPr>
        <w:softHyphen/>
        <w:t>стоит в использовании частного капитала для создания крупных государственных объектов, т. е. предполагает, что частные компа</w:t>
      </w:r>
      <w:r w:rsidRPr="004E0FC4">
        <w:rPr>
          <w:rFonts w:ascii="Bookman Old Style" w:eastAsia="Bookman Old Style" w:hAnsi="Bookman Old Style" w:cs="Bookman Old Style"/>
          <w:color w:val="231F20"/>
          <w:sz w:val="18"/>
          <w:szCs w:val="18"/>
        </w:rPr>
        <w:softHyphen/>
        <w:t>нии осуществляют строительство государственных объектов с ис</w:t>
      </w:r>
      <w:r w:rsidRPr="004E0FC4">
        <w:rPr>
          <w:rFonts w:ascii="Bookman Old Style" w:eastAsia="Bookman Old Style" w:hAnsi="Bookman Old Style" w:cs="Bookman Old Style"/>
          <w:color w:val="231F20"/>
          <w:sz w:val="18"/>
          <w:szCs w:val="18"/>
        </w:rPr>
        <w:softHyphen/>
        <w:t xml:space="preserve">пользованием собственных </w:t>
      </w:r>
      <w:r w:rsidRPr="004E0FC4">
        <w:rPr>
          <w:rFonts w:ascii="Bookman Old Style" w:eastAsia="Bookman Old Style" w:hAnsi="Bookman Old Style" w:cs="Bookman Old Style"/>
          <w:color w:val="231F20"/>
          <w:sz w:val="18"/>
          <w:szCs w:val="18"/>
        </w:rPr>
        <w:lastRenderedPageBreak/>
        <w:t>организационных возможностей без привлечения бюджетных средств. Интерес для частных инвесторов состоит в получении в дальнейшем в течение определенного пери</w:t>
      </w:r>
      <w:r w:rsidRPr="004E0FC4">
        <w:rPr>
          <w:rFonts w:ascii="Bookman Old Style" w:eastAsia="Bookman Old Style" w:hAnsi="Bookman Old Style" w:cs="Bookman Old Style"/>
          <w:color w:val="231F20"/>
          <w:sz w:val="18"/>
          <w:szCs w:val="18"/>
        </w:rPr>
        <w:softHyphen/>
        <w:t>ода доходов от эксплуатации построенного объекта либо платежей из бюджета в согласованном размере, компенсирующем понесен</w:t>
      </w:r>
      <w:r w:rsidRPr="004E0FC4">
        <w:rPr>
          <w:rFonts w:ascii="Bookman Old Style" w:eastAsia="Bookman Old Style" w:hAnsi="Bookman Old Style" w:cs="Bookman Old Style"/>
          <w:color w:val="231F20"/>
          <w:sz w:val="18"/>
          <w:szCs w:val="18"/>
        </w:rPr>
        <w:softHyphen/>
        <w:t xml:space="preserve">ные расходы и покрывающем норму прибыли. </w:t>
      </w:r>
      <w:r w:rsidRPr="004E0FC4">
        <w:rPr>
          <w:rFonts w:ascii="Bookman Old Style" w:eastAsia="Bookman Old Style" w:hAnsi="Bookman Old Style" w:cs="Bookman Old Style"/>
          <w:color w:val="231F20"/>
          <w:sz w:val="18"/>
          <w:szCs w:val="18"/>
          <w:vertAlign w:val="superscript"/>
        </w:rPr>
        <w:footnoteReference w:id="72"/>
      </w:r>
    </w:p>
    <w:p w14:paraId="11E14F97"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Во многих случаях частной финансовой инициативы инвестор привлекается к дальнейшей эксплуатации объекта и организации его деятельности, вплоть до найма персонала. Объектами частной финансовой инициативы могут выступать объекты инфраструкту</w:t>
      </w:r>
      <w:r w:rsidRPr="004E0FC4">
        <w:rPr>
          <w:rFonts w:ascii="Bookman Old Style" w:eastAsia="Bookman Old Style" w:hAnsi="Bookman Old Style" w:cs="Bookman Old Style"/>
          <w:color w:val="231F20"/>
          <w:sz w:val="18"/>
          <w:szCs w:val="18"/>
        </w:rPr>
        <w:softHyphen/>
        <w:t>ры (включая автомобильные и железные дороги), школы, больницы и даже тюрьмы.</w:t>
      </w:r>
    </w:p>
    <w:p w14:paraId="0BB6FDF8"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США и странах Европы ГЧП стало складываться в ряд типовых форм, отражающих механизмы взаимодействия власти и бизнеса в сферах экономики, социального обслуживания, инноваций, а так</w:t>
      </w:r>
      <w:r w:rsidRPr="004E0FC4">
        <w:rPr>
          <w:rFonts w:ascii="Bookman Old Style" w:eastAsia="Bookman Old Style" w:hAnsi="Bookman Old Style" w:cs="Bookman Old Style"/>
          <w:color w:val="231F20"/>
          <w:sz w:val="18"/>
          <w:szCs w:val="18"/>
        </w:rPr>
        <w:softHyphen/>
        <w:t xml:space="preserve">же науки, культуры и политики. Базовая </w:t>
      </w:r>
      <w:r w:rsidRPr="004E0FC4">
        <w:rPr>
          <w:rFonts w:ascii="Bookman Old Style" w:eastAsia="Bookman Old Style" w:hAnsi="Bookman Old Style" w:cs="Bookman Old Style"/>
          <w:i/>
          <w:iCs/>
          <w:color w:val="231F20"/>
          <w:sz w:val="18"/>
          <w:szCs w:val="18"/>
        </w:rPr>
        <w:t>тенденция перераспределе</w:t>
      </w:r>
      <w:r w:rsidRPr="004E0FC4">
        <w:rPr>
          <w:rFonts w:ascii="Bookman Old Style" w:eastAsia="Bookman Old Style" w:hAnsi="Bookman Old Style" w:cs="Bookman Old Style"/>
          <w:i/>
          <w:iCs/>
          <w:color w:val="231F20"/>
          <w:sz w:val="18"/>
          <w:szCs w:val="18"/>
        </w:rPr>
        <w:softHyphen/>
        <w:t>ния обязанностей и полномочий в рамках ГЧП от органов власти в пользу частного бизнеса</w:t>
      </w:r>
      <w:r w:rsidRPr="004E0FC4">
        <w:rPr>
          <w:rFonts w:ascii="Bookman Old Style" w:eastAsia="Bookman Old Style" w:hAnsi="Bookman Old Style" w:cs="Bookman Old Style"/>
          <w:color w:val="231F20"/>
          <w:sz w:val="18"/>
          <w:szCs w:val="18"/>
        </w:rPr>
        <w:t xml:space="preserve"> состоит в долговременной передаче прав собственности и управления. Государство также делегирует част</w:t>
      </w:r>
      <w:r w:rsidRPr="004E0FC4">
        <w:rPr>
          <w:rFonts w:ascii="Bookman Old Style" w:eastAsia="Bookman Old Style" w:hAnsi="Bookman Old Style" w:cs="Bookman Old Style"/>
          <w:color w:val="231F20"/>
          <w:sz w:val="18"/>
          <w:szCs w:val="18"/>
        </w:rPr>
        <w:softHyphen/>
        <w:t>ным компаниям или их ассоциациям функции экспертизы, оказа</w:t>
      </w:r>
      <w:r w:rsidRPr="004E0FC4">
        <w:rPr>
          <w:rFonts w:ascii="Bookman Old Style" w:eastAsia="Bookman Old Style" w:hAnsi="Bookman Old Style" w:cs="Bookman Old Style"/>
          <w:color w:val="231F20"/>
          <w:sz w:val="18"/>
          <w:szCs w:val="18"/>
        </w:rPr>
        <w:softHyphen/>
        <w:t>ния консалтинговых услуг при разработке нормативных правовых актов, целевых программ и другие функции.</w:t>
      </w:r>
    </w:p>
    <w:p w14:paraId="0639C9B8"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Базовые признаки ГЧП состоят в следующем:</w:t>
      </w:r>
    </w:p>
    <w:p w14:paraId="71FC5B47"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сторонами ГЧП являются органы государства и частные ком</w:t>
      </w:r>
      <w:r w:rsidRPr="004E0FC4">
        <w:rPr>
          <w:rFonts w:ascii="Bookman Old Style" w:eastAsia="Bookman Old Style" w:hAnsi="Bookman Old Style" w:cs="Bookman Old Style"/>
          <w:color w:val="231F20"/>
          <w:sz w:val="18"/>
          <w:szCs w:val="18"/>
        </w:rPr>
        <w:softHyphen/>
        <w:t>пании и институты;</w:t>
      </w:r>
    </w:p>
    <w:p w14:paraId="79469EE9"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взаимодействие сторон в ГЧП закрепляется в официальных документах (соглашениях, договорах, контрактах и т. п.), носящих </w:t>
      </w:r>
      <w:r w:rsidRPr="004E0FC4">
        <w:rPr>
          <w:rFonts w:ascii="Bookman Old Style" w:eastAsia="Bookman Old Style" w:hAnsi="Bookman Old Style" w:cs="Bookman Old Style"/>
          <w:i/>
          <w:iCs/>
          <w:color w:val="231F20"/>
          <w:sz w:val="18"/>
          <w:szCs w:val="18"/>
        </w:rPr>
        <w:t>долгосрочный</w:t>
      </w:r>
      <w:r w:rsidRPr="004E0FC4">
        <w:rPr>
          <w:rFonts w:ascii="Bookman Old Style" w:eastAsia="Bookman Old Style" w:hAnsi="Bookman Old Style" w:cs="Bookman Old Style"/>
          <w:color w:val="231F20"/>
          <w:sz w:val="18"/>
          <w:szCs w:val="18"/>
        </w:rPr>
        <w:t xml:space="preserve"> характер;</w:t>
      </w:r>
    </w:p>
    <w:p w14:paraId="254B550B"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ГЧП имеет четко выраженную публичную, общественно зна</w:t>
      </w:r>
      <w:r w:rsidRPr="004E0FC4">
        <w:rPr>
          <w:rFonts w:ascii="Bookman Old Style" w:eastAsia="Bookman Old Style" w:hAnsi="Bookman Old Style" w:cs="Bookman Old Style"/>
          <w:color w:val="231F20"/>
          <w:sz w:val="18"/>
          <w:szCs w:val="18"/>
        </w:rPr>
        <w:softHyphen/>
        <w:t>чимую цель, связанную с удовлетворением общественных интересов, при этом государство передает свои полномочия (правомочия) и функ</w:t>
      </w:r>
      <w:r w:rsidRPr="004E0FC4">
        <w:rPr>
          <w:rFonts w:ascii="Bookman Old Style" w:eastAsia="Bookman Old Style" w:hAnsi="Bookman Old Style" w:cs="Bookman Old Style"/>
          <w:color w:val="231F20"/>
          <w:sz w:val="18"/>
          <w:szCs w:val="18"/>
        </w:rPr>
        <w:softHyphen/>
        <w:t>ции, связанные с достижением данной цели, частному партнеру;</w:t>
      </w:r>
    </w:p>
    <w:p w14:paraId="560A5F56"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характер взаимодействия сторон должен учитывать интересы как общества (государства), так и частного бизнеса, т. е. стремиться к партнерству, равноправию, паритету, балансу интересов;</w:t>
      </w:r>
    </w:p>
    <w:p w14:paraId="66F84600"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современных проектах ГЧП консолидируются, объединяют</w:t>
      </w:r>
      <w:r w:rsidRPr="004E0FC4">
        <w:rPr>
          <w:rFonts w:ascii="Bookman Old Style" w:eastAsia="Bookman Old Style" w:hAnsi="Bookman Old Style" w:cs="Bookman Old Style"/>
          <w:color w:val="231F20"/>
          <w:sz w:val="18"/>
          <w:szCs w:val="18"/>
        </w:rPr>
        <w:softHyphen/>
        <w:t>ся активы (ресурсы и вклады) сторон (в отличие от отношений «за</w:t>
      </w:r>
      <w:r w:rsidRPr="004E0FC4">
        <w:rPr>
          <w:rFonts w:ascii="Bookman Old Style" w:eastAsia="Bookman Old Style" w:hAnsi="Bookman Old Style" w:cs="Bookman Old Style"/>
          <w:color w:val="231F20"/>
          <w:sz w:val="18"/>
          <w:szCs w:val="18"/>
        </w:rPr>
        <w:softHyphen/>
        <w:t>казчик — подрядчик»);</w:t>
      </w:r>
    </w:p>
    <w:p w14:paraId="5DA24D15"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финансовые затраты и риски, а также достигнутые в ГЧП ре</w:t>
      </w:r>
      <w:r w:rsidRPr="004E0FC4">
        <w:rPr>
          <w:rFonts w:ascii="Bookman Old Style" w:eastAsia="Bookman Old Style" w:hAnsi="Bookman Old Style" w:cs="Bookman Old Style"/>
          <w:color w:val="231F20"/>
          <w:sz w:val="18"/>
          <w:szCs w:val="18"/>
        </w:rPr>
        <w:softHyphen/>
        <w:t>зультаты распределяются между сторонами в пропорциях согласно взаимным договоренностям, зафиксированным в соответствующих соглашениях, договорах, контрактах и т. п.</w:t>
      </w:r>
    </w:p>
    <w:p w14:paraId="36740BBA"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 России опробованы далеко не все из форм и механизмов ГЧП, распространенных за рубежом. Тем не менее</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в научной литерату</w:t>
      </w:r>
      <w:r w:rsidRPr="004E0FC4">
        <w:rPr>
          <w:rFonts w:ascii="Bookman Old Style" w:eastAsia="Bookman Old Style" w:hAnsi="Bookman Old Style" w:cs="Bookman Old Style"/>
          <w:color w:val="231F20"/>
          <w:sz w:val="18"/>
          <w:szCs w:val="18"/>
        </w:rPr>
        <w:softHyphen/>
        <w:t xml:space="preserve">ре проблемы ГЧП активно прорабатываются с начала 2000-х гг., в июле </w:t>
      </w:r>
      <w:r w:rsidRPr="004E0FC4">
        <w:rPr>
          <w:rFonts w:ascii="Bookman Old Style" w:eastAsia="Bookman Old Style" w:hAnsi="Bookman Old Style" w:cs="Bookman Old Style"/>
          <w:color w:val="231F20"/>
          <w:sz w:val="18"/>
          <w:szCs w:val="18"/>
        </w:rPr>
        <w:lastRenderedPageBreak/>
        <w:t>2015 г. принят Федеральный закон № 224-ФЗ «О государ</w:t>
      </w:r>
      <w:r w:rsidRPr="004E0FC4">
        <w:rPr>
          <w:rFonts w:ascii="Bookman Old Style" w:eastAsia="Bookman Old Style" w:hAnsi="Bookman Old Style" w:cs="Bookman Old Style"/>
          <w:color w:val="231F20"/>
          <w:sz w:val="18"/>
          <w:szCs w:val="18"/>
        </w:rPr>
        <w:softHyphen/>
        <w:t>ственно-частном партнерстве, муниципально-частном партнерстве в Российской Федерации и внесении изменений в отдельные зако</w:t>
      </w:r>
      <w:r w:rsidRPr="004E0FC4">
        <w:rPr>
          <w:rFonts w:ascii="Bookman Old Style" w:eastAsia="Bookman Old Style" w:hAnsi="Bookman Old Style" w:cs="Bookman Old Style"/>
          <w:color w:val="231F20"/>
          <w:sz w:val="18"/>
          <w:szCs w:val="18"/>
        </w:rPr>
        <w:softHyphen/>
        <w:t>нодательные акты Российской Федерации» (далее — Закон о ГЧП).</w:t>
      </w:r>
    </w:p>
    <w:p w14:paraId="1CF2A408" w14:textId="77777777" w:rsidR="00350396" w:rsidRPr="004E0FC4" w:rsidRDefault="00350396" w:rsidP="004E0FC4">
      <w:pPr>
        <w:spacing w:line="240" w:lineRule="auto"/>
        <w:ind w:firstLine="709"/>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Россия, хотя и входит в десятку стран по количеству публикаций по теме ГЧП, по состоянию на конец 2022 года сильно отстаёт от лидеров. За 2019-2021 годы в журналах, индексируемых в международной научной базе Scopus, было опубликовано всего около 40 научных статей российских авторов, посвященных ГЧП. Это связано с тем, что российские авторы до недавнего времени преимущественно публиковали свои работы в национальных научных изданиях. В отличие от зарубежных стран, в России отсутствуют специализированные научные журналы (индексируемые в ведущих международных базах данных), которые публикуют посвящённые теме ГЧП работы на регулярной основе, что также свидетельствует о недостаточно активном изучении вопроса. </w:t>
      </w:r>
    </w:p>
    <w:p w14:paraId="238B88FF"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highlight w:val="green"/>
          <w:lang w:val="en-US"/>
        </w:rPr>
      </w:pPr>
      <w:r w:rsidRPr="004E0FC4">
        <w:rPr>
          <w:rFonts w:ascii="Bookman Old Style" w:eastAsia="Bookman Old Style" w:hAnsi="Bookman Old Style" w:cs="Bookman Old Style"/>
          <w:color w:val="231F20"/>
          <w:sz w:val="18"/>
          <w:szCs w:val="18"/>
          <w:highlight w:val="green"/>
        </w:rPr>
        <w:t>С точки зрения национальной принадлежности авторов более половины исследований, посвященных ГЧП, согласно данным, приведённым Л. Ма, Дж. Ли и др. в работе «A Holistic Review of Public-Private Partnership Literature Published between 2008 and 2018», осуществляется учеными из Китая (вместе с Гонконгом около 22% от всех публикаций, осуществлённых наиболее активными исследователями из 20 стран с 2008 по 2018 гг.), США (13%), Австралии и Великобритании (по ~10%). Аналогичные</w:t>
      </w:r>
      <w:r w:rsidRPr="004E0FC4">
        <w:rPr>
          <w:rFonts w:ascii="Bookman Old Style" w:eastAsia="Bookman Old Style" w:hAnsi="Bookman Old Style" w:cs="Bookman Old Style"/>
          <w:color w:val="231F20"/>
          <w:sz w:val="18"/>
          <w:szCs w:val="18"/>
          <w:highlight w:val="green"/>
          <w:lang w:val="en-US"/>
        </w:rPr>
        <w:t xml:space="preserve"> </w:t>
      </w:r>
      <w:r w:rsidRPr="004E0FC4">
        <w:rPr>
          <w:rFonts w:ascii="Bookman Old Style" w:eastAsia="Bookman Old Style" w:hAnsi="Bookman Old Style" w:cs="Bookman Old Style"/>
          <w:color w:val="231F20"/>
          <w:sz w:val="18"/>
          <w:szCs w:val="18"/>
          <w:highlight w:val="green"/>
        </w:rPr>
        <w:t>выводы</w:t>
      </w:r>
      <w:r w:rsidRPr="004E0FC4">
        <w:rPr>
          <w:rFonts w:ascii="Bookman Old Style" w:eastAsia="Bookman Old Style" w:hAnsi="Bookman Old Style" w:cs="Bookman Old Style"/>
          <w:color w:val="231F20"/>
          <w:sz w:val="18"/>
          <w:szCs w:val="18"/>
          <w:highlight w:val="green"/>
          <w:lang w:val="en-US"/>
        </w:rPr>
        <w:t xml:space="preserve"> </w:t>
      </w:r>
      <w:r w:rsidRPr="004E0FC4">
        <w:rPr>
          <w:rFonts w:ascii="Bookman Old Style" w:eastAsia="Bookman Old Style" w:hAnsi="Bookman Old Style" w:cs="Bookman Old Style"/>
          <w:color w:val="231F20"/>
          <w:sz w:val="18"/>
          <w:szCs w:val="18"/>
          <w:highlight w:val="green"/>
        </w:rPr>
        <w:t>содержатся</w:t>
      </w:r>
      <w:r w:rsidRPr="004E0FC4">
        <w:rPr>
          <w:rFonts w:ascii="Bookman Old Style" w:eastAsia="Bookman Old Style" w:hAnsi="Bookman Old Style" w:cs="Bookman Old Style"/>
          <w:color w:val="231F20"/>
          <w:sz w:val="18"/>
          <w:szCs w:val="18"/>
          <w:highlight w:val="green"/>
          <w:lang w:val="en-US"/>
        </w:rPr>
        <w:t xml:space="preserve"> </w:t>
      </w:r>
      <w:r w:rsidRPr="004E0FC4">
        <w:rPr>
          <w:rFonts w:ascii="Bookman Old Style" w:eastAsia="Bookman Old Style" w:hAnsi="Bookman Old Style" w:cs="Bookman Old Style"/>
          <w:color w:val="231F20"/>
          <w:sz w:val="18"/>
          <w:szCs w:val="18"/>
          <w:highlight w:val="green"/>
        </w:rPr>
        <w:t>и</w:t>
      </w:r>
      <w:r w:rsidRPr="004E0FC4">
        <w:rPr>
          <w:rFonts w:ascii="Bookman Old Style" w:eastAsia="Bookman Old Style" w:hAnsi="Bookman Old Style" w:cs="Bookman Old Style"/>
          <w:color w:val="231F20"/>
          <w:sz w:val="18"/>
          <w:szCs w:val="18"/>
          <w:highlight w:val="green"/>
          <w:lang w:val="en-US"/>
        </w:rPr>
        <w:t> </w:t>
      </w:r>
      <w:r w:rsidRPr="004E0FC4">
        <w:rPr>
          <w:rFonts w:ascii="Bookman Old Style" w:eastAsia="Bookman Old Style" w:hAnsi="Bookman Old Style" w:cs="Bookman Old Style"/>
          <w:color w:val="231F20"/>
          <w:sz w:val="18"/>
          <w:szCs w:val="18"/>
          <w:highlight w:val="green"/>
        </w:rPr>
        <w:t>в</w:t>
      </w:r>
      <w:r w:rsidRPr="004E0FC4">
        <w:rPr>
          <w:rFonts w:ascii="Bookman Old Style" w:eastAsia="Bookman Old Style" w:hAnsi="Bookman Old Style" w:cs="Bookman Old Style"/>
          <w:color w:val="231F20"/>
          <w:sz w:val="18"/>
          <w:szCs w:val="18"/>
          <w:highlight w:val="green"/>
          <w:lang w:val="en-US"/>
        </w:rPr>
        <w:t> </w:t>
      </w:r>
      <w:r w:rsidRPr="004E0FC4">
        <w:rPr>
          <w:rFonts w:ascii="Bookman Old Style" w:eastAsia="Bookman Old Style" w:hAnsi="Bookman Old Style" w:cs="Bookman Old Style"/>
          <w:color w:val="231F20"/>
          <w:sz w:val="18"/>
          <w:szCs w:val="18"/>
          <w:highlight w:val="green"/>
        </w:rPr>
        <w:t>исследовании</w:t>
      </w:r>
      <w:r w:rsidRPr="004E0FC4">
        <w:rPr>
          <w:rFonts w:ascii="Bookman Old Style" w:eastAsia="Bookman Old Style" w:hAnsi="Bookman Old Style" w:cs="Bookman Old Style"/>
          <w:color w:val="231F20"/>
          <w:sz w:val="18"/>
          <w:szCs w:val="18"/>
          <w:highlight w:val="green"/>
          <w:lang w:val="en-US"/>
        </w:rPr>
        <w:t xml:space="preserve"> </w:t>
      </w:r>
      <w:r w:rsidRPr="004E0FC4">
        <w:rPr>
          <w:rFonts w:ascii="Bookman Old Style" w:eastAsia="Bookman Old Style" w:hAnsi="Bookman Old Style" w:cs="Bookman Old Style"/>
          <w:color w:val="231F20"/>
          <w:sz w:val="18"/>
          <w:szCs w:val="18"/>
          <w:highlight w:val="green"/>
        </w:rPr>
        <w:t>Дж</w:t>
      </w:r>
      <w:r w:rsidRPr="004E0FC4">
        <w:rPr>
          <w:rFonts w:ascii="Bookman Old Style" w:eastAsia="Bookman Old Style" w:hAnsi="Bookman Old Style" w:cs="Bookman Old Style"/>
          <w:color w:val="231F20"/>
          <w:sz w:val="18"/>
          <w:szCs w:val="18"/>
          <w:highlight w:val="green"/>
          <w:lang w:val="en-US"/>
        </w:rPr>
        <w:t xml:space="preserve">. </w:t>
      </w:r>
      <w:r w:rsidRPr="004E0FC4">
        <w:rPr>
          <w:rFonts w:ascii="Bookman Old Style" w:eastAsia="Bookman Old Style" w:hAnsi="Bookman Old Style" w:cs="Bookman Old Style"/>
          <w:color w:val="231F20"/>
          <w:sz w:val="18"/>
          <w:szCs w:val="18"/>
          <w:highlight w:val="green"/>
        </w:rPr>
        <w:t>Сонг</w:t>
      </w:r>
      <w:r w:rsidRPr="004E0FC4">
        <w:rPr>
          <w:rFonts w:ascii="Bookman Old Style" w:eastAsia="Bookman Old Style" w:hAnsi="Bookman Old Style" w:cs="Bookman Old Style"/>
          <w:color w:val="231F20"/>
          <w:sz w:val="18"/>
          <w:szCs w:val="18"/>
          <w:highlight w:val="green"/>
          <w:lang w:val="en-US"/>
        </w:rPr>
        <w:t xml:space="preserve">, </w:t>
      </w:r>
      <w:r w:rsidRPr="004E0FC4">
        <w:rPr>
          <w:rFonts w:ascii="Bookman Old Style" w:eastAsia="Bookman Old Style" w:hAnsi="Bookman Old Style" w:cs="Bookman Old Style"/>
          <w:color w:val="231F20"/>
          <w:sz w:val="18"/>
          <w:szCs w:val="18"/>
          <w:highlight w:val="green"/>
        </w:rPr>
        <w:t>Х</w:t>
      </w:r>
      <w:r w:rsidRPr="004E0FC4">
        <w:rPr>
          <w:rFonts w:ascii="Bookman Old Style" w:eastAsia="Bookman Old Style" w:hAnsi="Bookman Old Style" w:cs="Bookman Old Style"/>
          <w:color w:val="231F20"/>
          <w:sz w:val="18"/>
          <w:szCs w:val="18"/>
          <w:highlight w:val="green"/>
          <w:lang w:val="en-US"/>
        </w:rPr>
        <w:t>. </w:t>
      </w:r>
      <w:r w:rsidRPr="004E0FC4">
        <w:rPr>
          <w:rFonts w:ascii="Bookman Old Style" w:eastAsia="Bookman Old Style" w:hAnsi="Bookman Old Style" w:cs="Bookman Old Style"/>
          <w:color w:val="231F20"/>
          <w:sz w:val="18"/>
          <w:szCs w:val="18"/>
          <w:highlight w:val="green"/>
        </w:rPr>
        <w:t>Жанг</w:t>
      </w:r>
      <w:r w:rsidRPr="004E0FC4">
        <w:rPr>
          <w:rFonts w:ascii="Bookman Old Style" w:eastAsia="Bookman Old Style" w:hAnsi="Bookman Old Style" w:cs="Bookman Old Style"/>
          <w:color w:val="231F20"/>
          <w:sz w:val="18"/>
          <w:szCs w:val="18"/>
          <w:highlight w:val="green"/>
          <w:lang w:val="en-US"/>
        </w:rPr>
        <w:t xml:space="preserve"> </w:t>
      </w:r>
      <w:r w:rsidRPr="004E0FC4">
        <w:rPr>
          <w:rFonts w:ascii="Bookman Old Style" w:eastAsia="Bookman Old Style" w:hAnsi="Bookman Old Style" w:cs="Bookman Old Style"/>
          <w:color w:val="231F20"/>
          <w:sz w:val="18"/>
          <w:szCs w:val="18"/>
          <w:highlight w:val="green"/>
        </w:rPr>
        <w:t>и</w:t>
      </w:r>
      <w:r w:rsidRPr="004E0FC4">
        <w:rPr>
          <w:rFonts w:ascii="Bookman Old Style" w:eastAsia="Bookman Old Style" w:hAnsi="Bookman Old Style" w:cs="Bookman Old Style"/>
          <w:color w:val="231F20"/>
          <w:sz w:val="18"/>
          <w:szCs w:val="18"/>
          <w:highlight w:val="green"/>
          <w:lang w:val="en-US"/>
        </w:rPr>
        <w:t> </w:t>
      </w:r>
      <w:r w:rsidRPr="004E0FC4">
        <w:rPr>
          <w:rFonts w:ascii="Bookman Old Style" w:eastAsia="Bookman Old Style" w:hAnsi="Bookman Old Style" w:cs="Bookman Old Style"/>
          <w:color w:val="231F20"/>
          <w:sz w:val="18"/>
          <w:szCs w:val="18"/>
          <w:highlight w:val="green"/>
        </w:rPr>
        <w:t>В</w:t>
      </w:r>
      <w:r w:rsidRPr="004E0FC4">
        <w:rPr>
          <w:rFonts w:ascii="Bookman Old Style" w:eastAsia="Bookman Old Style" w:hAnsi="Bookman Old Style" w:cs="Bookman Old Style"/>
          <w:color w:val="231F20"/>
          <w:sz w:val="18"/>
          <w:szCs w:val="18"/>
          <w:highlight w:val="green"/>
          <w:lang w:val="en-US"/>
        </w:rPr>
        <w:t>. </w:t>
      </w:r>
      <w:r w:rsidRPr="004E0FC4">
        <w:rPr>
          <w:rFonts w:ascii="Bookman Old Style" w:eastAsia="Bookman Old Style" w:hAnsi="Bookman Old Style" w:cs="Bookman Old Style"/>
          <w:color w:val="231F20"/>
          <w:sz w:val="18"/>
          <w:szCs w:val="18"/>
          <w:highlight w:val="green"/>
        </w:rPr>
        <w:t>Донг</w:t>
      </w:r>
      <w:r w:rsidRPr="004E0FC4">
        <w:rPr>
          <w:rFonts w:ascii="Bookman Old Style" w:eastAsia="Bookman Old Style" w:hAnsi="Bookman Old Style" w:cs="Bookman Old Style"/>
          <w:color w:val="231F20"/>
          <w:sz w:val="18"/>
          <w:szCs w:val="18"/>
          <w:highlight w:val="green"/>
          <w:lang w:val="en-US"/>
        </w:rPr>
        <w:t xml:space="preserve"> «A Review of Emerging Trends in Global PPP Research: Analysis and Visualization». </w:t>
      </w:r>
    </w:p>
    <w:p w14:paraId="3B135A0E"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К наиболее плодовитым зарубежным учёным последнего десятилетия можно отнести С. Чжана, Китай (управление проектами, финансирование проектов, VfM, факторы успеха, управление рисками, концессии), Д. Гримси, Австралия (экономическое обоснование, управление контрактами, государственная политика), Б. Ли, Китай (управление рисками, факторы успеха), Г. Ходжа (Австралия), А. Акинтойе (Великобритания), О. Уильямсона (США), Р. Тионга (Сингапур). Большое количество исследований, посвящённых ГЧП, были проведены различными правительственными и международными организациями: Казначейство Великобритании, Национальное контрольно-ревизионное управление Великобритании, Мировой Банк, ОЭСР, ЕС, ЮНИДО, Европейский Центр ГЧП и Европейский Инвестиционный Банк. </w:t>
      </w:r>
    </w:p>
    <w:p w14:paraId="7072A67F"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 xml:space="preserve">За период 2012-2021 годы в России по различным вопросам, связанным с ГЧП, было защищено около 160 диссертаций, из которых около 10% </w:t>
      </w:r>
      <w:r w:rsidRPr="004E0FC4">
        <w:rPr>
          <w:rFonts w:ascii="Times New Roman" w:eastAsia="Bookman Old Style" w:hAnsi="Times New Roman" w:cs="Times New Roman"/>
          <w:color w:val="231F20"/>
          <w:sz w:val="18"/>
          <w:szCs w:val="18"/>
          <w:highlight w:val="green"/>
        </w:rPr>
        <w:t>‒</w:t>
      </w:r>
      <w:r w:rsidRPr="004E0FC4">
        <w:rPr>
          <w:rFonts w:ascii="Bookman Old Style" w:eastAsia="Bookman Old Style" w:hAnsi="Bookman Old Style" w:cs="Bookman Old Style"/>
          <w:color w:val="231F20"/>
          <w:sz w:val="18"/>
          <w:szCs w:val="18"/>
          <w:highlight w:val="green"/>
        </w:rPr>
        <w:t xml:space="preserve"> докторские. Среди наиболее известных российских учёных, занимающихся научным анализом ГЧП, можно выделить О.В. Иванова (российская и международная практика ГЧП), В.Г. Варнавского (экономическая политика, регулирование, анализ взаимодействия сторон, международный опыт), Р.С. Ильясова (правовые и нормативные аспекты ГЧП), М.В. Клинову (экономическая история, предпосылки для совре-менных моделей ГЧП), В.Н. Мочальникова (экономическая политика, роль ГЧП в экономическом росте), В.Ф. Попондуполо </w:t>
      </w:r>
      <w:r w:rsidRPr="004E0FC4">
        <w:rPr>
          <w:rFonts w:ascii="Bookman Old Style" w:eastAsia="Bookman Old Style" w:hAnsi="Bookman Old Style" w:cs="Bookman Old Style"/>
          <w:color w:val="231F20"/>
          <w:sz w:val="18"/>
          <w:szCs w:val="18"/>
          <w:highlight w:val="green"/>
        </w:rPr>
        <w:lastRenderedPageBreak/>
        <w:t>(правовые и нормативные аспекты ГЧП), С.Б. Сиваева (ГЧП в жилищно-коммунальном хозяйстве) и А.В. Баженова (ГЧП в транспортной и городской инфраструктуре).</w:t>
      </w:r>
      <w:r w:rsidRPr="004E0FC4">
        <w:rPr>
          <w:rFonts w:ascii="Bookman Old Style" w:eastAsia="Bookman Old Style" w:hAnsi="Bookman Old Style" w:cs="Bookman Old Style"/>
          <w:color w:val="231F20"/>
          <w:sz w:val="18"/>
          <w:szCs w:val="18"/>
        </w:rPr>
        <w:t xml:space="preserve"> </w:t>
      </w:r>
    </w:p>
    <w:p w14:paraId="796A470D"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Приведем ряд определений понятия «государственно-частное партнерство» (табл. 4.1).</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46"/>
        <w:gridCol w:w="1934"/>
      </w:tblGrid>
      <w:tr w:rsidR="00350396" w:rsidRPr="004E0FC4" w14:paraId="53E343C5" w14:textId="77777777" w:rsidTr="006D7F71">
        <w:trPr>
          <w:trHeight w:hRule="exact" w:val="336"/>
          <w:jc w:val="center"/>
        </w:trPr>
        <w:tc>
          <w:tcPr>
            <w:tcW w:w="4646" w:type="dxa"/>
            <w:tcBorders>
              <w:top w:val="single" w:sz="4" w:space="0" w:color="auto"/>
              <w:left w:val="single" w:sz="4" w:space="0" w:color="auto"/>
            </w:tcBorders>
            <w:shd w:val="clear" w:color="auto" w:fill="FFFFFF"/>
            <w:vAlign w:val="bottom"/>
          </w:tcPr>
          <w:p w14:paraId="7D34B3BB" w14:textId="77777777" w:rsidR="00350396" w:rsidRPr="004E0FC4" w:rsidRDefault="00350396" w:rsidP="004E0FC4">
            <w:pPr>
              <w:framePr w:w="6581"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lastRenderedPageBreak/>
              <w:t xml:space="preserve">Определения государственно-частного партнерства    </w:t>
            </w:r>
            <w:r w:rsidRPr="004E0FC4">
              <w:rPr>
                <w:rFonts w:ascii="Bookman Old Style" w:eastAsia="Arial Narrow" w:hAnsi="Bookman Old Style" w:cs="Arial Narrow"/>
                <w:color w:val="231F20"/>
                <w:sz w:val="18"/>
                <w:szCs w:val="18"/>
              </w:rPr>
              <w:t xml:space="preserve">Таблица 4.1   </w:t>
            </w:r>
            <w:r w:rsidRPr="004E0FC4">
              <w:rPr>
                <w:rFonts w:ascii="Bookman Old Style" w:eastAsia="Bookman Old Style" w:hAnsi="Bookman Old Style" w:cs="Bookman Old Style"/>
                <w:color w:val="231F20"/>
                <w:sz w:val="18"/>
                <w:szCs w:val="18"/>
              </w:rPr>
              <w:t>Определение</w:t>
            </w:r>
          </w:p>
        </w:tc>
        <w:tc>
          <w:tcPr>
            <w:tcW w:w="1934" w:type="dxa"/>
            <w:tcBorders>
              <w:top w:val="single" w:sz="4" w:space="0" w:color="auto"/>
              <w:left w:val="single" w:sz="4" w:space="0" w:color="auto"/>
              <w:right w:val="single" w:sz="4" w:space="0" w:color="auto"/>
            </w:tcBorders>
            <w:shd w:val="clear" w:color="auto" w:fill="FFFFFF"/>
            <w:vAlign w:val="bottom"/>
          </w:tcPr>
          <w:p w14:paraId="69E0106E" w14:textId="77777777" w:rsidR="00350396" w:rsidRPr="004E0FC4" w:rsidRDefault="00350396" w:rsidP="004E0FC4">
            <w:pPr>
              <w:framePr w:w="6581"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Источник</w:t>
            </w:r>
          </w:p>
        </w:tc>
      </w:tr>
      <w:tr w:rsidR="00350396" w:rsidRPr="004E0FC4" w14:paraId="346C29A9" w14:textId="77777777" w:rsidTr="006D7F71">
        <w:trPr>
          <w:trHeight w:hRule="exact" w:val="2294"/>
          <w:jc w:val="center"/>
        </w:trPr>
        <w:tc>
          <w:tcPr>
            <w:tcW w:w="4646" w:type="dxa"/>
            <w:tcBorders>
              <w:top w:val="single" w:sz="4" w:space="0" w:color="auto"/>
              <w:left w:val="single" w:sz="4" w:space="0" w:color="auto"/>
            </w:tcBorders>
            <w:shd w:val="clear" w:color="auto" w:fill="FFFFFF"/>
            <w:vAlign w:val="center"/>
          </w:tcPr>
          <w:p w14:paraId="50ABC76A"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ГЧП — это институциональный и организационный альянс между государством и бизнесом в целях реа</w:t>
            </w:r>
            <w:r w:rsidRPr="004E0FC4">
              <w:rPr>
                <w:rFonts w:ascii="Bookman Old Style" w:eastAsia="Bookman Old Style" w:hAnsi="Bookman Old Style" w:cs="Bookman Old Style"/>
                <w:color w:val="231F20"/>
                <w:sz w:val="18"/>
                <w:szCs w:val="18"/>
              </w:rPr>
              <w:softHyphen/>
              <w:t>лизации национальных и международных, масштаб</w:t>
            </w:r>
            <w:r w:rsidRPr="004E0FC4">
              <w:rPr>
                <w:rFonts w:ascii="Bookman Old Style" w:eastAsia="Bookman Old Style" w:hAnsi="Bookman Old Style" w:cs="Bookman Old Style"/>
                <w:color w:val="231F20"/>
                <w:sz w:val="18"/>
                <w:szCs w:val="18"/>
              </w:rPr>
              <w:softHyphen/>
              <w:t>ных и локальных, но всегда общественно-значимых проектов в широком спектре сфер деятельности: от развития стратегически важных отраслей про</w:t>
            </w:r>
            <w:r w:rsidRPr="004E0FC4">
              <w:rPr>
                <w:rFonts w:ascii="Bookman Old Style" w:eastAsia="Bookman Old Style" w:hAnsi="Bookman Old Style" w:cs="Bookman Old Style"/>
                <w:color w:val="231F20"/>
                <w:sz w:val="18"/>
                <w:szCs w:val="18"/>
              </w:rPr>
              <w:softHyphen/>
              <w:t>мышленности и НИОКР (научно-исследовательских и опытно-конструкторских работ) до обеспечения общественных услуг</w:t>
            </w:r>
          </w:p>
        </w:tc>
        <w:tc>
          <w:tcPr>
            <w:tcW w:w="1934" w:type="dxa"/>
            <w:tcBorders>
              <w:top w:val="single" w:sz="4" w:space="0" w:color="auto"/>
              <w:left w:val="single" w:sz="4" w:space="0" w:color="auto"/>
              <w:right w:val="single" w:sz="4" w:space="0" w:color="auto"/>
            </w:tcBorders>
            <w:shd w:val="clear" w:color="auto" w:fill="FFFFFF"/>
          </w:tcPr>
          <w:p w14:paraId="690E0818"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eastAsia="en-US" w:bidi="en-US"/>
              </w:rPr>
              <w:t>Варнавский В. Г.</w:t>
            </w:r>
            <w:r w:rsidRPr="004E0FC4">
              <w:rPr>
                <w:rFonts w:ascii="Bookman Old Style" w:eastAsia="Bookman Old Style" w:hAnsi="Bookman Old Style" w:cs="Bookman Old Style"/>
                <w:color w:val="231F20"/>
                <w:sz w:val="18"/>
                <w:szCs w:val="18"/>
              </w:rPr>
              <w:t xml:space="preserve"> Пар</w:t>
            </w:r>
            <w:r w:rsidRPr="004E0FC4">
              <w:rPr>
                <w:rFonts w:ascii="Bookman Old Style" w:eastAsia="Bookman Old Style" w:hAnsi="Bookman Old Style" w:cs="Bookman Old Style"/>
                <w:color w:val="231F20"/>
                <w:sz w:val="18"/>
                <w:szCs w:val="18"/>
              </w:rPr>
              <w:softHyphen/>
              <w:t>тнерство государ</w:t>
            </w:r>
            <w:r w:rsidRPr="004E0FC4">
              <w:rPr>
                <w:rFonts w:ascii="Bookman Old Style" w:eastAsia="Bookman Old Style" w:hAnsi="Bookman Old Style" w:cs="Bookman Old Style"/>
                <w:color w:val="231F20"/>
                <w:sz w:val="18"/>
                <w:szCs w:val="18"/>
              </w:rPr>
              <w:softHyphen/>
              <w:t>ства и частного</w:t>
            </w:r>
          </w:p>
          <w:p w14:paraId="5A5971B6"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сектора: формы, проекты, риски. М. : Наука, 2010</w:t>
            </w:r>
          </w:p>
        </w:tc>
      </w:tr>
      <w:tr w:rsidR="00350396" w:rsidRPr="004E0FC4" w14:paraId="6036917B" w14:textId="77777777" w:rsidTr="006D7F71">
        <w:trPr>
          <w:trHeight w:hRule="exact" w:val="1838"/>
          <w:jc w:val="center"/>
        </w:trPr>
        <w:tc>
          <w:tcPr>
            <w:tcW w:w="4646" w:type="dxa"/>
            <w:tcBorders>
              <w:top w:val="single" w:sz="4" w:space="0" w:color="auto"/>
              <w:left w:val="single" w:sz="4" w:space="0" w:color="auto"/>
            </w:tcBorders>
            <w:shd w:val="clear" w:color="auto" w:fill="FFFFFF"/>
          </w:tcPr>
          <w:p w14:paraId="34870A5E" w14:textId="77777777" w:rsidR="00350396" w:rsidRPr="004E0FC4" w:rsidRDefault="00350396" w:rsidP="004E0FC4">
            <w:pPr>
              <w:framePr w:w="6581" w:wrap="notBeside" w:vAnchor="text" w:hAnchor="text" w:xAlign="center" w:y="1"/>
              <w:widowControl w:val="0"/>
              <w:spacing w:line="230"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ГЧП является альянсом государственных органов и частного бизнеса, цель которого заключается в соз</w:t>
            </w:r>
            <w:r w:rsidRPr="004E0FC4">
              <w:rPr>
                <w:rFonts w:ascii="Bookman Old Style" w:eastAsia="Bookman Old Style" w:hAnsi="Bookman Old Style" w:cs="Bookman Old Style"/>
                <w:color w:val="231F20"/>
                <w:sz w:val="18"/>
                <w:szCs w:val="18"/>
              </w:rPr>
              <w:softHyphen/>
              <w:t>дании и развитии социально значимых проектов — от стратегических отраслей экономики до оказания услуг в масштабах страны либо отдельных ее терри</w:t>
            </w:r>
            <w:r w:rsidRPr="004E0FC4">
              <w:rPr>
                <w:rFonts w:ascii="Bookman Old Style" w:eastAsia="Bookman Old Style" w:hAnsi="Bookman Old Style" w:cs="Bookman Old Style"/>
                <w:color w:val="231F20"/>
                <w:sz w:val="18"/>
                <w:szCs w:val="18"/>
              </w:rPr>
              <w:softHyphen/>
              <w:t>торий</w:t>
            </w:r>
          </w:p>
        </w:tc>
        <w:tc>
          <w:tcPr>
            <w:tcW w:w="1934" w:type="dxa"/>
            <w:tcBorders>
              <w:top w:val="single" w:sz="4" w:space="0" w:color="auto"/>
              <w:left w:val="single" w:sz="4" w:space="0" w:color="auto"/>
              <w:right w:val="single" w:sz="4" w:space="0" w:color="auto"/>
            </w:tcBorders>
            <w:shd w:val="clear" w:color="auto" w:fill="FFFFFF"/>
            <w:vAlign w:val="center"/>
          </w:tcPr>
          <w:p w14:paraId="3BA5870C" w14:textId="77777777" w:rsidR="00350396" w:rsidRPr="004E0FC4" w:rsidRDefault="00350396" w:rsidP="004E0FC4">
            <w:pPr>
              <w:framePr w:w="6581" w:wrap="notBeside" w:vAnchor="text" w:hAnchor="text" w:xAlign="center" w:y="1"/>
              <w:widowControl w:val="0"/>
              <w:spacing w:line="230"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eastAsia="en-US" w:bidi="en-US"/>
              </w:rPr>
              <w:t>Кабашкин В. А.</w:t>
            </w:r>
            <w:r w:rsidRPr="004E0FC4">
              <w:rPr>
                <w:rFonts w:ascii="Bookman Old Style" w:eastAsia="Bookman Old Style" w:hAnsi="Bookman Old Style" w:cs="Bookman Old Style"/>
                <w:color w:val="231F20"/>
                <w:sz w:val="18"/>
                <w:szCs w:val="18"/>
              </w:rPr>
              <w:t xml:space="preserve"> Госу</w:t>
            </w:r>
            <w:r w:rsidRPr="004E0FC4">
              <w:rPr>
                <w:rFonts w:ascii="Bookman Old Style" w:eastAsia="Bookman Old Style" w:hAnsi="Bookman Old Style" w:cs="Bookman Old Style"/>
                <w:color w:val="231F20"/>
                <w:sz w:val="18"/>
                <w:szCs w:val="18"/>
              </w:rPr>
              <w:softHyphen/>
              <w:t>дарственно-частное</w:t>
            </w:r>
          </w:p>
          <w:p w14:paraId="583ABB76" w14:textId="77777777" w:rsidR="00350396" w:rsidRPr="004E0FC4" w:rsidRDefault="00350396" w:rsidP="004E0FC4">
            <w:pPr>
              <w:framePr w:w="6581" w:wrap="notBeside" w:vAnchor="text" w:hAnchor="text" w:xAlign="center" w:y="1"/>
              <w:widowControl w:val="0"/>
              <w:spacing w:line="230"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партнерство в ре</w:t>
            </w:r>
            <w:r w:rsidRPr="004E0FC4">
              <w:rPr>
                <w:rFonts w:ascii="Bookman Old Style" w:eastAsia="Bookman Old Style" w:hAnsi="Bookman Old Style" w:cs="Bookman Old Style"/>
                <w:color w:val="231F20"/>
                <w:sz w:val="18"/>
                <w:szCs w:val="18"/>
              </w:rPr>
              <w:softHyphen/>
              <w:t>гионах Российской Федерации : учеб. пособие. М. : Дело, 2010. С. 120</w:t>
            </w:r>
          </w:p>
        </w:tc>
      </w:tr>
      <w:tr w:rsidR="00350396" w:rsidRPr="007C74F5" w14:paraId="48374367" w14:textId="77777777" w:rsidTr="006D7F71">
        <w:trPr>
          <w:trHeight w:hRule="exact" w:val="2525"/>
          <w:jc w:val="center"/>
        </w:trPr>
        <w:tc>
          <w:tcPr>
            <w:tcW w:w="4646" w:type="dxa"/>
            <w:tcBorders>
              <w:top w:val="single" w:sz="4" w:space="0" w:color="auto"/>
              <w:left w:val="single" w:sz="4" w:space="0" w:color="auto"/>
            </w:tcBorders>
            <w:shd w:val="clear" w:color="auto" w:fill="FFFFFF"/>
            <w:vAlign w:val="center"/>
          </w:tcPr>
          <w:p w14:paraId="2877FFF0"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ГЧП — это привлечение органами государственного и (или) муниципального управления частного бизне</w:t>
            </w:r>
            <w:r w:rsidRPr="004E0FC4">
              <w:rPr>
                <w:rFonts w:ascii="Bookman Old Style" w:eastAsia="Bookman Old Style" w:hAnsi="Bookman Old Style" w:cs="Bookman Old Style"/>
                <w:color w:val="231F20"/>
                <w:sz w:val="18"/>
                <w:szCs w:val="18"/>
              </w:rPr>
              <w:softHyphen/>
              <w:t>са для выполнения работ по техническому обслужи</w:t>
            </w:r>
            <w:r w:rsidRPr="004E0FC4">
              <w:rPr>
                <w:rFonts w:ascii="Bookman Old Style" w:eastAsia="Bookman Old Style" w:hAnsi="Bookman Old Style" w:cs="Bookman Old Style"/>
                <w:color w:val="231F20"/>
                <w:sz w:val="18"/>
                <w:szCs w:val="18"/>
              </w:rPr>
              <w:softHyphen/>
              <w:t>ванию, эксплуатации, реконструкции, модернизации или новому строительству объектов общественной инфраструктуры и предоставлению публичных услуг с использованием таких объектов на условиях разде</w:t>
            </w:r>
            <w:r w:rsidRPr="004E0FC4">
              <w:rPr>
                <w:rFonts w:ascii="Bookman Old Style" w:eastAsia="Bookman Old Style" w:hAnsi="Bookman Old Style" w:cs="Bookman Old Style"/>
                <w:color w:val="231F20"/>
                <w:sz w:val="18"/>
                <w:szCs w:val="18"/>
              </w:rPr>
              <w:softHyphen/>
              <w:t>ления рисков, компетенций и ответственности, опре</w:t>
            </w:r>
            <w:r w:rsidRPr="004E0FC4">
              <w:rPr>
                <w:rFonts w:ascii="Bookman Old Style" w:eastAsia="Bookman Old Style" w:hAnsi="Bookman Old Style" w:cs="Bookman Old Style"/>
                <w:color w:val="231F20"/>
                <w:sz w:val="18"/>
                <w:szCs w:val="18"/>
              </w:rPr>
              <w:softHyphen/>
              <w:t>деляемых контрактом и совокупностью норматив</w:t>
            </w:r>
            <w:r w:rsidRPr="004E0FC4">
              <w:rPr>
                <w:rFonts w:ascii="Bookman Old Style" w:eastAsia="Bookman Old Style" w:hAnsi="Bookman Old Style" w:cs="Bookman Old Style"/>
                <w:color w:val="231F20"/>
                <w:sz w:val="18"/>
                <w:szCs w:val="18"/>
              </w:rPr>
              <w:softHyphen/>
              <w:t>ных актов, действующих на момент его подписания</w:t>
            </w:r>
          </w:p>
        </w:tc>
        <w:tc>
          <w:tcPr>
            <w:tcW w:w="1934" w:type="dxa"/>
            <w:tcBorders>
              <w:top w:val="single" w:sz="4" w:space="0" w:color="auto"/>
              <w:left w:val="single" w:sz="4" w:space="0" w:color="auto"/>
              <w:right w:val="single" w:sz="4" w:space="0" w:color="auto"/>
            </w:tcBorders>
            <w:shd w:val="clear" w:color="auto" w:fill="FFFFFF"/>
          </w:tcPr>
          <w:p w14:paraId="1EA27561"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Курируемый Цен</w:t>
            </w:r>
            <w:r w:rsidRPr="004E0FC4">
              <w:rPr>
                <w:rFonts w:ascii="Bookman Old Style" w:eastAsia="Bookman Old Style" w:hAnsi="Bookman Old Style" w:cs="Bookman Old Style"/>
                <w:color w:val="231F20"/>
                <w:sz w:val="18"/>
                <w:szCs w:val="18"/>
              </w:rPr>
              <w:softHyphen/>
              <w:t>тром ГЧП Внешэ</w:t>
            </w:r>
            <w:r w:rsidRPr="004E0FC4">
              <w:rPr>
                <w:rFonts w:ascii="Bookman Old Style" w:eastAsia="Bookman Old Style" w:hAnsi="Bookman Old Style" w:cs="Bookman Old Style"/>
                <w:color w:val="231F20"/>
                <w:sz w:val="18"/>
                <w:szCs w:val="18"/>
              </w:rPr>
              <w:softHyphen/>
              <w:t>кономбанка сайт «ГЧП в России».</w:t>
            </w:r>
          </w:p>
          <w:p w14:paraId="597DBFE3"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lang w:val="en-US"/>
              </w:rPr>
            </w:pPr>
            <w:r w:rsidRPr="004E0FC4">
              <w:rPr>
                <w:rFonts w:ascii="Bookman Old Style" w:eastAsia="Bookman Old Style" w:hAnsi="Bookman Old Style" w:cs="Bookman Old Style"/>
                <w:color w:val="231F20"/>
                <w:sz w:val="18"/>
                <w:szCs w:val="18"/>
                <w:lang w:val="en-US" w:eastAsia="en-US" w:bidi="en-US"/>
              </w:rPr>
              <w:t xml:space="preserve">URL: </w:t>
            </w:r>
            <w:hyperlink r:id="rId35" w:history="1">
              <w:r w:rsidRPr="004E0FC4">
                <w:rPr>
                  <w:rFonts w:ascii="Bookman Old Style" w:eastAsia="Bookman Old Style" w:hAnsi="Bookman Old Style" w:cs="Bookman Old Style"/>
                  <w:color w:val="231F20"/>
                  <w:sz w:val="18"/>
                  <w:szCs w:val="18"/>
                  <w:lang w:val="en-US" w:eastAsia="en-US" w:bidi="en-US"/>
                </w:rPr>
                <w:t>http://www</w:t>
              </w:r>
            </w:hyperlink>
            <w:r w:rsidRPr="004E0FC4">
              <w:rPr>
                <w:rFonts w:ascii="Bookman Old Style" w:eastAsia="Bookman Old Style" w:hAnsi="Bookman Old Style" w:cs="Bookman Old Style"/>
                <w:color w:val="231F20"/>
                <w:sz w:val="18"/>
                <w:szCs w:val="18"/>
                <w:lang w:val="en-US" w:eastAsia="en-US" w:bidi="en-US"/>
              </w:rPr>
              <w:t>. pppinrussia.ru/ main/ppp_in_russia/ glossary/</w:t>
            </w:r>
          </w:p>
        </w:tc>
      </w:tr>
      <w:tr w:rsidR="00350396" w:rsidRPr="004E0FC4" w14:paraId="68AC0398" w14:textId="77777777" w:rsidTr="006D7F71">
        <w:trPr>
          <w:trHeight w:hRule="exact" w:val="1608"/>
          <w:jc w:val="center"/>
        </w:trPr>
        <w:tc>
          <w:tcPr>
            <w:tcW w:w="4646" w:type="dxa"/>
            <w:vMerge w:val="restart"/>
            <w:tcBorders>
              <w:top w:val="single" w:sz="4" w:space="0" w:color="auto"/>
              <w:left w:val="single" w:sz="4" w:space="0" w:color="auto"/>
            </w:tcBorders>
            <w:shd w:val="clear" w:color="auto" w:fill="FFFFFF"/>
          </w:tcPr>
          <w:p w14:paraId="0B219B64"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ГЧП — это соглашения между публичной и частной сторонами по поводу производства и оказания ин</w:t>
            </w:r>
            <w:r w:rsidRPr="004E0FC4">
              <w:rPr>
                <w:rFonts w:ascii="Bookman Old Style" w:eastAsia="Bookman Old Style" w:hAnsi="Bookman Old Style" w:cs="Bookman Old Style"/>
                <w:color w:val="231F20"/>
                <w:sz w:val="18"/>
                <w:szCs w:val="18"/>
              </w:rPr>
              <w:softHyphen/>
              <w:t>фраструктурных услуг, заключаемые с целью привле</w:t>
            </w:r>
            <w:r w:rsidRPr="004E0FC4">
              <w:rPr>
                <w:rFonts w:ascii="Bookman Old Style" w:eastAsia="Bookman Old Style" w:hAnsi="Bookman Old Style" w:cs="Bookman Old Style"/>
                <w:color w:val="231F20"/>
                <w:sz w:val="18"/>
                <w:szCs w:val="18"/>
              </w:rPr>
              <w:softHyphen/>
              <w:t>чения дополнительных инвестиций и, что еще более важно, как средство повышения эффективности бюджетного финансирования</w:t>
            </w:r>
          </w:p>
        </w:tc>
        <w:tc>
          <w:tcPr>
            <w:tcW w:w="1934" w:type="dxa"/>
            <w:tcBorders>
              <w:top w:val="single" w:sz="4" w:space="0" w:color="auto"/>
              <w:left w:val="single" w:sz="4" w:space="0" w:color="auto"/>
              <w:right w:val="single" w:sz="4" w:space="0" w:color="auto"/>
            </w:tcBorders>
            <w:shd w:val="clear" w:color="auto" w:fill="FFFFFF"/>
            <w:vAlign w:val="center"/>
          </w:tcPr>
          <w:p w14:paraId="2352FE0F"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lang w:val="en-US" w:eastAsia="en-US" w:bidi="en-US"/>
              </w:rPr>
              <w:t>URL</w:t>
            </w:r>
            <w:r w:rsidRPr="004E0FC4">
              <w:rPr>
                <w:rFonts w:ascii="Bookman Old Style" w:eastAsia="Bookman Old Style" w:hAnsi="Bookman Old Style" w:cs="Bookman Old Style"/>
                <w:color w:val="231F20"/>
                <w:sz w:val="18"/>
                <w:szCs w:val="18"/>
                <w:lang w:eastAsia="en-US" w:bidi="en-US"/>
              </w:rPr>
              <w:t xml:space="preserve">: </w:t>
            </w:r>
            <w:hyperlink r:id="rId36" w:history="1">
              <w:r w:rsidRPr="004E0FC4">
                <w:rPr>
                  <w:rFonts w:ascii="Bookman Old Style" w:eastAsia="Bookman Old Style" w:hAnsi="Bookman Old Style" w:cs="Bookman Old Style"/>
                  <w:color w:val="231F20"/>
                  <w:sz w:val="18"/>
                  <w:szCs w:val="18"/>
                  <w:lang w:val="en-US" w:eastAsia="en-US" w:bidi="en-US"/>
                </w:rPr>
                <w:t>http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www</w:t>
              </w:r>
            </w:hyperlink>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lang w:val="en-US" w:eastAsia="en-US" w:bidi="en-US"/>
              </w:rPr>
              <w:t>worldbank</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org</w:t>
            </w:r>
            <w:r w:rsidRPr="004E0FC4">
              <w:rPr>
                <w:rFonts w:ascii="Bookman Old Style" w:eastAsia="Bookman Old Style" w:hAnsi="Bookman Old Style" w:cs="Bookman Old Style"/>
                <w:color w:val="231F20"/>
                <w:sz w:val="18"/>
                <w:szCs w:val="18"/>
                <w:lang w:eastAsia="en-US" w:bidi="en-US"/>
              </w:rPr>
              <w:t xml:space="preserve"> — </w:t>
            </w:r>
            <w:r w:rsidRPr="004E0FC4">
              <w:rPr>
                <w:rFonts w:ascii="Bookman Old Style" w:eastAsia="Bookman Old Style" w:hAnsi="Bookman Old Style" w:cs="Bookman Old Style"/>
                <w:color w:val="231F20"/>
                <w:sz w:val="18"/>
                <w:szCs w:val="18"/>
              </w:rPr>
              <w:t>Официальный сайт Всемирногобанка,</w:t>
            </w:r>
          </w:p>
          <w:p w14:paraId="41E937CD"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lang w:val="en-US" w:eastAsia="en-US" w:bidi="en-US"/>
              </w:rPr>
              <w:t>The World Bank</w:t>
            </w:r>
          </w:p>
          <w:p w14:paraId="2B0E8FB6" w14:textId="77777777" w:rsidR="00350396" w:rsidRPr="004E0FC4" w:rsidRDefault="00350396" w:rsidP="004E0FC4">
            <w:pPr>
              <w:framePr w:w="6581"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lang w:val="en-US" w:eastAsia="en-US" w:bidi="en-US"/>
              </w:rPr>
              <w:t>Group</w:t>
            </w:r>
          </w:p>
        </w:tc>
      </w:tr>
      <w:tr w:rsidR="00350396" w:rsidRPr="004E0FC4" w14:paraId="52C3E513" w14:textId="77777777" w:rsidTr="006D7F71">
        <w:trPr>
          <w:trHeight w:hRule="exact" w:val="2002"/>
          <w:jc w:val="center"/>
        </w:trPr>
        <w:tc>
          <w:tcPr>
            <w:tcW w:w="4646" w:type="dxa"/>
            <w:vMerge/>
            <w:tcBorders>
              <w:left w:val="single" w:sz="4" w:space="0" w:color="auto"/>
              <w:bottom w:val="single" w:sz="4" w:space="0" w:color="auto"/>
            </w:tcBorders>
            <w:shd w:val="clear" w:color="auto" w:fill="FFFFFF"/>
          </w:tcPr>
          <w:p w14:paraId="2A12CD30"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1934" w:type="dxa"/>
            <w:tcBorders>
              <w:top w:val="single" w:sz="4" w:space="0" w:color="auto"/>
              <w:left w:val="single" w:sz="4" w:space="0" w:color="auto"/>
              <w:bottom w:val="single" w:sz="4" w:space="0" w:color="auto"/>
              <w:right w:val="single" w:sz="4" w:space="0" w:color="auto"/>
            </w:tcBorders>
            <w:shd w:val="clear" w:color="auto" w:fill="FFFFFF"/>
            <w:vAlign w:val="center"/>
          </w:tcPr>
          <w:p w14:paraId="2E5684A7"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lang w:val="en-US"/>
              </w:rPr>
            </w:pPr>
            <w:r w:rsidRPr="004E0FC4">
              <w:rPr>
                <w:rFonts w:ascii="Bookman Old Style" w:eastAsia="Bookman Old Style" w:hAnsi="Bookman Old Style" w:cs="Bookman Old Style"/>
                <w:i/>
                <w:iCs/>
                <w:color w:val="231F20"/>
                <w:sz w:val="18"/>
                <w:szCs w:val="18"/>
                <w:lang w:val="en-US" w:eastAsia="en-US" w:bidi="en-US"/>
              </w:rPr>
              <w:t>Delmon J.</w:t>
            </w:r>
            <w:r w:rsidRPr="004E0FC4">
              <w:rPr>
                <w:rFonts w:ascii="Bookman Old Style" w:eastAsia="Bookman Old Style" w:hAnsi="Bookman Old Style" w:cs="Bookman Old Style"/>
                <w:color w:val="231F20"/>
                <w:sz w:val="18"/>
                <w:szCs w:val="18"/>
                <w:lang w:val="en-US" w:eastAsia="en-US" w:bidi="en-US"/>
              </w:rPr>
              <w:t xml:space="preserve"> Private sector investment in infrastructure: Project Finance, PPP Projects and Risk.</w:t>
            </w:r>
          </w:p>
          <w:p w14:paraId="482BC8D1"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lang w:val="en-US" w:eastAsia="en-US" w:bidi="en-US"/>
              </w:rPr>
              <w:t>The World Bank and Kluwer Law International. 2009</w:t>
            </w:r>
          </w:p>
        </w:tc>
      </w:tr>
    </w:tbl>
    <w:p w14:paraId="4037DA00"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39B31282" w14:textId="77777777" w:rsidR="00350396" w:rsidRPr="004E0FC4" w:rsidRDefault="00350396" w:rsidP="004E0FC4">
      <w:pPr>
        <w:widowControl w:val="0"/>
        <w:spacing w:line="240" w:lineRule="auto"/>
        <w:ind w:firstLine="0"/>
        <w:rPr>
          <w:rFonts w:ascii="Bookman Old Style" w:hAnsi="Bookman Old Style"/>
          <w:sz w:val="18"/>
          <w:szCs w:val="18"/>
        </w:rPr>
      </w:pPr>
    </w:p>
    <w:p w14:paraId="25D9DD45"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Окончание табл. 4.1</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46"/>
        <w:gridCol w:w="1934"/>
      </w:tblGrid>
      <w:tr w:rsidR="00350396" w:rsidRPr="004E0FC4" w14:paraId="218F5A11" w14:textId="77777777" w:rsidTr="006D7F71">
        <w:trPr>
          <w:trHeight w:hRule="exact" w:val="341"/>
          <w:jc w:val="center"/>
        </w:trPr>
        <w:tc>
          <w:tcPr>
            <w:tcW w:w="4646" w:type="dxa"/>
            <w:tcBorders>
              <w:top w:val="single" w:sz="4" w:space="0" w:color="auto"/>
              <w:left w:val="single" w:sz="4" w:space="0" w:color="auto"/>
            </w:tcBorders>
            <w:shd w:val="clear" w:color="auto" w:fill="FFFFFF"/>
            <w:vAlign w:val="center"/>
          </w:tcPr>
          <w:p w14:paraId="320A63F4" w14:textId="77777777" w:rsidR="00350396" w:rsidRPr="004E0FC4" w:rsidRDefault="00350396" w:rsidP="004E0FC4">
            <w:pPr>
              <w:framePr w:w="6581"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Определение</w:t>
            </w:r>
          </w:p>
        </w:tc>
        <w:tc>
          <w:tcPr>
            <w:tcW w:w="1934" w:type="dxa"/>
            <w:tcBorders>
              <w:top w:val="single" w:sz="4" w:space="0" w:color="auto"/>
              <w:left w:val="single" w:sz="4" w:space="0" w:color="auto"/>
              <w:right w:val="single" w:sz="4" w:space="0" w:color="auto"/>
            </w:tcBorders>
            <w:shd w:val="clear" w:color="auto" w:fill="FFFFFF"/>
            <w:vAlign w:val="center"/>
          </w:tcPr>
          <w:p w14:paraId="53A950D8" w14:textId="77777777" w:rsidR="00350396" w:rsidRPr="004E0FC4" w:rsidRDefault="00350396" w:rsidP="004E0FC4">
            <w:pPr>
              <w:framePr w:w="6581"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Источник</w:t>
            </w:r>
          </w:p>
        </w:tc>
      </w:tr>
      <w:tr w:rsidR="00350396" w:rsidRPr="004E0FC4" w14:paraId="493A9D33" w14:textId="77777777" w:rsidTr="006D7F71">
        <w:trPr>
          <w:trHeight w:hRule="exact" w:val="3130"/>
          <w:jc w:val="center"/>
        </w:trPr>
        <w:tc>
          <w:tcPr>
            <w:tcW w:w="4646" w:type="dxa"/>
            <w:tcBorders>
              <w:top w:val="single" w:sz="4" w:space="0" w:color="auto"/>
              <w:left w:val="single" w:sz="4" w:space="0" w:color="auto"/>
            </w:tcBorders>
            <w:shd w:val="clear" w:color="auto" w:fill="FFFFFF"/>
            <w:vAlign w:val="bottom"/>
          </w:tcPr>
          <w:p w14:paraId="137F11B9"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ГЧП — это взаимовыгодное сотрудничество Санкт- Петербурга с российским или иностранным юриди</w:t>
            </w:r>
            <w:r w:rsidRPr="004E0FC4">
              <w:rPr>
                <w:rFonts w:ascii="Bookman Old Style" w:eastAsia="Bookman Old Style" w:hAnsi="Bookman Old Style" w:cs="Bookman Old Style"/>
                <w:color w:val="231F20"/>
                <w:sz w:val="18"/>
                <w:szCs w:val="18"/>
              </w:rPr>
              <w:softHyphen/>
              <w:t>ческим или физическим лицом либо действующим без образования юридического лица по договору про</w:t>
            </w:r>
            <w:r w:rsidRPr="004E0FC4">
              <w:rPr>
                <w:rFonts w:ascii="Bookman Old Style" w:eastAsia="Bookman Old Style" w:hAnsi="Bookman Old Style" w:cs="Bookman Old Style"/>
                <w:color w:val="231F20"/>
                <w:sz w:val="18"/>
                <w:szCs w:val="18"/>
              </w:rPr>
              <w:softHyphen/>
              <w:t>стого товарищества (договору о совместной деятель</w:t>
            </w:r>
            <w:r w:rsidRPr="004E0FC4">
              <w:rPr>
                <w:rFonts w:ascii="Bookman Old Style" w:eastAsia="Bookman Old Style" w:hAnsi="Bookman Old Style" w:cs="Bookman Old Style"/>
                <w:color w:val="231F20"/>
                <w:sz w:val="18"/>
                <w:szCs w:val="18"/>
              </w:rPr>
              <w:softHyphen/>
              <w:t>ности) объединением юридических лиц в реализации социально значимых проектов, проектов, направ</w:t>
            </w:r>
            <w:r w:rsidRPr="004E0FC4">
              <w:rPr>
                <w:rFonts w:ascii="Bookman Old Style" w:eastAsia="Bookman Old Style" w:hAnsi="Bookman Old Style" w:cs="Bookman Old Style"/>
                <w:color w:val="231F20"/>
                <w:sz w:val="18"/>
                <w:szCs w:val="18"/>
              </w:rPr>
              <w:softHyphen/>
              <w:t>ленных на развитие образования, здравоохранения, социального обслуживания населения, физической культуры, спорта, культуры, туризма, транспортной и инженерной инфраструктур, инфраструктуры связи и телекоммуникаций в Санкт-Петербурге, которое осуществляется путем заключения и исполнения со</w:t>
            </w:r>
            <w:r w:rsidRPr="004E0FC4">
              <w:rPr>
                <w:rFonts w:ascii="Bookman Old Style" w:eastAsia="Bookman Old Style" w:hAnsi="Bookman Old Style" w:cs="Bookman Old Style"/>
                <w:color w:val="231F20"/>
                <w:sz w:val="18"/>
                <w:szCs w:val="18"/>
              </w:rPr>
              <w:softHyphen/>
              <w:t>глашений, в том числе концессионных</w:t>
            </w:r>
          </w:p>
        </w:tc>
        <w:tc>
          <w:tcPr>
            <w:tcW w:w="1934" w:type="dxa"/>
            <w:tcBorders>
              <w:top w:val="single" w:sz="4" w:space="0" w:color="auto"/>
              <w:left w:val="single" w:sz="4" w:space="0" w:color="auto"/>
              <w:right w:val="single" w:sz="4" w:space="0" w:color="auto"/>
            </w:tcBorders>
            <w:shd w:val="clear" w:color="auto" w:fill="FFFFFF"/>
          </w:tcPr>
          <w:p w14:paraId="0CD7ADFE"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Закон г. Санкт- Петербурга от 25.12.2006 № 627-100 «Об уча</w:t>
            </w:r>
            <w:r w:rsidRPr="004E0FC4">
              <w:rPr>
                <w:rFonts w:ascii="Bookman Old Style" w:eastAsia="Bookman Old Style" w:hAnsi="Bookman Old Style" w:cs="Bookman Old Style"/>
                <w:color w:val="231F20"/>
                <w:sz w:val="18"/>
                <w:szCs w:val="18"/>
              </w:rPr>
              <w:softHyphen/>
              <w:t>стии Санкт- Петербурга в госу</w:t>
            </w:r>
            <w:r w:rsidRPr="004E0FC4">
              <w:rPr>
                <w:rFonts w:ascii="Bookman Old Style" w:eastAsia="Bookman Old Style" w:hAnsi="Bookman Old Style" w:cs="Bookman Old Style"/>
                <w:color w:val="231F20"/>
                <w:sz w:val="18"/>
                <w:szCs w:val="18"/>
              </w:rPr>
              <w:softHyphen/>
              <w:t>дарственно-частных партнерствах»</w:t>
            </w:r>
          </w:p>
        </w:tc>
      </w:tr>
      <w:tr w:rsidR="00350396" w:rsidRPr="004E0FC4" w14:paraId="54D22C91" w14:textId="77777777" w:rsidTr="006D7F71">
        <w:trPr>
          <w:trHeight w:hRule="exact" w:val="3144"/>
          <w:jc w:val="center"/>
        </w:trPr>
        <w:tc>
          <w:tcPr>
            <w:tcW w:w="4646" w:type="dxa"/>
            <w:tcBorders>
              <w:top w:val="single" w:sz="4" w:space="0" w:color="auto"/>
              <w:left w:val="single" w:sz="4" w:space="0" w:color="auto"/>
              <w:bottom w:val="single" w:sz="4" w:space="0" w:color="auto"/>
            </w:tcBorders>
            <w:shd w:val="clear" w:color="auto" w:fill="FFFFFF"/>
            <w:vAlign w:val="center"/>
          </w:tcPr>
          <w:p w14:paraId="68AD82A5"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Государственно-частное партнерство, муниципаль</w:t>
            </w:r>
            <w:r w:rsidRPr="004E0FC4">
              <w:rPr>
                <w:rFonts w:ascii="Bookman Old Style" w:eastAsia="Bookman Old Style" w:hAnsi="Bookman Old Style" w:cs="Bookman Old Style"/>
                <w:color w:val="231F20"/>
                <w:sz w:val="18"/>
                <w:szCs w:val="18"/>
              </w:rPr>
              <w:softHyphen/>
              <w:t>но-частное партнерство — юридически оформленное на определенный срок и основанное на объединении ресурсов, распределении рисков сотрудничество публичного партнера, с одной стороны, и частно</w:t>
            </w:r>
            <w:r w:rsidRPr="004E0FC4">
              <w:rPr>
                <w:rFonts w:ascii="Bookman Old Style" w:eastAsia="Bookman Old Style" w:hAnsi="Bookman Old Style" w:cs="Bookman Old Style"/>
                <w:color w:val="231F20"/>
                <w:sz w:val="18"/>
                <w:szCs w:val="18"/>
              </w:rPr>
              <w:softHyphen/>
              <w:t>го партнера, с другой — которое осуществляется на основании соглашения о государственно-частном партнерстве, соглашения о муниципально-частном партнерстве, заключенных в соответствии с насто</w:t>
            </w:r>
            <w:r w:rsidRPr="004E0FC4">
              <w:rPr>
                <w:rFonts w:ascii="Bookman Old Style" w:eastAsia="Bookman Old Style" w:hAnsi="Bookman Old Style" w:cs="Bookman Old Style"/>
                <w:color w:val="231F20"/>
                <w:sz w:val="18"/>
                <w:szCs w:val="18"/>
              </w:rPr>
              <w:softHyphen/>
              <w:t>ящим Федеральным законом в целях привлечения в экономику частных инвестиций, обеспечения орга</w:t>
            </w:r>
            <w:r w:rsidRPr="004E0FC4">
              <w:rPr>
                <w:rFonts w:ascii="Bookman Old Style" w:eastAsia="Bookman Old Style" w:hAnsi="Bookman Old Style" w:cs="Bookman Old Style"/>
                <w:color w:val="231F20"/>
                <w:sz w:val="18"/>
                <w:szCs w:val="18"/>
              </w:rPr>
              <w:softHyphen/>
              <w:t>нами государственной власти и органами местного самоуправления доступности товаров, работ, услуг и повышения их качества</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14:paraId="6379DAF7" w14:textId="77777777" w:rsidR="00350396" w:rsidRPr="004E0FC4" w:rsidRDefault="00350396" w:rsidP="004E0FC4">
            <w:pPr>
              <w:framePr w:w="6581"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Закон о ГЧП</w:t>
            </w:r>
          </w:p>
        </w:tc>
      </w:tr>
    </w:tbl>
    <w:p w14:paraId="1E0493AA"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30A1A432" w14:textId="77777777" w:rsidR="00350396" w:rsidRPr="004E0FC4" w:rsidRDefault="00350396" w:rsidP="004E0FC4">
      <w:pPr>
        <w:widowControl w:val="0"/>
        <w:spacing w:line="240" w:lineRule="auto"/>
        <w:ind w:firstLine="0"/>
        <w:rPr>
          <w:rFonts w:ascii="Bookman Old Style" w:hAnsi="Bookman Old Style"/>
          <w:sz w:val="18"/>
          <w:szCs w:val="18"/>
        </w:rPr>
      </w:pPr>
    </w:p>
    <w:p w14:paraId="4424D7EC" w14:textId="77777777" w:rsidR="00350396" w:rsidRPr="004E0FC4" w:rsidRDefault="00350396" w:rsidP="004E0FC4">
      <w:pPr>
        <w:widowControl w:val="0"/>
        <w:spacing w:before="98"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Таким образом, государственно-частное партнерство представ</w:t>
      </w:r>
      <w:r w:rsidRPr="004E0FC4">
        <w:rPr>
          <w:rFonts w:ascii="Bookman Old Style" w:eastAsia="Bookman Old Style" w:hAnsi="Bookman Old Style" w:cs="Bookman Old Style"/>
          <w:color w:val="231F20"/>
          <w:sz w:val="18"/>
          <w:szCs w:val="18"/>
        </w:rPr>
        <w:softHyphen/>
        <w:t>ляет собой сотрудничество между государством и бизнесом в целях привлечения в экономику частных инвестиций, обеспечения орга</w:t>
      </w:r>
      <w:r w:rsidRPr="004E0FC4">
        <w:rPr>
          <w:rFonts w:ascii="Bookman Old Style" w:eastAsia="Bookman Old Style" w:hAnsi="Bookman Old Style" w:cs="Bookman Old Style"/>
          <w:color w:val="231F20"/>
          <w:sz w:val="18"/>
          <w:szCs w:val="18"/>
        </w:rPr>
        <w:softHyphen/>
        <w:t>нами государственной власти и органами местного самоуправле</w:t>
      </w:r>
      <w:r w:rsidRPr="004E0FC4">
        <w:rPr>
          <w:rFonts w:ascii="Bookman Old Style" w:eastAsia="Bookman Old Style" w:hAnsi="Bookman Old Style" w:cs="Bookman Old Style"/>
          <w:color w:val="231F20"/>
          <w:sz w:val="18"/>
          <w:szCs w:val="18"/>
        </w:rPr>
        <w:softHyphen/>
        <w:t>ния доступности товаров, работ, услуг и повышения их качества на национальном, региональном и местном уровнях.</w:t>
      </w:r>
    </w:p>
    <w:p w14:paraId="547C56B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Во всем мире ГЧП относится к части сфер, на которые государ</w:t>
      </w:r>
      <w:r w:rsidRPr="004E0FC4">
        <w:rPr>
          <w:rFonts w:ascii="Bookman Old Style" w:eastAsia="Bookman Old Style" w:hAnsi="Bookman Old Style" w:cs="Bookman Old Style"/>
          <w:color w:val="231F20"/>
          <w:sz w:val="18"/>
          <w:szCs w:val="18"/>
        </w:rPr>
        <w:softHyphen/>
        <w:t>ство тратит бюджетные средства — объекты общего пользования (транспортная, коммунальная, социальная инфраструктура, объ</w:t>
      </w:r>
      <w:r w:rsidRPr="004E0FC4">
        <w:rPr>
          <w:rFonts w:ascii="Bookman Old Style" w:eastAsia="Bookman Old Style" w:hAnsi="Bookman Old Style" w:cs="Bookman Old Style"/>
          <w:color w:val="231F20"/>
          <w:sz w:val="18"/>
          <w:szCs w:val="18"/>
        </w:rPr>
        <w:softHyphen/>
        <w:t xml:space="preserve">екты культуры, памятники истории и архитектуры и т. п.), так называемые публичные службы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public</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services</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ремонт, рекон</w:t>
      </w:r>
      <w:r w:rsidRPr="004E0FC4">
        <w:rPr>
          <w:rFonts w:ascii="Bookman Old Style" w:eastAsia="Bookman Old Style" w:hAnsi="Bookman Old Style" w:cs="Bookman Old Style"/>
          <w:color w:val="231F20"/>
          <w:sz w:val="18"/>
          <w:szCs w:val="18"/>
        </w:rPr>
        <w:softHyphen/>
        <w:t>струкция и содержание объектов общего пользования, уборка тер</w:t>
      </w:r>
      <w:r w:rsidRPr="004E0FC4">
        <w:rPr>
          <w:rFonts w:ascii="Bookman Old Style" w:eastAsia="Bookman Old Style" w:hAnsi="Bookman Old Style" w:cs="Bookman Old Style"/>
          <w:color w:val="231F20"/>
          <w:sz w:val="18"/>
          <w:szCs w:val="18"/>
        </w:rPr>
        <w:softHyphen/>
        <w:t>риторий, жилищно-коммунальное хозяйство, образование, здраво</w:t>
      </w:r>
      <w:r w:rsidRPr="004E0FC4">
        <w:rPr>
          <w:rFonts w:ascii="Bookman Old Style" w:eastAsia="Bookman Old Style" w:hAnsi="Bookman Old Style" w:cs="Bookman Old Style"/>
          <w:color w:val="231F20"/>
          <w:sz w:val="18"/>
          <w:szCs w:val="18"/>
        </w:rPr>
        <w:softHyphen/>
        <w:t>охранение, спорт. Сегодня, кроме того, ГЧП все шире используется для финансирования инновационных проектов и инновационной инфраструктуры. В другой части сфер государственной ответствен</w:t>
      </w:r>
      <w:r w:rsidRPr="004E0FC4">
        <w:rPr>
          <w:rFonts w:ascii="Bookman Old Style" w:eastAsia="Bookman Old Style" w:hAnsi="Bookman Old Style" w:cs="Bookman Old Style"/>
          <w:color w:val="231F20"/>
          <w:sz w:val="18"/>
          <w:szCs w:val="18"/>
        </w:rPr>
        <w:softHyphen/>
        <w:t>ности — оборона, поддержание правопорядка, фундаментальная</w:t>
      </w:r>
      <w:r w:rsidRPr="004E0FC4">
        <w:rPr>
          <w:rFonts w:ascii="Bookman Old Style" w:eastAsia="Bookman Old Style" w:hAnsi="Bookman Old Style" w:cs="Bookman Old Style"/>
          <w:color w:val="231F20"/>
          <w:sz w:val="18"/>
          <w:szCs w:val="18"/>
        </w:rPr>
        <w:br w:type="page"/>
      </w:r>
      <w:r w:rsidRPr="004E0FC4">
        <w:rPr>
          <w:rFonts w:ascii="Bookman Old Style" w:eastAsia="Bookman Old Style" w:hAnsi="Bookman Old Style" w:cs="Bookman Old Style"/>
          <w:color w:val="231F20"/>
          <w:sz w:val="18"/>
          <w:szCs w:val="18"/>
        </w:rPr>
        <w:lastRenderedPageBreak/>
        <w:t>наука, законодательная деятельность и некоторых других — ГЧП используется в гораздо меньшей степени.</w:t>
      </w:r>
    </w:p>
    <w:p w14:paraId="4116BBF6" w14:textId="77777777" w:rsidR="00350396" w:rsidRPr="004E0FC4" w:rsidRDefault="00350396" w:rsidP="004E0FC4">
      <w:pPr>
        <w:widowControl w:val="0"/>
        <w:spacing w:line="240"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Государство в ряде стран </w:t>
      </w:r>
      <w:r w:rsidRPr="004E0FC4">
        <w:rPr>
          <w:rFonts w:ascii="Bookman Old Style" w:eastAsia="Bookman Old Style" w:hAnsi="Bookman Old Style" w:cs="Bookman Old Style"/>
          <w:color w:val="231F20"/>
          <w:sz w:val="18"/>
          <w:szCs w:val="18"/>
          <w:highlight w:val="red"/>
        </w:rPr>
        <w:t>(в первую очередь Великобритания, США)</w:t>
      </w:r>
      <w:r w:rsidRPr="004E0FC4">
        <w:rPr>
          <w:rFonts w:ascii="Bookman Old Style" w:eastAsia="Bookman Old Style" w:hAnsi="Bookman Old Style" w:cs="Bookman Old Style"/>
          <w:color w:val="231F20"/>
          <w:sz w:val="18"/>
          <w:szCs w:val="18"/>
        </w:rPr>
        <w:t xml:space="preserve"> готово передавать в частные руки через ГЧП наибольший объ</w:t>
      </w:r>
      <w:r w:rsidRPr="004E0FC4">
        <w:rPr>
          <w:rFonts w:ascii="Bookman Old Style" w:eastAsia="Bookman Old Style" w:hAnsi="Bookman Old Style" w:cs="Bookman Old Style"/>
          <w:color w:val="231F20"/>
          <w:sz w:val="18"/>
          <w:szCs w:val="18"/>
        </w:rPr>
        <w:softHyphen/>
        <w:t xml:space="preserve">ем публичных функций. Этот процесс назвали «полуприватизацией»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semi</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privatization</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 стали отождествлять с распространением ГЧП. Это дает основание рассматривать ГЧП в качестве промежуточной формы между государственной и частной собственностью, а также как своеобразную управленческую альтернативу приватизации.</w:t>
      </w:r>
    </w:p>
    <w:p w14:paraId="2035A948" w14:textId="77777777" w:rsidR="00350396" w:rsidRPr="004E0FC4" w:rsidRDefault="00350396" w:rsidP="004E0FC4">
      <w:pPr>
        <w:widowControl w:val="0"/>
        <w:spacing w:line="240"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Долгосрочные доверительные отношения в рамках ГЧП между субъектами государства и бизнеса повышают взаимную зависи</w:t>
      </w:r>
      <w:r w:rsidRPr="004E0FC4">
        <w:rPr>
          <w:rFonts w:ascii="Bookman Old Style" w:eastAsia="Bookman Old Style" w:hAnsi="Bookman Old Style" w:cs="Bookman Old Style"/>
          <w:color w:val="231F20"/>
          <w:sz w:val="18"/>
          <w:szCs w:val="18"/>
        </w:rPr>
        <w:softHyphen/>
        <w:t xml:space="preserve">мость, интенсивность обмена информацией между партнерами и становятся, таким образом, </w:t>
      </w:r>
      <w:r w:rsidRPr="004E0FC4">
        <w:rPr>
          <w:rFonts w:ascii="Bookman Old Style" w:eastAsia="Bookman Old Style" w:hAnsi="Bookman Old Style" w:cs="Bookman Old Style"/>
          <w:i/>
          <w:iCs/>
          <w:color w:val="231F20"/>
          <w:sz w:val="18"/>
          <w:szCs w:val="18"/>
        </w:rPr>
        <w:t>коммуникационно активными.</w:t>
      </w:r>
      <w:r w:rsidRPr="004E0FC4">
        <w:rPr>
          <w:rFonts w:ascii="Bookman Old Style" w:eastAsia="Bookman Old Style" w:hAnsi="Bookman Old Style" w:cs="Bookman Old Style"/>
          <w:color w:val="231F20"/>
          <w:sz w:val="18"/>
          <w:szCs w:val="18"/>
        </w:rPr>
        <w:t xml:space="preserve"> Мож</w:t>
      </w:r>
      <w:r w:rsidRPr="004E0FC4">
        <w:rPr>
          <w:rFonts w:ascii="Bookman Old Style" w:eastAsia="Bookman Old Style" w:hAnsi="Bookman Old Style" w:cs="Bookman Old Style"/>
          <w:color w:val="231F20"/>
          <w:sz w:val="18"/>
          <w:szCs w:val="18"/>
        </w:rPr>
        <w:softHyphen/>
        <w:t>но построить «идеальную» (предполагающую относительно низкое значение трансакционных и коррупционных издержек и ограниче</w:t>
      </w:r>
      <w:r w:rsidRPr="004E0FC4">
        <w:rPr>
          <w:rFonts w:ascii="Bookman Old Style" w:eastAsia="Bookman Old Style" w:hAnsi="Bookman Old Style" w:cs="Bookman Old Style"/>
          <w:color w:val="231F20"/>
          <w:sz w:val="18"/>
          <w:szCs w:val="18"/>
        </w:rPr>
        <w:softHyphen/>
        <w:t>ний) модель последовательного положительного воздействия по</w:t>
      </w:r>
      <w:r w:rsidRPr="004E0FC4">
        <w:rPr>
          <w:rFonts w:ascii="Bookman Old Style" w:eastAsia="Bookman Old Style" w:hAnsi="Bookman Old Style" w:cs="Bookman Old Style"/>
          <w:color w:val="231F20"/>
          <w:sz w:val="18"/>
          <w:szCs w:val="18"/>
        </w:rPr>
        <w:softHyphen/>
        <w:t>тенциальных факторов экономического роста в рамках отношений государственных институтов и бизнес-структур при надлежащем использовании механизмов ГЧП (рис. 4.</w:t>
      </w:r>
      <w:r w:rsidRPr="004E0FC4">
        <w:rPr>
          <w:rFonts w:ascii="Bookman Old Style" w:eastAsia="Bookman Old Style" w:hAnsi="Bookman Old Style" w:cs="Bookman Old Style"/>
          <w:color w:val="231F20"/>
          <w:sz w:val="18"/>
          <w:szCs w:val="18"/>
          <w:highlight w:val="green"/>
        </w:rPr>
        <w:t>3</w:t>
      </w:r>
      <w:r w:rsidRPr="004E0FC4">
        <w:rPr>
          <w:rFonts w:ascii="Bookman Old Style" w:eastAsia="Bookman Old Style" w:hAnsi="Bookman Old Style" w:cs="Bookman Old Style"/>
          <w:color w:val="231F20"/>
          <w:sz w:val="18"/>
          <w:szCs w:val="18"/>
        </w:rPr>
        <w:t>).</w:t>
      </w:r>
    </w:p>
    <w:tbl>
      <w:tblPr>
        <w:tblOverlap w:val="never"/>
        <w:tblW w:w="0" w:type="auto"/>
        <w:tblLayout w:type="fixed"/>
        <w:tblCellMar>
          <w:left w:w="10" w:type="dxa"/>
          <w:right w:w="10" w:type="dxa"/>
        </w:tblCellMar>
        <w:tblLook w:val="04A0" w:firstRow="1" w:lastRow="0" w:firstColumn="1" w:lastColumn="0" w:noHBand="0" w:noVBand="1"/>
      </w:tblPr>
      <w:tblGrid>
        <w:gridCol w:w="1392"/>
        <w:gridCol w:w="307"/>
        <w:gridCol w:w="1133"/>
        <w:gridCol w:w="322"/>
      </w:tblGrid>
      <w:tr w:rsidR="00350396" w:rsidRPr="004E0FC4" w14:paraId="1A7F571C" w14:textId="77777777" w:rsidTr="006D7F71">
        <w:trPr>
          <w:trHeight w:hRule="exact" w:val="475"/>
        </w:trPr>
        <w:tc>
          <w:tcPr>
            <w:tcW w:w="1392" w:type="dxa"/>
            <w:tcBorders>
              <w:top w:val="single" w:sz="4" w:space="0" w:color="auto"/>
              <w:left w:val="single" w:sz="4" w:space="0" w:color="auto"/>
            </w:tcBorders>
            <w:shd w:val="clear" w:color="auto" w:fill="FFFFFF"/>
            <w:vAlign w:val="bottom"/>
          </w:tcPr>
          <w:p w14:paraId="45ABEBA0" w14:textId="77777777" w:rsidR="00350396" w:rsidRPr="004E0FC4" w:rsidRDefault="00350396" w:rsidP="004E0FC4">
            <w:pPr>
              <w:framePr w:w="3154" w:h="1469" w:hSpace="1754" w:wrap="notBeside" w:vAnchor="text" w:hAnchor="text" w:x="3344" w:y="1"/>
              <w:widowControl w:val="0"/>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Доверие (между отече-</w:t>
            </w:r>
          </w:p>
        </w:tc>
        <w:tc>
          <w:tcPr>
            <w:tcW w:w="307" w:type="dxa"/>
            <w:vMerge w:val="restart"/>
            <w:tcBorders>
              <w:left w:val="single" w:sz="4" w:space="0" w:color="auto"/>
            </w:tcBorders>
            <w:shd w:val="clear" w:color="auto" w:fill="FFFFFF"/>
            <w:vAlign w:val="bottom"/>
          </w:tcPr>
          <w:p w14:paraId="6F7B2300" w14:textId="77777777" w:rsidR="00350396" w:rsidRPr="004E0FC4" w:rsidRDefault="00350396" w:rsidP="004E0FC4">
            <w:pPr>
              <w:framePr w:w="3154" w:h="1469" w:hSpace="1754" w:wrap="notBeside" w:vAnchor="text" w:hAnchor="text" w:x="3344" w:y="1"/>
              <w:widowControl w:val="0"/>
              <w:spacing w:line="492"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4</w:t>
            </w:r>
          </w:p>
        </w:tc>
        <w:tc>
          <w:tcPr>
            <w:tcW w:w="1133" w:type="dxa"/>
            <w:tcBorders>
              <w:top w:val="single" w:sz="4" w:space="0" w:color="auto"/>
              <w:left w:val="single" w:sz="4" w:space="0" w:color="auto"/>
            </w:tcBorders>
            <w:shd w:val="clear" w:color="auto" w:fill="FFFFFF"/>
            <w:vAlign w:val="bottom"/>
          </w:tcPr>
          <w:p w14:paraId="61FABAF2" w14:textId="77777777" w:rsidR="00350396" w:rsidRPr="004E0FC4" w:rsidRDefault="00350396" w:rsidP="004E0FC4">
            <w:pPr>
              <w:framePr w:w="3154" w:h="1469" w:hSpace="1754" w:wrap="notBeside" w:vAnchor="text" w:hAnchor="text" w:x="3344" w:y="1"/>
              <w:widowControl w:val="0"/>
              <w:spacing w:line="168"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Делегиро-</w:t>
            </w:r>
          </w:p>
        </w:tc>
        <w:tc>
          <w:tcPr>
            <w:tcW w:w="322" w:type="dxa"/>
            <w:vMerge w:val="restart"/>
            <w:tcBorders>
              <w:left w:val="single" w:sz="4" w:space="0" w:color="auto"/>
              <w:right w:val="single" w:sz="4" w:space="0" w:color="auto"/>
            </w:tcBorders>
            <w:shd w:val="clear" w:color="auto" w:fill="FFFFFF"/>
            <w:vAlign w:val="bottom"/>
          </w:tcPr>
          <w:p w14:paraId="6AE2D12B" w14:textId="77777777" w:rsidR="00350396" w:rsidRPr="004E0FC4" w:rsidRDefault="00350396" w:rsidP="004E0FC4">
            <w:pPr>
              <w:framePr w:w="3154" w:h="1469" w:hSpace="1754" w:wrap="notBeside" w:vAnchor="text" w:hAnchor="text" w:x="3344" w:y="1"/>
              <w:widowControl w:val="0"/>
              <w:spacing w:line="492"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4</w:t>
            </w:r>
          </w:p>
        </w:tc>
      </w:tr>
      <w:tr w:rsidR="00350396" w:rsidRPr="004E0FC4" w14:paraId="542EC6FB" w14:textId="77777777" w:rsidTr="006D7F71">
        <w:trPr>
          <w:trHeight w:hRule="exact" w:val="168"/>
        </w:trPr>
        <w:tc>
          <w:tcPr>
            <w:tcW w:w="1392" w:type="dxa"/>
            <w:tcBorders>
              <w:left w:val="single" w:sz="4" w:space="0" w:color="auto"/>
            </w:tcBorders>
            <w:shd w:val="clear" w:color="auto" w:fill="FFFFFF"/>
            <w:vAlign w:val="bottom"/>
          </w:tcPr>
          <w:p w14:paraId="223D83A6" w14:textId="77777777" w:rsidR="00350396" w:rsidRPr="004E0FC4" w:rsidRDefault="00350396" w:rsidP="004E0FC4">
            <w:pPr>
              <w:framePr w:w="3154" w:h="1469" w:hSpace="1754" w:wrap="notBeside" w:vAnchor="text" w:hAnchor="text" w:x="3344"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ственными</w:t>
            </w:r>
          </w:p>
        </w:tc>
        <w:tc>
          <w:tcPr>
            <w:tcW w:w="307" w:type="dxa"/>
            <w:vMerge/>
            <w:tcBorders>
              <w:left w:val="single" w:sz="4" w:space="0" w:color="auto"/>
            </w:tcBorders>
            <w:shd w:val="clear" w:color="auto" w:fill="FFFFFF"/>
            <w:vAlign w:val="bottom"/>
          </w:tcPr>
          <w:p w14:paraId="2CF02CCE"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c>
          <w:tcPr>
            <w:tcW w:w="1133" w:type="dxa"/>
            <w:tcBorders>
              <w:left w:val="single" w:sz="4" w:space="0" w:color="auto"/>
            </w:tcBorders>
            <w:shd w:val="clear" w:color="auto" w:fill="FFFFFF"/>
            <w:vAlign w:val="bottom"/>
          </w:tcPr>
          <w:p w14:paraId="14F3A8D7" w14:textId="77777777" w:rsidR="00350396" w:rsidRPr="004E0FC4" w:rsidRDefault="00350396" w:rsidP="004E0FC4">
            <w:pPr>
              <w:framePr w:w="3154" w:h="1469" w:hSpace="1754" w:wrap="notBeside" w:vAnchor="text" w:hAnchor="text" w:x="3344"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вание госу-</w:t>
            </w:r>
          </w:p>
        </w:tc>
        <w:tc>
          <w:tcPr>
            <w:tcW w:w="322" w:type="dxa"/>
            <w:vMerge/>
            <w:tcBorders>
              <w:left w:val="single" w:sz="4" w:space="0" w:color="auto"/>
              <w:right w:val="single" w:sz="4" w:space="0" w:color="auto"/>
            </w:tcBorders>
            <w:shd w:val="clear" w:color="auto" w:fill="FFFFFF"/>
            <w:vAlign w:val="bottom"/>
          </w:tcPr>
          <w:p w14:paraId="62A0F6F4"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r>
      <w:tr w:rsidR="00350396" w:rsidRPr="004E0FC4" w14:paraId="7E82A8BE" w14:textId="77777777" w:rsidTr="006D7F71">
        <w:trPr>
          <w:trHeight w:hRule="exact" w:val="230"/>
        </w:trPr>
        <w:tc>
          <w:tcPr>
            <w:tcW w:w="1392" w:type="dxa"/>
            <w:tcBorders>
              <w:left w:val="single" w:sz="4" w:space="0" w:color="auto"/>
            </w:tcBorders>
            <w:shd w:val="clear" w:color="auto" w:fill="FFFFFF"/>
            <w:vAlign w:val="bottom"/>
          </w:tcPr>
          <w:p w14:paraId="21946AF2" w14:textId="77777777" w:rsidR="00350396" w:rsidRPr="004E0FC4" w:rsidRDefault="00350396" w:rsidP="004E0FC4">
            <w:pPr>
              <w:framePr w:w="3154" w:h="1469" w:hSpace="1754" w:wrap="notBeside" w:vAnchor="text" w:hAnchor="text" w:x="3344" w:y="1"/>
              <w:widowControl w:val="0"/>
              <w:spacing w:line="168" w:lineRule="exact"/>
              <w:ind w:left="2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зарубеж-</w:t>
            </w:r>
          </w:p>
        </w:tc>
        <w:tc>
          <w:tcPr>
            <w:tcW w:w="307" w:type="dxa"/>
            <w:tcBorders>
              <w:left w:val="single" w:sz="4" w:space="0" w:color="auto"/>
            </w:tcBorders>
            <w:shd w:val="clear" w:color="auto" w:fill="FFFFFF"/>
          </w:tcPr>
          <w:p w14:paraId="55D77EA2"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c>
          <w:tcPr>
            <w:tcW w:w="1133" w:type="dxa"/>
            <w:tcBorders>
              <w:left w:val="single" w:sz="4" w:space="0" w:color="auto"/>
            </w:tcBorders>
            <w:shd w:val="clear" w:color="auto" w:fill="FFFFFF"/>
            <w:vAlign w:val="bottom"/>
          </w:tcPr>
          <w:p w14:paraId="4721F9F2" w14:textId="77777777" w:rsidR="00350396" w:rsidRPr="004E0FC4" w:rsidRDefault="00350396" w:rsidP="004E0FC4">
            <w:pPr>
              <w:framePr w:w="3154" w:h="1469" w:hSpace="1754" w:wrap="notBeside" w:vAnchor="text" w:hAnchor="text" w:x="3344" w:y="1"/>
              <w:widowControl w:val="0"/>
              <w:spacing w:line="168"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дарством</w:t>
            </w:r>
          </w:p>
        </w:tc>
        <w:tc>
          <w:tcPr>
            <w:tcW w:w="322" w:type="dxa"/>
            <w:tcBorders>
              <w:left w:val="single" w:sz="4" w:space="0" w:color="auto"/>
              <w:right w:val="single" w:sz="4" w:space="0" w:color="auto"/>
            </w:tcBorders>
            <w:shd w:val="clear" w:color="auto" w:fill="FFFFFF"/>
          </w:tcPr>
          <w:p w14:paraId="7D7EA4BC"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r>
      <w:tr w:rsidR="00350396" w:rsidRPr="004E0FC4" w14:paraId="30F9BAFF" w14:textId="77777777" w:rsidTr="006D7F71">
        <w:trPr>
          <w:trHeight w:hRule="exact" w:val="163"/>
        </w:trPr>
        <w:tc>
          <w:tcPr>
            <w:tcW w:w="1392" w:type="dxa"/>
            <w:tcBorders>
              <w:left w:val="single" w:sz="4" w:space="0" w:color="auto"/>
            </w:tcBorders>
            <w:shd w:val="clear" w:color="auto" w:fill="FFFFFF"/>
            <w:vAlign w:val="bottom"/>
          </w:tcPr>
          <w:p w14:paraId="75908951" w14:textId="77777777" w:rsidR="00350396" w:rsidRPr="004E0FC4" w:rsidRDefault="00350396" w:rsidP="004E0FC4">
            <w:pPr>
              <w:framePr w:w="3154" w:h="1469" w:hSpace="1754" w:wrap="notBeside" w:vAnchor="text" w:hAnchor="text" w:x="3344"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ными инвесто-</w:t>
            </w:r>
          </w:p>
        </w:tc>
        <w:tc>
          <w:tcPr>
            <w:tcW w:w="307" w:type="dxa"/>
            <w:tcBorders>
              <w:left w:val="single" w:sz="4" w:space="0" w:color="auto"/>
            </w:tcBorders>
            <w:shd w:val="clear" w:color="auto" w:fill="FFFFFF"/>
          </w:tcPr>
          <w:p w14:paraId="44F0D1DA"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c>
          <w:tcPr>
            <w:tcW w:w="1133" w:type="dxa"/>
            <w:tcBorders>
              <w:left w:val="single" w:sz="4" w:space="0" w:color="auto"/>
            </w:tcBorders>
            <w:shd w:val="clear" w:color="auto" w:fill="FFFFFF"/>
            <w:vAlign w:val="bottom"/>
          </w:tcPr>
          <w:p w14:paraId="65AF618C" w14:textId="77777777" w:rsidR="00350396" w:rsidRPr="004E0FC4" w:rsidRDefault="00350396" w:rsidP="004E0FC4">
            <w:pPr>
              <w:framePr w:w="3154" w:h="1469" w:hSpace="1754" w:wrap="notBeside" w:vAnchor="text" w:hAnchor="text" w:x="3344" w:y="1"/>
              <w:widowControl w:val="0"/>
              <w:spacing w:line="168"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ряда своих</w:t>
            </w:r>
          </w:p>
        </w:tc>
        <w:tc>
          <w:tcPr>
            <w:tcW w:w="322" w:type="dxa"/>
            <w:tcBorders>
              <w:left w:val="single" w:sz="4" w:space="0" w:color="auto"/>
              <w:right w:val="single" w:sz="4" w:space="0" w:color="auto"/>
            </w:tcBorders>
            <w:shd w:val="clear" w:color="auto" w:fill="FFFFFF"/>
          </w:tcPr>
          <w:p w14:paraId="143E3165"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r>
      <w:tr w:rsidR="00350396" w:rsidRPr="004E0FC4" w14:paraId="37D31E1A" w14:textId="77777777" w:rsidTr="006D7F71">
        <w:trPr>
          <w:trHeight w:hRule="exact" w:val="216"/>
        </w:trPr>
        <w:tc>
          <w:tcPr>
            <w:tcW w:w="1392" w:type="dxa"/>
            <w:tcBorders>
              <w:left w:val="single" w:sz="4" w:space="0" w:color="auto"/>
            </w:tcBorders>
            <w:shd w:val="clear" w:color="auto" w:fill="FFFFFF"/>
            <w:vAlign w:val="bottom"/>
          </w:tcPr>
          <w:p w14:paraId="7787912A" w14:textId="77777777" w:rsidR="00350396" w:rsidRPr="004E0FC4" w:rsidRDefault="00350396" w:rsidP="004E0FC4">
            <w:pPr>
              <w:framePr w:w="3154" w:h="1469" w:hSpace="1754" w:wrap="notBeside" w:vAnchor="text" w:hAnchor="text" w:x="3344"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рами и госу-</w:t>
            </w:r>
          </w:p>
        </w:tc>
        <w:tc>
          <w:tcPr>
            <w:tcW w:w="307" w:type="dxa"/>
            <w:tcBorders>
              <w:left w:val="single" w:sz="4" w:space="0" w:color="auto"/>
            </w:tcBorders>
            <w:shd w:val="clear" w:color="auto" w:fill="FFFFFF"/>
          </w:tcPr>
          <w:p w14:paraId="26D8F1DE"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c>
          <w:tcPr>
            <w:tcW w:w="1133" w:type="dxa"/>
            <w:tcBorders>
              <w:left w:val="single" w:sz="4" w:space="0" w:color="auto"/>
            </w:tcBorders>
            <w:shd w:val="clear" w:color="auto" w:fill="FFFFFF"/>
            <w:vAlign w:val="bottom"/>
          </w:tcPr>
          <w:p w14:paraId="6BC3A3FE" w14:textId="77777777" w:rsidR="00350396" w:rsidRPr="004E0FC4" w:rsidRDefault="00350396" w:rsidP="004E0FC4">
            <w:pPr>
              <w:framePr w:w="3154" w:h="1469" w:hSpace="1754" w:wrap="notBeside" w:vAnchor="text" w:hAnchor="text" w:x="3344" w:y="1"/>
              <w:widowControl w:val="0"/>
              <w:spacing w:line="168" w:lineRule="exact"/>
              <w:ind w:left="22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функций</w:t>
            </w:r>
          </w:p>
        </w:tc>
        <w:tc>
          <w:tcPr>
            <w:tcW w:w="322" w:type="dxa"/>
            <w:tcBorders>
              <w:left w:val="single" w:sz="4" w:space="0" w:color="auto"/>
              <w:right w:val="single" w:sz="4" w:space="0" w:color="auto"/>
            </w:tcBorders>
            <w:shd w:val="clear" w:color="auto" w:fill="FFFFFF"/>
          </w:tcPr>
          <w:p w14:paraId="4B773904"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r>
      <w:tr w:rsidR="00350396" w:rsidRPr="004E0FC4" w14:paraId="1515D6A1" w14:textId="77777777" w:rsidTr="006D7F71">
        <w:trPr>
          <w:trHeight w:hRule="exact" w:val="216"/>
        </w:trPr>
        <w:tc>
          <w:tcPr>
            <w:tcW w:w="1392" w:type="dxa"/>
            <w:tcBorders>
              <w:left w:val="single" w:sz="4" w:space="0" w:color="auto"/>
              <w:bottom w:val="single" w:sz="4" w:space="0" w:color="auto"/>
            </w:tcBorders>
            <w:shd w:val="clear" w:color="auto" w:fill="FFFFFF"/>
          </w:tcPr>
          <w:p w14:paraId="3936A882" w14:textId="77777777" w:rsidR="00350396" w:rsidRPr="004E0FC4" w:rsidRDefault="00350396" w:rsidP="004E0FC4">
            <w:pPr>
              <w:framePr w:w="3154" w:h="1469" w:hSpace="1754" w:wrap="notBeside" w:vAnchor="text" w:hAnchor="text" w:x="3344" w:y="1"/>
              <w:widowControl w:val="0"/>
              <w:spacing w:line="168" w:lineRule="exact"/>
              <w:ind w:left="2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дарством)</w:t>
            </w:r>
          </w:p>
        </w:tc>
        <w:tc>
          <w:tcPr>
            <w:tcW w:w="307" w:type="dxa"/>
            <w:tcBorders>
              <w:left w:val="single" w:sz="4" w:space="0" w:color="auto"/>
            </w:tcBorders>
            <w:shd w:val="clear" w:color="auto" w:fill="FFFFFF"/>
          </w:tcPr>
          <w:p w14:paraId="00EB4DA2"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c>
          <w:tcPr>
            <w:tcW w:w="1133" w:type="dxa"/>
            <w:tcBorders>
              <w:left w:val="single" w:sz="4" w:space="0" w:color="auto"/>
              <w:bottom w:val="single" w:sz="4" w:space="0" w:color="auto"/>
            </w:tcBorders>
            <w:shd w:val="clear" w:color="auto" w:fill="FFFFFF"/>
          </w:tcPr>
          <w:p w14:paraId="5E0E017D"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c>
          <w:tcPr>
            <w:tcW w:w="322" w:type="dxa"/>
            <w:tcBorders>
              <w:left w:val="single" w:sz="4" w:space="0" w:color="auto"/>
              <w:right w:val="single" w:sz="4" w:space="0" w:color="auto"/>
            </w:tcBorders>
            <w:shd w:val="clear" w:color="auto" w:fill="FFFFFF"/>
          </w:tcPr>
          <w:p w14:paraId="5A5BF6BF" w14:textId="77777777" w:rsidR="00350396" w:rsidRPr="004E0FC4" w:rsidRDefault="00350396" w:rsidP="004E0FC4">
            <w:pPr>
              <w:framePr w:w="3154" w:h="1469" w:hSpace="1754" w:wrap="notBeside" w:vAnchor="text" w:hAnchor="text" w:x="3344" w:y="1"/>
              <w:widowControl w:val="0"/>
              <w:spacing w:line="240" w:lineRule="auto"/>
              <w:ind w:firstLine="0"/>
              <w:rPr>
                <w:rFonts w:ascii="Bookman Old Style" w:hAnsi="Bookman Old Style"/>
                <w:sz w:val="18"/>
                <w:szCs w:val="18"/>
              </w:rPr>
            </w:pPr>
          </w:p>
        </w:tc>
      </w:tr>
    </w:tbl>
    <w:p w14:paraId="01D79EC8" w14:textId="77777777" w:rsidR="00350396" w:rsidRPr="004E0FC4" w:rsidRDefault="00350396" w:rsidP="004E0FC4">
      <w:pPr>
        <w:framePr w:w="1344" w:h="642" w:hSpace="1754" w:wrap="notBeside" w:vAnchor="text" w:hAnchor="text" w:x="1755" w:y="87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А. Внутренняя стабильность экономики</w:t>
      </w:r>
    </w:p>
    <w:p w14:paraId="47F30C4A" w14:textId="77777777" w:rsidR="00350396" w:rsidRPr="004E0FC4" w:rsidRDefault="00350396" w:rsidP="004E0FC4">
      <w:pPr>
        <w:framePr w:w="1738" w:h="1363" w:hSpace="1754" w:wrap="notBeside" w:vAnchor="text" w:hAnchor="text" w:x="6526" w:y="1"/>
        <w:widowControl w:val="0"/>
        <w:shd w:val="clear" w:color="auto" w:fill="E2E2E3"/>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Возникновение коммуникационно активных отноше</w:t>
      </w:r>
      <w:r w:rsidRPr="004E0FC4">
        <w:rPr>
          <w:rFonts w:ascii="Bookman Old Style" w:eastAsia="Bookman Old Style" w:hAnsi="Bookman Old Style" w:cs="Bookman Old Style"/>
          <w:color w:val="231F20"/>
          <w:sz w:val="18"/>
          <w:szCs w:val="18"/>
        </w:rPr>
        <w:softHyphen/>
        <w:t>ний государства и бизнеса в рамках ГЧП</w:t>
      </w:r>
    </w:p>
    <w:p w14:paraId="522B3E1D" w14:textId="77777777" w:rsidR="00350396" w:rsidRPr="004E0FC4" w:rsidRDefault="00350396" w:rsidP="004E0FC4">
      <w:pPr>
        <w:widowControl w:val="0"/>
        <w:spacing w:line="240" w:lineRule="auto"/>
        <w:ind w:firstLine="0"/>
        <w:rPr>
          <w:rFonts w:ascii="Bookman Old Style" w:hAnsi="Bookman Old Style"/>
          <w:sz w:val="18"/>
          <w:szCs w:val="18"/>
        </w:rPr>
      </w:pPr>
    </w:p>
    <w:p w14:paraId="5FFAB719" w14:textId="5655EEB3" w:rsidR="00350396" w:rsidRPr="004E0FC4" w:rsidRDefault="00350396" w:rsidP="004E0FC4">
      <w:pPr>
        <w:widowControl w:val="0"/>
        <w:spacing w:before="263" w:after="380"/>
        <w:ind w:right="180" w:firstLine="0"/>
        <w:rPr>
          <w:rFonts w:ascii="Bookman Old Style" w:hAnsi="Bookman Old Style"/>
          <w:sz w:val="18"/>
          <w:szCs w:val="18"/>
        </w:rPr>
      </w:pPr>
      <w:r w:rsidRPr="004E0FC4">
        <w:rPr>
          <w:rFonts w:ascii="Bookman Old Style" w:hAnsi="Bookman Old Style"/>
          <w:noProof/>
          <w:sz w:val="18"/>
          <w:szCs w:val="18"/>
          <w:lang w:bidi="ar-SA"/>
        </w:rPr>
        <w:drawing>
          <wp:anchor distT="0" distB="0" distL="399415" distR="63500" simplePos="0" relativeHeight="377513790" behindDoc="1" locked="0" layoutInCell="1" allowOverlap="1" wp14:anchorId="02F8BA95" wp14:editId="1B1A9B55">
            <wp:simplePos x="0" y="0"/>
            <wp:positionH relativeFrom="margin">
              <wp:posOffset>408305</wp:posOffset>
            </wp:positionH>
            <wp:positionV relativeFrom="paragraph">
              <wp:posOffset>-941705</wp:posOffset>
            </wp:positionV>
            <wp:extent cx="640080" cy="328930"/>
            <wp:effectExtent l="19050" t="0" r="7620" b="0"/>
            <wp:wrapTopAndBottom/>
            <wp:docPr id="254" name="Рисунок 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2"/>
                    <pic:cNvPicPr>
                      <a:picLocks noChangeAspect="1" noChangeArrowheads="1"/>
                    </pic:cNvPicPr>
                  </pic:nvPicPr>
                  <pic:blipFill>
                    <a:blip r:embed="rId37" cstate="print"/>
                    <a:srcRect/>
                    <a:stretch>
                      <a:fillRect/>
                    </a:stretch>
                  </pic:blipFill>
                  <pic:spPr bwMode="auto">
                    <a:xfrm>
                      <a:off x="0" y="0"/>
                      <a:ext cx="640080" cy="328930"/>
                    </a:xfrm>
                    <a:prstGeom prst="rect">
                      <a:avLst/>
                    </a:prstGeom>
                    <a:noFill/>
                  </pic:spPr>
                </pic:pic>
              </a:graphicData>
            </a:graphic>
          </wp:anchor>
        </w:drawing>
      </w:r>
      <w:r w:rsidRPr="004E0FC4">
        <w:rPr>
          <w:rFonts w:ascii="Bookman Old Style" w:hAnsi="Bookman Old Style"/>
          <w:noProof/>
          <w:sz w:val="18"/>
          <w:szCs w:val="18"/>
          <w:lang w:bidi="ar-SA"/>
        </w:rPr>
        <mc:AlternateContent>
          <mc:Choice Requires="wps">
            <w:drawing>
              <wp:anchor distT="94615" distB="1149985" distL="63500" distR="63500" simplePos="0" relativeHeight="377514814" behindDoc="1" locked="0" layoutInCell="1" allowOverlap="1" wp14:anchorId="59174668" wp14:editId="1DAB7937">
                <wp:simplePos x="0" y="0"/>
                <wp:positionH relativeFrom="margin">
                  <wp:posOffset>30480</wp:posOffset>
                </wp:positionH>
                <wp:positionV relativeFrom="paragraph">
                  <wp:posOffset>-106680</wp:posOffset>
                </wp:positionV>
                <wp:extent cx="2383790" cy="223520"/>
                <wp:effectExtent l="0" t="1905" r="0" b="3175"/>
                <wp:wrapSquare wrapText="bothSides"/>
                <wp:docPr id="290" name="Надпись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08CB" w14:textId="77777777" w:rsidR="00350396" w:rsidRDefault="00350396" w:rsidP="00350396">
                            <w:r>
                              <w:rPr>
                                <w:rStyle w:val="5Exact1"/>
                              </w:rPr>
                              <w:t>Б. Доступность и привлекательности проектов ГЧП для инвесторов из-за рубежа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174668" id="Надпись 290" o:spid="_x0000_s1039" type="#_x0000_t202" style="position:absolute;left:0;text-align:left;margin-left:2.4pt;margin-top:-8.4pt;width:187.7pt;height:17.6pt;z-index:-125801666;visibility:visible;mso-wrap-style:square;mso-width-percent:0;mso-height-percent:0;mso-wrap-distance-left:5pt;mso-wrap-distance-top:7.45pt;mso-wrap-distance-right:5pt;mso-wrap-distance-bottom:90.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" filled="f" stroked="f">
                <v:textbox style="mso-fit-shape-to-text:t" inset="0,0,0,0">
                  <w:txbxContent>
                    <w:p w14:paraId="784608CB" w14:textId="77777777" w:rsidR="00350396" w:rsidRDefault="00350396" w:rsidP="00350396">
                      <w:r>
                        <w:rPr>
                          <w:rStyle w:val="5Exact1"/>
                        </w:rPr>
                        <w:t>Б. Доступность и привлекательности проектов ГЧП для инвесторов из-за рубежа</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94615" distB="1149985" distL="63500" distR="63500" simplePos="0" relativeHeight="377515838" behindDoc="1" locked="0" layoutInCell="1" allowOverlap="1" wp14:anchorId="6CF4ED0E" wp14:editId="195CEB71">
                <wp:simplePos x="0" y="0"/>
                <wp:positionH relativeFrom="margin">
                  <wp:posOffset>1895475</wp:posOffset>
                </wp:positionH>
                <wp:positionV relativeFrom="paragraph">
                  <wp:posOffset>594995</wp:posOffset>
                </wp:positionV>
                <wp:extent cx="914400" cy="625475"/>
                <wp:effectExtent l="0" t="0" r="2540" b="4445"/>
                <wp:wrapSquare wrapText="bothSides"/>
                <wp:docPr id="289" name="Надпись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D07C2" w14:textId="77777777" w:rsidR="00350396" w:rsidRDefault="00350396" w:rsidP="00350396">
                            <w:r>
                              <w:rPr>
                                <w:rStyle w:val="5Exact1"/>
                              </w:rPr>
                              <w:t>Положительное воздействие на информаци</w:t>
                            </w:r>
                            <w:r>
                              <w:rPr>
                                <w:rStyle w:val="5Exact1"/>
                              </w:rPr>
                              <w:softHyphen/>
                              <w:t>онные коммуни</w:t>
                            </w:r>
                            <w:r>
                              <w:rPr>
                                <w:rStyle w:val="5Exact1"/>
                              </w:rPr>
                              <w:softHyphen/>
                              <w:t>кации в стране/ регионе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F4ED0E" id="Надпись 289" o:spid="_x0000_s1040" type="#_x0000_t202" style="position:absolute;left:0;text-align:left;margin-left:149.25pt;margin-top:46.85pt;width:1in;height:49.25pt;z-index:-125800642;visibility:visible;mso-wrap-style:square;mso-width-percent:0;mso-height-percent:0;mso-wrap-distance-left:5pt;mso-wrap-distance-top:7.45pt;mso-wrap-distance-right:5pt;mso-wrap-distance-bottom:90.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" filled="f" stroked="f">
                <v:textbox style="mso-fit-shape-to-text:t" inset="0,0,0,0">
                  <w:txbxContent>
                    <w:p w14:paraId="038D07C2" w14:textId="77777777" w:rsidR="00350396" w:rsidRDefault="00350396" w:rsidP="00350396">
                      <w:r>
                        <w:rPr>
                          <w:rStyle w:val="5Exact1"/>
                        </w:rPr>
                        <w:t>Положительное воздействие на информаци</w:t>
                      </w:r>
                      <w:r>
                        <w:rPr>
                          <w:rStyle w:val="5Exact1"/>
                        </w:rPr>
                        <w:softHyphen/>
                        <w:t>онные коммуни</w:t>
                      </w:r>
                      <w:r>
                        <w:rPr>
                          <w:rStyle w:val="5Exact1"/>
                        </w:rPr>
                        <w:softHyphen/>
                        <w:t>кации в стране/ регионе</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94615" distB="1149985" distL="63500" distR="63500" simplePos="0" relativeHeight="377516862" behindDoc="1" locked="0" layoutInCell="1" allowOverlap="1" wp14:anchorId="0B3713CC" wp14:editId="48F1781D">
                <wp:simplePos x="0" y="0"/>
                <wp:positionH relativeFrom="margin">
                  <wp:posOffset>8890</wp:posOffset>
                </wp:positionH>
                <wp:positionV relativeFrom="paragraph">
                  <wp:posOffset>1791970</wp:posOffset>
                </wp:positionV>
                <wp:extent cx="4212590" cy="304800"/>
                <wp:effectExtent l="0" t="0" r="635" b="4445"/>
                <wp:wrapSquare wrapText="bothSides"/>
                <wp:docPr id="288" name="Надпись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727A7" w14:textId="77777777" w:rsidR="00350396" w:rsidRDefault="00350396" w:rsidP="00350396">
                            <w:pPr>
                              <w:spacing w:line="240" w:lineRule="exact"/>
                            </w:pPr>
                            <w:r>
                              <w:rPr>
                                <w:rStyle w:val="3BookmanOldStyle9ptExact"/>
                              </w:rPr>
                              <w:t>Рис. 4.</w:t>
                            </w:r>
                            <w:r>
                              <w:rPr>
                                <w:rStyle w:val="3BookmanOldStyle9ptExact"/>
                                <w:highlight w:val="green"/>
                              </w:rPr>
                              <w:t>3</w:t>
                            </w:r>
                            <w:r w:rsidRPr="003E3F60">
                              <w:rPr>
                                <w:rStyle w:val="3BookmanOldStyle9ptExact"/>
                                <w:highlight w:val="green"/>
                              </w:rPr>
                              <w:t>.</w:t>
                            </w:r>
                            <w:r>
                              <w:rPr>
                                <w:rStyle w:val="3BookmanOldStyle9ptExact0"/>
                              </w:rPr>
                              <w:t xml:space="preserve"> </w:t>
                            </w:r>
                            <w:r>
                              <w:rPr>
                                <w:rStyle w:val="3Exact1"/>
                              </w:rPr>
                              <w:t>Модель воздействия факторов экономического роста в динамично открытой социально-экономической системе в рамках отношений ГЧП</w:t>
                            </w:r>
                            <w:r>
                              <w:rPr>
                                <w:rStyle w:val="3BookmanOldStyle75ptExact"/>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3713CC" id="Надпись 288" o:spid="_x0000_s1041" type="#_x0000_t202" style="position:absolute;left:0;text-align:left;margin-left:.7pt;margin-top:141.1pt;width:331.7pt;height:24pt;z-index:-125799618;visibility:visible;mso-wrap-style:square;mso-width-percent:0;mso-height-percent:0;mso-wrap-distance-left:5pt;mso-wrap-distance-top:7.45pt;mso-wrap-distance-right:5pt;mso-wrap-distance-bottom:90.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" filled="f" stroked="f">
                <v:textbox style="mso-fit-shape-to-text:t" inset="0,0,0,0">
                  <w:txbxContent>
                    <w:p w14:paraId="4BA727A7" w14:textId="77777777" w:rsidR="00350396" w:rsidRDefault="00350396" w:rsidP="00350396">
                      <w:pPr>
                        <w:spacing w:line="240" w:lineRule="exact"/>
                      </w:pPr>
                      <w:r>
                        <w:rPr>
                          <w:rStyle w:val="3BookmanOldStyle9ptExact"/>
                        </w:rPr>
                        <w:t>Рис. 4.</w:t>
                      </w:r>
                      <w:r>
                        <w:rPr>
                          <w:rStyle w:val="3BookmanOldStyle9ptExact"/>
                          <w:highlight w:val="green"/>
                        </w:rPr>
                        <w:t>3</w:t>
                      </w:r>
                      <w:r w:rsidRPr="003E3F60">
                        <w:rPr>
                          <w:rStyle w:val="3BookmanOldStyle9ptExact"/>
                          <w:highlight w:val="green"/>
                        </w:rPr>
                        <w:t>.</w:t>
                      </w:r>
                      <w:r>
                        <w:rPr>
                          <w:rStyle w:val="3BookmanOldStyle9ptExact0"/>
                        </w:rPr>
                        <w:t xml:space="preserve"> </w:t>
                      </w:r>
                      <w:r>
                        <w:rPr>
                          <w:rStyle w:val="3Exact1"/>
                        </w:rPr>
                        <w:t>Модель воздействия факторов экономического роста в динамично открытой социально-экономической системе в рамках отношений ГЧП</w:t>
                      </w:r>
                      <w:r>
                        <w:rPr>
                          <w:rStyle w:val="3BookmanOldStyle75ptExact"/>
                          <w:vertAlign w:val="superscript"/>
                        </w:rPr>
                        <w:t>1</w:t>
                      </w:r>
                    </w:p>
                  </w:txbxContent>
                </v:textbox>
                <w10:wrap type="square" anchorx="margin"/>
              </v:shape>
            </w:pict>
          </mc:Fallback>
        </mc:AlternateContent>
      </w:r>
      <w:r w:rsidRPr="004E0FC4">
        <w:rPr>
          <w:rFonts w:ascii="Bookman Old Style" w:hAnsi="Bookman Old Style"/>
          <w:noProof/>
          <w:sz w:val="18"/>
          <w:szCs w:val="18"/>
          <w:lang w:bidi="ar-SA"/>
        </w:rPr>
        <w:drawing>
          <wp:anchor distT="94615" distB="1149985" distL="63500" distR="63500" simplePos="0" relativeHeight="377517886" behindDoc="1" locked="0" layoutInCell="1" allowOverlap="1" wp14:anchorId="66C5BE02" wp14:editId="4B173110">
            <wp:simplePos x="0" y="0"/>
            <wp:positionH relativeFrom="margin">
              <wp:posOffset>24130</wp:posOffset>
            </wp:positionH>
            <wp:positionV relativeFrom="paragraph">
              <wp:posOffset>161290</wp:posOffset>
            </wp:positionV>
            <wp:extent cx="2389505" cy="1548130"/>
            <wp:effectExtent l="19050" t="0" r="0" b="0"/>
            <wp:wrapSquare wrapText="bothSides"/>
            <wp:docPr id="255" name="Рисунок 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3"/>
                    <pic:cNvPicPr>
                      <a:picLocks noChangeAspect="1" noChangeArrowheads="1"/>
                    </pic:cNvPicPr>
                  </pic:nvPicPr>
                  <pic:blipFill>
                    <a:blip r:embed="rId38" cstate="print"/>
                    <a:srcRect/>
                    <a:stretch>
                      <a:fillRect/>
                    </a:stretch>
                  </pic:blipFill>
                  <pic:spPr bwMode="auto">
                    <a:xfrm>
                      <a:off x="0" y="0"/>
                      <a:ext cx="2389505" cy="1548130"/>
                    </a:xfrm>
                    <a:prstGeom prst="rect">
                      <a:avLst/>
                    </a:prstGeom>
                    <a:noFill/>
                  </pic:spPr>
                </pic:pic>
              </a:graphicData>
            </a:graphic>
          </wp:anchor>
        </w:drawing>
      </w:r>
      <w:r w:rsidRPr="004E0FC4">
        <w:rPr>
          <w:rFonts w:ascii="Bookman Old Style" w:eastAsia="Bookman Old Style" w:hAnsi="Bookman Old Style" w:cs="Bookman Old Style"/>
          <w:color w:val="231F20"/>
          <w:sz w:val="18"/>
          <w:szCs w:val="18"/>
        </w:rPr>
        <w:t>Привлечение ресур-</w:t>
      </w:r>
      <w:r w:rsidRPr="004E0FC4">
        <w:rPr>
          <w:rFonts w:ascii="Bookman Old Style" w:eastAsia="Bookman Old Style" w:hAnsi="Bookman Old Style" w:cs="Bookman Old Style"/>
          <w:color w:val="231F20"/>
          <w:sz w:val="18"/>
          <w:szCs w:val="18"/>
        </w:rPr>
        <w:br/>
        <w:t>сов бизнеса, в том</w:t>
      </w:r>
      <w:r w:rsidRPr="004E0FC4">
        <w:rPr>
          <w:rFonts w:ascii="Bookman Old Style" w:eastAsia="Bookman Old Style" w:hAnsi="Bookman Old Style" w:cs="Bookman Old Style"/>
          <w:color w:val="231F20"/>
          <w:sz w:val="18"/>
          <w:szCs w:val="18"/>
        </w:rPr>
        <w:br/>
        <w:t>числе иностранного,</w:t>
      </w:r>
      <w:r w:rsidRPr="004E0FC4">
        <w:rPr>
          <w:rFonts w:ascii="Bookman Old Style" w:eastAsia="Bookman Old Style" w:hAnsi="Bookman Old Style" w:cs="Bookman Old Style"/>
          <w:color w:val="231F20"/>
          <w:sz w:val="18"/>
          <w:szCs w:val="18"/>
        </w:rPr>
        <w:br/>
        <w:t>для выполнения</w:t>
      </w:r>
      <w:r w:rsidRPr="004E0FC4">
        <w:rPr>
          <w:rFonts w:ascii="Bookman Old Style" w:eastAsia="Bookman Old Style" w:hAnsi="Bookman Old Style" w:cs="Bookman Old Style"/>
          <w:color w:val="231F20"/>
          <w:sz w:val="18"/>
          <w:szCs w:val="18"/>
        </w:rPr>
        <w:br/>
        <w:t>общественных задач</w:t>
      </w:r>
    </w:p>
    <w:p w14:paraId="2DA4B934" w14:textId="77777777" w:rsidR="00787383" w:rsidRDefault="00350396" w:rsidP="004E0FC4">
      <w:pPr>
        <w:widowControl w:val="0"/>
        <w:ind w:right="380" w:firstLine="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Умножение</w:t>
      </w:r>
      <w:r w:rsidRPr="004E0FC4">
        <w:rPr>
          <w:rFonts w:ascii="Bookman Old Style" w:eastAsia="Bookman Old Style" w:hAnsi="Bookman Old Style" w:cs="Bookman Old Style"/>
          <w:color w:val="231F20"/>
          <w:sz w:val="18"/>
          <w:szCs w:val="18"/>
        </w:rPr>
        <w:br/>
        <w:t>функций</w:t>
      </w:r>
      <w:r w:rsidRPr="004E0FC4">
        <w:rPr>
          <w:rFonts w:ascii="Bookman Old Style" w:eastAsia="Bookman Old Style" w:hAnsi="Bookman Old Style" w:cs="Bookman Old Style"/>
          <w:color w:val="231F20"/>
          <w:sz w:val="18"/>
          <w:szCs w:val="18"/>
        </w:rPr>
        <w:br/>
        <w:t>государства</w:t>
      </w:r>
      <w:r w:rsidRPr="004E0FC4">
        <w:rPr>
          <w:rFonts w:ascii="Bookman Old Style" w:eastAsia="Bookman Old Style" w:hAnsi="Bookman Old Style" w:cs="Bookman Old Style"/>
          <w:color w:val="231F20"/>
          <w:sz w:val="18"/>
          <w:szCs w:val="18"/>
        </w:rPr>
        <w:br/>
        <w:t xml:space="preserve">и бизнеса </w:t>
      </w:r>
      <w:r w:rsidRPr="004E0FC4">
        <w:rPr>
          <w:rFonts w:ascii="Bookman Old Style" w:eastAsia="Bookman Old Style" w:hAnsi="Bookman Old Style" w:cs="Bookman Old Style"/>
          <w:color w:val="231F20"/>
          <w:sz w:val="18"/>
          <w:szCs w:val="18"/>
          <w:vertAlign w:val="superscript"/>
        </w:rPr>
        <w:footnoteReference w:id="73"/>
      </w:r>
    </w:p>
    <w:p w14:paraId="77DCFB4A" w14:textId="77777777" w:rsidR="00787383" w:rsidRDefault="00787383" w:rsidP="004E0FC4">
      <w:pPr>
        <w:widowControl w:val="0"/>
        <w:ind w:right="380" w:firstLine="0"/>
        <w:rPr>
          <w:rFonts w:ascii="Bookman Old Style" w:eastAsia="Bookman Old Style" w:hAnsi="Bookman Old Style" w:cs="Bookman Old Style"/>
          <w:color w:val="231F20"/>
          <w:sz w:val="18"/>
          <w:szCs w:val="18"/>
        </w:rPr>
      </w:pPr>
    </w:p>
    <w:p w14:paraId="304F2EBF" w14:textId="2361BEAF" w:rsidR="00350396" w:rsidRPr="004E0FC4" w:rsidRDefault="00350396" w:rsidP="004E0FC4">
      <w:pPr>
        <w:widowControl w:val="0"/>
        <w:ind w:right="380" w:firstLine="0"/>
        <w:rPr>
          <w:rFonts w:ascii="Bookman Old Style" w:hAnsi="Bookman Old Style"/>
          <w:sz w:val="18"/>
          <w:szCs w:val="18"/>
        </w:rPr>
      </w:pPr>
      <w:r w:rsidRPr="004E0FC4">
        <w:rPr>
          <w:rFonts w:ascii="Bookman Old Style" w:hAnsi="Bookman Old Style"/>
          <w:sz w:val="18"/>
          <w:szCs w:val="18"/>
        </w:rPr>
        <w:lastRenderedPageBreak/>
        <w:br w:type="page"/>
      </w:r>
    </w:p>
    <w:p w14:paraId="68C1281B" w14:textId="77777777" w:rsidR="00350396" w:rsidRPr="004E0FC4" w:rsidRDefault="00350396" w:rsidP="004E0FC4">
      <w:pPr>
        <w:widowControl w:val="0"/>
        <w:spacing w:line="240" w:lineRule="auto"/>
        <w:ind w:firstLine="320"/>
        <w:rPr>
          <w:rFonts w:ascii="Bookman Old Style" w:hAnsi="Bookman Old Style"/>
          <w:sz w:val="18"/>
          <w:szCs w:val="18"/>
        </w:rPr>
      </w:pPr>
      <w:bookmarkStart w:id="50" w:name="bookmark49"/>
      <w:r w:rsidRPr="004E0FC4">
        <w:rPr>
          <w:rFonts w:ascii="Bookman Old Style" w:eastAsia="Bookman Old Style" w:hAnsi="Bookman Old Style" w:cs="Bookman Old Style"/>
          <w:color w:val="231F20"/>
          <w:sz w:val="18"/>
          <w:szCs w:val="18"/>
        </w:rPr>
        <w:lastRenderedPageBreak/>
        <w:t>В рамках связки «коммуникации» — «партнерство» следует вы</w:t>
      </w:r>
      <w:r w:rsidRPr="004E0FC4">
        <w:rPr>
          <w:rFonts w:ascii="Bookman Old Style" w:eastAsia="Bookman Old Style" w:hAnsi="Bookman Old Style" w:cs="Bookman Old Style"/>
          <w:color w:val="231F20"/>
          <w:sz w:val="18"/>
          <w:szCs w:val="18"/>
        </w:rPr>
        <w:softHyphen/>
        <w:t>делить две важные особенности.</w:t>
      </w:r>
      <w:bookmarkEnd w:id="50"/>
    </w:p>
    <w:p w14:paraId="552C8207" w14:textId="77777777" w:rsidR="00350396" w:rsidRPr="004E0FC4" w:rsidRDefault="00350396" w:rsidP="004E0FC4">
      <w:pPr>
        <w:widowControl w:val="0"/>
        <w:numPr>
          <w:ilvl w:val="0"/>
          <w:numId w:val="49"/>
        </w:numPr>
        <w:tabs>
          <w:tab w:val="left" w:pos="647"/>
        </w:tabs>
        <w:spacing w:line="250"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Обоюдная инициатива.</w:t>
      </w:r>
      <w:r w:rsidRPr="004E0FC4">
        <w:rPr>
          <w:rFonts w:ascii="Bookman Old Style" w:eastAsia="Bookman Old Style" w:hAnsi="Bookman Old Style" w:cs="Bookman Old Style"/>
          <w:color w:val="231F20"/>
          <w:sz w:val="18"/>
          <w:szCs w:val="18"/>
        </w:rPr>
        <w:t xml:space="preserve"> Высокие степени свободы субъектов делают естественным процесс инициирования совместных про</w:t>
      </w:r>
      <w:r w:rsidRPr="004E0FC4">
        <w:rPr>
          <w:rFonts w:ascii="Bookman Old Style" w:eastAsia="Bookman Old Style" w:hAnsi="Bookman Old Style" w:cs="Bookman Old Style"/>
          <w:color w:val="231F20"/>
          <w:sz w:val="18"/>
          <w:szCs w:val="18"/>
        </w:rPr>
        <w:softHyphen/>
        <w:t xml:space="preserve">ектов субъектами как государства, так и бизнеса. В связи с этим в современном законодательстве о ГЧП, например, предусмотрен механизм частной инициативы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unsolicited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proposals</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регламенти</w:t>
      </w:r>
      <w:r w:rsidRPr="004E0FC4">
        <w:rPr>
          <w:rFonts w:ascii="Bookman Old Style" w:eastAsia="Bookman Old Style" w:hAnsi="Bookman Old Style" w:cs="Bookman Old Style"/>
          <w:color w:val="231F20"/>
          <w:sz w:val="18"/>
          <w:szCs w:val="18"/>
        </w:rPr>
        <w:softHyphen/>
        <w:t>рующий порядок работы с инициативами частных инвесторов.</w:t>
      </w:r>
    </w:p>
    <w:p w14:paraId="278527CD" w14:textId="77777777" w:rsidR="00350396" w:rsidRPr="004E0FC4" w:rsidRDefault="00350396" w:rsidP="004E0FC4">
      <w:pPr>
        <w:widowControl w:val="0"/>
        <w:numPr>
          <w:ilvl w:val="0"/>
          <w:numId w:val="49"/>
        </w:numPr>
        <w:tabs>
          <w:tab w:val="left" w:pos="647"/>
        </w:tabs>
        <w:spacing w:after="351" w:line="250"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Форма и сущность партнерства в ГЧП.</w:t>
      </w:r>
      <w:r w:rsidRPr="004E0FC4">
        <w:rPr>
          <w:rFonts w:ascii="Bookman Old Style" w:eastAsia="Bookman Old Style" w:hAnsi="Bookman Old Style" w:cs="Bookman Old Style"/>
          <w:color w:val="231F20"/>
          <w:sz w:val="18"/>
          <w:szCs w:val="18"/>
        </w:rPr>
        <w:t xml:space="preserve"> Партнерство государ</w:t>
      </w:r>
      <w:r w:rsidRPr="004E0FC4">
        <w:rPr>
          <w:rFonts w:ascii="Bookman Old Style" w:eastAsia="Bookman Old Style" w:hAnsi="Bookman Old Style" w:cs="Bookman Old Style"/>
          <w:color w:val="231F20"/>
          <w:sz w:val="18"/>
          <w:szCs w:val="18"/>
        </w:rPr>
        <w:softHyphen/>
        <w:t>ства и бизнеса (в рамках «техноструктуры» в терминологии амери</w:t>
      </w:r>
      <w:r w:rsidRPr="004E0FC4">
        <w:rPr>
          <w:rFonts w:ascii="Bookman Old Style" w:eastAsia="Bookman Old Style" w:hAnsi="Bookman Old Style" w:cs="Bookman Old Style"/>
          <w:color w:val="231F20"/>
          <w:sz w:val="18"/>
          <w:szCs w:val="18"/>
        </w:rPr>
        <w:softHyphen/>
        <w:t>канского институционалиста Дж. К. Гэлбрейта</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принимает разные формы, включая ГЧП, отношения долгосрочного государственного заказа и другие формы (см. </w:t>
      </w:r>
      <w:r w:rsidRPr="004E0FC4">
        <w:rPr>
          <w:rFonts w:ascii="Bookman Old Style" w:eastAsia="Bookman Old Style" w:hAnsi="Bookman Old Style" w:cs="Bookman Old Style"/>
          <w:color w:val="231F20"/>
          <w:sz w:val="18"/>
          <w:szCs w:val="18"/>
          <w:highlight w:val="green"/>
        </w:rPr>
        <w:t>раздел 4.2</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параграф 1.2</w:t>
      </w:r>
      <w:r w:rsidRPr="004E0FC4">
        <w:rPr>
          <w:rFonts w:ascii="Bookman Old Style" w:eastAsia="Bookman Old Style" w:hAnsi="Bookman Old Style" w:cs="Bookman Old Style"/>
          <w:color w:val="231F20"/>
          <w:sz w:val="18"/>
          <w:szCs w:val="18"/>
        </w:rPr>
        <w:t>). Кроме того, такое пар</w:t>
      </w:r>
      <w:r w:rsidRPr="004E0FC4">
        <w:rPr>
          <w:rFonts w:ascii="Bookman Old Style" w:eastAsia="Bookman Old Style" w:hAnsi="Bookman Old Style" w:cs="Bookman Old Style"/>
          <w:color w:val="231F20"/>
          <w:sz w:val="18"/>
          <w:szCs w:val="18"/>
        </w:rPr>
        <w:softHyphen/>
        <w:t>тнерство фактически выражается и в форме реализации своих функ</w:t>
      </w:r>
      <w:r w:rsidRPr="004E0FC4">
        <w:rPr>
          <w:rFonts w:ascii="Bookman Old Style" w:eastAsia="Bookman Old Style" w:hAnsi="Bookman Old Style" w:cs="Bookman Old Style"/>
          <w:color w:val="231F20"/>
          <w:sz w:val="18"/>
          <w:szCs w:val="18"/>
        </w:rPr>
        <w:softHyphen/>
        <w:t>ций государственными структурами, а также некоммерческими ор</w:t>
      </w:r>
      <w:r w:rsidRPr="004E0FC4">
        <w:rPr>
          <w:rFonts w:ascii="Bookman Old Style" w:eastAsia="Bookman Old Style" w:hAnsi="Bookman Old Style" w:cs="Bookman Old Style"/>
          <w:color w:val="231F20"/>
          <w:sz w:val="18"/>
          <w:szCs w:val="18"/>
        </w:rPr>
        <w:softHyphen/>
        <w:t>ганизациями, которые занимаются оказанием общественных услуг. Сущностью партнерства при этом является стремление к поиску оп</w:t>
      </w:r>
      <w:r w:rsidRPr="004E0FC4">
        <w:rPr>
          <w:rFonts w:ascii="Bookman Old Style" w:eastAsia="Bookman Old Style" w:hAnsi="Bookman Old Style" w:cs="Bookman Old Style"/>
          <w:color w:val="231F20"/>
          <w:sz w:val="18"/>
          <w:szCs w:val="18"/>
        </w:rPr>
        <w:softHyphen/>
        <w:t>тимального способа реализации полномочий специализированны</w:t>
      </w:r>
      <w:r w:rsidRPr="004E0FC4">
        <w:rPr>
          <w:rFonts w:ascii="Bookman Old Style" w:eastAsia="Bookman Old Style" w:hAnsi="Bookman Old Style" w:cs="Bookman Old Style"/>
          <w:color w:val="231F20"/>
          <w:sz w:val="18"/>
          <w:szCs w:val="18"/>
        </w:rPr>
        <w:softHyphen/>
        <w:t>ми институтами, которые могут быть государственными, частными и относиться к некоммерческому и негосударственному секторам. Во всех случаях при этом оказание общественных услуг строится на «общественном договоре», в рамках которого «базисом» является механизм сбора части доходов бизнеса в виде налогов, а «надстрой</w:t>
      </w:r>
      <w:r w:rsidRPr="004E0FC4">
        <w:rPr>
          <w:rFonts w:ascii="Bookman Old Style" w:eastAsia="Bookman Old Style" w:hAnsi="Bookman Old Style" w:cs="Bookman Old Style"/>
          <w:color w:val="231F20"/>
          <w:sz w:val="18"/>
          <w:szCs w:val="18"/>
        </w:rPr>
        <w:softHyphen/>
        <w:t>кой» — их последующее эффективное в том или ином случае или временном периоде «перераспределение» через формы ГЧП и (или) услуг государственных и некоммерческих организаций.</w:t>
      </w:r>
    </w:p>
    <w:p w14:paraId="3A54B479"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51" w:name="bookmark50"/>
      <w:bookmarkStart w:id="52" w:name="_Toc118131264"/>
      <w:r w:rsidRPr="004E0FC4">
        <w:rPr>
          <w:rFonts w:ascii="Bookman Old Style" w:eastAsia="Arial Narrow" w:hAnsi="Bookman Old Style" w:cs="Arial Narrow"/>
          <w:b/>
          <w:bCs/>
          <w:i/>
          <w:iCs/>
          <w:color w:val="231F20"/>
          <w:sz w:val="18"/>
          <w:szCs w:val="18"/>
        </w:rPr>
        <w:t>4.2. Формы реализации государственно-частного партнерства</w:t>
      </w:r>
      <w:bookmarkEnd w:id="51"/>
      <w:bookmarkEnd w:id="52"/>
    </w:p>
    <w:p w14:paraId="5E9C46F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Спектр взаимодействий государства и частного сектора весьма разнообразен. Совместная деятельность осуществляется в разных формах, часть из которых, безусловно, относится к ГЧП, а другая часть может считаться как формой реализации ГЧП, так и само</w:t>
      </w:r>
      <w:r w:rsidRPr="004E0FC4">
        <w:rPr>
          <w:rFonts w:ascii="Bookman Old Style" w:eastAsia="Bookman Old Style" w:hAnsi="Bookman Old Style" w:cs="Bookman Old Style"/>
          <w:color w:val="231F20"/>
          <w:sz w:val="18"/>
          <w:szCs w:val="18"/>
        </w:rPr>
        <w:softHyphen/>
        <w:t>стоятельной формой совместной деятельности (взаимодействия) государства и частного бизнеса. Принятые в мировой и российской практике классификации ГЧП обычно выделяют следующие его формы:</w:t>
      </w:r>
    </w:p>
    <w:p w14:paraId="2C5C7197" w14:textId="77777777" w:rsidR="00350396" w:rsidRPr="004E0FC4" w:rsidRDefault="00350396" w:rsidP="004E0FC4">
      <w:pPr>
        <w:widowControl w:val="0"/>
        <w:numPr>
          <w:ilvl w:val="0"/>
          <w:numId w:val="51"/>
        </w:numPr>
        <w:tabs>
          <w:tab w:val="left" w:pos="647"/>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контракты или административные договоры;</w:t>
      </w:r>
    </w:p>
    <w:p w14:paraId="717E763C" w14:textId="77777777" w:rsidR="00350396" w:rsidRPr="004E0FC4" w:rsidRDefault="00350396" w:rsidP="004E0FC4">
      <w:pPr>
        <w:widowControl w:val="0"/>
        <w:numPr>
          <w:ilvl w:val="0"/>
          <w:numId w:val="51"/>
        </w:numPr>
        <w:tabs>
          <w:tab w:val="left" w:pos="647"/>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аренду/лизинг;</w:t>
      </w:r>
    </w:p>
    <w:p w14:paraId="1B8AC779" w14:textId="77777777" w:rsidR="00350396" w:rsidRPr="004E0FC4" w:rsidRDefault="00350396" w:rsidP="004E0FC4">
      <w:pPr>
        <w:widowControl w:val="0"/>
        <w:numPr>
          <w:ilvl w:val="0"/>
          <w:numId w:val="51"/>
        </w:numPr>
        <w:tabs>
          <w:tab w:val="left" w:pos="647"/>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концессии; </w:t>
      </w:r>
      <w:r w:rsidRPr="004E0FC4">
        <w:rPr>
          <w:rFonts w:ascii="Bookman Old Style" w:eastAsia="Bookman Old Style" w:hAnsi="Bookman Old Style" w:cs="Bookman Old Style"/>
          <w:color w:val="231F20"/>
          <w:sz w:val="18"/>
          <w:szCs w:val="18"/>
          <w:vertAlign w:val="superscript"/>
        </w:rPr>
        <w:footnoteReference w:id="74"/>
      </w:r>
    </w:p>
    <w:p w14:paraId="3613212F" w14:textId="77777777" w:rsidR="00350396" w:rsidRPr="004E0FC4" w:rsidRDefault="00350396" w:rsidP="004E0FC4">
      <w:pPr>
        <w:widowControl w:val="0"/>
        <w:numPr>
          <w:ilvl w:val="0"/>
          <w:numId w:val="51"/>
        </w:numPr>
        <w:tabs>
          <w:tab w:val="left" w:pos="65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о государственно-частном или муниципально</w:t>
      </w:r>
      <w:r w:rsidRPr="004E0FC4">
        <w:rPr>
          <w:rFonts w:ascii="Bookman Old Style" w:eastAsia="Bookman Old Style" w:hAnsi="Bookman Old Style" w:cs="Bookman Old Style"/>
          <w:color w:val="231F20"/>
          <w:sz w:val="18"/>
          <w:szCs w:val="18"/>
        </w:rPr>
        <w:softHyphen/>
        <w:t>частном партнерстве (СГЧП/СМЧП);</w:t>
      </w:r>
    </w:p>
    <w:p w14:paraId="16ECD2B5" w14:textId="77777777" w:rsidR="00350396" w:rsidRPr="004E0FC4" w:rsidRDefault="00350396" w:rsidP="004E0FC4">
      <w:pPr>
        <w:widowControl w:val="0"/>
        <w:numPr>
          <w:ilvl w:val="0"/>
          <w:numId w:val="51"/>
        </w:numPr>
        <w:tabs>
          <w:tab w:val="left" w:pos="65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о разделе продукции (СРП);</w:t>
      </w:r>
    </w:p>
    <w:p w14:paraId="165C19F0" w14:textId="77777777" w:rsidR="00350396" w:rsidRPr="004E0FC4" w:rsidRDefault="00350396" w:rsidP="004E0FC4">
      <w:pPr>
        <w:widowControl w:val="0"/>
        <w:numPr>
          <w:ilvl w:val="0"/>
          <w:numId w:val="51"/>
        </w:numPr>
        <w:tabs>
          <w:tab w:val="left" w:pos="65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совместные предприятия (СП);</w:t>
      </w:r>
    </w:p>
    <w:p w14:paraId="665BB7CB" w14:textId="77777777" w:rsidR="00350396" w:rsidRPr="004E0FC4" w:rsidRDefault="00350396" w:rsidP="004E0FC4">
      <w:pPr>
        <w:widowControl w:val="0"/>
        <w:numPr>
          <w:ilvl w:val="0"/>
          <w:numId w:val="51"/>
        </w:numPr>
        <w:tabs>
          <w:tab w:val="left" w:pos="65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контракты, сочетающие в себе различные виды работ и от</w:t>
      </w:r>
      <w:r w:rsidRPr="004E0FC4">
        <w:rPr>
          <w:rFonts w:ascii="Bookman Old Style" w:eastAsia="Bookman Old Style" w:hAnsi="Bookman Old Style" w:cs="Bookman Old Style"/>
          <w:color w:val="231F20"/>
          <w:sz w:val="18"/>
          <w:szCs w:val="18"/>
        </w:rPr>
        <w:softHyphen/>
        <w:t>ношений собственности;</w:t>
      </w:r>
    </w:p>
    <w:p w14:paraId="67A6DC02" w14:textId="77777777" w:rsidR="00350396" w:rsidRPr="004E0FC4" w:rsidRDefault="00350396" w:rsidP="004E0FC4">
      <w:pPr>
        <w:widowControl w:val="0"/>
        <w:numPr>
          <w:ilvl w:val="0"/>
          <w:numId w:val="51"/>
        </w:numPr>
        <w:tabs>
          <w:tab w:val="left" w:pos="65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особые экономические зоны (ОЭЗ);</w:t>
      </w:r>
    </w:p>
    <w:p w14:paraId="07531CD6" w14:textId="77777777" w:rsidR="00350396" w:rsidRPr="004E0FC4" w:rsidRDefault="00350396" w:rsidP="004E0FC4">
      <w:pPr>
        <w:widowControl w:val="0"/>
        <w:numPr>
          <w:ilvl w:val="0"/>
          <w:numId w:val="51"/>
        </w:numPr>
        <w:tabs>
          <w:tab w:val="left" w:pos="65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специальный инвестиционный контракт (СПИК).</w:t>
      </w:r>
    </w:p>
    <w:p w14:paraId="1A85E4A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1. </w:t>
      </w:r>
      <w:r w:rsidRPr="004E0FC4">
        <w:rPr>
          <w:rFonts w:ascii="Bookman Old Style" w:eastAsia="Bookman Old Style" w:hAnsi="Bookman Old Style" w:cs="Bookman Old Style"/>
          <w:i/>
          <w:iCs/>
          <w:color w:val="231F20"/>
          <w:sz w:val="18"/>
          <w:szCs w:val="18"/>
        </w:rPr>
        <w:t>Контракты,</w:t>
      </w:r>
      <w:r w:rsidRPr="004E0FC4">
        <w:rPr>
          <w:rFonts w:ascii="Bookman Old Style" w:eastAsia="Bookman Old Style" w:hAnsi="Bookman Old Style" w:cs="Bookman Old Style"/>
          <w:color w:val="231F20"/>
          <w:sz w:val="18"/>
          <w:szCs w:val="18"/>
        </w:rPr>
        <w:t xml:space="preserve"> или административные договоры, заключаемые между органами исполнительной власти государства (органами местного самоуправления) и частными компаниями с целью осу</w:t>
      </w:r>
      <w:r w:rsidRPr="004E0FC4">
        <w:rPr>
          <w:rFonts w:ascii="Bookman Old Style" w:eastAsia="Bookman Old Style" w:hAnsi="Bookman Old Style" w:cs="Bookman Old Style"/>
          <w:color w:val="231F20"/>
          <w:sz w:val="18"/>
          <w:szCs w:val="18"/>
        </w:rPr>
        <w:softHyphen/>
        <w:t>ществления общественно необходимых видов деятельности. Наи</w:t>
      </w:r>
      <w:r w:rsidRPr="004E0FC4">
        <w:rPr>
          <w:rFonts w:ascii="Bookman Old Style" w:eastAsia="Bookman Old Style" w:hAnsi="Bookman Old Style" w:cs="Bookman Old Style"/>
          <w:color w:val="231F20"/>
          <w:sz w:val="18"/>
          <w:szCs w:val="18"/>
        </w:rPr>
        <w:softHyphen/>
        <w:t>более распространенными считаются контракты на поставку про</w:t>
      </w:r>
      <w:r w:rsidRPr="004E0FC4">
        <w:rPr>
          <w:rFonts w:ascii="Bookman Old Style" w:eastAsia="Bookman Old Style" w:hAnsi="Bookman Old Style" w:cs="Bookman Old Style"/>
          <w:color w:val="231F20"/>
          <w:sz w:val="18"/>
          <w:szCs w:val="18"/>
        </w:rPr>
        <w:softHyphen/>
        <w:t xml:space="preserve">дукции для государственных нужд, выполнение работ, оказание общественных услуг, управление, оказание технической помощи. Общим в различных видах контрактных отношений является то, что </w:t>
      </w:r>
      <w:r w:rsidRPr="004E0FC4">
        <w:rPr>
          <w:rFonts w:ascii="Bookman Old Style" w:eastAsia="Bookman Old Style" w:hAnsi="Bookman Old Style" w:cs="Bookman Old Style"/>
          <w:i/>
          <w:iCs/>
          <w:color w:val="231F20"/>
          <w:sz w:val="18"/>
          <w:szCs w:val="18"/>
        </w:rPr>
        <w:t>права собственности не передаются частному партнеру.</w:t>
      </w:r>
    </w:p>
    <w:p w14:paraId="1DA0D8B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Рассмотрим различные виды контрактов или административных договоров.</w:t>
      </w:r>
    </w:p>
    <w:p w14:paraId="3EA7CC36"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А. </w:t>
      </w:r>
      <w:r w:rsidRPr="004E0FC4">
        <w:rPr>
          <w:rFonts w:ascii="Bookman Old Style" w:eastAsia="Bookman Old Style" w:hAnsi="Bookman Old Style" w:cs="Bookman Old Style"/>
          <w:i/>
          <w:iCs/>
          <w:color w:val="231F20"/>
          <w:sz w:val="18"/>
          <w:szCs w:val="18"/>
        </w:rPr>
        <w:t>Договоры поставки и краткосрочного обслуживания государ</w:t>
      </w:r>
      <w:r w:rsidRPr="004E0FC4">
        <w:rPr>
          <w:rFonts w:ascii="Bookman Old Style" w:eastAsia="Bookman Old Style" w:hAnsi="Bookman Old Style" w:cs="Bookman Old Style"/>
          <w:i/>
          <w:iCs/>
          <w:color w:val="231F20"/>
          <w:sz w:val="18"/>
          <w:szCs w:val="18"/>
        </w:rPr>
        <w:softHyphen/>
        <w:t>ственных объектов, технической помощи, аутсорсинга и др.</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i/>
          <w:iCs/>
          <w:color w:val="231F20"/>
          <w:sz w:val="18"/>
          <w:szCs w:val="18"/>
        </w:rPr>
        <w:t>срок действия которых, как правило, не превышает одного года.</w:t>
      </w:r>
      <w:r w:rsidRPr="004E0FC4">
        <w:rPr>
          <w:rFonts w:ascii="Bookman Old Style" w:eastAsia="Bookman Old Style" w:hAnsi="Bookman Old Style" w:cs="Bookman Old Style"/>
          <w:color w:val="231F20"/>
          <w:sz w:val="18"/>
          <w:szCs w:val="18"/>
        </w:rPr>
        <w:t xml:space="preserve"> В подоб</w:t>
      </w:r>
      <w:r w:rsidRPr="004E0FC4">
        <w:rPr>
          <w:rFonts w:ascii="Bookman Old Style" w:eastAsia="Bookman Old Style" w:hAnsi="Bookman Old Style" w:cs="Bookman Old Style"/>
          <w:color w:val="231F20"/>
          <w:sz w:val="18"/>
          <w:szCs w:val="18"/>
        </w:rPr>
        <w:softHyphen/>
        <w:t>ных договорах расходы и основные риски, связанные с корректным выбором направлений деятельности и оперативным управлени</w:t>
      </w:r>
      <w:r w:rsidRPr="004E0FC4">
        <w:rPr>
          <w:rFonts w:ascii="Bookman Old Style" w:eastAsia="Bookman Old Style" w:hAnsi="Bookman Old Style" w:cs="Bookman Old Style"/>
          <w:color w:val="231F20"/>
          <w:sz w:val="18"/>
          <w:szCs w:val="18"/>
        </w:rPr>
        <w:softHyphen/>
        <w:t>ем, почти полностью несет государство, в то время как поставщик или подрядчик выполняет ограниченный по срокам и зоне ответ</w:t>
      </w:r>
      <w:r w:rsidRPr="004E0FC4">
        <w:rPr>
          <w:rFonts w:ascii="Bookman Old Style" w:eastAsia="Bookman Old Style" w:hAnsi="Bookman Old Style" w:cs="Bookman Old Style"/>
          <w:color w:val="231F20"/>
          <w:sz w:val="18"/>
          <w:szCs w:val="18"/>
        </w:rPr>
        <w:softHyphen/>
        <w:t>ственности заказ, т. е. выполняет отведенную ему относительно узкую функцию. Для такого рода отношений государства и различ</w:t>
      </w:r>
      <w:r w:rsidRPr="004E0FC4">
        <w:rPr>
          <w:rFonts w:ascii="Bookman Old Style" w:eastAsia="Bookman Old Style" w:hAnsi="Bookman Old Style" w:cs="Bookman Old Style"/>
          <w:color w:val="231F20"/>
          <w:sz w:val="18"/>
          <w:szCs w:val="18"/>
        </w:rPr>
        <w:softHyphen/>
        <w:t>ных компаний в России приняты и действуют Федеральные законы от 05.04.2013 № 44-ФЗ «О контрактной системе в сфере закупок товаров, работ, услуг для обеспечения государственных и муни</w:t>
      </w:r>
      <w:r w:rsidRPr="004E0FC4">
        <w:rPr>
          <w:rFonts w:ascii="Bookman Old Style" w:eastAsia="Bookman Old Style" w:hAnsi="Bookman Old Style" w:cs="Bookman Old Style"/>
          <w:color w:val="231F20"/>
          <w:sz w:val="18"/>
          <w:szCs w:val="18"/>
        </w:rPr>
        <w:softHyphen/>
        <w:t>ципальных нужд» (далее — Закон о ФКС), а также от 29.12.2012 № 275-ФЗ «О государственном оборонном заказе». Интерес субъ</w:t>
      </w:r>
      <w:r w:rsidRPr="004E0FC4">
        <w:rPr>
          <w:rFonts w:ascii="Bookman Old Style" w:eastAsia="Bookman Old Style" w:hAnsi="Bookman Old Style" w:cs="Bookman Old Style"/>
          <w:color w:val="231F20"/>
          <w:sz w:val="18"/>
          <w:szCs w:val="18"/>
        </w:rPr>
        <w:softHyphen/>
        <w:t>ектов, выполняющих контакт, состоит в качественном выполне</w:t>
      </w:r>
      <w:r w:rsidRPr="004E0FC4">
        <w:rPr>
          <w:rFonts w:ascii="Bookman Old Style" w:eastAsia="Bookman Old Style" w:hAnsi="Bookman Old Style" w:cs="Bookman Old Style"/>
          <w:color w:val="231F20"/>
          <w:sz w:val="18"/>
          <w:szCs w:val="18"/>
        </w:rPr>
        <w:softHyphen/>
        <w:t>нии условий, поставленных заказчиком (государственным или му</w:t>
      </w:r>
      <w:r w:rsidRPr="004E0FC4">
        <w:rPr>
          <w:rFonts w:ascii="Bookman Old Style" w:eastAsia="Bookman Old Style" w:hAnsi="Bookman Old Style" w:cs="Bookman Old Style"/>
          <w:color w:val="231F20"/>
          <w:sz w:val="18"/>
          <w:szCs w:val="18"/>
        </w:rPr>
        <w:softHyphen/>
        <w:t>ниципальным органом) с удовлетворительной нормой прибыли для себя, но и с максимальным обеспечением перспектив дальней</w:t>
      </w:r>
      <w:r w:rsidRPr="004E0FC4">
        <w:rPr>
          <w:rFonts w:ascii="Bookman Old Style" w:eastAsia="Bookman Old Style" w:hAnsi="Bookman Old Style" w:cs="Bookman Old Style"/>
          <w:color w:val="231F20"/>
          <w:sz w:val="18"/>
          <w:szCs w:val="18"/>
        </w:rPr>
        <w:softHyphen/>
        <w:t>шего сотрудничества с государственными заказчиками. Однако от</w:t>
      </w:r>
      <w:r w:rsidRPr="004E0FC4">
        <w:rPr>
          <w:rFonts w:ascii="Bookman Old Style" w:eastAsia="Bookman Old Style" w:hAnsi="Bookman Old Style" w:cs="Bookman Old Style"/>
          <w:color w:val="231F20"/>
          <w:sz w:val="18"/>
          <w:szCs w:val="18"/>
        </w:rPr>
        <w:softHyphen/>
        <w:t>ношения, возникающие между государством и частным бизнесом в рамках указанных федеральных законов в России и аналогичных законов о государственном заказе за рубежом, не приводят к воз</w:t>
      </w:r>
      <w:r w:rsidRPr="004E0FC4">
        <w:rPr>
          <w:rFonts w:ascii="Bookman Old Style" w:eastAsia="Bookman Old Style" w:hAnsi="Bookman Old Style" w:cs="Bookman Old Style"/>
          <w:color w:val="231F20"/>
          <w:sz w:val="18"/>
          <w:szCs w:val="18"/>
        </w:rPr>
        <w:softHyphen/>
        <w:t>никновению отношений ГЧП в абсолютном большинстве случаев в силу ряда причин</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vertAlign w:val="superscript"/>
        </w:rPr>
        <w:footnoteReference w:id="75"/>
      </w:r>
    </w:p>
    <w:p w14:paraId="46520FA1"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выполнение контрактов не предполагает государственно</w:t>
      </w:r>
      <w:r w:rsidRPr="004E0FC4">
        <w:rPr>
          <w:rFonts w:ascii="Bookman Old Style" w:eastAsia="Bookman Old Style" w:hAnsi="Bookman Old Style" w:cs="Bookman Old Style"/>
          <w:color w:val="231F20"/>
          <w:sz w:val="18"/>
          <w:szCs w:val="18"/>
        </w:rPr>
        <w:softHyphen/>
        <w:t>частное софинансирование;</w:t>
      </w:r>
    </w:p>
    <w:p w14:paraId="552E6F6D"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у подрядчика отсутствуют самостоятельные финансовые ри</w:t>
      </w:r>
      <w:r w:rsidRPr="004E0FC4">
        <w:rPr>
          <w:rFonts w:ascii="Bookman Old Style" w:eastAsia="Bookman Old Style" w:hAnsi="Bookman Old Style" w:cs="Bookman Old Style"/>
          <w:color w:val="231F20"/>
          <w:sz w:val="18"/>
          <w:szCs w:val="18"/>
        </w:rPr>
        <w:softHyphen/>
        <w:t>ски, поскольку его затраты оплачиваются государственным заказ</w:t>
      </w:r>
      <w:r w:rsidRPr="004E0FC4">
        <w:rPr>
          <w:rFonts w:ascii="Bookman Old Style" w:eastAsia="Bookman Old Style" w:hAnsi="Bookman Old Style" w:cs="Bookman Old Style"/>
          <w:color w:val="231F20"/>
          <w:sz w:val="18"/>
          <w:szCs w:val="18"/>
        </w:rPr>
        <w:softHyphen/>
        <w:t>чиком;</w:t>
      </w:r>
    </w:p>
    <w:p w14:paraId="71757D90"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государственном контракте или приложенных к нему до</w:t>
      </w:r>
      <w:r w:rsidRPr="004E0FC4">
        <w:rPr>
          <w:rFonts w:ascii="Bookman Old Style" w:eastAsia="Bookman Old Style" w:hAnsi="Bookman Old Style" w:cs="Bookman Old Style"/>
          <w:color w:val="231F20"/>
          <w:sz w:val="18"/>
          <w:szCs w:val="18"/>
        </w:rPr>
        <w:softHyphen/>
        <w:t>кументах регламентируются многие характеристики деятельности подрядчика, отсутствующие в контрактах ГЧП: перечни используе</w:t>
      </w:r>
      <w:r w:rsidRPr="004E0FC4">
        <w:rPr>
          <w:rFonts w:ascii="Bookman Old Style" w:eastAsia="Bookman Old Style" w:hAnsi="Bookman Old Style" w:cs="Bookman Old Style"/>
          <w:color w:val="231F20"/>
          <w:sz w:val="18"/>
          <w:szCs w:val="18"/>
        </w:rPr>
        <w:softHyphen/>
        <w:t>мых и закупаемых материалов и оборудования, организация рабо</w:t>
      </w:r>
      <w:r w:rsidRPr="004E0FC4">
        <w:rPr>
          <w:rFonts w:ascii="Bookman Old Style" w:eastAsia="Bookman Old Style" w:hAnsi="Bookman Old Style" w:cs="Bookman Old Style"/>
          <w:color w:val="231F20"/>
          <w:sz w:val="18"/>
          <w:szCs w:val="18"/>
        </w:rPr>
        <w:softHyphen/>
        <w:t>чего процесса и др.;</w:t>
      </w:r>
    </w:p>
    <w:p w14:paraId="435EFCC4"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краткосрочность контрактов, возможность быстрой смены частных подрядчиков по государственному контракту.</w:t>
      </w:r>
    </w:p>
    <w:p w14:paraId="2E13C3FF"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Б. </w:t>
      </w:r>
      <w:r w:rsidRPr="004E0FC4">
        <w:rPr>
          <w:rFonts w:ascii="Bookman Old Style" w:eastAsia="Bookman Old Style" w:hAnsi="Bookman Old Style" w:cs="Bookman Old Style"/>
          <w:i/>
          <w:iCs/>
          <w:color w:val="231F20"/>
          <w:sz w:val="18"/>
          <w:szCs w:val="18"/>
        </w:rPr>
        <w:t>Контракты на управление объектами, находящимися в госу</w:t>
      </w:r>
      <w:r w:rsidRPr="004E0FC4">
        <w:rPr>
          <w:rFonts w:ascii="Bookman Old Style" w:eastAsia="Bookman Old Style" w:hAnsi="Bookman Old Style" w:cs="Bookman Old Style"/>
          <w:i/>
          <w:iCs/>
          <w:color w:val="231F20"/>
          <w:sz w:val="18"/>
          <w:szCs w:val="18"/>
        </w:rPr>
        <w:softHyphen/>
        <w:t>дарственной собственности, заключаемые на среднесрочной и долго</w:t>
      </w:r>
      <w:r w:rsidRPr="004E0FC4">
        <w:rPr>
          <w:rFonts w:ascii="Bookman Old Style" w:eastAsia="Bookman Old Style" w:hAnsi="Bookman Old Style" w:cs="Bookman Old Style"/>
          <w:i/>
          <w:iCs/>
          <w:color w:val="231F20"/>
          <w:sz w:val="18"/>
          <w:szCs w:val="18"/>
        </w:rPr>
        <w:softHyphen/>
        <w:t>срочной основе (от двух до 10—20 лет).</w:t>
      </w:r>
      <w:r w:rsidRPr="004E0FC4">
        <w:rPr>
          <w:rFonts w:ascii="Bookman Old Style" w:eastAsia="Bookman Old Style" w:hAnsi="Bookman Old Style" w:cs="Bookman Old Style"/>
          <w:color w:val="231F20"/>
          <w:sz w:val="18"/>
          <w:szCs w:val="18"/>
        </w:rPr>
        <w:t xml:space="preserve"> Подобные контракты яв</w:t>
      </w:r>
      <w:r w:rsidRPr="004E0FC4">
        <w:rPr>
          <w:rFonts w:ascii="Bookman Old Style" w:eastAsia="Bookman Old Style" w:hAnsi="Bookman Old Style" w:cs="Bookman Old Style"/>
          <w:color w:val="231F20"/>
          <w:sz w:val="18"/>
          <w:szCs w:val="18"/>
        </w:rPr>
        <w:softHyphen/>
        <w:t>ляются комплексной формой контрактных отношений. Передача в долгосрочное управление частной компании объектов, находя</w:t>
      </w:r>
      <w:r w:rsidRPr="004E0FC4">
        <w:rPr>
          <w:rFonts w:ascii="Bookman Old Style" w:eastAsia="Bookman Old Style" w:hAnsi="Bookman Old Style" w:cs="Bookman Old Style"/>
          <w:color w:val="231F20"/>
          <w:sz w:val="18"/>
          <w:szCs w:val="18"/>
        </w:rPr>
        <w:softHyphen/>
        <w:t>щихся в государственной собственности, по классификации Всемир</w:t>
      </w:r>
      <w:r w:rsidRPr="004E0FC4">
        <w:rPr>
          <w:rFonts w:ascii="Bookman Old Style" w:eastAsia="Bookman Old Style" w:hAnsi="Bookman Old Style" w:cs="Bookman Old Style"/>
          <w:color w:val="231F20"/>
          <w:sz w:val="18"/>
          <w:szCs w:val="18"/>
        </w:rPr>
        <w:softHyphen/>
        <w:t>ного банка</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причисляется к практике ГЧП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management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contracts</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долгосрочных отношениях помимо рисков оперативного управ</w:t>
      </w:r>
      <w:r w:rsidRPr="004E0FC4">
        <w:rPr>
          <w:rFonts w:ascii="Bookman Old Style" w:eastAsia="Bookman Old Style" w:hAnsi="Bookman Old Style" w:cs="Bookman Old Style"/>
          <w:color w:val="231F20"/>
          <w:sz w:val="18"/>
          <w:szCs w:val="18"/>
        </w:rPr>
        <w:softHyphen/>
        <w:t>ления объектами частные партнеры сталкиваются и с финансовы</w:t>
      </w:r>
      <w:r w:rsidRPr="004E0FC4">
        <w:rPr>
          <w:rFonts w:ascii="Bookman Old Style" w:eastAsia="Bookman Old Style" w:hAnsi="Bookman Old Style" w:cs="Bookman Old Style"/>
          <w:color w:val="231F20"/>
          <w:sz w:val="18"/>
          <w:szCs w:val="18"/>
        </w:rPr>
        <w:softHyphen/>
        <w:t>ми рисками, если сумма выплачиваемого государством вознаграж</w:t>
      </w:r>
      <w:r w:rsidRPr="004E0FC4">
        <w:rPr>
          <w:rFonts w:ascii="Bookman Old Style" w:eastAsia="Bookman Old Style" w:hAnsi="Bookman Old Style" w:cs="Bookman Old Style"/>
          <w:color w:val="231F20"/>
          <w:sz w:val="18"/>
          <w:szCs w:val="18"/>
        </w:rPr>
        <w:softHyphen/>
        <w:t>дения окажется недостаточной. В силу последнего обстоятельства в договорах на управление частный партнер чаще получает право на определенную долю в выручке (сборах) или прибыли от управле</w:t>
      </w:r>
      <w:r w:rsidRPr="004E0FC4">
        <w:rPr>
          <w:rFonts w:ascii="Bookman Old Style" w:eastAsia="Bookman Old Style" w:hAnsi="Bookman Old Style" w:cs="Bookman Old Style"/>
          <w:color w:val="231F20"/>
          <w:sz w:val="18"/>
          <w:szCs w:val="18"/>
        </w:rPr>
        <w:softHyphen/>
        <w:t>ния объектом. Контракты с государственным или муниципальным органом власти на управление объектами, находящимися в их соб</w:t>
      </w:r>
      <w:r w:rsidRPr="004E0FC4">
        <w:rPr>
          <w:rFonts w:ascii="Bookman Old Style" w:eastAsia="Bookman Old Style" w:hAnsi="Bookman Old Style" w:cs="Bookman Old Style"/>
          <w:color w:val="231F20"/>
          <w:sz w:val="18"/>
          <w:szCs w:val="18"/>
        </w:rPr>
        <w:softHyphen/>
        <w:t>ственности, заключаемые на среднесрочной и долгосрочной осно</w:t>
      </w:r>
      <w:r w:rsidRPr="004E0FC4">
        <w:rPr>
          <w:rFonts w:ascii="Bookman Old Style" w:eastAsia="Bookman Old Style" w:hAnsi="Bookman Old Style" w:cs="Bookman Old Style"/>
          <w:color w:val="231F20"/>
          <w:sz w:val="18"/>
          <w:szCs w:val="18"/>
        </w:rPr>
        <w:softHyphen/>
        <w:t>ве, тесно смыкаются с концессией как формой ГЧП. Применение долгосрочных контрактов на управление в рамках Закона о ФКС и Федерального закона «О государственном оборонном заказе» в настоящий момент в России не распространено, для передачи го</w:t>
      </w:r>
      <w:r w:rsidRPr="004E0FC4">
        <w:rPr>
          <w:rFonts w:ascii="Bookman Old Style" w:eastAsia="Bookman Old Style" w:hAnsi="Bookman Old Style" w:cs="Bookman Old Style"/>
          <w:color w:val="231F20"/>
          <w:sz w:val="18"/>
          <w:szCs w:val="18"/>
        </w:rPr>
        <w:softHyphen/>
        <w:t>сударственных объектов в долгосрочное управление используется концессионное законодательство (см. ниже).</w:t>
      </w:r>
    </w:p>
    <w:p w14:paraId="4752CA7A"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w:t>
      </w:r>
      <w:r w:rsidRPr="004E0FC4">
        <w:rPr>
          <w:rFonts w:ascii="Bookman Old Style" w:eastAsia="Bookman Old Style" w:hAnsi="Bookman Old Style" w:cs="Bookman Old Style"/>
          <w:i/>
          <w:iCs/>
          <w:color w:val="231F20"/>
          <w:sz w:val="18"/>
          <w:szCs w:val="18"/>
        </w:rPr>
        <w:t>Государственные контракты с инвестиционными обязатель</w:t>
      </w:r>
      <w:r w:rsidRPr="004E0FC4">
        <w:rPr>
          <w:rFonts w:ascii="Bookman Old Style" w:eastAsia="Bookman Old Style" w:hAnsi="Bookman Old Style" w:cs="Bookman Old Style"/>
          <w:i/>
          <w:iCs/>
          <w:color w:val="231F20"/>
          <w:sz w:val="18"/>
          <w:szCs w:val="18"/>
        </w:rPr>
        <w:softHyphen/>
        <w:t>ствами частного сектора.</w:t>
      </w:r>
      <w:r w:rsidRPr="004E0FC4">
        <w:rPr>
          <w:rFonts w:ascii="Bookman Old Style" w:eastAsia="Bookman Old Style" w:hAnsi="Bookman Old Style" w:cs="Bookman Old Style"/>
          <w:color w:val="231F20"/>
          <w:sz w:val="18"/>
          <w:szCs w:val="18"/>
        </w:rPr>
        <w:t xml:space="preserve"> Отношения ГЧП в рамках государствен</w:t>
      </w:r>
      <w:r w:rsidRPr="004E0FC4">
        <w:rPr>
          <w:rFonts w:ascii="Bookman Old Style" w:eastAsia="Bookman Old Style" w:hAnsi="Bookman Old Style" w:cs="Bookman Old Style"/>
          <w:color w:val="231F20"/>
          <w:sz w:val="18"/>
          <w:szCs w:val="18"/>
        </w:rPr>
        <w:softHyphen/>
        <w:t>ного или муниципального контракта принципиально возможны, но возникают только в том случае, если для удовлетворения го</w:t>
      </w:r>
      <w:r w:rsidRPr="004E0FC4">
        <w:rPr>
          <w:rFonts w:ascii="Bookman Old Style" w:eastAsia="Bookman Old Style" w:hAnsi="Bookman Old Style" w:cs="Bookman Old Style"/>
          <w:color w:val="231F20"/>
          <w:sz w:val="18"/>
          <w:szCs w:val="18"/>
        </w:rPr>
        <w:softHyphen/>
        <w:t>сударственных или муниципальных нужд привлекаются внебюд</w:t>
      </w:r>
      <w:r w:rsidRPr="004E0FC4">
        <w:rPr>
          <w:rFonts w:ascii="Bookman Old Style" w:eastAsia="Bookman Old Style" w:hAnsi="Bookman Old Style" w:cs="Bookman Old Style"/>
          <w:color w:val="231F20"/>
          <w:sz w:val="18"/>
          <w:szCs w:val="18"/>
        </w:rPr>
        <w:softHyphen/>
        <w:t xml:space="preserve">жетные источники финансирования. В то же время действующие в России Закон о ФКС и Федеральный закон «О государственном оборонном заказе» не регламентируют формы и методы вовлече- </w:t>
      </w:r>
      <w:r w:rsidRPr="004E0FC4">
        <w:rPr>
          <w:rFonts w:ascii="Bookman Old Style" w:eastAsia="Bookman Old Style" w:hAnsi="Bookman Old Style" w:cs="Bookman Old Style"/>
          <w:color w:val="231F20"/>
          <w:sz w:val="18"/>
          <w:szCs w:val="18"/>
          <w:vertAlign w:val="superscript"/>
        </w:rPr>
        <w:footnoteReference w:id="76"/>
      </w:r>
      <w:r w:rsidRPr="004E0FC4">
        <w:rPr>
          <w:rFonts w:ascii="Bookman Old Style" w:eastAsia="Bookman Old Style" w:hAnsi="Bookman Old Style" w:cs="Bookman Old Style"/>
          <w:color w:val="231F20"/>
          <w:sz w:val="18"/>
          <w:szCs w:val="18"/>
        </w:rPr>
        <w:t xml:space="preserve"> ния средств бизнеса по контрактам на поставку товаров, выполне</w:t>
      </w:r>
      <w:r w:rsidRPr="004E0FC4">
        <w:rPr>
          <w:rFonts w:ascii="Bookman Old Style" w:eastAsia="Bookman Old Style" w:hAnsi="Bookman Old Style" w:cs="Bookman Old Style"/>
          <w:color w:val="231F20"/>
          <w:sz w:val="18"/>
          <w:szCs w:val="18"/>
        </w:rPr>
        <w:softHyphen/>
        <w:t>ние работ, оказание услуг для государственных или муниципальных нужд, механизмы возврата инвестиций частному сектору и другие принципиальные для ГЧП вопросы.</w:t>
      </w:r>
    </w:p>
    <w:p w14:paraId="4E2E970A" w14:textId="77777777" w:rsidR="00350396" w:rsidRPr="004E0FC4" w:rsidRDefault="00350396" w:rsidP="004E0FC4">
      <w:pPr>
        <w:widowControl w:val="0"/>
        <w:numPr>
          <w:ilvl w:val="0"/>
          <w:numId w:val="52"/>
        </w:numPr>
        <w:tabs>
          <w:tab w:val="left" w:pos="622"/>
        </w:tabs>
        <w:spacing w:line="250"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Аренда в ее традиционной форме (договоры аренды) и в фор</w:t>
      </w:r>
      <w:r w:rsidRPr="004E0FC4">
        <w:rPr>
          <w:rFonts w:ascii="Bookman Old Style" w:eastAsia="Bookman Old Style" w:hAnsi="Bookman Old Style" w:cs="Bookman Old Style"/>
          <w:i/>
          <w:iCs/>
          <w:color w:val="231F20"/>
          <w:sz w:val="18"/>
          <w:szCs w:val="18"/>
        </w:rPr>
        <w:softHyphen/>
        <w:t>ме лизинга.</w:t>
      </w:r>
      <w:r w:rsidRPr="004E0FC4">
        <w:rPr>
          <w:rFonts w:ascii="Bookman Old Style" w:eastAsia="Bookman Old Style" w:hAnsi="Bookman Old Style" w:cs="Bookman Old Style"/>
          <w:color w:val="231F20"/>
          <w:sz w:val="18"/>
          <w:szCs w:val="18"/>
        </w:rPr>
        <w:t xml:space="preserve"> Арендные отношения предусматривают передачу част</w:t>
      </w:r>
      <w:r w:rsidRPr="004E0FC4">
        <w:rPr>
          <w:rFonts w:ascii="Bookman Old Style" w:eastAsia="Bookman Old Style" w:hAnsi="Bookman Old Style" w:cs="Bookman Old Style"/>
          <w:color w:val="231F20"/>
          <w:sz w:val="18"/>
          <w:szCs w:val="18"/>
        </w:rPr>
        <w:softHyphen/>
        <w:t>ным партнерам государственного или муниципального имущества во временное пользование и за определенную плату (с последу</w:t>
      </w:r>
      <w:r w:rsidRPr="004E0FC4">
        <w:rPr>
          <w:rFonts w:ascii="Bookman Old Style" w:eastAsia="Bookman Old Style" w:hAnsi="Bookman Old Style" w:cs="Bookman Old Style"/>
          <w:color w:val="231F20"/>
          <w:sz w:val="18"/>
          <w:szCs w:val="18"/>
        </w:rPr>
        <w:softHyphen/>
        <w:t>ющим возвратом имущества собственнику). В договорах аренды с правом выкупа и в договорах лизинга частный партнер получает право выкупать государственное или муниципальное имущество. Форма договоров аренды на инвестиционных условиях позволяет выкупить частному инвестору имущественные права (права на зем</w:t>
      </w:r>
      <w:r w:rsidRPr="004E0FC4">
        <w:rPr>
          <w:rFonts w:ascii="Bookman Old Style" w:eastAsia="Bookman Old Style" w:hAnsi="Bookman Old Style" w:cs="Bookman Old Style"/>
          <w:color w:val="231F20"/>
          <w:sz w:val="18"/>
          <w:szCs w:val="18"/>
        </w:rPr>
        <w:softHyphen/>
        <w:t>лю) только в случае реализации определенных условий — строи</w:t>
      </w:r>
      <w:r w:rsidRPr="004E0FC4">
        <w:rPr>
          <w:rFonts w:ascii="Bookman Old Style" w:eastAsia="Bookman Old Style" w:hAnsi="Bookman Old Style" w:cs="Bookman Old Style"/>
          <w:color w:val="231F20"/>
          <w:sz w:val="18"/>
          <w:szCs w:val="18"/>
        </w:rPr>
        <w:softHyphen/>
        <w:t>тельства на земельном участке оговоренного объекта в определен</w:t>
      </w:r>
      <w:r w:rsidRPr="004E0FC4">
        <w:rPr>
          <w:rFonts w:ascii="Bookman Old Style" w:eastAsia="Bookman Old Style" w:hAnsi="Bookman Old Style" w:cs="Bookman Old Style"/>
          <w:color w:val="231F20"/>
          <w:sz w:val="18"/>
          <w:szCs w:val="18"/>
        </w:rPr>
        <w:softHyphen/>
        <w:t>ный срок.</w:t>
      </w:r>
    </w:p>
    <w:p w14:paraId="6C6549F9"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Возникновение арендных и лизинговых отношений, где объек</w:t>
      </w:r>
      <w:r w:rsidRPr="004E0FC4">
        <w:rPr>
          <w:rFonts w:ascii="Bookman Old Style" w:eastAsia="Bookman Old Style" w:hAnsi="Bookman Old Style" w:cs="Bookman Old Style"/>
          <w:color w:val="231F20"/>
          <w:sz w:val="18"/>
          <w:szCs w:val="18"/>
        </w:rPr>
        <w:softHyphen/>
        <w:t>том является государственная собственность, как правило, пред</w:t>
      </w:r>
      <w:r w:rsidRPr="004E0FC4">
        <w:rPr>
          <w:rFonts w:ascii="Bookman Old Style" w:eastAsia="Bookman Old Style" w:hAnsi="Bookman Old Style" w:cs="Bookman Old Style"/>
          <w:color w:val="231F20"/>
          <w:sz w:val="18"/>
          <w:szCs w:val="18"/>
        </w:rPr>
        <w:softHyphen/>
        <w:t xml:space="preserve">усматривает </w:t>
      </w:r>
      <w:r w:rsidRPr="004E0FC4">
        <w:rPr>
          <w:rFonts w:ascii="Bookman Old Style" w:eastAsia="Bookman Old Style" w:hAnsi="Bookman Old Style" w:cs="Bookman Old Style"/>
          <w:color w:val="231F20"/>
          <w:sz w:val="18"/>
          <w:szCs w:val="18"/>
        </w:rPr>
        <w:lastRenderedPageBreak/>
        <w:t>полную самостоятельность деятельности и полное не</w:t>
      </w:r>
      <w:r w:rsidRPr="004E0FC4">
        <w:rPr>
          <w:rFonts w:ascii="Bookman Old Style" w:eastAsia="Bookman Old Style" w:hAnsi="Bookman Old Style" w:cs="Bookman Old Style"/>
          <w:color w:val="231F20"/>
          <w:sz w:val="18"/>
          <w:szCs w:val="18"/>
        </w:rPr>
        <w:softHyphen/>
        <w:t>сение рисков арендатором/лизингополучателем. Подобные виды договоров в подавляющим числе случаев не могут быть признаны формой государственно-частного партнерства, так как государ</w:t>
      </w:r>
      <w:r w:rsidRPr="004E0FC4">
        <w:rPr>
          <w:rFonts w:ascii="Bookman Old Style" w:eastAsia="Bookman Old Style" w:hAnsi="Bookman Old Style" w:cs="Bookman Old Style"/>
          <w:color w:val="231F20"/>
          <w:sz w:val="18"/>
          <w:szCs w:val="18"/>
        </w:rPr>
        <w:softHyphen/>
        <w:t>ство не передает свои функции частной компании. Таковы типо</w:t>
      </w:r>
      <w:r w:rsidRPr="004E0FC4">
        <w:rPr>
          <w:rFonts w:ascii="Bookman Old Style" w:eastAsia="Bookman Old Style" w:hAnsi="Bookman Old Style" w:cs="Bookman Old Style"/>
          <w:color w:val="231F20"/>
          <w:sz w:val="18"/>
          <w:szCs w:val="18"/>
        </w:rPr>
        <w:softHyphen/>
        <w:t>вые договоры аренды у государства имущества в виде помещений и земли для осуществления коммерческой деятельности. Однако в случае, если передача функций имеет место (например, частной структурой арендуется детский сад или поликлиника для осущест</w:t>
      </w:r>
      <w:r w:rsidRPr="004E0FC4">
        <w:rPr>
          <w:rFonts w:ascii="Bookman Old Style" w:eastAsia="Bookman Old Style" w:hAnsi="Bookman Old Style" w:cs="Bookman Old Style"/>
          <w:color w:val="231F20"/>
          <w:sz w:val="18"/>
          <w:szCs w:val="18"/>
        </w:rPr>
        <w:softHyphen/>
        <w:t>вления профильной деятельности), то можно говорить о возникно</w:t>
      </w:r>
      <w:r w:rsidRPr="004E0FC4">
        <w:rPr>
          <w:rFonts w:ascii="Bookman Old Style" w:eastAsia="Bookman Old Style" w:hAnsi="Bookman Old Style" w:cs="Bookman Old Style"/>
          <w:color w:val="231F20"/>
          <w:sz w:val="18"/>
          <w:szCs w:val="18"/>
        </w:rPr>
        <w:softHyphen/>
        <w:t>вении отношений ГЧП. В российской практике договоры аренды с передачей государственных функций частному партнеру, которые относят к ГЧП, встречаются крайне редко. Данные договоры заклю</w:t>
      </w:r>
      <w:r w:rsidRPr="004E0FC4">
        <w:rPr>
          <w:rFonts w:ascii="Bookman Old Style" w:eastAsia="Bookman Old Style" w:hAnsi="Bookman Old Style" w:cs="Bookman Old Style"/>
          <w:color w:val="231F20"/>
          <w:sz w:val="18"/>
          <w:szCs w:val="18"/>
        </w:rPr>
        <w:softHyphen/>
        <w:t>чены в смешанной форме — договоров аренды с инвестиционными обязательствами (см. параграф 4.5).</w:t>
      </w:r>
    </w:p>
    <w:p w14:paraId="04D3D284" w14:textId="77777777" w:rsidR="00350396" w:rsidRPr="004E0FC4" w:rsidRDefault="00350396" w:rsidP="004E0FC4">
      <w:pPr>
        <w:widowControl w:val="0"/>
        <w:numPr>
          <w:ilvl w:val="0"/>
          <w:numId w:val="52"/>
        </w:numPr>
        <w:tabs>
          <w:tab w:val="left" w:pos="622"/>
        </w:tabs>
        <w:spacing w:line="250"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Концессия (концессионное соглашение)</w:t>
      </w:r>
      <w:r w:rsidRPr="004E0FC4">
        <w:rPr>
          <w:rFonts w:ascii="Bookman Old Style" w:eastAsia="Bookman Old Style" w:hAnsi="Bookman Old Style" w:cs="Bookman Old Style"/>
          <w:color w:val="231F20"/>
          <w:sz w:val="18"/>
          <w:szCs w:val="18"/>
        </w:rPr>
        <w:t xml:space="preserve"> является специфиче</w:t>
      </w:r>
      <w:r w:rsidRPr="004E0FC4">
        <w:rPr>
          <w:rFonts w:ascii="Bookman Old Style" w:eastAsia="Bookman Old Style" w:hAnsi="Bookman Old Style" w:cs="Bookman Old Style"/>
          <w:color w:val="231F20"/>
          <w:sz w:val="18"/>
          <w:szCs w:val="18"/>
        </w:rPr>
        <w:softHyphen/>
        <w:t>ской формой отношений между государством и частным партнером. В рамках концессии государство (муниципальное образование) уполномочивает частного партнера выполнять в течение опреде</w:t>
      </w:r>
      <w:r w:rsidRPr="004E0FC4">
        <w:rPr>
          <w:rFonts w:ascii="Bookman Old Style" w:eastAsia="Bookman Old Style" w:hAnsi="Bookman Old Style" w:cs="Bookman Old Style"/>
          <w:color w:val="231F20"/>
          <w:sz w:val="18"/>
          <w:szCs w:val="18"/>
        </w:rPr>
        <w:softHyphen/>
        <w:t>ленного срока оговариваемые в концессионном соглашении функ</w:t>
      </w:r>
      <w:r w:rsidRPr="004E0FC4">
        <w:rPr>
          <w:rFonts w:ascii="Bookman Old Style" w:eastAsia="Bookman Old Style" w:hAnsi="Bookman Old Style" w:cs="Bookman Old Style"/>
          <w:color w:val="231F20"/>
          <w:sz w:val="18"/>
          <w:szCs w:val="18"/>
        </w:rPr>
        <w:softHyphen/>
        <w:t>ции и наделяет его с этой целью соответствующими правомочиями, необходимыми для обеспечения нормального функционирования объекта концессии. За пользование государственной или муници</w:t>
      </w:r>
      <w:r w:rsidRPr="004E0FC4">
        <w:rPr>
          <w:rFonts w:ascii="Bookman Old Style" w:eastAsia="Bookman Old Style" w:hAnsi="Bookman Old Style" w:cs="Bookman Old Style"/>
          <w:color w:val="231F20"/>
          <w:sz w:val="18"/>
          <w:szCs w:val="18"/>
        </w:rPr>
        <w:softHyphen/>
        <w:t>пальной собственностью концессионер вносит плату на условиях, оговоренных в концессионном соглашении. Право же собственно</w:t>
      </w:r>
      <w:r w:rsidRPr="004E0FC4">
        <w:rPr>
          <w:rFonts w:ascii="Bookman Old Style" w:eastAsia="Bookman Old Style" w:hAnsi="Bookman Old Style" w:cs="Bookman Old Style"/>
          <w:color w:val="231F20"/>
          <w:sz w:val="18"/>
          <w:szCs w:val="18"/>
        </w:rPr>
        <w:softHyphen/>
        <w:t>сти на выработанную по концессии продукцию передается концес</w:t>
      </w:r>
      <w:r w:rsidRPr="004E0FC4">
        <w:rPr>
          <w:rFonts w:ascii="Bookman Old Style" w:eastAsia="Bookman Old Style" w:hAnsi="Bookman Old Style" w:cs="Bookman Old Style"/>
          <w:color w:val="231F20"/>
          <w:sz w:val="18"/>
          <w:szCs w:val="18"/>
        </w:rPr>
        <w:softHyphen/>
        <w:t>сионеру. Данные отношения напоминают отношения долгосрочной аренды (без перехода права собственности), но в абсолютном боль</w:t>
      </w:r>
      <w:r w:rsidRPr="004E0FC4">
        <w:rPr>
          <w:rFonts w:ascii="Bookman Old Style" w:eastAsia="Bookman Old Style" w:hAnsi="Bookman Old Style" w:cs="Bookman Old Style"/>
          <w:color w:val="231F20"/>
          <w:sz w:val="18"/>
          <w:szCs w:val="18"/>
        </w:rPr>
        <w:softHyphen/>
        <w:t>шинстве случаях концессионеру передаются полномочия и функ</w:t>
      </w:r>
      <w:r w:rsidRPr="004E0FC4">
        <w:rPr>
          <w:rFonts w:ascii="Bookman Old Style" w:eastAsia="Bookman Old Style" w:hAnsi="Bookman Old Style" w:cs="Bookman Old Style"/>
          <w:color w:val="231F20"/>
          <w:sz w:val="18"/>
          <w:szCs w:val="18"/>
        </w:rPr>
        <w:softHyphen/>
        <w:t>ции, ранее реализуемые государственными структурами для вы</w:t>
      </w:r>
      <w:r w:rsidRPr="004E0FC4">
        <w:rPr>
          <w:rFonts w:ascii="Bookman Old Style" w:eastAsia="Bookman Old Style" w:hAnsi="Bookman Old Style" w:cs="Bookman Old Style"/>
          <w:color w:val="231F20"/>
          <w:sz w:val="18"/>
          <w:szCs w:val="18"/>
        </w:rPr>
        <w:softHyphen/>
        <w:t>полнения общественно значимых задач. Именно в силу последнего обстоятельства концессии относят к практике ГЧП.</w:t>
      </w:r>
    </w:p>
    <w:p w14:paraId="4D3FCB93"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Термин «концессия» имеет латинское происхождение: </w:t>
      </w:r>
      <w:r w:rsidRPr="004E0FC4">
        <w:rPr>
          <w:rFonts w:ascii="Bookman Old Style" w:eastAsia="Bookman Old Style" w:hAnsi="Bookman Old Style" w:cs="Bookman Old Style"/>
          <w:i/>
          <w:iCs/>
          <w:color w:val="231F20"/>
          <w:sz w:val="18"/>
          <w:szCs w:val="18"/>
          <w:lang w:val="en-US" w:eastAsia="en-US" w:bidi="en-US"/>
        </w:rPr>
        <w:t>concessio</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разрешение (англ. </w:t>
      </w:r>
      <w:r w:rsidRPr="004E0FC4">
        <w:rPr>
          <w:rFonts w:ascii="Bookman Old Style" w:eastAsia="Bookman Old Style" w:hAnsi="Bookman Old Style" w:cs="Bookman Old Style"/>
          <w:i/>
          <w:iCs/>
          <w:color w:val="231F20"/>
          <w:sz w:val="18"/>
          <w:szCs w:val="18"/>
          <w:lang w:val="en-US" w:eastAsia="en-US" w:bidi="en-US"/>
        </w:rPr>
        <w:t>concession</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 имеет ряд значений: соглашение, послабление, уступка, скидка. В концессию могут передаваться предприятие, вид деятельности, право на оказание услуги. Можно выделить ряд характерных признаков концессии</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w:t>
      </w:r>
    </w:p>
    <w:p w14:paraId="23719408" w14:textId="77777777" w:rsidR="00350396" w:rsidRPr="004E0FC4" w:rsidRDefault="00350396" w:rsidP="004E0FC4">
      <w:pPr>
        <w:widowControl w:val="0"/>
        <w:numPr>
          <w:ilvl w:val="0"/>
          <w:numId w:val="48"/>
        </w:numPr>
        <w:tabs>
          <w:tab w:val="left" w:pos="627"/>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ее предметом всегда является государственная (муниципаль</w:t>
      </w:r>
      <w:r w:rsidRPr="004E0FC4">
        <w:rPr>
          <w:rFonts w:ascii="Bookman Old Style" w:eastAsia="Bookman Old Style" w:hAnsi="Bookman Old Style" w:cs="Bookman Old Style"/>
          <w:color w:val="231F20"/>
          <w:sz w:val="18"/>
          <w:szCs w:val="18"/>
        </w:rPr>
        <w:softHyphen/>
        <w:t>ная) собственность, а также монопольные виды деятельности госу</w:t>
      </w:r>
      <w:r w:rsidRPr="004E0FC4">
        <w:rPr>
          <w:rFonts w:ascii="Bookman Old Style" w:eastAsia="Bookman Old Style" w:hAnsi="Bookman Old Style" w:cs="Bookman Old Style"/>
          <w:color w:val="231F20"/>
          <w:sz w:val="18"/>
          <w:szCs w:val="18"/>
        </w:rPr>
        <w:softHyphen/>
        <w:t>дарства либо муниципального образования;</w:t>
      </w:r>
    </w:p>
    <w:p w14:paraId="5748B146" w14:textId="77777777" w:rsidR="00350396" w:rsidRPr="004E0FC4" w:rsidRDefault="00350396" w:rsidP="004E0FC4">
      <w:pPr>
        <w:widowControl w:val="0"/>
        <w:numPr>
          <w:ilvl w:val="0"/>
          <w:numId w:val="48"/>
        </w:numPr>
        <w:tabs>
          <w:tab w:val="left" w:pos="627"/>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одним из субъектов концессионного соглашения выступает государство или муниципалитет (в лице соответствующих органов исполнительной власти);</w:t>
      </w:r>
    </w:p>
    <w:p w14:paraId="1AC5B761" w14:textId="77777777" w:rsidR="00350396" w:rsidRPr="004E0FC4" w:rsidRDefault="00350396" w:rsidP="004E0FC4">
      <w:pPr>
        <w:widowControl w:val="0"/>
        <w:numPr>
          <w:ilvl w:val="0"/>
          <w:numId w:val="48"/>
        </w:numPr>
        <w:tabs>
          <w:tab w:val="left" w:pos="627"/>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цель концессии — удовлетворение общественных нужд и по</w:t>
      </w:r>
      <w:r w:rsidRPr="004E0FC4">
        <w:rPr>
          <w:rFonts w:ascii="Bookman Old Style" w:eastAsia="Bookman Old Style" w:hAnsi="Bookman Old Style" w:cs="Bookman Old Style"/>
          <w:color w:val="231F20"/>
          <w:sz w:val="18"/>
          <w:szCs w:val="18"/>
        </w:rPr>
        <w:softHyphen/>
        <w:t>требностей;</w:t>
      </w:r>
    </w:p>
    <w:p w14:paraId="2E18BBC3" w14:textId="77777777" w:rsidR="00350396" w:rsidRPr="004E0FC4" w:rsidRDefault="00350396" w:rsidP="004E0FC4">
      <w:pPr>
        <w:widowControl w:val="0"/>
        <w:numPr>
          <w:ilvl w:val="0"/>
          <w:numId w:val="48"/>
        </w:numPr>
        <w:tabs>
          <w:tab w:val="left" w:pos="627"/>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она всегда имеет договорную основу (концессионное согла</w:t>
      </w:r>
      <w:r w:rsidRPr="004E0FC4">
        <w:rPr>
          <w:rFonts w:ascii="Bookman Old Style" w:eastAsia="Bookman Old Style" w:hAnsi="Bookman Old Style" w:cs="Bookman Old Style"/>
          <w:color w:val="231F20"/>
          <w:sz w:val="18"/>
          <w:szCs w:val="18"/>
        </w:rPr>
        <w:softHyphen/>
        <w:t>шение);</w:t>
      </w:r>
    </w:p>
    <w:p w14:paraId="05E7F22C" w14:textId="77777777" w:rsidR="00350396" w:rsidRPr="004E0FC4" w:rsidRDefault="00350396" w:rsidP="004E0FC4">
      <w:pPr>
        <w:widowControl w:val="0"/>
        <w:numPr>
          <w:ilvl w:val="0"/>
          <w:numId w:val="48"/>
        </w:numPr>
        <w:tabs>
          <w:tab w:val="left" w:pos="627"/>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концессия опирается на возвратность предмета соглашения, который предоставляется частному партнеру за плату, определяе</w:t>
      </w:r>
      <w:r w:rsidRPr="004E0FC4">
        <w:rPr>
          <w:rFonts w:ascii="Bookman Old Style" w:eastAsia="Bookman Old Style" w:hAnsi="Bookman Old Style" w:cs="Bookman Old Style"/>
          <w:color w:val="231F20"/>
          <w:sz w:val="18"/>
          <w:szCs w:val="18"/>
        </w:rPr>
        <w:softHyphen/>
        <w:t>мую в соглашении.</w:t>
      </w:r>
    </w:p>
    <w:p w14:paraId="2E423CA8"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рамках концессии государство делегирует свои властные функции </w:t>
      </w:r>
      <w:r w:rsidRPr="004E0FC4">
        <w:rPr>
          <w:rFonts w:ascii="Bookman Old Style" w:eastAsia="Bookman Old Style" w:hAnsi="Bookman Old Style" w:cs="Bookman Old Style"/>
          <w:color w:val="231F20"/>
          <w:sz w:val="18"/>
          <w:szCs w:val="18"/>
        </w:rPr>
        <w:lastRenderedPageBreak/>
        <w:t>(исключительные суверенные права) частным партне</w:t>
      </w:r>
      <w:r w:rsidRPr="004E0FC4">
        <w:rPr>
          <w:rFonts w:ascii="Bookman Old Style" w:eastAsia="Bookman Old Style" w:hAnsi="Bookman Old Style" w:cs="Bookman Old Style"/>
          <w:color w:val="231F20"/>
          <w:sz w:val="18"/>
          <w:szCs w:val="18"/>
        </w:rPr>
        <w:softHyphen/>
        <w:t>рам. Исключительность прав, предоставляемых государством кон</w:t>
      </w:r>
      <w:r w:rsidRPr="004E0FC4">
        <w:rPr>
          <w:rFonts w:ascii="Bookman Old Style" w:eastAsia="Bookman Old Style" w:hAnsi="Bookman Old Style" w:cs="Bookman Old Style"/>
          <w:color w:val="231F20"/>
          <w:sz w:val="18"/>
          <w:szCs w:val="18"/>
        </w:rPr>
        <w:softHyphen/>
        <w:t>цессионеру (частному партнеру), заключается в том, что в рамках территории или вида деятельности, на которые он получает исклю</w:t>
      </w:r>
      <w:r w:rsidRPr="004E0FC4">
        <w:rPr>
          <w:rFonts w:ascii="Bookman Old Style" w:eastAsia="Bookman Old Style" w:hAnsi="Bookman Old Style" w:cs="Bookman Old Style"/>
          <w:color w:val="231F20"/>
          <w:sz w:val="18"/>
          <w:szCs w:val="18"/>
        </w:rPr>
        <w:softHyphen/>
        <w:t>чительное право, не допускается аналогичная деятельность любых третьих лиц, а также самого государства. Например, если в концес</w:t>
      </w:r>
      <w:r w:rsidRPr="004E0FC4">
        <w:rPr>
          <w:rFonts w:ascii="Bookman Old Style" w:eastAsia="Bookman Old Style" w:hAnsi="Bookman Old Style" w:cs="Bookman Old Style"/>
          <w:color w:val="231F20"/>
          <w:sz w:val="18"/>
          <w:szCs w:val="18"/>
        </w:rPr>
        <w:softHyphen/>
        <w:t>сию предоставлен участок леса или недр, то только концессионер имеет права извлекать прибыль от пользования данными ресурса</w:t>
      </w:r>
      <w:r w:rsidRPr="004E0FC4">
        <w:rPr>
          <w:rFonts w:ascii="Bookman Old Style" w:eastAsia="Bookman Old Style" w:hAnsi="Bookman Old Style" w:cs="Bookman Old Style"/>
          <w:color w:val="231F20"/>
          <w:sz w:val="18"/>
          <w:szCs w:val="18"/>
        </w:rPr>
        <w:softHyphen/>
        <w:t>ми на определенной территории.</w:t>
      </w:r>
    </w:p>
    <w:p w14:paraId="3E1DB520"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Однако такой порядок не должен означать, что концессионер действует бесконтрольно. Его действия обязаны подчиняться пу</w:t>
      </w:r>
      <w:r w:rsidRPr="004E0FC4">
        <w:rPr>
          <w:rFonts w:ascii="Bookman Old Style" w:eastAsia="Bookman Old Style" w:hAnsi="Bookman Old Style" w:cs="Bookman Old Style"/>
          <w:color w:val="231F20"/>
          <w:sz w:val="18"/>
          <w:szCs w:val="18"/>
        </w:rPr>
        <w:softHyphen/>
        <w:t>бличным интересам и соответствовать ряду базовых критери</w:t>
      </w:r>
      <w:r w:rsidRPr="004E0FC4">
        <w:rPr>
          <w:rFonts w:ascii="Bookman Old Style" w:eastAsia="Bookman Old Style" w:hAnsi="Bookman Old Style" w:cs="Bookman Old Style"/>
          <w:color w:val="231F20"/>
          <w:sz w:val="18"/>
          <w:szCs w:val="18"/>
        </w:rPr>
        <w:softHyphen/>
        <w:t>ев — обеспечения бесперебойности оказания услуг и их общедо</w:t>
      </w:r>
      <w:r w:rsidRPr="004E0FC4">
        <w:rPr>
          <w:rFonts w:ascii="Bookman Old Style" w:eastAsia="Bookman Old Style" w:hAnsi="Bookman Old Style" w:cs="Bookman Old Style"/>
          <w:color w:val="231F20"/>
          <w:sz w:val="18"/>
          <w:szCs w:val="18"/>
        </w:rPr>
        <w:softHyphen/>
        <w:t>ступности, недискриминации пользователей, равенства тарифов на одинаковые услуги. В противном случае обстоятельства, кото</w:t>
      </w:r>
      <w:r w:rsidRPr="004E0FC4">
        <w:rPr>
          <w:rFonts w:ascii="Bookman Old Style" w:eastAsia="Bookman Old Style" w:hAnsi="Bookman Old Style" w:cs="Bookman Old Style"/>
          <w:color w:val="231F20"/>
          <w:sz w:val="18"/>
          <w:szCs w:val="18"/>
        </w:rPr>
        <w:softHyphen/>
        <w:t xml:space="preserve">рые ставят под угрозу общественный интерес или причиняют ему ущерб, могут вызвать принятие государством мер, не обязательно </w:t>
      </w:r>
      <w:r w:rsidRPr="004E0FC4">
        <w:rPr>
          <w:rFonts w:ascii="Bookman Old Style" w:eastAsia="Bookman Old Style" w:hAnsi="Bookman Old Style" w:cs="Bookman Old Style"/>
          <w:color w:val="231F20"/>
          <w:sz w:val="18"/>
          <w:szCs w:val="18"/>
          <w:vertAlign w:val="superscript"/>
        </w:rPr>
        <w:footnoteReference w:id="77"/>
      </w:r>
      <w:r w:rsidRPr="004E0FC4">
        <w:rPr>
          <w:rFonts w:ascii="Bookman Old Style" w:eastAsia="Bookman Old Style" w:hAnsi="Bookman Old Style" w:cs="Bookman Old Style"/>
          <w:color w:val="231F20"/>
          <w:sz w:val="18"/>
          <w:szCs w:val="18"/>
        </w:rPr>
        <w:t xml:space="preserve"> оговоренных в соглашении, включая изъятие объекта концессион</w:t>
      </w:r>
      <w:r w:rsidRPr="004E0FC4">
        <w:rPr>
          <w:rFonts w:ascii="Bookman Old Style" w:eastAsia="Bookman Old Style" w:hAnsi="Bookman Old Style" w:cs="Bookman Old Style"/>
          <w:color w:val="231F20"/>
          <w:sz w:val="18"/>
          <w:szCs w:val="18"/>
        </w:rPr>
        <w:softHyphen/>
        <w:t>ного соглашения из пользования.</w:t>
      </w:r>
    </w:p>
    <w:p w14:paraId="14BA5A0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Концессии были распространены в дореволюционной России, а также в период нэпа в 1920-е гг. Как форма ГЧП концессии стали использоваться в современной России с 2000-х гг., особенно активно с принятием Федерального закона от 21.07.2005 № 115-ФЗ «О кон</w:t>
      </w:r>
      <w:r w:rsidRPr="004E0FC4">
        <w:rPr>
          <w:rFonts w:ascii="Bookman Old Style" w:eastAsia="Bookman Old Style" w:hAnsi="Bookman Old Style" w:cs="Bookman Old Style"/>
          <w:color w:val="231F20"/>
          <w:sz w:val="18"/>
          <w:szCs w:val="18"/>
        </w:rPr>
        <w:softHyphen/>
        <w:t>цессионных соглашениях» (далее — Закон о концессиях). Стоит отметить, что Закон о ГЧП был принят на 10 лет позднее, в июле 2015 г., с учетом многих нюансов и накопленного опыта исполне</w:t>
      </w:r>
      <w:r w:rsidRPr="004E0FC4">
        <w:rPr>
          <w:rFonts w:ascii="Bookman Old Style" w:eastAsia="Bookman Old Style" w:hAnsi="Bookman Old Style" w:cs="Bookman Old Style"/>
          <w:color w:val="231F20"/>
          <w:sz w:val="18"/>
          <w:szCs w:val="18"/>
        </w:rPr>
        <w:softHyphen/>
        <w:t>ния Закона о концессиях. Оба закона приняты с целью обеспечения привлечения инвестиций в экономику Российской Федерации, по</w:t>
      </w:r>
      <w:r w:rsidRPr="004E0FC4">
        <w:rPr>
          <w:rFonts w:ascii="Bookman Old Style" w:eastAsia="Bookman Old Style" w:hAnsi="Bookman Old Style" w:cs="Bookman Old Style"/>
          <w:color w:val="231F20"/>
          <w:sz w:val="18"/>
          <w:szCs w:val="18"/>
        </w:rPr>
        <w:softHyphen/>
        <w:t>вышения качества товаров, работ, услуг, обеспечение которыми по</w:t>
      </w:r>
      <w:r w:rsidRPr="004E0FC4">
        <w:rPr>
          <w:rFonts w:ascii="Bookman Old Style" w:eastAsia="Bookman Old Style" w:hAnsi="Bookman Old Style" w:cs="Bookman Old Style"/>
          <w:color w:val="231F20"/>
          <w:sz w:val="18"/>
          <w:szCs w:val="18"/>
        </w:rPr>
        <w:softHyphen/>
        <w:t>требителей относится к вопросам ведения органов государственной власти, органов местного самоуправления.</w:t>
      </w:r>
    </w:p>
    <w:p w14:paraId="4C1C8A5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Помимо участков недр и лесов концессии в современной России получили наибольшее распространение в инфраструктурных отрас</w:t>
      </w:r>
      <w:r w:rsidRPr="004E0FC4">
        <w:rPr>
          <w:rFonts w:ascii="Bookman Old Style" w:eastAsia="Bookman Old Style" w:hAnsi="Bookman Old Style" w:cs="Bookman Old Style"/>
          <w:color w:val="231F20"/>
          <w:sz w:val="18"/>
          <w:szCs w:val="18"/>
        </w:rPr>
        <w:softHyphen/>
        <w:t>лях, прежде всего в строительстве и управлении автомобильными дорогами. В инфраструктурных отраслях выделяют несколько видов концессий, включая концессии на управление уже существующими объектами инфраструктуры (без строительства и модернизации) и концессии, предусматривающие новое строительство или модер</w:t>
      </w:r>
      <w:r w:rsidRPr="004E0FC4">
        <w:rPr>
          <w:rFonts w:ascii="Bookman Old Style" w:eastAsia="Bookman Old Style" w:hAnsi="Bookman Old Style" w:cs="Bookman Old Style"/>
          <w:color w:val="231F20"/>
          <w:sz w:val="18"/>
          <w:szCs w:val="18"/>
        </w:rPr>
        <w:softHyphen/>
        <w:t>низацию инфраструктурных объектов. Различные варианты участия в инвестиционной и операционной деятельности (сооружение, экс</w:t>
      </w:r>
      <w:r w:rsidRPr="004E0FC4">
        <w:rPr>
          <w:rFonts w:ascii="Bookman Old Style" w:eastAsia="Bookman Old Style" w:hAnsi="Bookman Old Style" w:cs="Bookman Old Style"/>
          <w:color w:val="231F20"/>
          <w:sz w:val="18"/>
          <w:szCs w:val="18"/>
        </w:rPr>
        <w:softHyphen/>
        <w:t>плуатация, управление объектами) государства и частных концес</w:t>
      </w:r>
      <w:r w:rsidRPr="004E0FC4">
        <w:rPr>
          <w:rFonts w:ascii="Bookman Old Style" w:eastAsia="Bookman Old Style" w:hAnsi="Bookman Old Style" w:cs="Bookman Old Style"/>
          <w:color w:val="231F20"/>
          <w:sz w:val="18"/>
          <w:szCs w:val="18"/>
        </w:rPr>
        <w:softHyphen/>
        <w:t>сионеров сформировали множество вариантов возможных концес</w:t>
      </w:r>
      <w:r w:rsidRPr="004E0FC4">
        <w:rPr>
          <w:rFonts w:ascii="Bookman Old Style" w:eastAsia="Bookman Old Style" w:hAnsi="Bookman Old Style" w:cs="Bookman Old Style"/>
          <w:color w:val="231F20"/>
          <w:sz w:val="18"/>
          <w:szCs w:val="18"/>
        </w:rPr>
        <w:softHyphen/>
        <w:t>сионных отношений. При различных пропорциях государственного участия в сооружении объектов управление почти во всех случаях передается частной компании.</w:t>
      </w:r>
    </w:p>
    <w:p w14:paraId="7DF5317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мировой практике концессии часто применялись при соору</w:t>
      </w:r>
      <w:r w:rsidRPr="004E0FC4">
        <w:rPr>
          <w:rFonts w:ascii="Bookman Old Style" w:eastAsia="Bookman Old Style" w:hAnsi="Bookman Old Style" w:cs="Bookman Old Style"/>
          <w:color w:val="231F20"/>
          <w:sz w:val="18"/>
          <w:szCs w:val="18"/>
        </w:rPr>
        <w:softHyphen/>
        <w:t xml:space="preserve">жении автомагистралей, объектов водо-, газо- и теплоснабжения, в последнее </w:t>
      </w:r>
      <w:r w:rsidRPr="004E0FC4">
        <w:rPr>
          <w:rFonts w:ascii="Bookman Old Style" w:eastAsia="Bookman Old Style" w:hAnsi="Bookman Old Style" w:cs="Bookman Old Style"/>
          <w:color w:val="231F20"/>
          <w:sz w:val="18"/>
          <w:szCs w:val="18"/>
        </w:rPr>
        <w:lastRenderedPageBreak/>
        <w:t>время стали применяться в отраслях национальной обороны, образования, кабельного телевещания, общественного транспорта, а также при строительстве больниц, школ и других об</w:t>
      </w:r>
      <w:r w:rsidRPr="004E0FC4">
        <w:rPr>
          <w:rFonts w:ascii="Bookman Old Style" w:eastAsia="Bookman Old Style" w:hAnsi="Bookman Old Style" w:cs="Bookman Old Style"/>
          <w:color w:val="231F20"/>
          <w:sz w:val="18"/>
          <w:szCs w:val="18"/>
        </w:rPr>
        <w:softHyphen/>
        <w:t>щественных объектов с последующим управлением на долгосроч</w:t>
      </w:r>
      <w:r w:rsidRPr="004E0FC4">
        <w:rPr>
          <w:rFonts w:ascii="Bookman Old Style" w:eastAsia="Bookman Old Style" w:hAnsi="Bookman Old Style" w:cs="Bookman Old Style"/>
          <w:color w:val="231F20"/>
          <w:sz w:val="18"/>
          <w:szCs w:val="18"/>
        </w:rPr>
        <w:softHyphen/>
        <w:t>ной основе.</w:t>
      </w:r>
    </w:p>
    <w:p w14:paraId="4277324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России утверждены типовые концессионные соглашения в ряде отраслей: для автомобильных дорог и инженерных соору</w:t>
      </w:r>
      <w:r w:rsidRPr="004E0FC4">
        <w:rPr>
          <w:rFonts w:ascii="Bookman Old Style" w:eastAsia="Bookman Old Style" w:hAnsi="Bookman Old Style" w:cs="Bookman Old Style"/>
          <w:color w:val="231F20"/>
          <w:sz w:val="18"/>
          <w:szCs w:val="18"/>
        </w:rPr>
        <w:softHyphen/>
        <w:t>жений транспортной инфраструктуры (постановление Правитель</w:t>
      </w:r>
      <w:r w:rsidRPr="004E0FC4">
        <w:rPr>
          <w:rFonts w:ascii="Bookman Old Style" w:eastAsia="Bookman Old Style" w:hAnsi="Bookman Old Style" w:cs="Bookman Old Style"/>
          <w:color w:val="231F20"/>
          <w:sz w:val="18"/>
          <w:szCs w:val="18"/>
        </w:rPr>
        <w:softHyphen/>
        <w:t>ства РФ от 27.05.2006 № 319); для объектов образования (поста</w:t>
      </w:r>
      <w:r w:rsidRPr="004E0FC4">
        <w:rPr>
          <w:rFonts w:ascii="Bookman Old Style" w:eastAsia="Bookman Old Style" w:hAnsi="Bookman Old Style" w:cs="Bookman Old Style"/>
          <w:color w:val="231F20"/>
          <w:sz w:val="18"/>
          <w:szCs w:val="18"/>
        </w:rPr>
        <w:softHyphen/>
        <w:t>новление Правительства РФ от 11.11.2006 № 671); в отношении гидротехнических сооружений; морских и речных судов; морских и речных портов, гидротехнических сооружений портов (постанов</w:t>
      </w:r>
      <w:r w:rsidRPr="004E0FC4">
        <w:rPr>
          <w:rFonts w:ascii="Bookman Old Style" w:eastAsia="Bookman Old Style" w:hAnsi="Bookman Old Style" w:cs="Bookman Old Style"/>
          <w:color w:val="231F20"/>
          <w:sz w:val="18"/>
          <w:szCs w:val="18"/>
        </w:rPr>
        <w:softHyphen/>
        <w:t>ления Правительства РФ от 05.12.2006 № 745—747); для объектов культуры, спорта, организации отдыха граждан и туризма и иных объектов социально-культурного назначения (постановление Пра</w:t>
      </w:r>
      <w:r w:rsidRPr="004E0FC4">
        <w:rPr>
          <w:rFonts w:ascii="Bookman Old Style" w:eastAsia="Bookman Old Style" w:hAnsi="Bookman Old Style" w:cs="Bookman Old Style"/>
          <w:color w:val="231F20"/>
          <w:sz w:val="18"/>
          <w:szCs w:val="18"/>
        </w:rPr>
        <w:softHyphen/>
        <w:t>вительства РФ от 09.02.2007 № 90); для объектов здравоохранения (постановление Правительства РФ от 14.02.2009 № 138) и др.</w:t>
      </w:r>
    </w:p>
    <w:p w14:paraId="71D02FB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Непродолжительный период времени (1997—2006) концессии действовали в России для эксплуатации такого естественного при</w:t>
      </w:r>
      <w:r w:rsidRPr="004E0FC4">
        <w:rPr>
          <w:rFonts w:ascii="Bookman Old Style" w:eastAsia="Bookman Old Style" w:hAnsi="Bookman Old Style" w:cs="Bookman Old Style"/>
          <w:color w:val="231F20"/>
          <w:sz w:val="18"/>
          <w:szCs w:val="18"/>
        </w:rPr>
        <w:softHyphen/>
        <w:t xml:space="preserve">родного ресурса, как </w:t>
      </w:r>
      <w:r w:rsidRPr="004E0FC4">
        <w:rPr>
          <w:rFonts w:ascii="Bookman Old Style" w:eastAsia="Bookman Old Style" w:hAnsi="Bookman Old Style" w:cs="Bookman Old Style"/>
          <w:i/>
          <w:iCs/>
          <w:color w:val="231F20"/>
          <w:sz w:val="18"/>
          <w:szCs w:val="18"/>
        </w:rPr>
        <w:t>лес.</w:t>
      </w:r>
      <w:r w:rsidRPr="004E0FC4">
        <w:rPr>
          <w:rFonts w:ascii="Bookman Old Style" w:eastAsia="Bookman Old Style" w:hAnsi="Bookman Old Style" w:cs="Bookman Old Style"/>
          <w:color w:val="231F20"/>
          <w:sz w:val="18"/>
          <w:szCs w:val="18"/>
        </w:rPr>
        <w:t xml:space="preserve"> Принятый в 1997 г. Лесной кодекс Россий</w:t>
      </w:r>
      <w:r w:rsidRPr="004E0FC4">
        <w:rPr>
          <w:rFonts w:ascii="Bookman Old Style" w:eastAsia="Bookman Old Style" w:hAnsi="Bookman Old Style" w:cs="Bookman Old Style"/>
          <w:color w:val="231F20"/>
          <w:sz w:val="18"/>
          <w:szCs w:val="18"/>
        </w:rPr>
        <w:softHyphen/>
        <w:t>ской Федерации (ЛК РФ) допускал (гл. 6) предоставление гражда</w:t>
      </w:r>
      <w:r w:rsidRPr="004E0FC4">
        <w:rPr>
          <w:rFonts w:ascii="Bookman Old Style" w:eastAsia="Bookman Old Style" w:hAnsi="Bookman Old Style" w:cs="Bookman Old Style"/>
          <w:color w:val="231F20"/>
          <w:sz w:val="18"/>
          <w:szCs w:val="18"/>
        </w:rPr>
        <w:softHyphen/>
        <w:t>нам и юридическим лицам участков лесного фонда, в частности на правах концессии. Однако с развитием лесного законодательства в 2006 г. был принят новый (ныне действующий) ЛК РФ, в котором такой формы предоставления участков лесного фонда, как концес</w:t>
      </w:r>
      <w:r w:rsidRPr="004E0FC4">
        <w:rPr>
          <w:rFonts w:ascii="Bookman Old Style" w:eastAsia="Bookman Old Style" w:hAnsi="Bookman Old Style" w:cs="Bookman Old Style"/>
          <w:color w:val="231F20"/>
          <w:sz w:val="18"/>
          <w:szCs w:val="18"/>
        </w:rPr>
        <w:softHyphen/>
        <w:t>сия, уже не содержится. В дальнейшем следует ожидать, что та или иная форма государственно-частного партнерства будет востребо</w:t>
      </w:r>
      <w:r w:rsidRPr="004E0FC4">
        <w:rPr>
          <w:rFonts w:ascii="Bookman Old Style" w:eastAsia="Bookman Old Style" w:hAnsi="Bookman Old Style" w:cs="Bookman Old Style"/>
          <w:color w:val="231F20"/>
          <w:sz w:val="18"/>
          <w:szCs w:val="18"/>
        </w:rPr>
        <w:softHyphen/>
        <w:t>вана в целях стратегического управлении лесным хозяйством, так как в программных документах 2018 г.</w:t>
      </w:r>
      <w:r w:rsidRPr="004E0FC4">
        <w:rPr>
          <w:rFonts w:ascii="Bookman Old Style" w:eastAsia="Bookman Old Style" w:hAnsi="Bookman Old Style" w:cs="Bookman Old Style"/>
          <w:color w:val="231F20"/>
          <w:sz w:val="18"/>
          <w:szCs w:val="18"/>
          <w:vertAlign w:val="superscript"/>
        </w:rPr>
        <w:footnoteReference w:id="78"/>
      </w:r>
      <w:r w:rsidRPr="004E0FC4">
        <w:rPr>
          <w:rFonts w:ascii="Bookman Old Style" w:eastAsia="Bookman Old Style" w:hAnsi="Bookman Old Style" w:cs="Bookman Old Style"/>
          <w:color w:val="231F20"/>
          <w:sz w:val="18"/>
          <w:szCs w:val="18"/>
        </w:rPr>
        <w:t xml:space="preserve"> поставлена задача внедре</w:t>
      </w:r>
      <w:r w:rsidRPr="004E0FC4">
        <w:rPr>
          <w:rFonts w:ascii="Bookman Old Style" w:eastAsia="Bookman Old Style" w:hAnsi="Bookman Old Style" w:cs="Bookman Old Style"/>
          <w:color w:val="231F20"/>
          <w:sz w:val="18"/>
          <w:szCs w:val="18"/>
        </w:rPr>
        <w:softHyphen/>
        <w:t>ния интенсивной модели лесопользования, которая потребует зна</w:t>
      </w:r>
      <w:r w:rsidRPr="004E0FC4">
        <w:rPr>
          <w:rFonts w:ascii="Bookman Old Style" w:eastAsia="Bookman Old Style" w:hAnsi="Bookman Old Style" w:cs="Bookman Old Style"/>
          <w:color w:val="231F20"/>
          <w:sz w:val="18"/>
          <w:szCs w:val="18"/>
        </w:rPr>
        <w:softHyphen/>
        <w:t>чительных инвестиций.</w:t>
      </w:r>
    </w:p>
    <w:p w14:paraId="5AC4927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тех отраслях, где концессии в настоящее время применяются, темпы заключения новых соглашений достаточно велики. Недоста</w:t>
      </w:r>
      <w:r w:rsidRPr="004E0FC4">
        <w:rPr>
          <w:rFonts w:ascii="Bookman Old Style" w:eastAsia="Bookman Old Style" w:hAnsi="Bookman Old Style" w:cs="Bookman Old Style"/>
          <w:color w:val="231F20"/>
          <w:sz w:val="18"/>
          <w:szCs w:val="18"/>
        </w:rPr>
        <w:softHyphen/>
        <w:t>точная защита прав концессионеров, которая связывается и с дру</w:t>
      </w:r>
      <w:r w:rsidRPr="004E0FC4">
        <w:rPr>
          <w:rFonts w:ascii="Bookman Old Style" w:eastAsia="Bookman Old Style" w:hAnsi="Bookman Old Style" w:cs="Bookman Old Style"/>
          <w:color w:val="231F20"/>
          <w:sz w:val="18"/>
          <w:szCs w:val="18"/>
        </w:rPr>
        <w:softHyphen/>
        <w:t>гими рисками концессионной деятельности в инфраструктурных отраслях, вынуждает государственных партнеров в России вклады</w:t>
      </w:r>
      <w:r w:rsidRPr="004E0FC4">
        <w:rPr>
          <w:rFonts w:ascii="Bookman Old Style" w:eastAsia="Bookman Old Style" w:hAnsi="Bookman Old Style" w:cs="Bookman Old Style"/>
          <w:color w:val="231F20"/>
          <w:sz w:val="18"/>
          <w:szCs w:val="18"/>
        </w:rPr>
        <w:softHyphen/>
        <w:t>вать в строительство большую долю средств по сравнению со мно</w:t>
      </w:r>
      <w:r w:rsidRPr="004E0FC4">
        <w:rPr>
          <w:rFonts w:ascii="Bookman Old Style" w:eastAsia="Bookman Old Style" w:hAnsi="Bookman Old Style" w:cs="Bookman Old Style"/>
          <w:color w:val="231F20"/>
          <w:sz w:val="18"/>
          <w:szCs w:val="18"/>
        </w:rPr>
        <w:softHyphen/>
        <w:t>гими аналогичными концессионными проектами за рубежом.</w:t>
      </w:r>
    </w:p>
    <w:p w14:paraId="4232F42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Примеры концессий из мировой и общественной практики:</w:t>
      </w:r>
    </w:p>
    <w:p w14:paraId="37CD8D15" w14:textId="77777777" w:rsidR="00350396" w:rsidRPr="004E0FC4" w:rsidRDefault="00350396" w:rsidP="004E0FC4">
      <w:pPr>
        <w:widowControl w:val="0"/>
        <w:numPr>
          <w:ilvl w:val="0"/>
          <w:numId w:val="53"/>
        </w:numPr>
        <w:tabs>
          <w:tab w:val="left" w:pos="626"/>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туннель под проливом Ла-Манш. Заказчики — правительства Великобритании и Франции. Концессионер — англо-французский консорциум </w:t>
      </w:r>
      <w:r w:rsidRPr="004E0FC4">
        <w:rPr>
          <w:rFonts w:ascii="Bookman Old Style" w:eastAsia="Bookman Old Style" w:hAnsi="Bookman Old Style" w:cs="Bookman Old Style"/>
          <w:i/>
          <w:iCs/>
          <w:color w:val="231F20"/>
          <w:sz w:val="18"/>
          <w:szCs w:val="18"/>
          <w:lang w:val="en-US" w:eastAsia="en-US" w:bidi="en-US"/>
        </w:rPr>
        <w:t>Eurotunnel</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Group</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Соглашение подписано в 1986 г., от</w:t>
      </w:r>
      <w:r w:rsidRPr="004E0FC4">
        <w:rPr>
          <w:rFonts w:ascii="Bookman Old Style" w:eastAsia="Bookman Old Style" w:hAnsi="Bookman Old Style" w:cs="Bookman Old Style"/>
          <w:color w:val="231F20"/>
          <w:sz w:val="18"/>
          <w:szCs w:val="18"/>
        </w:rPr>
        <w:softHyphen/>
        <w:t>крытие тоннеля — состоялось в 1994 г. Кредиторы — 250 банков. Объем инвестиций в строительство — 10 млрд ф. ст. Частное фи</w:t>
      </w:r>
      <w:r w:rsidRPr="004E0FC4">
        <w:rPr>
          <w:rFonts w:ascii="Bookman Old Style" w:eastAsia="Bookman Old Style" w:hAnsi="Bookman Old Style" w:cs="Bookman Old Style"/>
          <w:color w:val="231F20"/>
          <w:sz w:val="18"/>
          <w:szCs w:val="18"/>
        </w:rPr>
        <w:softHyphen/>
        <w:t>нансирование — 100 %. Срок концессии — 99 лет;</w:t>
      </w:r>
    </w:p>
    <w:p w14:paraId="63AA1D58" w14:textId="77777777" w:rsidR="00350396" w:rsidRPr="004E0FC4" w:rsidRDefault="00350396" w:rsidP="004E0FC4">
      <w:pPr>
        <w:widowControl w:val="0"/>
        <w:numPr>
          <w:ilvl w:val="0"/>
          <w:numId w:val="53"/>
        </w:numPr>
        <w:tabs>
          <w:tab w:val="left" w:pos="626"/>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международный аэропорт Кай Так в Гонконге. Заказчик — правительство Гонконга. Концессионер — консорциум из четырех инвесторов. Год подписания соглашения — 1994. Объем инвести</w:t>
      </w:r>
      <w:r w:rsidRPr="004E0FC4">
        <w:rPr>
          <w:rFonts w:ascii="Bookman Old Style" w:eastAsia="Bookman Old Style" w:hAnsi="Bookman Old Style" w:cs="Bookman Old Style"/>
          <w:color w:val="231F20"/>
          <w:sz w:val="18"/>
          <w:szCs w:val="18"/>
        </w:rPr>
        <w:softHyphen/>
        <w:t>ций в строительство — 20 млрд долл. США;</w:t>
      </w:r>
    </w:p>
    <w:p w14:paraId="10349416" w14:textId="77777777" w:rsidR="00350396" w:rsidRPr="004E0FC4" w:rsidRDefault="00350396" w:rsidP="004E0FC4">
      <w:pPr>
        <w:widowControl w:val="0"/>
        <w:numPr>
          <w:ilvl w:val="0"/>
          <w:numId w:val="53"/>
        </w:numPr>
        <w:tabs>
          <w:tab w:val="left" w:pos="626"/>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России на федеральном уровне 17 июля 2009 г. подписано </w:t>
      </w:r>
      <w:r w:rsidRPr="004E0FC4">
        <w:rPr>
          <w:rFonts w:ascii="Bookman Old Style" w:eastAsia="Bookman Old Style" w:hAnsi="Bookman Old Style" w:cs="Bookman Old Style"/>
          <w:color w:val="231F20"/>
          <w:sz w:val="18"/>
          <w:szCs w:val="18"/>
        </w:rPr>
        <w:lastRenderedPageBreak/>
        <w:t>первое концессионное соглашение между ОАО «Главная дорога» и Федеральным дорожным агентством (Росавтодор) по реализа</w:t>
      </w:r>
      <w:r w:rsidRPr="004E0FC4">
        <w:rPr>
          <w:rFonts w:ascii="Bookman Old Style" w:eastAsia="Bookman Old Style" w:hAnsi="Bookman Old Style" w:cs="Bookman Old Style"/>
          <w:color w:val="231F20"/>
          <w:sz w:val="18"/>
          <w:szCs w:val="18"/>
        </w:rPr>
        <w:softHyphen/>
        <w:t>ции проекта «Строительство нового выхода на Московскую кольце</w:t>
      </w:r>
      <w:r w:rsidRPr="004E0FC4">
        <w:rPr>
          <w:rFonts w:ascii="Bookman Old Style" w:eastAsia="Bookman Old Style" w:hAnsi="Bookman Old Style" w:cs="Bookman Old Style"/>
          <w:color w:val="231F20"/>
          <w:sz w:val="18"/>
          <w:szCs w:val="18"/>
        </w:rPr>
        <w:softHyphen/>
        <w:t>вую автомобильную дорогу с федеральной автомобильной дороги М-1 «Беларусь» Москва — Минск». Срок действия концессионного соглашения составляет 30 лет, общая стоимость строительства ав</w:t>
      </w:r>
      <w:r w:rsidRPr="004E0FC4">
        <w:rPr>
          <w:rFonts w:ascii="Bookman Old Style" w:eastAsia="Bookman Old Style" w:hAnsi="Bookman Old Style" w:cs="Bookman Old Style"/>
          <w:color w:val="231F20"/>
          <w:sz w:val="18"/>
          <w:szCs w:val="18"/>
        </w:rPr>
        <w:softHyphen/>
        <w:t>тодороги — 25,7 млрд руб. Из них 11 млрд руб. выделено из средств</w:t>
      </w:r>
    </w:p>
    <w:p w14:paraId="4C21BEAC"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Инвестиционного фонда РФ, а оставшаяся часть — привлечена кон</w:t>
      </w:r>
      <w:r w:rsidRPr="004E0FC4">
        <w:rPr>
          <w:rFonts w:ascii="Bookman Old Style" w:eastAsia="Bookman Old Style" w:hAnsi="Bookman Old Style" w:cs="Bookman Old Style"/>
          <w:color w:val="231F20"/>
          <w:sz w:val="18"/>
          <w:szCs w:val="18"/>
        </w:rPr>
        <w:softHyphen/>
        <w:t>цессионером;</w:t>
      </w:r>
    </w:p>
    <w:p w14:paraId="459CAC8B" w14:textId="77777777" w:rsidR="00350396" w:rsidRPr="004E0FC4" w:rsidRDefault="00350396" w:rsidP="004E0FC4">
      <w:pPr>
        <w:widowControl w:val="0"/>
        <w:numPr>
          <w:ilvl w:val="0"/>
          <w:numId w:val="53"/>
        </w:numPr>
        <w:tabs>
          <w:tab w:val="left" w:pos="62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западный скоростной диаметр в Санкт-Петербурге достра</w:t>
      </w:r>
      <w:r w:rsidRPr="004E0FC4">
        <w:rPr>
          <w:rFonts w:ascii="Bookman Old Style" w:eastAsia="Bookman Old Style" w:hAnsi="Bookman Old Style" w:cs="Bookman Old Style"/>
          <w:color w:val="231F20"/>
          <w:sz w:val="18"/>
          <w:szCs w:val="18"/>
        </w:rPr>
        <w:softHyphen/>
        <w:t>ивается в рамках концессионного соглашения на региональном уровне. Между городом Санкт-Петербург, ООО «Магистраль север</w:t>
      </w:r>
      <w:r w:rsidRPr="004E0FC4">
        <w:rPr>
          <w:rFonts w:ascii="Bookman Old Style" w:eastAsia="Bookman Old Style" w:hAnsi="Bookman Old Style" w:cs="Bookman Old Style"/>
          <w:color w:val="231F20"/>
          <w:sz w:val="18"/>
          <w:szCs w:val="18"/>
        </w:rPr>
        <w:softHyphen/>
        <w:t>ной столицы» (далее консорциум) и ОАО «ЗСД» в 2011 г. заключено концессионное соглашение, в рамках которого консорциум обязует</w:t>
      </w:r>
      <w:r w:rsidRPr="004E0FC4">
        <w:rPr>
          <w:rFonts w:ascii="Bookman Old Style" w:eastAsia="Bookman Old Style" w:hAnsi="Bookman Old Style" w:cs="Bookman Old Style"/>
          <w:color w:val="231F20"/>
          <w:sz w:val="18"/>
          <w:szCs w:val="18"/>
        </w:rPr>
        <w:softHyphen/>
        <w:t>ся построить Центральный участок дороги, а затем эксплуатировать всю магистраль в течение 30 лет. По плану общий объем инвести</w:t>
      </w:r>
      <w:r w:rsidRPr="004E0FC4">
        <w:rPr>
          <w:rFonts w:ascii="Bookman Old Style" w:eastAsia="Bookman Old Style" w:hAnsi="Bookman Old Style" w:cs="Bookman Old Style"/>
          <w:color w:val="231F20"/>
          <w:sz w:val="18"/>
          <w:szCs w:val="18"/>
        </w:rPr>
        <w:softHyphen/>
        <w:t>ций в проект ЗСД составит 212,7 млрд руб., в том числе средства Инвестиционного фонда РФ — 50,7 млрд руб., средства бюджета Санкт-Петербурга — 54,1 млрд руб., частными партнерами будет привлечено 107,9 млрд руб.</w:t>
      </w:r>
    </w:p>
    <w:p w14:paraId="2694251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состоянию на начало 2020 г. в России, по данным Националь</w:t>
      </w:r>
      <w:r w:rsidRPr="004E0FC4">
        <w:rPr>
          <w:rFonts w:ascii="Bookman Old Style" w:eastAsia="Bookman Old Style" w:hAnsi="Bookman Old Style" w:cs="Bookman Old Style"/>
          <w:color w:val="231F20"/>
          <w:sz w:val="18"/>
          <w:szCs w:val="18"/>
        </w:rPr>
        <w:softHyphen/>
        <w:t xml:space="preserve">ного центра ГЧП, </w:t>
      </w:r>
      <w:r w:rsidRPr="004E0FC4">
        <w:rPr>
          <w:rFonts w:ascii="Bookman Old Style" w:eastAsia="Bookman Old Style" w:hAnsi="Bookman Old Style" w:cs="Bookman Old Style"/>
          <w:color w:val="231F20"/>
          <w:sz w:val="18"/>
          <w:szCs w:val="18"/>
          <w:highlight w:val="green"/>
        </w:rPr>
        <w:t>было</w:t>
      </w:r>
      <w:r w:rsidRPr="004E0FC4">
        <w:rPr>
          <w:rFonts w:ascii="Bookman Old Style" w:eastAsia="Bookman Old Style" w:hAnsi="Bookman Old Style" w:cs="Bookman Old Style"/>
          <w:color w:val="231F20"/>
          <w:sz w:val="18"/>
          <w:szCs w:val="18"/>
        </w:rPr>
        <w:t xml:space="preserve"> зарегистрировано и реализ</w:t>
      </w:r>
      <w:r w:rsidRPr="004E0FC4">
        <w:rPr>
          <w:rFonts w:ascii="Bookman Old Style" w:eastAsia="Bookman Old Style" w:hAnsi="Bookman Old Style" w:cs="Bookman Old Style"/>
          <w:color w:val="231F20"/>
          <w:sz w:val="18"/>
          <w:szCs w:val="18"/>
          <w:highlight w:val="green"/>
        </w:rPr>
        <w:t>овывалось</w:t>
      </w:r>
      <w:r w:rsidRPr="004E0FC4">
        <w:rPr>
          <w:rFonts w:ascii="Bookman Old Style" w:eastAsia="Bookman Old Style" w:hAnsi="Bookman Old Style" w:cs="Bookman Old Style"/>
          <w:color w:val="231F20"/>
          <w:sz w:val="18"/>
          <w:szCs w:val="18"/>
          <w:highlight w:val="red"/>
        </w:rPr>
        <w:t>уется</w:t>
      </w:r>
      <w:r w:rsidRPr="004E0FC4">
        <w:rPr>
          <w:rFonts w:ascii="Bookman Old Style" w:eastAsia="Bookman Old Style" w:hAnsi="Bookman Old Style" w:cs="Bookman Old Style"/>
          <w:color w:val="231F20"/>
          <w:sz w:val="18"/>
          <w:szCs w:val="18"/>
        </w:rPr>
        <w:t xml:space="preserve"> около 3,0 тыс. концессионных соглашений</w:t>
      </w:r>
      <w:r w:rsidRPr="004E0FC4">
        <w:rPr>
          <w:rFonts w:ascii="Bookman Old Style" w:eastAsia="Bookman Old Style" w:hAnsi="Bookman Old Style" w:cs="Bookman Old Style"/>
          <w:color w:val="231F20"/>
          <w:sz w:val="18"/>
          <w:szCs w:val="18"/>
          <w:highlight w:val="red"/>
        </w:rPr>
        <w:t>, которые распределяются в разрезе сфер и административного уровня власти по годам и по инвестици</w:t>
      </w:r>
      <w:r w:rsidRPr="004E0FC4">
        <w:rPr>
          <w:rFonts w:ascii="Bookman Old Style" w:eastAsia="Bookman Old Style" w:hAnsi="Bookman Old Style" w:cs="Bookman Old Style"/>
          <w:color w:val="231F20"/>
          <w:sz w:val="18"/>
          <w:szCs w:val="18"/>
          <w:highlight w:val="red"/>
        </w:rPr>
        <w:softHyphen/>
        <w:t>онной емкости, как показано в</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табл. 4.2—4.3</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и на</w:t>
      </w:r>
      <w:r w:rsidRPr="004E0FC4">
        <w:rPr>
          <w:rFonts w:ascii="Bookman Old Style" w:eastAsia="Bookman Old Style" w:hAnsi="Bookman Old Style" w:cs="Bookman Old Style"/>
          <w:color w:val="231F20"/>
          <w:sz w:val="18"/>
          <w:szCs w:val="18"/>
        </w:rPr>
        <w:t xml:space="preserve"> рис. 4.</w:t>
      </w:r>
      <w:r w:rsidRPr="004E0FC4">
        <w:rPr>
          <w:rFonts w:ascii="Bookman Old Style" w:eastAsia="Bookman Old Style" w:hAnsi="Bookman Old Style" w:cs="Bookman Old Style"/>
          <w:color w:val="231F20"/>
          <w:sz w:val="18"/>
          <w:szCs w:val="18"/>
          <w:highlight w:val="green"/>
        </w:rPr>
        <w:t>4)</w:t>
      </w:r>
      <w:r w:rsidRPr="004E0FC4">
        <w:rPr>
          <w:rFonts w:ascii="Bookman Old Style" w:eastAsia="Bookman Old Style" w:hAnsi="Bookman Old Style" w:cs="Bookman Old Style"/>
          <w:color w:val="231F20"/>
          <w:sz w:val="18"/>
          <w:szCs w:val="18"/>
        </w:rPr>
        <w:t>.</w:t>
      </w:r>
    </w:p>
    <w:p w14:paraId="1C5FBFF8"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i/>
          <w:iCs/>
          <w:color w:val="231F20"/>
          <w:sz w:val="18"/>
          <w:szCs w:val="18"/>
        </w:rPr>
        <w:t>Таблица 4.2</w:t>
      </w:r>
    </w:p>
    <w:p w14:paraId="2054540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lastRenderedPageBreak/>
        <w:t>Заключенные концессионные соглашения в разрезе сфер и административного уровня власти (на конец 2017 г.)</w:t>
      </w:r>
      <w:r w:rsidRPr="004E0FC4">
        <w:rPr>
          <w:rFonts w:ascii="Bookman Old Style" w:eastAsia="Arial Narrow" w:hAnsi="Bookman Old Style" w:cs="Arial Narrow"/>
          <w:b/>
          <w:bCs/>
          <w:color w:val="231F20"/>
          <w:sz w:val="18"/>
          <w:szCs w:val="18"/>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9"/>
        <w:gridCol w:w="566"/>
        <w:gridCol w:w="1133"/>
        <w:gridCol w:w="456"/>
        <w:gridCol w:w="1133"/>
        <w:gridCol w:w="341"/>
        <w:gridCol w:w="1142"/>
      </w:tblGrid>
      <w:tr w:rsidR="00350396" w:rsidRPr="004E0FC4" w14:paraId="27DEE7D8" w14:textId="77777777" w:rsidTr="006D7F71">
        <w:trPr>
          <w:trHeight w:hRule="exact" w:val="331"/>
          <w:jc w:val="center"/>
        </w:trPr>
        <w:tc>
          <w:tcPr>
            <w:tcW w:w="1819" w:type="dxa"/>
            <w:vMerge w:val="restart"/>
            <w:tcBorders>
              <w:top w:val="single" w:sz="4" w:space="0" w:color="auto"/>
              <w:left w:val="single" w:sz="4" w:space="0" w:color="auto"/>
            </w:tcBorders>
            <w:shd w:val="clear" w:color="auto" w:fill="FFFFFF"/>
          </w:tcPr>
          <w:p w14:paraId="5E295116"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Сферы</w:t>
            </w:r>
          </w:p>
        </w:tc>
        <w:tc>
          <w:tcPr>
            <w:tcW w:w="1699" w:type="dxa"/>
            <w:gridSpan w:val="2"/>
            <w:tcBorders>
              <w:top w:val="single" w:sz="4" w:space="0" w:color="auto"/>
              <w:left w:val="single" w:sz="4" w:space="0" w:color="auto"/>
            </w:tcBorders>
            <w:shd w:val="clear" w:color="auto" w:fill="FFFFFF"/>
            <w:vAlign w:val="bottom"/>
          </w:tcPr>
          <w:p w14:paraId="72189514"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Муниципальный</w:t>
            </w:r>
          </w:p>
        </w:tc>
        <w:tc>
          <w:tcPr>
            <w:tcW w:w="1589" w:type="dxa"/>
            <w:gridSpan w:val="2"/>
            <w:tcBorders>
              <w:top w:val="single" w:sz="4" w:space="0" w:color="auto"/>
              <w:left w:val="single" w:sz="4" w:space="0" w:color="auto"/>
            </w:tcBorders>
            <w:shd w:val="clear" w:color="auto" w:fill="FFFFFF"/>
            <w:vAlign w:val="bottom"/>
          </w:tcPr>
          <w:p w14:paraId="341C032C" w14:textId="77777777" w:rsidR="00350396" w:rsidRPr="004E0FC4" w:rsidRDefault="00350396" w:rsidP="004E0FC4">
            <w:pPr>
              <w:framePr w:w="6590" w:wrap="notBeside" w:vAnchor="text" w:hAnchor="text" w:xAlign="center" w:y="1"/>
              <w:widowControl w:val="0"/>
              <w:spacing w:line="176" w:lineRule="exact"/>
              <w:ind w:left="16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Региональный</w:t>
            </w:r>
          </w:p>
        </w:tc>
        <w:tc>
          <w:tcPr>
            <w:tcW w:w="1483" w:type="dxa"/>
            <w:gridSpan w:val="2"/>
            <w:tcBorders>
              <w:top w:val="single" w:sz="4" w:space="0" w:color="auto"/>
              <w:left w:val="single" w:sz="4" w:space="0" w:color="auto"/>
              <w:right w:val="single" w:sz="4" w:space="0" w:color="auto"/>
            </w:tcBorders>
            <w:shd w:val="clear" w:color="auto" w:fill="FFFFFF"/>
            <w:vAlign w:val="bottom"/>
          </w:tcPr>
          <w:p w14:paraId="31B27FD5"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Федеральный</w:t>
            </w:r>
          </w:p>
        </w:tc>
      </w:tr>
      <w:tr w:rsidR="00350396" w:rsidRPr="004E0FC4" w14:paraId="7E9D1D5A" w14:textId="77777777" w:rsidTr="006D7F71">
        <w:trPr>
          <w:trHeight w:hRule="exact" w:val="1205"/>
          <w:jc w:val="center"/>
        </w:trPr>
        <w:tc>
          <w:tcPr>
            <w:tcW w:w="1819" w:type="dxa"/>
            <w:vMerge/>
            <w:tcBorders>
              <w:left w:val="single" w:sz="4" w:space="0" w:color="auto"/>
            </w:tcBorders>
            <w:shd w:val="clear" w:color="auto" w:fill="FFFFFF"/>
          </w:tcPr>
          <w:p w14:paraId="2D711EA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tc>
        <w:tc>
          <w:tcPr>
            <w:tcW w:w="566" w:type="dxa"/>
            <w:tcBorders>
              <w:top w:val="single" w:sz="4" w:space="0" w:color="auto"/>
              <w:left w:val="single" w:sz="4" w:space="0" w:color="auto"/>
            </w:tcBorders>
            <w:shd w:val="clear" w:color="auto" w:fill="FFFFFF"/>
            <w:textDirection w:val="btLr"/>
          </w:tcPr>
          <w:p w14:paraId="67B22763"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количество</w:t>
            </w:r>
          </w:p>
        </w:tc>
        <w:tc>
          <w:tcPr>
            <w:tcW w:w="1133" w:type="dxa"/>
            <w:tcBorders>
              <w:top w:val="single" w:sz="4" w:space="0" w:color="auto"/>
              <w:left w:val="single" w:sz="4" w:space="0" w:color="auto"/>
            </w:tcBorders>
            <w:shd w:val="clear" w:color="auto" w:fill="FFFFFF"/>
            <w:vAlign w:val="bottom"/>
          </w:tcPr>
          <w:p w14:paraId="389DF3AE"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w:t>
            </w:r>
          </w:p>
          <w:p w14:paraId="1E9A3793"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частных</w:t>
            </w:r>
          </w:p>
          <w:p w14:paraId="1D52C252"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инве</w:t>
            </w:r>
            <w:r w:rsidRPr="004E0FC4">
              <w:rPr>
                <w:rFonts w:ascii="Bookman Old Style" w:eastAsia="Bookman Old Style" w:hAnsi="Bookman Old Style" w:cs="Bookman Old Style"/>
                <w:b/>
                <w:bCs/>
                <w:color w:val="231F20"/>
                <w:sz w:val="18"/>
                <w:szCs w:val="18"/>
              </w:rPr>
              <w:softHyphen/>
              <w:t>стиций (тыс. руб.)</w:t>
            </w:r>
          </w:p>
        </w:tc>
        <w:tc>
          <w:tcPr>
            <w:tcW w:w="456" w:type="dxa"/>
            <w:tcBorders>
              <w:top w:val="single" w:sz="4" w:space="0" w:color="auto"/>
              <w:left w:val="single" w:sz="4" w:space="0" w:color="auto"/>
            </w:tcBorders>
            <w:shd w:val="clear" w:color="auto" w:fill="FFFFFF"/>
            <w:textDirection w:val="btLr"/>
          </w:tcPr>
          <w:p w14:paraId="0AF574F2"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количество</w:t>
            </w:r>
          </w:p>
        </w:tc>
        <w:tc>
          <w:tcPr>
            <w:tcW w:w="1133" w:type="dxa"/>
            <w:tcBorders>
              <w:top w:val="single" w:sz="4" w:space="0" w:color="auto"/>
              <w:left w:val="single" w:sz="4" w:space="0" w:color="auto"/>
            </w:tcBorders>
            <w:shd w:val="clear" w:color="auto" w:fill="FFFFFF"/>
            <w:vAlign w:val="bottom"/>
          </w:tcPr>
          <w:p w14:paraId="05942163"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w:t>
            </w:r>
          </w:p>
          <w:p w14:paraId="1ED192A8"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частных</w:t>
            </w:r>
          </w:p>
          <w:p w14:paraId="68F3F9A4"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инвести</w:t>
            </w:r>
            <w:r w:rsidRPr="004E0FC4">
              <w:rPr>
                <w:rFonts w:ascii="Bookman Old Style" w:eastAsia="Bookman Old Style" w:hAnsi="Bookman Old Style" w:cs="Bookman Old Style"/>
                <w:b/>
                <w:bCs/>
                <w:color w:val="231F20"/>
                <w:sz w:val="18"/>
                <w:szCs w:val="18"/>
              </w:rPr>
              <w:softHyphen/>
            </w:r>
          </w:p>
          <w:p w14:paraId="72BCF4C6"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ций</w:t>
            </w:r>
          </w:p>
          <w:p w14:paraId="560734DB"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(тыс. руб.)</w:t>
            </w:r>
          </w:p>
        </w:tc>
        <w:tc>
          <w:tcPr>
            <w:tcW w:w="341" w:type="dxa"/>
            <w:tcBorders>
              <w:top w:val="single" w:sz="4" w:space="0" w:color="auto"/>
              <w:left w:val="single" w:sz="4" w:space="0" w:color="auto"/>
            </w:tcBorders>
            <w:shd w:val="clear" w:color="auto" w:fill="FFFFFF"/>
            <w:textDirection w:val="btLr"/>
          </w:tcPr>
          <w:p w14:paraId="6D83A92C"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количество</w:t>
            </w:r>
          </w:p>
        </w:tc>
        <w:tc>
          <w:tcPr>
            <w:tcW w:w="1142" w:type="dxa"/>
            <w:tcBorders>
              <w:top w:val="single" w:sz="4" w:space="0" w:color="auto"/>
              <w:left w:val="single" w:sz="4" w:space="0" w:color="auto"/>
              <w:right w:val="single" w:sz="4" w:space="0" w:color="auto"/>
            </w:tcBorders>
            <w:shd w:val="clear" w:color="auto" w:fill="FFFFFF"/>
            <w:vAlign w:val="bottom"/>
          </w:tcPr>
          <w:p w14:paraId="6EFDE13C"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w:t>
            </w:r>
          </w:p>
          <w:p w14:paraId="1CB6BC80"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частных</w:t>
            </w:r>
          </w:p>
          <w:p w14:paraId="296A3E29"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инвести</w:t>
            </w:r>
            <w:r w:rsidRPr="004E0FC4">
              <w:rPr>
                <w:rFonts w:ascii="Bookman Old Style" w:eastAsia="Bookman Old Style" w:hAnsi="Bookman Old Style" w:cs="Bookman Old Style"/>
                <w:b/>
                <w:bCs/>
                <w:color w:val="231F20"/>
                <w:sz w:val="18"/>
                <w:szCs w:val="18"/>
              </w:rPr>
              <w:softHyphen/>
            </w:r>
          </w:p>
          <w:p w14:paraId="6BDF858E"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ций</w:t>
            </w:r>
          </w:p>
          <w:p w14:paraId="7913908B"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(тыс. руб.)</w:t>
            </w:r>
          </w:p>
        </w:tc>
      </w:tr>
      <w:tr w:rsidR="00350396" w:rsidRPr="004E0FC4" w14:paraId="56AC702A" w14:textId="77777777" w:rsidTr="006D7F71">
        <w:trPr>
          <w:trHeight w:hRule="exact" w:val="326"/>
          <w:jc w:val="center"/>
        </w:trPr>
        <w:tc>
          <w:tcPr>
            <w:tcW w:w="1819" w:type="dxa"/>
            <w:tcBorders>
              <w:top w:val="single" w:sz="4" w:space="0" w:color="auto"/>
              <w:left w:val="single" w:sz="4" w:space="0" w:color="auto"/>
            </w:tcBorders>
            <w:shd w:val="clear" w:color="auto" w:fill="FFFFFF"/>
            <w:vAlign w:val="center"/>
          </w:tcPr>
          <w:p w14:paraId="6C7C0572"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Социальная</w:t>
            </w:r>
          </w:p>
        </w:tc>
        <w:tc>
          <w:tcPr>
            <w:tcW w:w="566" w:type="dxa"/>
            <w:tcBorders>
              <w:top w:val="single" w:sz="4" w:space="0" w:color="auto"/>
              <w:left w:val="single" w:sz="4" w:space="0" w:color="auto"/>
            </w:tcBorders>
            <w:shd w:val="clear" w:color="auto" w:fill="FFFFFF"/>
            <w:vAlign w:val="center"/>
          </w:tcPr>
          <w:p w14:paraId="6CE9DB13" w14:textId="77777777" w:rsidR="00350396" w:rsidRPr="004E0FC4" w:rsidRDefault="00350396" w:rsidP="004E0FC4">
            <w:pPr>
              <w:framePr w:w="6590" w:wrap="notBeside" w:vAnchor="text" w:hAnchor="text" w:xAlign="center" w:y="1"/>
              <w:widowControl w:val="0"/>
              <w:spacing w:line="192" w:lineRule="exact"/>
              <w:ind w:left="22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94</w:t>
            </w:r>
          </w:p>
        </w:tc>
        <w:tc>
          <w:tcPr>
            <w:tcW w:w="1133" w:type="dxa"/>
            <w:tcBorders>
              <w:top w:val="single" w:sz="4" w:space="0" w:color="auto"/>
              <w:left w:val="single" w:sz="4" w:space="0" w:color="auto"/>
            </w:tcBorders>
            <w:shd w:val="clear" w:color="auto" w:fill="FFFFFF"/>
            <w:vAlign w:val="center"/>
          </w:tcPr>
          <w:p w14:paraId="6286610F" w14:textId="77777777" w:rsidR="00350396" w:rsidRPr="004E0FC4" w:rsidRDefault="00350396" w:rsidP="004E0FC4">
            <w:pPr>
              <w:framePr w:w="6590"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4 511 120</w:t>
            </w:r>
          </w:p>
        </w:tc>
        <w:tc>
          <w:tcPr>
            <w:tcW w:w="456" w:type="dxa"/>
            <w:tcBorders>
              <w:top w:val="single" w:sz="4" w:space="0" w:color="auto"/>
              <w:left w:val="single" w:sz="4" w:space="0" w:color="auto"/>
            </w:tcBorders>
            <w:shd w:val="clear" w:color="auto" w:fill="FFFFFF"/>
            <w:vAlign w:val="center"/>
          </w:tcPr>
          <w:p w14:paraId="584671B6" w14:textId="77777777" w:rsidR="00350396" w:rsidRPr="004E0FC4" w:rsidRDefault="00350396" w:rsidP="004E0FC4">
            <w:pPr>
              <w:framePr w:w="6590"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49</w:t>
            </w:r>
          </w:p>
        </w:tc>
        <w:tc>
          <w:tcPr>
            <w:tcW w:w="1133" w:type="dxa"/>
            <w:tcBorders>
              <w:top w:val="single" w:sz="4" w:space="0" w:color="auto"/>
              <w:left w:val="single" w:sz="4" w:space="0" w:color="auto"/>
            </w:tcBorders>
            <w:shd w:val="clear" w:color="auto" w:fill="FFFFFF"/>
            <w:vAlign w:val="center"/>
          </w:tcPr>
          <w:p w14:paraId="21853739"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25 198 289</w:t>
            </w:r>
          </w:p>
        </w:tc>
        <w:tc>
          <w:tcPr>
            <w:tcW w:w="341" w:type="dxa"/>
            <w:tcBorders>
              <w:top w:val="single" w:sz="4" w:space="0" w:color="auto"/>
              <w:left w:val="single" w:sz="4" w:space="0" w:color="auto"/>
            </w:tcBorders>
            <w:shd w:val="clear" w:color="auto" w:fill="FFFFFF"/>
            <w:vAlign w:val="center"/>
          </w:tcPr>
          <w:p w14:paraId="0EA452F6"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w:t>
            </w:r>
          </w:p>
        </w:tc>
        <w:tc>
          <w:tcPr>
            <w:tcW w:w="1142" w:type="dxa"/>
            <w:tcBorders>
              <w:top w:val="single" w:sz="4" w:space="0" w:color="auto"/>
              <w:left w:val="single" w:sz="4" w:space="0" w:color="auto"/>
              <w:right w:val="single" w:sz="4" w:space="0" w:color="auto"/>
            </w:tcBorders>
            <w:shd w:val="clear" w:color="auto" w:fill="FFFFFF"/>
            <w:vAlign w:val="center"/>
          </w:tcPr>
          <w:p w14:paraId="510F6542" w14:textId="77777777" w:rsidR="00350396" w:rsidRPr="004E0FC4" w:rsidRDefault="00350396" w:rsidP="004E0FC4">
            <w:pPr>
              <w:framePr w:w="6590" w:wrap="notBeside" w:vAnchor="text" w:hAnchor="text" w:xAlign="center" w:y="1"/>
              <w:widowControl w:val="0"/>
              <w:spacing w:line="192" w:lineRule="exact"/>
              <w:ind w:left="1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3 077 000</w:t>
            </w:r>
          </w:p>
        </w:tc>
      </w:tr>
      <w:tr w:rsidR="00350396" w:rsidRPr="004E0FC4" w14:paraId="7A2DF63A" w14:textId="77777777" w:rsidTr="006D7F71">
        <w:trPr>
          <w:trHeight w:hRule="exact" w:val="326"/>
          <w:jc w:val="center"/>
        </w:trPr>
        <w:tc>
          <w:tcPr>
            <w:tcW w:w="1819" w:type="dxa"/>
            <w:tcBorders>
              <w:top w:val="single" w:sz="4" w:space="0" w:color="auto"/>
              <w:left w:val="single" w:sz="4" w:space="0" w:color="auto"/>
            </w:tcBorders>
            <w:shd w:val="clear" w:color="auto" w:fill="FFFFFF"/>
            <w:vAlign w:val="center"/>
          </w:tcPr>
          <w:p w14:paraId="3057D745"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Транспортная</w:t>
            </w:r>
          </w:p>
        </w:tc>
        <w:tc>
          <w:tcPr>
            <w:tcW w:w="566" w:type="dxa"/>
            <w:tcBorders>
              <w:top w:val="single" w:sz="4" w:space="0" w:color="auto"/>
              <w:left w:val="single" w:sz="4" w:space="0" w:color="auto"/>
            </w:tcBorders>
            <w:shd w:val="clear" w:color="auto" w:fill="FFFFFF"/>
            <w:vAlign w:val="center"/>
          </w:tcPr>
          <w:p w14:paraId="34EA4E01" w14:textId="77777777" w:rsidR="00350396" w:rsidRPr="004E0FC4" w:rsidRDefault="00350396" w:rsidP="004E0FC4">
            <w:pPr>
              <w:framePr w:w="6590" w:wrap="notBeside" w:vAnchor="text" w:hAnchor="text" w:xAlign="center" w:y="1"/>
              <w:widowControl w:val="0"/>
              <w:spacing w:line="192" w:lineRule="exact"/>
              <w:ind w:left="22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15</w:t>
            </w:r>
          </w:p>
        </w:tc>
        <w:tc>
          <w:tcPr>
            <w:tcW w:w="1133" w:type="dxa"/>
            <w:tcBorders>
              <w:top w:val="single" w:sz="4" w:space="0" w:color="auto"/>
              <w:left w:val="single" w:sz="4" w:space="0" w:color="auto"/>
            </w:tcBorders>
            <w:shd w:val="clear" w:color="auto" w:fill="FFFFFF"/>
            <w:vAlign w:val="center"/>
          </w:tcPr>
          <w:p w14:paraId="1BBF5156" w14:textId="77777777" w:rsidR="00350396" w:rsidRPr="004E0FC4" w:rsidRDefault="00350396" w:rsidP="004E0FC4">
            <w:pPr>
              <w:framePr w:w="6590" w:wrap="notBeside" w:vAnchor="text" w:hAnchor="text" w:xAlign="center" w:y="1"/>
              <w:widowControl w:val="0"/>
              <w:spacing w:line="192" w:lineRule="exact"/>
              <w:ind w:left="20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5 813 223</w:t>
            </w:r>
          </w:p>
        </w:tc>
        <w:tc>
          <w:tcPr>
            <w:tcW w:w="456" w:type="dxa"/>
            <w:tcBorders>
              <w:top w:val="single" w:sz="4" w:space="0" w:color="auto"/>
              <w:left w:val="single" w:sz="4" w:space="0" w:color="auto"/>
            </w:tcBorders>
            <w:shd w:val="clear" w:color="auto" w:fill="FFFFFF"/>
            <w:vAlign w:val="center"/>
          </w:tcPr>
          <w:p w14:paraId="15A002F9" w14:textId="77777777" w:rsidR="00350396" w:rsidRPr="004E0FC4" w:rsidRDefault="00350396" w:rsidP="004E0FC4">
            <w:pPr>
              <w:framePr w:w="6590"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15</w:t>
            </w:r>
          </w:p>
        </w:tc>
        <w:tc>
          <w:tcPr>
            <w:tcW w:w="1133" w:type="dxa"/>
            <w:tcBorders>
              <w:top w:val="single" w:sz="4" w:space="0" w:color="auto"/>
              <w:left w:val="single" w:sz="4" w:space="0" w:color="auto"/>
            </w:tcBorders>
            <w:shd w:val="clear" w:color="auto" w:fill="FFFFFF"/>
            <w:vAlign w:val="center"/>
          </w:tcPr>
          <w:p w14:paraId="369EBCCF"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147 405 574</w:t>
            </w:r>
          </w:p>
        </w:tc>
        <w:tc>
          <w:tcPr>
            <w:tcW w:w="341" w:type="dxa"/>
            <w:tcBorders>
              <w:top w:val="single" w:sz="4" w:space="0" w:color="auto"/>
              <w:left w:val="single" w:sz="4" w:space="0" w:color="auto"/>
            </w:tcBorders>
            <w:shd w:val="clear" w:color="auto" w:fill="FFFFFF"/>
            <w:vAlign w:val="center"/>
          </w:tcPr>
          <w:p w14:paraId="02BE2D71"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w:t>
            </w:r>
          </w:p>
        </w:tc>
        <w:tc>
          <w:tcPr>
            <w:tcW w:w="1142" w:type="dxa"/>
            <w:tcBorders>
              <w:top w:val="single" w:sz="4" w:space="0" w:color="auto"/>
              <w:left w:val="single" w:sz="4" w:space="0" w:color="auto"/>
              <w:right w:val="single" w:sz="4" w:space="0" w:color="auto"/>
            </w:tcBorders>
            <w:shd w:val="clear" w:color="auto" w:fill="FFFFFF"/>
            <w:vAlign w:val="center"/>
          </w:tcPr>
          <w:p w14:paraId="54E1EC2A"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134 541 000</w:t>
            </w:r>
          </w:p>
        </w:tc>
      </w:tr>
      <w:tr w:rsidR="00350396" w:rsidRPr="004E0FC4" w14:paraId="18B9AFAF" w14:textId="77777777" w:rsidTr="006D7F71">
        <w:trPr>
          <w:trHeight w:hRule="exact" w:val="763"/>
          <w:jc w:val="center"/>
        </w:trPr>
        <w:tc>
          <w:tcPr>
            <w:tcW w:w="1819" w:type="dxa"/>
            <w:tcBorders>
              <w:top w:val="single" w:sz="4" w:space="0" w:color="auto"/>
              <w:left w:val="single" w:sz="4" w:space="0" w:color="auto"/>
            </w:tcBorders>
            <w:shd w:val="clear" w:color="auto" w:fill="FFFFFF"/>
            <w:vAlign w:val="center"/>
          </w:tcPr>
          <w:p w14:paraId="504C0049"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Информационные системы </w:t>
            </w:r>
            <w:r w:rsidRPr="004E0FC4">
              <w:rPr>
                <w:rFonts w:ascii="Bookman Old Style" w:eastAsia="Bookman Old Style" w:hAnsi="Bookman Old Style" w:cs="Bookman Old Style"/>
                <w:color w:val="231F20"/>
                <w:sz w:val="18"/>
                <w:szCs w:val="18"/>
                <w:lang w:val="en-US" w:eastAsia="en-US" w:bidi="en-US"/>
              </w:rPr>
              <w:t>(IT</w:t>
            </w:r>
            <w:r w:rsidRPr="004E0FC4">
              <w:rPr>
                <w:rFonts w:ascii="Bookman Old Style" w:eastAsia="Bookman Old Style" w:hAnsi="Bookman Old Style" w:cs="Bookman Old Style"/>
                <w:color w:val="231F20"/>
                <w:sz w:val="18"/>
                <w:szCs w:val="18"/>
              </w:rPr>
              <w:t>- инфраструктура)</w:t>
            </w:r>
          </w:p>
        </w:tc>
        <w:tc>
          <w:tcPr>
            <w:tcW w:w="566" w:type="dxa"/>
            <w:tcBorders>
              <w:top w:val="single" w:sz="4" w:space="0" w:color="auto"/>
              <w:left w:val="single" w:sz="4" w:space="0" w:color="auto"/>
            </w:tcBorders>
            <w:shd w:val="clear" w:color="auto" w:fill="FFFFFF"/>
          </w:tcPr>
          <w:p w14:paraId="0EB3DC0C" w14:textId="77777777" w:rsidR="00350396" w:rsidRPr="004E0FC4" w:rsidRDefault="00350396" w:rsidP="004E0FC4">
            <w:pPr>
              <w:framePr w:w="6590" w:wrap="notBeside" w:vAnchor="text" w:hAnchor="text" w:xAlign="center" w:y="1"/>
              <w:widowControl w:val="0"/>
              <w:spacing w:line="192" w:lineRule="exact"/>
              <w:ind w:left="22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w:t>
            </w:r>
          </w:p>
        </w:tc>
        <w:tc>
          <w:tcPr>
            <w:tcW w:w="1133" w:type="dxa"/>
            <w:tcBorders>
              <w:top w:val="single" w:sz="4" w:space="0" w:color="auto"/>
              <w:left w:val="single" w:sz="4" w:space="0" w:color="auto"/>
            </w:tcBorders>
            <w:shd w:val="clear" w:color="auto" w:fill="FFFFFF"/>
          </w:tcPr>
          <w:p w14:paraId="250D5E93"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61 577</w:t>
            </w:r>
          </w:p>
        </w:tc>
        <w:tc>
          <w:tcPr>
            <w:tcW w:w="456" w:type="dxa"/>
            <w:tcBorders>
              <w:top w:val="single" w:sz="4" w:space="0" w:color="auto"/>
              <w:left w:val="single" w:sz="4" w:space="0" w:color="auto"/>
            </w:tcBorders>
            <w:shd w:val="clear" w:color="auto" w:fill="FFFFFF"/>
          </w:tcPr>
          <w:p w14:paraId="0CF1F94F" w14:textId="77777777" w:rsidR="00350396" w:rsidRPr="004E0FC4" w:rsidRDefault="00350396" w:rsidP="004E0FC4">
            <w:pPr>
              <w:framePr w:w="6590"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8</w:t>
            </w:r>
          </w:p>
        </w:tc>
        <w:tc>
          <w:tcPr>
            <w:tcW w:w="1133" w:type="dxa"/>
            <w:tcBorders>
              <w:top w:val="single" w:sz="4" w:space="0" w:color="auto"/>
              <w:left w:val="single" w:sz="4" w:space="0" w:color="auto"/>
            </w:tcBorders>
            <w:shd w:val="clear" w:color="auto" w:fill="FFFFFF"/>
          </w:tcPr>
          <w:p w14:paraId="39F5FF40"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10 450 287</w:t>
            </w:r>
          </w:p>
        </w:tc>
        <w:tc>
          <w:tcPr>
            <w:tcW w:w="341" w:type="dxa"/>
            <w:tcBorders>
              <w:top w:val="single" w:sz="4" w:space="0" w:color="auto"/>
              <w:left w:val="single" w:sz="4" w:space="0" w:color="auto"/>
            </w:tcBorders>
            <w:shd w:val="clear" w:color="auto" w:fill="FFFFFF"/>
          </w:tcPr>
          <w:p w14:paraId="2D4E12E4"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1142" w:type="dxa"/>
            <w:tcBorders>
              <w:top w:val="single" w:sz="4" w:space="0" w:color="auto"/>
              <w:left w:val="single" w:sz="4" w:space="0" w:color="auto"/>
              <w:right w:val="single" w:sz="4" w:space="0" w:color="auto"/>
            </w:tcBorders>
            <w:shd w:val="clear" w:color="auto" w:fill="FFFFFF"/>
          </w:tcPr>
          <w:p w14:paraId="27378A19"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28 900 000</w:t>
            </w:r>
          </w:p>
        </w:tc>
      </w:tr>
      <w:tr w:rsidR="00350396" w:rsidRPr="004E0FC4" w14:paraId="4A24EAAC" w14:textId="77777777" w:rsidTr="006D7F71">
        <w:trPr>
          <w:trHeight w:hRule="exact" w:val="547"/>
          <w:jc w:val="center"/>
        </w:trPr>
        <w:tc>
          <w:tcPr>
            <w:tcW w:w="1819" w:type="dxa"/>
            <w:tcBorders>
              <w:top w:val="single" w:sz="4" w:space="0" w:color="auto"/>
              <w:left w:val="single" w:sz="4" w:space="0" w:color="auto"/>
            </w:tcBorders>
            <w:shd w:val="clear" w:color="auto" w:fill="FFFFFF"/>
            <w:vAlign w:val="center"/>
          </w:tcPr>
          <w:p w14:paraId="269594CF"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Коммунально-энер</w:t>
            </w:r>
            <w:r w:rsidRPr="004E0FC4">
              <w:rPr>
                <w:rFonts w:ascii="Bookman Old Style" w:eastAsia="Bookman Old Style" w:hAnsi="Bookman Old Style" w:cs="Bookman Old Style"/>
                <w:color w:val="231F20"/>
                <w:sz w:val="18"/>
                <w:szCs w:val="18"/>
              </w:rPr>
              <w:softHyphen/>
            </w:r>
          </w:p>
          <w:p w14:paraId="537A8092"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гетическая</w:t>
            </w:r>
          </w:p>
        </w:tc>
        <w:tc>
          <w:tcPr>
            <w:tcW w:w="566" w:type="dxa"/>
            <w:tcBorders>
              <w:top w:val="single" w:sz="4" w:space="0" w:color="auto"/>
              <w:left w:val="single" w:sz="4" w:space="0" w:color="auto"/>
            </w:tcBorders>
            <w:shd w:val="clear" w:color="auto" w:fill="FFFFFF"/>
          </w:tcPr>
          <w:p w14:paraId="1DA343CC"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2256</w:t>
            </w:r>
          </w:p>
        </w:tc>
        <w:tc>
          <w:tcPr>
            <w:tcW w:w="1133" w:type="dxa"/>
            <w:tcBorders>
              <w:top w:val="single" w:sz="4" w:space="0" w:color="auto"/>
              <w:left w:val="single" w:sz="4" w:space="0" w:color="auto"/>
            </w:tcBorders>
            <w:shd w:val="clear" w:color="auto" w:fill="FFFFFF"/>
          </w:tcPr>
          <w:p w14:paraId="1B6CAC06"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237 708 484</w:t>
            </w:r>
          </w:p>
        </w:tc>
        <w:tc>
          <w:tcPr>
            <w:tcW w:w="456" w:type="dxa"/>
            <w:tcBorders>
              <w:top w:val="single" w:sz="4" w:space="0" w:color="auto"/>
              <w:left w:val="single" w:sz="4" w:space="0" w:color="auto"/>
            </w:tcBorders>
            <w:shd w:val="clear" w:color="auto" w:fill="FFFFFF"/>
          </w:tcPr>
          <w:p w14:paraId="33101D86" w14:textId="77777777" w:rsidR="00350396" w:rsidRPr="004E0FC4" w:rsidRDefault="00350396" w:rsidP="004E0FC4">
            <w:pPr>
              <w:framePr w:w="6590"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34</w:t>
            </w:r>
          </w:p>
        </w:tc>
        <w:tc>
          <w:tcPr>
            <w:tcW w:w="1133" w:type="dxa"/>
            <w:tcBorders>
              <w:top w:val="single" w:sz="4" w:space="0" w:color="auto"/>
              <w:left w:val="single" w:sz="4" w:space="0" w:color="auto"/>
            </w:tcBorders>
            <w:shd w:val="clear" w:color="auto" w:fill="FFFFFF"/>
          </w:tcPr>
          <w:p w14:paraId="0C497221"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18 891 080</w:t>
            </w:r>
          </w:p>
        </w:tc>
        <w:tc>
          <w:tcPr>
            <w:tcW w:w="341" w:type="dxa"/>
            <w:tcBorders>
              <w:top w:val="single" w:sz="4" w:space="0" w:color="auto"/>
              <w:left w:val="single" w:sz="4" w:space="0" w:color="auto"/>
            </w:tcBorders>
            <w:shd w:val="clear" w:color="auto" w:fill="FFFFFF"/>
          </w:tcPr>
          <w:p w14:paraId="78AC044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tc>
        <w:tc>
          <w:tcPr>
            <w:tcW w:w="1142" w:type="dxa"/>
            <w:tcBorders>
              <w:top w:val="single" w:sz="4" w:space="0" w:color="auto"/>
              <w:left w:val="single" w:sz="4" w:space="0" w:color="auto"/>
              <w:right w:val="single" w:sz="4" w:space="0" w:color="auto"/>
            </w:tcBorders>
            <w:shd w:val="clear" w:color="auto" w:fill="FFFFFF"/>
          </w:tcPr>
          <w:p w14:paraId="7A2DCD2B"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tc>
      </w:tr>
      <w:tr w:rsidR="00350396" w:rsidRPr="004E0FC4" w14:paraId="06ADFCDC" w14:textId="77777777" w:rsidTr="006D7F71">
        <w:trPr>
          <w:trHeight w:hRule="exact" w:val="1214"/>
          <w:jc w:val="center"/>
        </w:trPr>
        <w:tc>
          <w:tcPr>
            <w:tcW w:w="1819" w:type="dxa"/>
            <w:tcBorders>
              <w:top w:val="single" w:sz="4" w:space="0" w:color="auto"/>
              <w:left w:val="single" w:sz="4" w:space="0" w:color="auto"/>
              <w:bottom w:val="single" w:sz="4" w:space="0" w:color="auto"/>
            </w:tcBorders>
            <w:shd w:val="clear" w:color="auto" w:fill="FFFFFF"/>
            <w:vAlign w:val="bottom"/>
          </w:tcPr>
          <w:p w14:paraId="054BB2A9"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Благоустройство и сопутствующая инженерно-техни</w:t>
            </w:r>
            <w:r w:rsidRPr="004E0FC4">
              <w:rPr>
                <w:rFonts w:ascii="Bookman Old Style" w:eastAsia="Bookman Old Style" w:hAnsi="Bookman Old Style" w:cs="Bookman Old Style"/>
                <w:color w:val="231F20"/>
                <w:sz w:val="18"/>
                <w:szCs w:val="18"/>
              </w:rPr>
              <w:softHyphen/>
              <w:t>ческая инфраструк</w:t>
            </w:r>
            <w:r w:rsidRPr="004E0FC4">
              <w:rPr>
                <w:rFonts w:ascii="Bookman Old Style" w:eastAsia="Bookman Old Style" w:hAnsi="Bookman Old Style" w:cs="Bookman Old Style"/>
                <w:color w:val="231F20"/>
                <w:sz w:val="18"/>
                <w:szCs w:val="18"/>
              </w:rPr>
              <w:softHyphen/>
              <w:t>тура</w:t>
            </w:r>
          </w:p>
        </w:tc>
        <w:tc>
          <w:tcPr>
            <w:tcW w:w="566" w:type="dxa"/>
            <w:tcBorders>
              <w:top w:val="single" w:sz="4" w:space="0" w:color="auto"/>
              <w:left w:val="single" w:sz="4" w:space="0" w:color="auto"/>
              <w:bottom w:val="single" w:sz="4" w:space="0" w:color="auto"/>
            </w:tcBorders>
            <w:shd w:val="clear" w:color="auto" w:fill="FFFFFF"/>
          </w:tcPr>
          <w:p w14:paraId="4411BFA2" w14:textId="77777777" w:rsidR="00350396" w:rsidRPr="004E0FC4" w:rsidRDefault="00350396" w:rsidP="004E0FC4">
            <w:pPr>
              <w:framePr w:w="6590" w:wrap="notBeside" w:vAnchor="text" w:hAnchor="text" w:xAlign="center" w:y="1"/>
              <w:widowControl w:val="0"/>
              <w:spacing w:line="192" w:lineRule="exact"/>
              <w:ind w:left="22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13</w:t>
            </w:r>
          </w:p>
        </w:tc>
        <w:tc>
          <w:tcPr>
            <w:tcW w:w="1133" w:type="dxa"/>
            <w:tcBorders>
              <w:top w:val="single" w:sz="4" w:space="0" w:color="auto"/>
              <w:left w:val="single" w:sz="4" w:space="0" w:color="auto"/>
              <w:bottom w:val="single" w:sz="4" w:space="0" w:color="auto"/>
            </w:tcBorders>
            <w:shd w:val="clear" w:color="auto" w:fill="FFFFFF"/>
          </w:tcPr>
          <w:p w14:paraId="77F17334" w14:textId="77777777" w:rsidR="00350396" w:rsidRPr="004E0FC4" w:rsidRDefault="00350396" w:rsidP="004E0FC4">
            <w:pPr>
              <w:framePr w:w="6590"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2 501 201</w:t>
            </w:r>
          </w:p>
        </w:tc>
        <w:tc>
          <w:tcPr>
            <w:tcW w:w="456" w:type="dxa"/>
            <w:tcBorders>
              <w:top w:val="single" w:sz="4" w:space="0" w:color="auto"/>
              <w:left w:val="single" w:sz="4" w:space="0" w:color="auto"/>
              <w:bottom w:val="single" w:sz="4" w:space="0" w:color="auto"/>
            </w:tcBorders>
            <w:shd w:val="clear" w:color="auto" w:fill="FFFFFF"/>
          </w:tcPr>
          <w:p w14:paraId="04DD8B6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tc>
        <w:tc>
          <w:tcPr>
            <w:tcW w:w="1133" w:type="dxa"/>
            <w:tcBorders>
              <w:top w:val="single" w:sz="4" w:space="0" w:color="auto"/>
              <w:left w:val="single" w:sz="4" w:space="0" w:color="auto"/>
              <w:bottom w:val="single" w:sz="4" w:space="0" w:color="auto"/>
            </w:tcBorders>
            <w:shd w:val="clear" w:color="auto" w:fill="FFFFFF"/>
          </w:tcPr>
          <w:p w14:paraId="423AA00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tc>
        <w:tc>
          <w:tcPr>
            <w:tcW w:w="341" w:type="dxa"/>
            <w:tcBorders>
              <w:top w:val="single" w:sz="4" w:space="0" w:color="auto"/>
              <w:left w:val="single" w:sz="4" w:space="0" w:color="auto"/>
              <w:bottom w:val="single" w:sz="4" w:space="0" w:color="auto"/>
            </w:tcBorders>
            <w:shd w:val="clear" w:color="auto" w:fill="FFFFFF"/>
          </w:tcPr>
          <w:p w14:paraId="5E1AE93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4970C7C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tc>
      </w:tr>
    </w:tbl>
    <w:p w14:paraId="5BCA4149"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Проект национального доклада о привлечении частных инвестиций в разви</w:t>
      </w:r>
      <w:r w:rsidRPr="004E0FC4">
        <w:rPr>
          <w:rFonts w:ascii="Bookman Old Style" w:eastAsia="Bookman Old Style" w:hAnsi="Bookman Old Style" w:cs="Bookman Old Style"/>
          <w:color w:val="231F20"/>
          <w:sz w:val="18"/>
          <w:szCs w:val="18"/>
        </w:rPr>
        <w:softHyphen/>
        <w:t>тие инфраструктуры и применении механизмов государственно-частного партнер</w:t>
      </w:r>
      <w:r w:rsidRPr="004E0FC4">
        <w:rPr>
          <w:rFonts w:ascii="Bookman Old Style" w:eastAsia="Bookman Old Style" w:hAnsi="Bookman Old Style" w:cs="Bookman Old Style"/>
          <w:color w:val="231F20"/>
          <w:sz w:val="18"/>
          <w:szCs w:val="18"/>
        </w:rPr>
        <w:softHyphen/>
        <w:t>ства в Российской Федерации + Рейтинг регионов России по уровню развития госу</w:t>
      </w:r>
      <w:r w:rsidRPr="004E0FC4">
        <w:rPr>
          <w:rFonts w:ascii="Bookman Old Style" w:eastAsia="Bookman Old Style" w:hAnsi="Bookman Old Style" w:cs="Bookman Old Style"/>
          <w:color w:val="231F20"/>
          <w:sz w:val="18"/>
          <w:szCs w:val="18"/>
        </w:rPr>
        <w:softHyphen/>
        <w:t>дарственно-частного партнерства 2017—2018. М. : Центр развития ГЧП, 2019. С. 25.</w:t>
      </w:r>
    </w:p>
    <w:p w14:paraId="793784A7"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p w14:paraId="61E8F387"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footerReference w:type="even" r:id="rId39"/>
          <w:footerReference w:type="default" r:id="rId40"/>
          <w:footerReference w:type="first" r:id="rId41"/>
          <w:pgSz w:w="8789" w:h="13493"/>
          <w:pgMar w:top="853" w:right="1066" w:bottom="1057" w:left="1061" w:header="0" w:footer="3" w:gutter="0"/>
          <w:cols w:space="720"/>
          <w:noEndnote/>
          <w:titlePg/>
          <w:docGrid w:linePitch="360"/>
        </w:sectPr>
      </w:pPr>
    </w:p>
    <w:p w14:paraId="40D35B6F" w14:textId="5D56723B"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hAnsi="Bookman Old Style"/>
          <w:noProof/>
          <w:sz w:val="18"/>
          <w:szCs w:val="18"/>
          <w:lang w:bidi="ar-SA"/>
        </w:rPr>
        <w:lastRenderedPageBreak/>
        <mc:AlternateContent>
          <mc:Choice Requires="wps">
            <w:drawing>
              <wp:anchor distT="0" distB="0" distL="63500" distR="63500" simplePos="0" relativeHeight="377518910" behindDoc="1" locked="0" layoutInCell="1" allowOverlap="1" wp14:anchorId="5AFF2730" wp14:editId="4EBA54DD">
                <wp:simplePos x="0" y="0"/>
                <wp:positionH relativeFrom="margin">
                  <wp:posOffset>26035</wp:posOffset>
                </wp:positionH>
                <wp:positionV relativeFrom="paragraph">
                  <wp:posOffset>-1627505</wp:posOffset>
                </wp:positionV>
                <wp:extent cx="4184650" cy="1557020"/>
                <wp:effectExtent l="4445" t="1270" r="1905" b="3810"/>
                <wp:wrapTopAndBottom/>
                <wp:docPr id="287" name="Надпись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155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819"/>
                              <w:gridCol w:w="566"/>
                              <w:gridCol w:w="1133"/>
                              <w:gridCol w:w="456"/>
                              <w:gridCol w:w="1133"/>
                              <w:gridCol w:w="341"/>
                              <w:gridCol w:w="1142"/>
                            </w:tblGrid>
                            <w:tr w:rsidR="00350396" w14:paraId="2A7F7CE4" w14:textId="77777777">
                              <w:trPr>
                                <w:trHeight w:hRule="exact" w:val="331"/>
                                <w:jc w:val="center"/>
                              </w:trPr>
                              <w:tc>
                                <w:tcPr>
                                  <w:tcW w:w="1819" w:type="dxa"/>
                                  <w:vMerge w:val="restart"/>
                                  <w:tcBorders>
                                    <w:top w:val="single" w:sz="4" w:space="0" w:color="auto"/>
                                    <w:left w:val="single" w:sz="4" w:space="0" w:color="auto"/>
                                  </w:tcBorders>
                                  <w:shd w:val="clear" w:color="auto" w:fill="FFFFFF"/>
                                </w:tcPr>
                                <w:p w14:paraId="7C84BEE8" w14:textId="77777777" w:rsidR="00350396" w:rsidRDefault="00350396">
                                  <w:pPr>
                                    <w:spacing w:line="176" w:lineRule="exact"/>
                                    <w:jc w:val="center"/>
                                  </w:pPr>
                                  <w:r>
                                    <w:rPr>
                                      <w:rStyle w:val="275pt2"/>
                                    </w:rPr>
                                    <w:t>Сферы</w:t>
                                  </w:r>
                                </w:p>
                              </w:tc>
                              <w:tc>
                                <w:tcPr>
                                  <w:tcW w:w="1699" w:type="dxa"/>
                                  <w:gridSpan w:val="2"/>
                                  <w:tcBorders>
                                    <w:top w:val="single" w:sz="4" w:space="0" w:color="auto"/>
                                    <w:left w:val="single" w:sz="4" w:space="0" w:color="auto"/>
                                  </w:tcBorders>
                                  <w:shd w:val="clear" w:color="auto" w:fill="FFFFFF"/>
                                  <w:vAlign w:val="bottom"/>
                                </w:tcPr>
                                <w:p w14:paraId="0B9CC205" w14:textId="77777777" w:rsidR="00350396" w:rsidRDefault="00350396">
                                  <w:pPr>
                                    <w:spacing w:line="176" w:lineRule="exact"/>
                                  </w:pPr>
                                  <w:r>
                                    <w:rPr>
                                      <w:rStyle w:val="275pt2"/>
                                    </w:rPr>
                                    <w:t>Муниципальный</w:t>
                                  </w:r>
                                </w:p>
                              </w:tc>
                              <w:tc>
                                <w:tcPr>
                                  <w:tcW w:w="1589" w:type="dxa"/>
                                  <w:gridSpan w:val="2"/>
                                  <w:tcBorders>
                                    <w:top w:val="single" w:sz="4" w:space="0" w:color="auto"/>
                                    <w:left w:val="single" w:sz="4" w:space="0" w:color="auto"/>
                                  </w:tcBorders>
                                  <w:shd w:val="clear" w:color="auto" w:fill="FFFFFF"/>
                                  <w:vAlign w:val="bottom"/>
                                </w:tcPr>
                                <w:p w14:paraId="17CBF77C" w14:textId="77777777" w:rsidR="00350396" w:rsidRDefault="00350396">
                                  <w:pPr>
                                    <w:spacing w:line="176" w:lineRule="exact"/>
                                    <w:ind w:left="160"/>
                                  </w:pPr>
                                  <w:r>
                                    <w:rPr>
                                      <w:rStyle w:val="275pt2"/>
                                    </w:rPr>
                                    <w:t>Региональный</w:t>
                                  </w:r>
                                </w:p>
                              </w:tc>
                              <w:tc>
                                <w:tcPr>
                                  <w:tcW w:w="1483" w:type="dxa"/>
                                  <w:gridSpan w:val="2"/>
                                  <w:tcBorders>
                                    <w:top w:val="single" w:sz="4" w:space="0" w:color="auto"/>
                                    <w:left w:val="single" w:sz="4" w:space="0" w:color="auto"/>
                                    <w:right w:val="single" w:sz="4" w:space="0" w:color="auto"/>
                                  </w:tcBorders>
                                  <w:shd w:val="clear" w:color="auto" w:fill="FFFFFF"/>
                                  <w:vAlign w:val="bottom"/>
                                </w:tcPr>
                                <w:p w14:paraId="06E21655" w14:textId="77777777" w:rsidR="00350396" w:rsidRDefault="00350396">
                                  <w:pPr>
                                    <w:spacing w:line="176" w:lineRule="exact"/>
                                  </w:pPr>
                                  <w:r>
                                    <w:rPr>
                                      <w:rStyle w:val="275pt2"/>
                                    </w:rPr>
                                    <w:t>Федеральный</w:t>
                                  </w:r>
                                </w:p>
                              </w:tc>
                            </w:tr>
                            <w:tr w:rsidR="00350396" w14:paraId="52D95525" w14:textId="77777777">
                              <w:trPr>
                                <w:trHeight w:hRule="exact" w:val="1205"/>
                                <w:jc w:val="center"/>
                              </w:trPr>
                              <w:tc>
                                <w:tcPr>
                                  <w:tcW w:w="1819" w:type="dxa"/>
                                  <w:vMerge/>
                                  <w:tcBorders>
                                    <w:left w:val="single" w:sz="4" w:space="0" w:color="auto"/>
                                  </w:tcBorders>
                                  <w:shd w:val="clear" w:color="auto" w:fill="FFFFFF"/>
                                </w:tcPr>
                                <w:p w14:paraId="77E711A3" w14:textId="77777777" w:rsidR="00350396" w:rsidRDefault="00350396"/>
                              </w:tc>
                              <w:tc>
                                <w:tcPr>
                                  <w:tcW w:w="566" w:type="dxa"/>
                                  <w:tcBorders>
                                    <w:top w:val="single" w:sz="4" w:space="0" w:color="auto"/>
                                    <w:left w:val="single" w:sz="4" w:space="0" w:color="auto"/>
                                  </w:tcBorders>
                                  <w:shd w:val="clear" w:color="auto" w:fill="FFFFFF"/>
                                  <w:textDirection w:val="btLr"/>
                                  <w:vAlign w:val="bottom"/>
                                </w:tcPr>
                                <w:p w14:paraId="769CA01C" w14:textId="77777777" w:rsidR="00350396" w:rsidRDefault="00350396">
                                  <w:pPr>
                                    <w:spacing w:line="176" w:lineRule="exact"/>
                                  </w:pPr>
                                  <w:r>
                                    <w:rPr>
                                      <w:rStyle w:val="275pt2"/>
                                    </w:rPr>
                                    <w:t>количество</w:t>
                                  </w:r>
                                </w:p>
                              </w:tc>
                              <w:tc>
                                <w:tcPr>
                                  <w:tcW w:w="1133" w:type="dxa"/>
                                  <w:tcBorders>
                                    <w:top w:val="single" w:sz="4" w:space="0" w:color="auto"/>
                                    <w:left w:val="single" w:sz="4" w:space="0" w:color="auto"/>
                                  </w:tcBorders>
                                  <w:shd w:val="clear" w:color="auto" w:fill="FFFFFF"/>
                                  <w:vAlign w:val="bottom"/>
                                </w:tcPr>
                                <w:p w14:paraId="71B742C9" w14:textId="77777777" w:rsidR="00350396" w:rsidRDefault="00350396">
                                  <w:pPr>
                                    <w:spacing w:line="221" w:lineRule="exact"/>
                                    <w:jc w:val="center"/>
                                  </w:pPr>
                                  <w:r>
                                    <w:rPr>
                                      <w:rStyle w:val="275pt2"/>
                                    </w:rPr>
                                    <w:t>объем</w:t>
                                  </w:r>
                                </w:p>
                                <w:p w14:paraId="1E8A1986" w14:textId="77777777" w:rsidR="00350396" w:rsidRDefault="00350396">
                                  <w:pPr>
                                    <w:spacing w:line="221" w:lineRule="exact"/>
                                    <w:jc w:val="center"/>
                                  </w:pPr>
                                  <w:r>
                                    <w:rPr>
                                      <w:rStyle w:val="275pt2"/>
                                    </w:rPr>
                                    <w:t>частных</w:t>
                                  </w:r>
                                </w:p>
                                <w:p w14:paraId="3301F0F0" w14:textId="77777777" w:rsidR="00350396" w:rsidRDefault="00350396">
                                  <w:pPr>
                                    <w:spacing w:line="221" w:lineRule="exact"/>
                                    <w:jc w:val="center"/>
                                  </w:pPr>
                                  <w:r>
                                    <w:rPr>
                                      <w:rStyle w:val="275pt2"/>
                                    </w:rPr>
                                    <w:t>инве</w:t>
                                  </w:r>
                                  <w:r>
                                    <w:rPr>
                                      <w:rStyle w:val="275pt2"/>
                                    </w:rPr>
                                    <w:softHyphen/>
                                    <w:t>стиций (тыс. руб.)</w:t>
                                  </w:r>
                                </w:p>
                              </w:tc>
                              <w:tc>
                                <w:tcPr>
                                  <w:tcW w:w="456" w:type="dxa"/>
                                  <w:tcBorders>
                                    <w:top w:val="single" w:sz="4" w:space="0" w:color="auto"/>
                                    <w:left w:val="single" w:sz="4" w:space="0" w:color="auto"/>
                                  </w:tcBorders>
                                  <w:shd w:val="clear" w:color="auto" w:fill="FFFFFF"/>
                                  <w:textDirection w:val="btLr"/>
                                  <w:vAlign w:val="bottom"/>
                                </w:tcPr>
                                <w:p w14:paraId="6C84F70F" w14:textId="77777777" w:rsidR="00350396" w:rsidRDefault="00350396">
                                  <w:pPr>
                                    <w:spacing w:line="176" w:lineRule="exact"/>
                                  </w:pPr>
                                  <w:r>
                                    <w:rPr>
                                      <w:rStyle w:val="275pt2"/>
                                    </w:rPr>
                                    <w:t>количество</w:t>
                                  </w:r>
                                </w:p>
                              </w:tc>
                              <w:tc>
                                <w:tcPr>
                                  <w:tcW w:w="1133" w:type="dxa"/>
                                  <w:tcBorders>
                                    <w:top w:val="single" w:sz="4" w:space="0" w:color="auto"/>
                                    <w:left w:val="single" w:sz="4" w:space="0" w:color="auto"/>
                                  </w:tcBorders>
                                  <w:shd w:val="clear" w:color="auto" w:fill="FFFFFF"/>
                                  <w:vAlign w:val="bottom"/>
                                </w:tcPr>
                                <w:p w14:paraId="4406EC6A" w14:textId="77777777" w:rsidR="00350396" w:rsidRDefault="00350396">
                                  <w:pPr>
                                    <w:spacing w:line="221" w:lineRule="exact"/>
                                    <w:jc w:val="center"/>
                                  </w:pPr>
                                  <w:r>
                                    <w:rPr>
                                      <w:rStyle w:val="275pt2"/>
                                    </w:rPr>
                                    <w:t>объем</w:t>
                                  </w:r>
                                </w:p>
                                <w:p w14:paraId="58A882FC" w14:textId="77777777" w:rsidR="00350396" w:rsidRDefault="00350396">
                                  <w:pPr>
                                    <w:spacing w:line="221" w:lineRule="exact"/>
                                    <w:jc w:val="center"/>
                                  </w:pPr>
                                  <w:r>
                                    <w:rPr>
                                      <w:rStyle w:val="275pt2"/>
                                    </w:rPr>
                                    <w:t>частных</w:t>
                                  </w:r>
                                </w:p>
                                <w:p w14:paraId="53B5EDA4" w14:textId="77777777" w:rsidR="00350396" w:rsidRDefault="00350396">
                                  <w:pPr>
                                    <w:spacing w:line="221" w:lineRule="exact"/>
                                    <w:jc w:val="center"/>
                                  </w:pPr>
                                  <w:r>
                                    <w:rPr>
                                      <w:rStyle w:val="275pt2"/>
                                    </w:rPr>
                                    <w:t>инвести</w:t>
                                  </w:r>
                                  <w:r>
                                    <w:rPr>
                                      <w:rStyle w:val="275pt2"/>
                                    </w:rPr>
                                    <w:softHyphen/>
                                  </w:r>
                                </w:p>
                                <w:p w14:paraId="056A7C3B" w14:textId="77777777" w:rsidR="00350396" w:rsidRDefault="00350396">
                                  <w:pPr>
                                    <w:spacing w:line="221" w:lineRule="exact"/>
                                    <w:jc w:val="center"/>
                                  </w:pPr>
                                  <w:r>
                                    <w:rPr>
                                      <w:rStyle w:val="275pt2"/>
                                    </w:rPr>
                                    <w:t>ций</w:t>
                                  </w:r>
                                </w:p>
                                <w:p w14:paraId="612C9A21" w14:textId="77777777" w:rsidR="00350396" w:rsidRDefault="00350396">
                                  <w:pPr>
                                    <w:spacing w:line="221" w:lineRule="exact"/>
                                  </w:pPr>
                                  <w:r>
                                    <w:rPr>
                                      <w:rStyle w:val="275pt2"/>
                                    </w:rPr>
                                    <w:t>(тыс. руб.)</w:t>
                                  </w:r>
                                </w:p>
                              </w:tc>
                              <w:tc>
                                <w:tcPr>
                                  <w:tcW w:w="341" w:type="dxa"/>
                                  <w:tcBorders>
                                    <w:top w:val="single" w:sz="4" w:space="0" w:color="auto"/>
                                    <w:left w:val="single" w:sz="4" w:space="0" w:color="auto"/>
                                  </w:tcBorders>
                                  <w:shd w:val="clear" w:color="auto" w:fill="FFFFFF"/>
                                  <w:textDirection w:val="btLr"/>
                                  <w:vAlign w:val="bottom"/>
                                </w:tcPr>
                                <w:p w14:paraId="0721D4C2" w14:textId="77777777" w:rsidR="00350396" w:rsidRDefault="00350396">
                                  <w:pPr>
                                    <w:spacing w:line="176" w:lineRule="exact"/>
                                  </w:pPr>
                                  <w:r>
                                    <w:rPr>
                                      <w:rStyle w:val="275pt2"/>
                                    </w:rPr>
                                    <w:t>количество</w:t>
                                  </w:r>
                                </w:p>
                              </w:tc>
                              <w:tc>
                                <w:tcPr>
                                  <w:tcW w:w="1142" w:type="dxa"/>
                                  <w:tcBorders>
                                    <w:top w:val="single" w:sz="4" w:space="0" w:color="auto"/>
                                    <w:left w:val="single" w:sz="4" w:space="0" w:color="auto"/>
                                    <w:right w:val="single" w:sz="4" w:space="0" w:color="auto"/>
                                  </w:tcBorders>
                                  <w:shd w:val="clear" w:color="auto" w:fill="FFFFFF"/>
                                  <w:vAlign w:val="bottom"/>
                                </w:tcPr>
                                <w:p w14:paraId="37EBD81D" w14:textId="77777777" w:rsidR="00350396" w:rsidRDefault="00350396">
                                  <w:pPr>
                                    <w:spacing w:line="221" w:lineRule="exact"/>
                                    <w:jc w:val="center"/>
                                  </w:pPr>
                                  <w:r>
                                    <w:rPr>
                                      <w:rStyle w:val="275pt2"/>
                                    </w:rPr>
                                    <w:t>объем</w:t>
                                  </w:r>
                                </w:p>
                                <w:p w14:paraId="6DCEAEDE" w14:textId="77777777" w:rsidR="00350396" w:rsidRDefault="00350396">
                                  <w:pPr>
                                    <w:spacing w:line="221" w:lineRule="exact"/>
                                    <w:jc w:val="center"/>
                                  </w:pPr>
                                  <w:r>
                                    <w:rPr>
                                      <w:rStyle w:val="275pt2"/>
                                    </w:rPr>
                                    <w:t>частных</w:t>
                                  </w:r>
                                </w:p>
                                <w:p w14:paraId="2D176ECA" w14:textId="77777777" w:rsidR="00350396" w:rsidRDefault="00350396">
                                  <w:pPr>
                                    <w:spacing w:line="221" w:lineRule="exact"/>
                                    <w:jc w:val="center"/>
                                  </w:pPr>
                                  <w:r>
                                    <w:rPr>
                                      <w:rStyle w:val="275pt2"/>
                                    </w:rPr>
                                    <w:t>инвести</w:t>
                                  </w:r>
                                  <w:r>
                                    <w:rPr>
                                      <w:rStyle w:val="275pt2"/>
                                    </w:rPr>
                                    <w:softHyphen/>
                                  </w:r>
                                </w:p>
                                <w:p w14:paraId="770203D6" w14:textId="77777777" w:rsidR="00350396" w:rsidRDefault="00350396">
                                  <w:pPr>
                                    <w:spacing w:line="221" w:lineRule="exact"/>
                                    <w:jc w:val="center"/>
                                  </w:pPr>
                                  <w:r>
                                    <w:rPr>
                                      <w:rStyle w:val="275pt2"/>
                                    </w:rPr>
                                    <w:t>ций</w:t>
                                  </w:r>
                                </w:p>
                                <w:p w14:paraId="235A1B62" w14:textId="77777777" w:rsidR="00350396" w:rsidRDefault="00350396">
                                  <w:pPr>
                                    <w:spacing w:line="221" w:lineRule="exact"/>
                                  </w:pPr>
                                  <w:r>
                                    <w:rPr>
                                      <w:rStyle w:val="275pt2"/>
                                    </w:rPr>
                                    <w:t>(тыс. руб.)</w:t>
                                  </w:r>
                                </w:p>
                              </w:tc>
                            </w:tr>
                            <w:tr w:rsidR="00350396" w14:paraId="605BC90D" w14:textId="77777777">
                              <w:trPr>
                                <w:trHeight w:hRule="exact" w:val="547"/>
                                <w:jc w:val="center"/>
                              </w:trPr>
                              <w:tc>
                                <w:tcPr>
                                  <w:tcW w:w="1819" w:type="dxa"/>
                                  <w:tcBorders>
                                    <w:top w:val="single" w:sz="4" w:space="0" w:color="auto"/>
                                    <w:left w:val="single" w:sz="4" w:space="0" w:color="auto"/>
                                  </w:tcBorders>
                                  <w:shd w:val="clear" w:color="auto" w:fill="FFFFFF"/>
                                  <w:vAlign w:val="center"/>
                                </w:tcPr>
                                <w:p w14:paraId="76A43E69" w14:textId="77777777" w:rsidR="00350396" w:rsidRDefault="00350396">
                                  <w:pPr>
                                    <w:spacing w:line="216" w:lineRule="exact"/>
                                  </w:pPr>
                                  <w:r>
                                    <w:rPr>
                                      <w:rStyle w:val="285pt"/>
                                    </w:rPr>
                                    <w:t>Сельско-и охотохо</w:t>
                                  </w:r>
                                  <w:r>
                                    <w:rPr>
                                      <w:rStyle w:val="285pt"/>
                                    </w:rPr>
                                    <w:softHyphen/>
                                    <w:t>зяйственная</w:t>
                                  </w:r>
                                </w:p>
                              </w:tc>
                              <w:tc>
                                <w:tcPr>
                                  <w:tcW w:w="566" w:type="dxa"/>
                                  <w:tcBorders>
                                    <w:top w:val="single" w:sz="4" w:space="0" w:color="auto"/>
                                    <w:left w:val="single" w:sz="4" w:space="0" w:color="auto"/>
                                  </w:tcBorders>
                                  <w:shd w:val="clear" w:color="auto" w:fill="FFFFFF"/>
                                  <w:vAlign w:val="center"/>
                                </w:tcPr>
                                <w:p w14:paraId="15FB3769" w14:textId="77777777" w:rsidR="00350396" w:rsidRDefault="00350396">
                                  <w:pPr>
                                    <w:spacing w:line="192" w:lineRule="exact"/>
                                    <w:ind w:right="240"/>
                                    <w:jc w:val="right"/>
                                  </w:pPr>
                                  <w:r>
                                    <w:rPr>
                                      <w:rStyle w:val="285pt"/>
                                    </w:rPr>
                                    <w:t>1</w:t>
                                  </w:r>
                                </w:p>
                              </w:tc>
                              <w:tc>
                                <w:tcPr>
                                  <w:tcW w:w="1133" w:type="dxa"/>
                                  <w:tcBorders>
                                    <w:top w:val="single" w:sz="4" w:space="0" w:color="auto"/>
                                    <w:left w:val="single" w:sz="4" w:space="0" w:color="auto"/>
                                  </w:tcBorders>
                                  <w:shd w:val="clear" w:color="auto" w:fill="FFFFFF"/>
                                </w:tcPr>
                                <w:p w14:paraId="618974F5" w14:textId="77777777" w:rsidR="00350396" w:rsidRDefault="00350396">
                                  <w:pPr>
                                    <w:spacing w:line="192" w:lineRule="exact"/>
                                    <w:jc w:val="center"/>
                                  </w:pPr>
                                  <w:r>
                                    <w:rPr>
                                      <w:rStyle w:val="285pt"/>
                                    </w:rPr>
                                    <w:t>5405</w:t>
                                  </w:r>
                                </w:p>
                              </w:tc>
                              <w:tc>
                                <w:tcPr>
                                  <w:tcW w:w="456" w:type="dxa"/>
                                  <w:tcBorders>
                                    <w:top w:val="single" w:sz="4" w:space="0" w:color="auto"/>
                                    <w:left w:val="single" w:sz="4" w:space="0" w:color="auto"/>
                                  </w:tcBorders>
                                  <w:shd w:val="clear" w:color="auto" w:fill="FFFFFF"/>
                                </w:tcPr>
                                <w:p w14:paraId="7158D595" w14:textId="77777777" w:rsidR="00350396" w:rsidRDefault="00350396">
                                  <w:pPr>
                                    <w:rPr>
                                      <w:sz w:val="10"/>
                                      <w:szCs w:val="10"/>
                                    </w:rPr>
                                  </w:pPr>
                                </w:p>
                              </w:tc>
                              <w:tc>
                                <w:tcPr>
                                  <w:tcW w:w="1133" w:type="dxa"/>
                                  <w:tcBorders>
                                    <w:top w:val="single" w:sz="4" w:space="0" w:color="auto"/>
                                    <w:left w:val="single" w:sz="4" w:space="0" w:color="auto"/>
                                  </w:tcBorders>
                                  <w:shd w:val="clear" w:color="auto" w:fill="FFFFFF"/>
                                </w:tcPr>
                                <w:p w14:paraId="7806BB9F" w14:textId="77777777" w:rsidR="00350396" w:rsidRDefault="00350396">
                                  <w:pPr>
                                    <w:rPr>
                                      <w:sz w:val="10"/>
                                      <w:szCs w:val="10"/>
                                    </w:rPr>
                                  </w:pPr>
                                </w:p>
                              </w:tc>
                              <w:tc>
                                <w:tcPr>
                                  <w:tcW w:w="341" w:type="dxa"/>
                                  <w:tcBorders>
                                    <w:top w:val="single" w:sz="4" w:space="0" w:color="auto"/>
                                    <w:left w:val="single" w:sz="4" w:space="0" w:color="auto"/>
                                  </w:tcBorders>
                                  <w:shd w:val="clear" w:color="auto" w:fill="FFFFFF"/>
                                </w:tcPr>
                                <w:p w14:paraId="3558C4C3" w14:textId="77777777" w:rsidR="00350396" w:rsidRDefault="00350396">
                                  <w:pPr>
                                    <w:rPr>
                                      <w:sz w:val="10"/>
                                      <w:szCs w:val="10"/>
                                    </w:rPr>
                                  </w:pPr>
                                </w:p>
                              </w:tc>
                              <w:tc>
                                <w:tcPr>
                                  <w:tcW w:w="1142" w:type="dxa"/>
                                  <w:tcBorders>
                                    <w:top w:val="single" w:sz="4" w:space="0" w:color="auto"/>
                                    <w:left w:val="single" w:sz="4" w:space="0" w:color="auto"/>
                                    <w:right w:val="single" w:sz="4" w:space="0" w:color="auto"/>
                                  </w:tcBorders>
                                  <w:shd w:val="clear" w:color="auto" w:fill="FFFFFF"/>
                                </w:tcPr>
                                <w:p w14:paraId="29814C60" w14:textId="77777777" w:rsidR="00350396" w:rsidRDefault="00350396">
                                  <w:pPr>
                                    <w:rPr>
                                      <w:sz w:val="10"/>
                                      <w:szCs w:val="10"/>
                                    </w:rPr>
                                  </w:pPr>
                                </w:p>
                              </w:tc>
                            </w:tr>
                            <w:tr w:rsidR="00350396" w14:paraId="184EE611" w14:textId="77777777">
                              <w:trPr>
                                <w:trHeight w:hRule="exact" w:val="336"/>
                                <w:jc w:val="center"/>
                              </w:trPr>
                              <w:tc>
                                <w:tcPr>
                                  <w:tcW w:w="1819" w:type="dxa"/>
                                  <w:tcBorders>
                                    <w:top w:val="single" w:sz="4" w:space="0" w:color="auto"/>
                                    <w:left w:val="single" w:sz="4" w:space="0" w:color="auto"/>
                                    <w:bottom w:val="single" w:sz="4" w:space="0" w:color="auto"/>
                                  </w:tcBorders>
                                  <w:shd w:val="clear" w:color="auto" w:fill="FFFFFF"/>
                                  <w:vAlign w:val="center"/>
                                </w:tcPr>
                                <w:p w14:paraId="3C3CF12F" w14:textId="77777777" w:rsidR="00350396" w:rsidRDefault="00350396">
                                  <w:pPr>
                                    <w:spacing w:line="192" w:lineRule="exact"/>
                                  </w:pPr>
                                  <w:r>
                                    <w:rPr>
                                      <w:rStyle w:val="285pt"/>
                                    </w:rPr>
                                    <w:t>Общий итог</w:t>
                                  </w:r>
                                </w:p>
                              </w:tc>
                              <w:tc>
                                <w:tcPr>
                                  <w:tcW w:w="566" w:type="dxa"/>
                                  <w:tcBorders>
                                    <w:top w:val="single" w:sz="4" w:space="0" w:color="auto"/>
                                    <w:left w:val="single" w:sz="4" w:space="0" w:color="auto"/>
                                    <w:bottom w:val="single" w:sz="4" w:space="0" w:color="auto"/>
                                  </w:tcBorders>
                                  <w:shd w:val="clear" w:color="auto" w:fill="FFFFFF"/>
                                  <w:vAlign w:val="center"/>
                                </w:tcPr>
                                <w:p w14:paraId="08FD5C6A" w14:textId="77777777" w:rsidR="00350396" w:rsidRDefault="00350396">
                                  <w:pPr>
                                    <w:spacing w:line="192" w:lineRule="exact"/>
                                  </w:pPr>
                                  <w:r>
                                    <w:rPr>
                                      <w:rStyle w:val="285pt"/>
                                    </w:rPr>
                                    <w:t>2 381</w:t>
                                  </w:r>
                                </w:p>
                              </w:tc>
                              <w:tc>
                                <w:tcPr>
                                  <w:tcW w:w="1133" w:type="dxa"/>
                                  <w:tcBorders>
                                    <w:top w:val="single" w:sz="4" w:space="0" w:color="auto"/>
                                    <w:left w:val="single" w:sz="4" w:space="0" w:color="auto"/>
                                    <w:bottom w:val="single" w:sz="4" w:space="0" w:color="auto"/>
                                  </w:tcBorders>
                                  <w:shd w:val="clear" w:color="auto" w:fill="FFFFFF"/>
                                  <w:vAlign w:val="center"/>
                                </w:tcPr>
                                <w:p w14:paraId="7ACEF4CB" w14:textId="77777777" w:rsidR="00350396" w:rsidRDefault="00350396">
                                  <w:pPr>
                                    <w:spacing w:line="192" w:lineRule="exact"/>
                                  </w:pPr>
                                  <w:r>
                                    <w:rPr>
                                      <w:rStyle w:val="285pt"/>
                                    </w:rPr>
                                    <w:t>250 601 010</w:t>
                                  </w:r>
                                </w:p>
                              </w:tc>
                              <w:tc>
                                <w:tcPr>
                                  <w:tcW w:w="456" w:type="dxa"/>
                                  <w:tcBorders>
                                    <w:top w:val="single" w:sz="4" w:space="0" w:color="auto"/>
                                    <w:left w:val="single" w:sz="4" w:space="0" w:color="auto"/>
                                    <w:bottom w:val="single" w:sz="4" w:space="0" w:color="auto"/>
                                  </w:tcBorders>
                                  <w:shd w:val="clear" w:color="auto" w:fill="FFFFFF"/>
                                  <w:vAlign w:val="center"/>
                                </w:tcPr>
                                <w:p w14:paraId="709208FA" w14:textId="77777777" w:rsidR="00350396" w:rsidRDefault="00350396">
                                  <w:pPr>
                                    <w:spacing w:line="192" w:lineRule="exact"/>
                                  </w:pPr>
                                  <w:r>
                                    <w:rPr>
                                      <w:rStyle w:val="285pt"/>
                                    </w:rPr>
                                    <w:t>106</w:t>
                                  </w:r>
                                </w:p>
                              </w:tc>
                              <w:tc>
                                <w:tcPr>
                                  <w:tcW w:w="1133" w:type="dxa"/>
                                  <w:tcBorders>
                                    <w:top w:val="single" w:sz="4" w:space="0" w:color="auto"/>
                                    <w:left w:val="single" w:sz="4" w:space="0" w:color="auto"/>
                                    <w:bottom w:val="single" w:sz="4" w:space="0" w:color="auto"/>
                                  </w:tcBorders>
                                  <w:shd w:val="clear" w:color="auto" w:fill="FFFFFF"/>
                                  <w:vAlign w:val="center"/>
                                </w:tcPr>
                                <w:p w14:paraId="2D6F5B21" w14:textId="77777777" w:rsidR="00350396" w:rsidRDefault="00350396">
                                  <w:pPr>
                                    <w:spacing w:line="192" w:lineRule="exact"/>
                                  </w:pPr>
                                  <w:r>
                                    <w:rPr>
                                      <w:rStyle w:val="285pt"/>
                                    </w:rPr>
                                    <w:t>201 945 231</w:t>
                                  </w:r>
                                </w:p>
                              </w:tc>
                              <w:tc>
                                <w:tcPr>
                                  <w:tcW w:w="341" w:type="dxa"/>
                                  <w:tcBorders>
                                    <w:top w:val="single" w:sz="4" w:space="0" w:color="auto"/>
                                    <w:left w:val="single" w:sz="4" w:space="0" w:color="auto"/>
                                    <w:bottom w:val="single" w:sz="4" w:space="0" w:color="auto"/>
                                  </w:tcBorders>
                                  <w:shd w:val="clear" w:color="auto" w:fill="FFFFFF"/>
                                  <w:vAlign w:val="center"/>
                                </w:tcPr>
                                <w:p w14:paraId="2407C1A7" w14:textId="77777777" w:rsidR="00350396" w:rsidRDefault="00350396">
                                  <w:pPr>
                                    <w:spacing w:line="192" w:lineRule="exact"/>
                                  </w:pPr>
                                  <w:r>
                                    <w:rPr>
                                      <w:rStyle w:val="285pt"/>
                                    </w:rPr>
                                    <w:t>9</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89CF424" w14:textId="77777777" w:rsidR="00350396" w:rsidRDefault="00350396">
                                  <w:pPr>
                                    <w:spacing w:line="192" w:lineRule="exact"/>
                                  </w:pPr>
                                  <w:r>
                                    <w:rPr>
                                      <w:rStyle w:val="285pt"/>
                                    </w:rPr>
                                    <w:t>166 518 000</w:t>
                                  </w:r>
                                </w:p>
                              </w:tc>
                            </w:tr>
                          </w:tbl>
                          <w:p w14:paraId="25DCDD9D" w14:textId="77777777" w:rsidR="00350396" w:rsidRDefault="00350396" w:rsidP="0035039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FF2730" id="Надпись 287" o:spid="_x0000_s1042" type="#_x0000_t202" style="position:absolute;left:0;text-align:left;margin-left:2.05pt;margin-top:-128.15pt;width:329.5pt;height:122.6pt;z-index:-12579757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819"/>
                        <w:gridCol w:w="566"/>
                        <w:gridCol w:w="1133"/>
                        <w:gridCol w:w="456"/>
                        <w:gridCol w:w="1133"/>
                        <w:gridCol w:w="341"/>
                        <w:gridCol w:w="1142"/>
                      </w:tblGrid>
                      <w:tr w:rsidR="00350396" w14:paraId="2A7F7CE4" w14:textId="77777777">
                        <w:trPr>
                          <w:trHeight w:hRule="exact" w:val="331"/>
                          <w:jc w:val="center"/>
                        </w:trPr>
                        <w:tc>
                          <w:tcPr>
                            <w:tcW w:w="1819" w:type="dxa"/>
                            <w:vMerge w:val="restart"/>
                            <w:tcBorders>
                              <w:top w:val="single" w:sz="4" w:space="0" w:color="auto"/>
                              <w:left w:val="single" w:sz="4" w:space="0" w:color="auto"/>
                            </w:tcBorders>
                            <w:shd w:val="clear" w:color="auto" w:fill="FFFFFF"/>
                          </w:tcPr>
                          <w:p w14:paraId="7C84BEE8" w14:textId="77777777" w:rsidR="00350396" w:rsidRDefault="00350396">
                            <w:pPr>
                              <w:spacing w:line="176" w:lineRule="exact"/>
                              <w:jc w:val="center"/>
                            </w:pPr>
                            <w:r>
                              <w:rPr>
                                <w:rStyle w:val="275pt2"/>
                              </w:rPr>
                              <w:t>Сферы</w:t>
                            </w:r>
                          </w:p>
                        </w:tc>
                        <w:tc>
                          <w:tcPr>
                            <w:tcW w:w="1699" w:type="dxa"/>
                            <w:gridSpan w:val="2"/>
                            <w:tcBorders>
                              <w:top w:val="single" w:sz="4" w:space="0" w:color="auto"/>
                              <w:left w:val="single" w:sz="4" w:space="0" w:color="auto"/>
                            </w:tcBorders>
                            <w:shd w:val="clear" w:color="auto" w:fill="FFFFFF"/>
                            <w:vAlign w:val="bottom"/>
                          </w:tcPr>
                          <w:p w14:paraId="0B9CC205" w14:textId="77777777" w:rsidR="00350396" w:rsidRDefault="00350396">
                            <w:pPr>
                              <w:spacing w:line="176" w:lineRule="exact"/>
                            </w:pPr>
                            <w:r>
                              <w:rPr>
                                <w:rStyle w:val="275pt2"/>
                              </w:rPr>
                              <w:t>Муниципальный</w:t>
                            </w:r>
                          </w:p>
                        </w:tc>
                        <w:tc>
                          <w:tcPr>
                            <w:tcW w:w="1589" w:type="dxa"/>
                            <w:gridSpan w:val="2"/>
                            <w:tcBorders>
                              <w:top w:val="single" w:sz="4" w:space="0" w:color="auto"/>
                              <w:left w:val="single" w:sz="4" w:space="0" w:color="auto"/>
                            </w:tcBorders>
                            <w:shd w:val="clear" w:color="auto" w:fill="FFFFFF"/>
                            <w:vAlign w:val="bottom"/>
                          </w:tcPr>
                          <w:p w14:paraId="17CBF77C" w14:textId="77777777" w:rsidR="00350396" w:rsidRDefault="00350396">
                            <w:pPr>
                              <w:spacing w:line="176" w:lineRule="exact"/>
                              <w:ind w:left="160"/>
                            </w:pPr>
                            <w:r>
                              <w:rPr>
                                <w:rStyle w:val="275pt2"/>
                              </w:rPr>
                              <w:t>Региональный</w:t>
                            </w:r>
                          </w:p>
                        </w:tc>
                        <w:tc>
                          <w:tcPr>
                            <w:tcW w:w="1483" w:type="dxa"/>
                            <w:gridSpan w:val="2"/>
                            <w:tcBorders>
                              <w:top w:val="single" w:sz="4" w:space="0" w:color="auto"/>
                              <w:left w:val="single" w:sz="4" w:space="0" w:color="auto"/>
                              <w:right w:val="single" w:sz="4" w:space="0" w:color="auto"/>
                            </w:tcBorders>
                            <w:shd w:val="clear" w:color="auto" w:fill="FFFFFF"/>
                            <w:vAlign w:val="bottom"/>
                          </w:tcPr>
                          <w:p w14:paraId="06E21655" w14:textId="77777777" w:rsidR="00350396" w:rsidRDefault="00350396">
                            <w:pPr>
                              <w:spacing w:line="176" w:lineRule="exact"/>
                            </w:pPr>
                            <w:r>
                              <w:rPr>
                                <w:rStyle w:val="275pt2"/>
                              </w:rPr>
                              <w:t>Федеральный</w:t>
                            </w:r>
                          </w:p>
                        </w:tc>
                      </w:tr>
                      <w:tr w:rsidR="00350396" w14:paraId="52D95525" w14:textId="77777777">
                        <w:trPr>
                          <w:trHeight w:hRule="exact" w:val="1205"/>
                          <w:jc w:val="center"/>
                        </w:trPr>
                        <w:tc>
                          <w:tcPr>
                            <w:tcW w:w="1819" w:type="dxa"/>
                            <w:vMerge/>
                            <w:tcBorders>
                              <w:left w:val="single" w:sz="4" w:space="0" w:color="auto"/>
                            </w:tcBorders>
                            <w:shd w:val="clear" w:color="auto" w:fill="FFFFFF"/>
                          </w:tcPr>
                          <w:p w14:paraId="77E711A3" w14:textId="77777777" w:rsidR="00350396" w:rsidRDefault="00350396"/>
                        </w:tc>
                        <w:tc>
                          <w:tcPr>
                            <w:tcW w:w="566" w:type="dxa"/>
                            <w:tcBorders>
                              <w:top w:val="single" w:sz="4" w:space="0" w:color="auto"/>
                              <w:left w:val="single" w:sz="4" w:space="0" w:color="auto"/>
                            </w:tcBorders>
                            <w:shd w:val="clear" w:color="auto" w:fill="FFFFFF"/>
                            <w:textDirection w:val="btLr"/>
                            <w:vAlign w:val="bottom"/>
                          </w:tcPr>
                          <w:p w14:paraId="769CA01C" w14:textId="77777777" w:rsidR="00350396" w:rsidRDefault="00350396">
                            <w:pPr>
                              <w:spacing w:line="176" w:lineRule="exact"/>
                            </w:pPr>
                            <w:r>
                              <w:rPr>
                                <w:rStyle w:val="275pt2"/>
                              </w:rPr>
                              <w:t>количество</w:t>
                            </w:r>
                          </w:p>
                        </w:tc>
                        <w:tc>
                          <w:tcPr>
                            <w:tcW w:w="1133" w:type="dxa"/>
                            <w:tcBorders>
                              <w:top w:val="single" w:sz="4" w:space="0" w:color="auto"/>
                              <w:left w:val="single" w:sz="4" w:space="0" w:color="auto"/>
                            </w:tcBorders>
                            <w:shd w:val="clear" w:color="auto" w:fill="FFFFFF"/>
                            <w:vAlign w:val="bottom"/>
                          </w:tcPr>
                          <w:p w14:paraId="71B742C9" w14:textId="77777777" w:rsidR="00350396" w:rsidRDefault="00350396">
                            <w:pPr>
                              <w:spacing w:line="221" w:lineRule="exact"/>
                              <w:jc w:val="center"/>
                            </w:pPr>
                            <w:r>
                              <w:rPr>
                                <w:rStyle w:val="275pt2"/>
                              </w:rPr>
                              <w:t>объем</w:t>
                            </w:r>
                          </w:p>
                          <w:p w14:paraId="1E8A1986" w14:textId="77777777" w:rsidR="00350396" w:rsidRDefault="00350396">
                            <w:pPr>
                              <w:spacing w:line="221" w:lineRule="exact"/>
                              <w:jc w:val="center"/>
                            </w:pPr>
                            <w:r>
                              <w:rPr>
                                <w:rStyle w:val="275pt2"/>
                              </w:rPr>
                              <w:t>частных</w:t>
                            </w:r>
                          </w:p>
                          <w:p w14:paraId="3301F0F0" w14:textId="77777777" w:rsidR="00350396" w:rsidRDefault="00350396">
                            <w:pPr>
                              <w:spacing w:line="221" w:lineRule="exact"/>
                              <w:jc w:val="center"/>
                            </w:pPr>
                            <w:r>
                              <w:rPr>
                                <w:rStyle w:val="275pt2"/>
                              </w:rPr>
                              <w:t>инве</w:t>
                            </w:r>
                            <w:r>
                              <w:rPr>
                                <w:rStyle w:val="275pt2"/>
                              </w:rPr>
                              <w:softHyphen/>
                              <w:t>стиций (тыс. руб.)</w:t>
                            </w:r>
                          </w:p>
                        </w:tc>
                        <w:tc>
                          <w:tcPr>
                            <w:tcW w:w="456" w:type="dxa"/>
                            <w:tcBorders>
                              <w:top w:val="single" w:sz="4" w:space="0" w:color="auto"/>
                              <w:left w:val="single" w:sz="4" w:space="0" w:color="auto"/>
                            </w:tcBorders>
                            <w:shd w:val="clear" w:color="auto" w:fill="FFFFFF"/>
                            <w:textDirection w:val="btLr"/>
                            <w:vAlign w:val="bottom"/>
                          </w:tcPr>
                          <w:p w14:paraId="6C84F70F" w14:textId="77777777" w:rsidR="00350396" w:rsidRDefault="00350396">
                            <w:pPr>
                              <w:spacing w:line="176" w:lineRule="exact"/>
                            </w:pPr>
                            <w:r>
                              <w:rPr>
                                <w:rStyle w:val="275pt2"/>
                              </w:rPr>
                              <w:t>количество</w:t>
                            </w:r>
                          </w:p>
                        </w:tc>
                        <w:tc>
                          <w:tcPr>
                            <w:tcW w:w="1133" w:type="dxa"/>
                            <w:tcBorders>
                              <w:top w:val="single" w:sz="4" w:space="0" w:color="auto"/>
                              <w:left w:val="single" w:sz="4" w:space="0" w:color="auto"/>
                            </w:tcBorders>
                            <w:shd w:val="clear" w:color="auto" w:fill="FFFFFF"/>
                            <w:vAlign w:val="bottom"/>
                          </w:tcPr>
                          <w:p w14:paraId="4406EC6A" w14:textId="77777777" w:rsidR="00350396" w:rsidRDefault="00350396">
                            <w:pPr>
                              <w:spacing w:line="221" w:lineRule="exact"/>
                              <w:jc w:val="center"/>
                            </w:pPr>
                            <w:r>
                              <w:rPr>
                                <w:rStyle w:val="275pt2"/>
                              </w:rPr>
                              <w:t>объем</w:t>
                            </w:r>
                          </w:p>
                          <w:p w14:paraId="58A882FC" w14:textId="77777777" w:rsidR="00350396" w:rsidRDefault="00350396">
                            <w:pPr>
                              <w:spacing w:line="221" w:lineRule="exact"/>
                              <w:jc w:val="center"/>
                            </w:pPr>
                            <w:r>
                              <w:rPr>
                                <w:rStyle w:val="275pt2"/>
                              </w:rPr>
                              <w:t>частных</w:t>
                            </w:r>
                          </w:p>
                          <w:p w14:paraId="53B5EDA4" w14:textId="77777777" w:rsidR="00350396" w:rsidRDefault="00350396">
                            <w:pPr>
                              <w:spacing w:line="221" w:lineRule="exact"/>
                              <w:jc w:val="center"/>
                            </w:pPr>
                            <w:r>
                              <w:rPr>
                                <w:rStyle w:val="275pt2"/>
                              </w:rPr>
                              <w:t>инвести</w:t>
                            </w:r>
                            <w:r>
                              <w:rPr>
                                <w:rStyle w:val="275pt2"/>
                              </w:rPr>
                              <w:softHyphen/>
                            </w:r>
                          </w:p>
                          <w:p w14:paraId="056A7C3B" w14:textId="77777777" w:rsidR="00350396" w:rsidRDefault="00350396">
                            <w:pPr>
                              <w:spacing w:line="221" w:lineRule="exact"/>
                              <w:jc w:val="center"/>
                            </w:pPr>
                            <w:r>
                              <w:rPr>
                                <w:rStyle w:val="275pt2"/>
                              </w:rPr>
                              <w:t>ций</w:t>
                            </w:r>
                          </w:p>
                          <w:p w14:paraId="612C9A21" w14:textId="77777777" w:rsidR="00350396" w:rsidRDefault="00350396">
                            <w:pPr>
                              <w:spacing w:line="221" w:lineRule="exact"/>
                            </w:pPr>
                            <w:r>
                              <w:rPr>
                                <w:rStyle w:val="275pt2"/>
                              </w:rPr>
                              <w:t>(тыс. руб.)</w:t>
                            </w:r>
                          </w:p>
                        </w:tc>
                        <w:tc>
                          <w:tcPr>
                            <w:tcW w:w="341" w:type="dxa"/>
                            <w:tcBorders>
                              <w:top w:val="single" w:sz="4" w:space="0" w:color="auto"/>
                              <w:left w:val="single" w:sz="4" w:space="0" w:color="auto"/>
                            </w:tcBorders>
                            <w:shd w:val="clear" w:color="auto" w:fill="FFFFFF"/>
                            <w:textDirection w:val="btLr"/>
                            <w:vAlign w:val="bottom"/>
                          </w:tcPr>
                          <w:p w14:paraId="0721D4C2" w14:textId="77777777" w:rsidR="00350396" w:rsidRDefault="00350396">
                            <w:pPr>
                              <w:spacing w:line="176" w:lineRule="exact"/>
                            </w:pPr>
                            <w:r>
                              <w:rPr>
                                <w:rStyle w:val="275pt2"/>
                              </w:rPr>
                              <w:t>количество</w:t>
                            </w:r>
                          </w:p>
                        </w:tc>
                        <w:tc>
                          <w:tcPr>
                            <w:tcW w:w="1142" w:type="dxa"/>
                            <w:tcBorders>
                              <w:top w:val="single" w:sz="4" w:space="0" w:color="auto"/>
                              <w:left w:val="single" w:sz="4" w:space="0" w:color="auto"/>
                              <w:right w:val="single" w:sz="4" w:space="0" w:color="auto"/>
                            </w:tcBorders>
                            <w:shd w:val="clear" w:color="auto" w:fill="FFFFFF"/>
                            <w:vAlign w:val="bottom"/>
                          </w:tcPr>
                          <w:p w14:paraId="37EBD81D" w14:textId="77777777" w:rsidR="00350396" w:rsidRDefault="00350396">
                            <w:pPr>
                              <w:spacing w:line="221" w:lineRule="exact"/>
                              <w:jc w:val="center"/>
                            </w:pPr>
                            <w:r>
                              <w:rPr>
                                <w:rStyle w:val="275pt2"/>
                              </w:rPr>
                              <w:t>объем</w:t>
                            </w:r>
                          </w:p>
                          <w:p w14:paraId="6DCEAEDE" w14:textId="77777777" w:rsidR="00350396" w:rsidRDefault="00350396">
                            <w:pPr>
                              <w:spacing w:line="221" w:lineRule="exact"/>
                              <w:jc w:val="center"/>
                            </w:pPr>
                            <w:r>
                              <w:rPr>
                                <w:rStyle w:val="275pt2"/>
                              </w:rPr>
                              <w:t>частных</w:t>
                            </w:r>
                          </w:p>
                          <w:p w14:paraId="2D176ECA" w14:textId="77777777" w:rsidR="00350396" w:rsidRDefault="00350396">
                            <w:pPr>
                              <w:spacing w:line="221" w:lineRule="exact"/>
                              <w:jc w:val="center"/>
                            </w:pPr>
                            <w:r>
                              <w:rPr>
                                <w:rStyle w:val="275pt2"/>
                              </w:rPr>
                              <w:t>инвести</w:t>
                            </w:r>
                            <w:r>
                              <w:rPr>
                                <w:rStyle w:val="275pt2"/>
                              </w:rPr>
                              <w:softHyphen/>
                            </w:r>
                          </w:p>
                          <w:p w14:paraId="770203D6" w14:textId="77777777" w:rsidR="00350396" w:rsidRDefault="00350396">
                            <w:pPr>
                              <w:spacing w:line="221" w:lineRule="exact"/>
                              <w:jc w:val="center"/>
                            </w:pPr>
                            <w:r>
                              <w:rPr>
                                <w:rStyle w:val="275pt2"/>
                              </w:rPr>
                              <w:t>ций</w:t>
                            </w:r>
                          </w:p>
                          <w:p w14:paraId="235A1B62" w14:textId="77777777" w:rsidR="00350396" w:rsidRDefault="00350396">
                            <w:pPr>
                              <w:spacing w:line="221" w:lineRule="exact"/>
                            </w:pPr>
                            <w:r>
                              <w:rPr>
                                <w:rStyle w:val="275pt2"/>
                              </w:rPr>
                              <w:t>(тыс. руб.)</w:t>
                            </w:r>
                          </w:p>
                        </w:tc>
                      </w:tr>
                      <w:tr w:rsidR="00350396" w14:paraId="605BC90D" w14:textId="77777777">
                        <w:trPr>
                          <w:trHeight w:hRule="exact" w:val="547"/>
                          <w:jc w:val="center"/>
                        </w:trPr>
                        <w:tc>
                          <w:tcPr>
                            <w:tcW w:w="1819" w:type="dxa"/>
                            <w:tcBorders>
                              <w:top w:val="single" w:sz="4" w:space="0" w:color="auto"/>
                              <w:left w:val="single" w:sz="4" w:space="0" w:color="auto"/>
                            </w:tcBorders>
                            <w:shd w:val="clear" w:color="auto" w:fill="FFFFFF"/>
                            <w:vAlign w:val="center"/>
                          </w:tcPr>
                          <w:p w14:paraId="76A43E69" w14:textId="77777777" w:rsidR="00350396" w:rsidRDefault="00350396">
                            <w:pPr>
                              <w:spacing w:line="216" w:lineRule="exact"/>
                            </w:pPr>
                            <w:r>
                              <w:rPr>
                                <w:rStyle w:val="285pt"/>
                              </w:rPr>
                              <w:t>Сельско-и охотохо</w:t>
                            </w:r>
                            <w:r>
                              <w:rPr>
                                <w:rStyle w:val="285pt"/>
                              </w:rPr>
                              <w:softHyphen/>
                              <w:t>зяйственная</w:t>
                            </w:r>
                          </w:p>
                        </w:tc>
                        <w:tc>
                          <w:tcPr>
                            <w:tcW w:w="566" w:type="dxa"/>
                            <w:tcBorders>
                              <w:top w:val="single" w:sz="4" w:space="0" w:color="auto"/>
                              <w:left w:val="single" w:sz="4" w:space="0" w:color="auto"/>
                            </w:tcBorders>
                            <w:shd w:val="clear" w:color="auto" w:fill="FFFFFF"/>
                            <w:vAlign w:val="center"/>
                          </w:tcPr>
                          <w:p w14:paraId="15FB3769" w14:textId="77777777" w:rsidR="00350396" w:rsidRDefault="00350396">
                            <w:pPr>
                              <w:spacing w:line="192" w:lineRule="exact"/>
                              <w:ind w:right="240"/>
                              <w:jc w:val="right"/>
                            </w:pPr>
                            <w:r>
                              <w:rPr>
                                <w:rStyle w:val="285pt"/>
                              </w:rPr>
                              <w:t>1</w:t>
                            </w:r>
                          </w:p>
                        </w:tc>
                        <w:tc>
                          <w:tcPr>
                            <w:tcW w:w="1133" w:type="dxa"/>
                            <w:tcBorders>
                              <w:top w:val="single" w:sz="4" w:space="0" w:color="auto"/>
                              <w:left w:val="single" w:sz="4" w:space="0" w:color="auto"/>
                            </w:tcBorders>
                            <w:shd w:val="clear" w:color="auto" w:fill="FFFFFF"/>
                          </w:tcPr>
                          <w:p w14:paraId="618974F5" w14:textId="77777777" w:rsidR="00350396" w:rsidRDefault="00350396">
                            <w:pPr>
                              <w:spacing w:line="192" w:lineRule="exact"/>
                              <w:jc w:val="center"/>
                            </w:pPr>
                            <w:r>
                              <w:rPr>
                                <w:rStyle w:val="285pt"/>
                              </w:rPr>
                              <w:t>5405</w:t>
                            </w:r>
                          </w:p>
                        </w:tc>
                        <w:tc>
                          <w:tcPr>
                            <w:tcW w:w="456" w:type="dxa"/>
                            <w:tcBorders>
                              <w:top w:val="single" w:sz="4" w:space="0" w:color="auto"/>
                              <w:left w:val="single" w:sz="4" w:space="0" w:color="auto"/>
                            </w:tcBorders>
                            <w:shd w:val="clear" w:color="auto" w:fill="FFFFFF"/>
                          </w:tcPr>
                          <w:p w14:paraId="7158D595" w14:textId="77777777" w:rsidR="00350396" w:rsidRDefault="00350396">
                            <w:pPr>
                              <w:rPr>
                                <w:sz w:val="10"/>
                                <w:szCs w:val="10"/>
                              </w:rPr>
                            </w:pPr>
                          </w:p>
                        </w:tc>
                        <w:tc>
                          <w:tcPr>
                            <w:tcW w:w="1133" w:type="dxa"/>
                            <w:tcBorders>
                              <w:top w:val="single" w:sz="4" w:space="0" w:color="auto"/>
                              <w:left w:val="single" w:sz="4" w:space="0" w:color="auto"/>
                            </w:tcBorders>
                            <w:shd w:val="clear" w:color="auto" w:fill="FFFFFF"/>
                          </w:tcPr>
                          <w:p w14:paraId="7806BB9F" w14:textId="77777777" w:rsidR="00350396" w:rsidRDefault="00350396">
                            <w:pPr>
                              <w:rPr>
                                <w:sz w:val="10"/>
                                <w:szCs w:val="10"/>
                              </w:rPr>
                            </w:pPr>
                          </w:p>
                        </w:tc>
                        <w:tc>
                          <w:tcPr>
                            <w:tcW w:w="341" w:type="dxa"/>
                            <w:tcBorders>
                              <w:top w:val="single" w:sz="4" w:space="0" w:color="auto"/>
                              <w:left w:val="single" w:sz="4" w:space="0" w:color="auto"/>
                            </w:tcBorders>
                            <w:shd w:val="clear" w:color="auto" w:fill="FFFFFF"/>
                          </w:tcPr>
                          <w:p w14:paraId="3558C4C3" w14:textId="77777777" w:rsidR="00350396" w:rsidRDefault="00350396">
                            <w:pPr>
                              <w:rPr>
                                <w:sz w:val="10"/>
                                <w:szCs w:val="10"/>
                              </w:rPr>
                            </w:pPr>
                          </w:p>
                        </w:tc>
                        <w:tc>
                          <w:tcPr>
                            <w:tcW w:w="1142" w:type="dxa"/>
                            <w:tcBorders>
                              <w:top w:val="single" w:sz="4" w:space="0" w:color="auto"/>
                              <w:left w:val="single" w:sz="4" w:space="0" w:color="auto"/>
                              <w:right w:val="single" w:sz="4" w:space="0" w:color="auto"/>
                            </w:tcBorders>
                            <w:shd w:val="clear" w:color="auto" w:fill="FFFFFF"/>
                          </w:tcPr>
                          <w:p w14:paraId="29814C60" w14:textId="77777777" w:rsidR="00350396" w:rsidRDefault="00350396">
                            <w:pPr>
                              <w:rPr>
                                <w:sz w:val="10"/>
                                <w:szCs w:val="10"/>
                              </w:rPr>
                            </w:pPr>
                          </w:p>
                        </w:tc>
                      </w:tr>
                      <w:tr w:rsidR="00350396" w14:paraId="184EE611" w14:textId="77777777">
                        <w:trPr>
                          <w:trHeight w:hRule="exact" w:val="336"/>
                          <w:jc w:val="center"/>
                        </w:trPr>
                        <w:tc>
                          <w:tcPr>
                            <w:tcW w:w="1819" w:type="dxa"/>
                            <w:tcBorders>
                              <w:top w:val="single" w:sz="4" w:space="0" w:color="auto"/>
                              <w:left w:val="single" w:sz="4" w:space="0" w:color="auto"/>
                              <w:bottom w:val="single" w:sz="4" w:space="0" w:color="auto"/>
                            </w:tcBorders>
                            <w:shd w:val="clear" w:color="auto" w:fill="FFFFFF"/>
                            <w:vAlign w:val="center"/>
                          </w:tcPr>
                          <w:p w14:paraId="3C3CF12F" w14:textId="77777777" w:rsidR="00350396" w:rsidRDefault="00350396">
                            <w:pPr>
                              <w:spacing w:line="192" w:lineRule="exact"/>
                            </w:pPr>
                            <w:r>
                              <w:rPr>
                                <w:rStyle w:val="285pt"/>
                              </w:rPr>
                              <w:t>Общий итог</w:t>
                            </w:r>
                          </w:p>
                        </w:tc>
                        <w:tc>
                          <w:tcPr>
                            <w:tcW w:w="566" w:type="dxa"/>
                            <w:tcBorders>
                              <w:top w:val="single" w:sz="4" w:space="0" w:color="auto"/>
                              <w:left w:val="single" w:sz="4" w:space="0" w:color="auto"/>
                              <w:bottom w:val="single" w:sz="4" w:space="0" w:color="auto"/>
                            </w:tcBorders>
                            <w:shd w:val="clear" w:color="auto" w:fill="FFFFFF"/>
                            <w:vAlign w:val="center"/>
                          </w:tcPr>
                          <w:p w14:paraId="08FD5C6A" w14:textId="77777777" w:rsidR="00350396" w:rsidRDefault="00350396">
                            <w:pPr>
                              <w:spacing w:line="192" w:lineRule="exact"/>
                            </w:pPr>
                            <w:r>
                              <w:rPr>
                                <w:rStyle w:val="285pt"/>
                              </w:rPr>
                              <w:t>2 381</w:t>
                            </w:r>
                          </w:p>
                        </w:tc>
                        <w:tc>
                          <w:tcPr>
                            <w:tcW w:w="1133" w:type="dxa"/>
                            <w:tcBorders>
                              <w:top w:val="single" w:sz="4" w:space="0" w:color="auto"/>
                              <w:left w:val="single" w:sz="4" w:space="0" w:color="auto"/>
                              <w:bottom w:val="single" w:sz="4" w:space="0" w:color="auto"/>
                            </w:tcBorders>
                            <w:shd w:val="clear" w:color="auto" w:fill="FFFFFF"/>
                            <w:vAlign w:val="center"/>
                          </w:tcPr>
                          <w:p w14:paraId="7ACEF4CB" w14:textId="77777777" w:rsidR="00350396" w:rsidRDefault="00350396">
                            <w:pPr>
                              <w:spacing w:line="192" w:lineRule="exact"/>
                            </w:pPr>
                            <w:r>
                              <w:rPr>
                                <w:rStyle w:val="285pt"/>
                              </w:rPr>
                              <w:t>250 601 010</w:t>
                            </w:r>
                          </w:p>
                        </w:tc>
                        <w:tc>
                          <w:tcPr>
                            <w:tcW w:w="456" w:type="dxa"/>
                            <w:tcBorders>
                              <w:top w:val="single" w:sz="4" w:space="0" w:color="auto"/>
                              <w:left w:val="single" w:sz="4" w:space="0" w:color="auto"/>
                              <w:bottom w:val="single" w:sz="4" w:space="0" w:color="auto"/>
                            </w:tcBorders>
                            <w:shd w:val="clear" w:color="auto" w:fill="FFFFFF"/>
                            <w:vAlign w:val="center"/>
                          </w:tcPr>
                          <w:p w14:paraId="709208FA" w14:textId="77777777" w:rsidR="00350396" w:rsidRDefault="00350396">
                            <w:pPr>
                              <w:spacing w:line="192" w:lineRule="exact"/>
                            </w:pPr>
                            <w:r>
                              <w:rPr>
                                <w:rStyle w:val="285pt"/>
                              </w:rPr>
                              <w:t>106</w:t>
                            </w:r>
                          </w:p>
                        </w:tc>
                        <w:tc>
                          <w:tcPr>
                            <w:tcW w:w="1133" w:type="dxa"/>
                            <w:tcBorders>
                              <w:top w:val="single" w:sz="4" w:space="0" w:color="auto"/>
                              <w:left w:val="single" w:sz="4" w:space="0" w:color="auto"/>
                              <w:bottom w:val="single" w:sz="4" w:space="0" w:color="auto"/>
                            </w:tcBorders>
                            <w:shd w:val="clear" w:color="auto" w:fill="FFFFFF"/>
                            <w:vAlign w:val="center"/>
                          </w:tcPr>
                          <w:p w14:paraId="2D6F5B21" w14:textId="77777777" w:rsidR="00350396" w:rsidRDefault="00350396">
                            <w:pPr>
                              <w:spacing w:line="192" w:lineRule="exact"/>
                            </w:pPr>
                            <w:r>
                              <w:rPr>
                                <w:rStyle w:val="285pt"/>
                              </w:rPr>
                              <w:t>201 945 231</w:t>
                            </w:r>
                          </w:p>
                        </w:tc>
                        <w:tc>
                          <w:tcPr>
                            <w:tcW w:w="341" w:type="dxa"/>
                            <w:tcBorders>
                              <w:top w:val="single" w:sz="4" w:space="0" w:color="auto"/>
                              <w:left w:val="single" w:sz="4" w:space="0" w:color="auto"/>
                              <w:bottom w:val="single" w:sz="4" w:space="0" w:color="auto"/>
                            </w:tcBorders>
                            <w:shd w:val="clear" w:color="auto" w:fill="FFFFFF"/>
                            <w:vAlign w:val="center"/>
                          </w:tcPr>
                          <w:p w14:paraId="2407C1A7" w14:textId="77777777" w:rsidR="00350396" w:rsidRDefault="00350396">
                            <w:pPr>
                              <w:spacing w:line="192" w:lineRule="exact"/>
                            </w:pPr>
                            <w:r>
                              <w:rPr>
                                <w:rStyle w:val="285pt"/>
                              </w:rPr>
                              <w:t>9</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89CF424" w14:textId="77777777" w:rsidR="00350396" w:rsidRDefault="00350396">
                            <w:pPr>
                              <w:spacing w:line="192" w:lineRule="exact"/>
                            </w:pPr>
                            <w:r>
                              <w:rPr>
                                <w:rStyle w:val="285pt"/>
                              </w:rPr>
                              <w:t>166 518 000</w:t>
                            </w:r>
                          </w:p>
                        </w:tc>
                      </w:tr>
                    </w:tbl>
                    <w:p w14:paraId="25DCDD9D" w14:textId="77777777" w:rsidR="00350396" w:rsidRDefault="00350396" w:rsidP="00350396">
                      <w:pPr>
                        <w:rPr>
                          <w:sz w:val="2"/>
                          <w:szCs w:val="2"/>
                        </w:rPr>
                      </w:pPr>
                    </w:p>
                  </w:txbxContent>
                </v:textbox>
                <w10:wrap type="topAndBottom" anchorx="margin"/>
              </v:shape>
            </w:pict>
          </mc:Fallback>
        </mc:AlternateContent>
      </w:r>
      <w:r w:rsidRPr="004E0FC4">
        <w:rPr>
          <w:rFonts w:ascii="Bookman Old Style" w:eastAsia="Bookman Old Style" w:hAnsi="Bookman Old Style" w:cs="Bookman Old Style"/>
          <w:color w:val="231F20"/>
          <w:sz w:val="18"/>
          <w:szCs w:val="18"/>
        </w:rPr>
        <w:t>Таким образом, наибольшее число концессий заключено в сфере коммунально-энергетической инфраструктуры на муниципальном уровне. При этом наиболее крупные по объемам концессии реа</w:t>
      </w:r>
      <w:r w:rsidRPr="004E0FC4">
        <w:rPr>
          <w:rFonts w:ascii="Bookman Old Style" w:eastAsia="Bookman Old Style" w:hAnsi="Bookman Old Style" w:cs="Bookman Old Style"/>
          <w:color w:val="231F20"/>
          <w:sz w:val="18"/>
          <w:szCs w:val="18"/>
        </w:rPr>
        <w:softHyphen/>
        <w:t>лизуются на федеральном и региональном уровнях в сфере транс</w:t>
      </w:r>
      <w:r w:rsidRPr="004E0FC4">
        <w:rPr>
          <w:rFonts w:ascii="Bookman Old Style" w:eastAsia="Bookman Old Style" w:hAnsi="Bookman Old Style" w:cs="Bookman Old Style"/>
          <w:color w:val="231F20"/>
          <w:sz w:val="18"/>
          <w:szCs w:val="18"/>
        </w:rPr>
        <w:softHyphen/>
        <w:t>портной и социальной инфраструктуры, а также информационных систем.</w:t>
      </w:r>
    </w:p>
    <w:p w14:paraId="07677F8E" w14:textId="77777777" w:rsidR="00350396" w:rsidRPr="004E0FC4" w:rsidRDefault="00350396" w:rsidP="004E0FC4">
      <w:pPr>
        <w:widowControl w:val="0"/>
        <w:spacing w:after="385"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Первые концессии заключались с 2006 г., крупнейшие соглаше</w:t>
      </w:r>
      <w:r w:rsidRPr="004E0FC4">
        <w:rPr>
          <w:rFonts w:ascii="Bookman Old Style" w:eastAsia="Bookman Old Style" w:hAnsi="Bookman Old Style" w:cs="Bookman Old Style"/>
          <w:color w:val="231F20"/>
          <w:sz w:val="18"/>
          <w:szCs w:val="18"/>
        </w:rPr>
        <w:softHyphen/>
        <w:t>ния на рынке были запущены уже в 2009 г. (М-11 «Москва — Санкт- Петербург» на участке км 15 — км 58, Северный обход г. Одинцо</w:t>
      </w:r>
      <w:r w:rsidRPr="004E0FC4">
        <w:rPr>
          <w:rFonts w:ascii="Bookman Old Style" w:eastAsia="Bookman Old Style" w:hAnsi="Bookman Old Style" w:cs="Bookman Old Style"/>
          <w:color w:val="231F20"/>
          <w:sz w:val="18"/>
          <w:szCs w:val="18"/>
        </w:rPr>
        <w:softHyphen/>
        <w:t>во). В 2012—2016 гг. имелся устойчивый положительный тренд на заключение концессионных соглашений (табл. 4.3).</w:t>
      </w:r>
    </w:p>
    <w:p w14:paraId="28950FFA" w14:textId="77777777" w:rsidR="00350396" w:rsidRPr="004E0FC4" w:rsidRDefault="00350396" w:rsidP="004E0FC4">
      <w:pPr>
        <w:widowControl w:val="0"/>
        <w:spacing w:line="194" w:lineRule="exact"/>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Заключенные концессионные соглашения в 2012—2017 годах</w:t>
      </w:r>
      <w:r w:rsidRPr="004E0FC4">
        <w:rPr>
          <w:rFonts w:ascii="Bookman Old Style" w:eastAsia="Arial Narrow" w:hAnsi="Bookman Old Style" w:cs="Arial Narrow"/>
          <w:b/>
          <w:bCs/>
          <w:color w:val="231F20"/>
          <w:sz w:val="18"/>
          <w:szCs w:val="18"/>
          <w:vertAlign w:val="superscript"/>
        </w:rPr>
        <w:footnoteReference w:id="79"/>
      </w:r>
    </w:p>
    <w:p w14:paraId="7992B5CB"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Таблица 4.3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52"/>
        <w:gridCol w:w="566"/>
        <w:gridCol w:w="566"/>
        <w:gridCol w:w="624"/>
        <w:gridCol w:w="624"/>
        <w:gridCol w:w="624"/>
        <w:gridCol w:w="634"/>
      </w:tblGrid>
      <w:tr w:rsidR="00350396" w:rsidRPr="004E0FC4" w14:paraId="15221945" w14:textId="77777777" w:rsidTr="006D7F71">
        <w:trPr>
          <w:trHeight w:hRule="exact" w:val="331"/>
          <w:jc w:val="center"/>
        </w:trPr>
        <w:tc>
          <w:tcPr>
            <w:tcW w:w="2952" w:type="dxa"/>
            <w:tcBorders>
              <w:top w:val="single" w:sz="4" w:space="0" w:color="auto"/>
              <w:left w:val="single" w:sz="4" w:space="0" w:color="auto"/>
            </w:tcBorders>
            <w:shd w:val="clear" w:color="auto" w:fill="FFFFFF"/>
            <w:vAlign w:val="center"/>
          </w:tcPr>
          <w:p w14:paraId="0C5533FF"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Годы</w:t>
            </w:r>
          </w:p>
        </w:tc>
        <w:tc>
          <w:tcPr>
            <w:tcW w:w="566" w:type="dxa"/>
            <w:tcBorders>
              <w:top w:val="single" w:sz="4" w:space="0" w:color="auto"/>
              <w:left w:val="single" w:sz="4" w:space="0" w:color="auto"/>
            </w:tcBorders>
            <w:shd w:val="clear" w:color="auto" w:fill="FFFFFF"/>
            <w:vAlign w:val="center"/>
          </w:tcPr>
          <w:p w14:paraId="3BB86BDE"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2012</w:t>
            </w:r>
          </w:p>
        </w:tc>
        <w:tc>
          <w:tcPr>
            <w:tcW w:w="566" w:type="dxa"/>
            <w:tcBorders>
              <w:top w:val="single" w:sz="4" w:space="0" w:color="auto"/>
              <w:left w:val="single" w:sz="4" w:space="0" w:color="auto"/>
            </w:tcBorders>
            <w:shd w:val="clear" w:color="auto" w:fill="FFFFFF"/>
            <w:vAlign w:val="center"/>
          </w:tcPr>
          <w:p w14:paraId="2D0F0043"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2013</w:t>
            </w:r>
          </w:p>
        </w:tc>
        <w:tc>
          <w:tcPr>
            <w:tcW w:w="624" w:type="dxa"/>
            <w:tcBorders>
              <w:top w:val="single" w:sz="4" w:space="0" w:color="auto"/>
              <w:left w:val="single" w:sz="4" w:space="0" w:color="auto"/>
            </w:tcBorders>
            <w:shd w:val="clear" w:color="auto" w:fill="FFFFFF"/>
            <w:vAlign w:val="center"/>
          </w:tcPr>
          <w:p w14:paraId="3389D14C"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2014</w:t>
            </w:r>
          </w:p>
        </w:tc>
        <w:tc>
          <w:tcPr>
            <w:tcW w:w="624" w:type="dxa"/>
            <w:tcBorders>
              <w:top w:val="single" w:sz="4" w:space="0" w:color="auto"/>
              <w:left w:val="single" w:sz="4" w:space="0" w:color="auto"/>
            </w:tcBorders>
            <w:shd w:val="clear" w:color="auto" w:fill="FFFFFF"/>
            <w:vAlign w:val="center"/>
          </w:tcPr>
          <w:p w14:paraId="492F2AF9" w14:textId="77777777" w:rsidR="00350396" w:rsidRPr="004E0FC4" w:rsidRDefault="00350396" w:rsidP="004E0FC4">
            <w:pPr>
              <w:framePr w:w="6590" w:wrap="notBeside" w:vAnchor="text" w:hAnchor="text" w:xAlign="center" w:y="1"/>
              <w:widowControl w:val="0"/>
              <w:spacing w:line="192" w:lineRule="exact"/>
              <w:ind w:left="1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2015</w:t>
            </w:r>
          </w:p>
        </w:tc>
        <w:tc>
          <w:tcPr>
            <w:tcW w:w="624" w:type="dxa"/>
            <w:tcBorders>
              <w:top w:val="single" w:sz="4" w:space="0" w:color="auto"/>
              <w:left w:val="single" w:sz="4" w:space="0" w:color="auto"/>
            </w:tcBorders>
            <w:shd w:val="clear" w:color="auto" w:fill="FFFFFF"/>
            <w:vAlign w:val="center"/>
          </w:tcPr>
          <w:p w14:paraId="31906E8C"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2016</w:t>
            </w:r>
          </w:p>
        </w:tc>
        <w:tc>
          <w:tcPr>
            <w:tcW w:w="634" w:type="dxa"/>
            <w:tcBorders>
              <w:top w:val="single" w:sz="4" w:space="0" w:color="auto"/>
              <w:left w:val="single" w:sz="4" w:space="0" w:color="auto"/>
              <w:right w:val="single" w:sz="4" w:space="0" w:color="auto"/>
            </w:tcBorders>
            <w:shd w:val="clear" w:color="auto" w:fill="FFFFFF"/>
            <w:vAlign w:val="center"/>
          </w:tcPr>
          <w:p w14:paraId="0CEDAD68"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2017</w:t>
            </w:r>
          </w:p>
        </w:tc>
      </w:tr>
      <w:tr w:rsidR="00350396" w:rsidRPr="004E0FC4" w14:paraId="00D04832" w14:textId="77777777" w:rsidTr="006D7F71">
        <w:trPr>
          <w:trHeight w:hRule="exact" w:val="322"/>
          <w:jc w:val="center"/>
        </w:trPr>
        <w:tc>
          <w:tcPr>
            <w:tcW w:w="2952" w:type="dxa"/>
            <w:tcBorders>
              <w:top w:val="single" w:sz="4" w:space="0" w:color="auto"/>
              <w:left w:val="single" w:sz="4" w:space="0" w:color="auto"/>
            </w:tcBorders>
            <w:shd w:val="clear" w:color="auto" w:fill="FFFFFF"/>
            <w:vAlign w:val="center"/>
          </w:tcPr>
          <w:p w14:paraId="58301F2B"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Количество КС</w:t>
            </w:r>
          </w:p>
        </w:tc>
        <w:tc>
          <w:tcPr>
            <w:tcW w:w="566" w:type="dxa"/>
            <w:tcBorders>
              <w:top w:val="single" w:sz="4" w:space="0" w:color="auto"/>
              <w:left w:val="single" w:sz="4" w:space="0" w:color="auto"/>
            </w:tcBorders>
            <w:shd w:val="clear" w:color="auto" w:fill="FFFFFF"/>
            <w:vAlign w:val="center"/>
          </w:tcPr>
          <w:p w14:paraId="492889D0" w14:textId="77777777" w:rsidR="00350396" w:rsidRPr="004E0FC4" w:rsidRDefault="00350396" w:rsidP="004E0FC4">
            <w:pPr>
              <w:framePr w:w="6590" w:wrap="notBeside" w:vAnchor="text" w:hAnchor="text" w:xAlign="center" w:y="1"/>
              <w:widowControl w:val="0"/>
              <w:spacing w:line="192" w:lineRule="exact"/>
              <w:ind w:left="20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66</w:t>
            </w:r>
          </w:p>
        </w:tc>
        <w:tc>
          <w:tcPr>
            <w:tcW w:w="566" w:type="dxa"/>
            <w:tcBorders>
              <w:top w:val="single" w:sz="4" w:space="0" w:color="auto"/>
              <w:left w:val="single" w:sz="4" w:space="0" w:color="auto"/>
            </w:tcBorders>
            <w:shd w:val="clear" w:color="auto" w:fill="FFFFFF"/>
            <w:vAlign w:val="center"/>
          </w:tcPr>
          <w:p w14:paraId="333BDE8F"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110</w:t>
            </w:r>
          </w:p>
        </w:tc>
        <w:tc>
          <w:tcPr>
            <w:tcW w:w="624" w:type="dxa"/>
            <w:tcBorders>
              <w:top w:val="single" w:sz="4" w:space="0" w:color="auto"/>
              <w:left w:val="single" w:sz="4" w:space="0" w:color="auto"/>
            </w:tcBorders>
            <w:shd w:val="clear" w:color="auto" w:fill="FFFFFF"/>
            <w:vAlign w:val="center"/>
          </w:tcPr>
          <w:p w14:paraId="1AD5E04E"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223</w:t>
            </w:r>
          </w:p>
        </w:tc>
        <w:tc>
          <w:tcPr>
            <w:tcW w:w="624" w:type="dxa"/>
            <w:tcBorders>
              <w:top w:val="single" w:sz="4" w:space="0" w:color="auto"/>
              <w:left w:val="single" w:sz="4" w:space="0" w:color="auto"/>
            </w:tcBorders>
            <w:shd w:val="clear" w:color="auto" w:fill="FFFFFF"/>
            <w:vAlign w:val="center"/>
          </w:tcPr>
          <w:p w14:paraId="1A0AC756" w14:textId="77777777" w:rsidR="00350396" w:rsidRPr="004E0FC4" w:rsidRDefault="00350396" w:rsidP="004E0FC4">
            <w:pPr>
              <w:framePr w:w="6590" w:wrap="notBeside" w:vAnchor="text" w:hAnchor="text" w:xAlign="center" w:y="1"/>
              <w:widowControl w:val="0"/>
              <w:spacing w:line="192" w:lineRule="exact"/>
              <w:ind w:left="1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465</w:t>
            </w:r>
          </w:p>
        </w:tc>
        <w:tc>
          <w:tcPr>
            <w:tcW w:w="624" w:type="dxa"/>
            <w:tcBorders>
              <w:top w:val="single" w:sz="4" w:space="0" w:color="auto"/>
              <w:left w:val="single" w:sz="4" w:space="0" w:color="auto"/>
            </w:tcBorders>
            <w:shd w:val="clear" w:color="auto" w:fill="FFFFFF"/>
            <w:vAlign w:val="center"/>
          </w:tcPr>
          <w:p w14:paraId="2A8DEE28"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1072</w:t>
            </w:r>
          </w:p>
        </w:tc>
        <w:tc>
          <w:tcPr>
            <w:tcW w:w="634" w:type="dxa"/>
            <w:tcBorders>
              <w:top w:val="single" w:sz="4" w:space="0" w:color="auto"/>
              <w:left w:val="single" w:sz="4" w:space="0" w:color="auto"/>
              <w:right w:val="single" w:sz="4" w:space="0" w:color="auto"/>
            </w:tcBorders>
            <w:shd w:val="clear" w:color="auto" w:fill="FFFFFF"/>
            <w:vAlign w:val="center"/>
          </w:tcPr>
          <w:p w14:paraId="21F64C0D"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413</w:t>
            </w:r>
          </w:p>
        </w:tc>
      </w:tr>
      <w:tr w:rsidR="00350396" w:rsidRPr="004E0FC4" w14:paraId="3BC03B16" w14:textId="77777777" w:rsidTr="006D7F71">
        <w:trPr>
          <w:trHeight w:hRule="exact" w:val="557"/>
          <w:jc w:val="center"/>
        </w:trPr>
        <w:tc>
          <w:tcPr>
            <w:tcW w:w="2952" w:type="dxa"/>
            <w:tcBorders>
              <w:top w:val="single" w:sz="4" w:space="0" w:color="auto"/>
              <w:left w:val="single" w:sz="4" w:space="0" w:color="auto"/>
              <w:bottom w:val="single" w:sz="4" w:space="0" w:color="auto"/>
            </w:tcBorders>
            <w:shd w:val="clear" w:color="auto" w:fill="FFFFFF"/>
            <w:vAlign w:val="bottom"/>
          </w:tcPr>
          <w:p w14:paraId="516E65DA"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 частных инвестиций (млрд руб.)</w:t>
            </w:r>
          </w:p>
        </w:tc>
        <w:tc>
          <w:tcPr>
            <w:tcW w:w="566" w:type="dxa"/>
            <w:tcBorders>
              <w:top w:val="single" w:sz="4" w:space="0" w:color="auto"/>
              <w:left w:val="single" w:sz="4" w:space="0" w:color="auto"/>
              <w:bottom w:val="single" w:sz="4" w:space="0" w:color="auto"/>
            </w:tcBorders>
            <w:shd w:val="clear" w:color="auto" w:fill="FFFFFF"/>
            <w:vAlign w:val="center"/>
          </w:tcPr>
          <w:p w14:paraId="1346452D"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33,6</w:t>
            </w:r>
          </w:p>
        </w:tc>
        <w:tc>
          <w:tcPr>
            <w:tcW w:w="566" w:type="dxa"/>
            <w:tcBorders>
              <w:top w:val="single" w:sz="4" w:space="0" w:color="auto"/>
              <w:left w:val="single" w:sz="4" w:space="0" w:color="auto"/>
              <w:bottom w:val="single" w:sz="4" w:space="0" w:color="auto"/>
            </w:tcBorders>
            <w:shd w:val="clear" w:color="auto" w:fill="FFFFFF"/>
            <w:vAlign w:val="center"/>
          </w:tcPr>
          <w:p w14:paraId="09D87A49"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25,4</w:t>
            </w:r>
          </w:p>
        </w:tc>
        <w:tc>
          <w:tcPr>
            <w:tcW w:w="624" w:type="dxa"/>
            <w:tcBorders>
              <w:top w:val="single" w:sz="4" w:space="0" w:color="auto"/>
              <w:left w:val="single" w:sz="4" w:space="0" w:color="auto"/>
              <w:bottom w:val="single" w:sz="4" w:space="0" w:color="auto"/>
            </w:tcBorders>
            <w:shd w:val="clear" w:color="auto" w:fill="FFFFFF"/>
            <w:vAlign w:val="center"/>
          </w:tcPr>
          <w:p w14:paraId="50D7F911"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101,5</w:t>
            </w:r>
          </w:p>
        </w:tc>
        <w:tc>
          <w:tcPr>
            <w:tcW w:w="624" w:type="dxa"/>
            <w:tcBorders>
              <w:top w:val="single" w:sz="4" w:space="0" w:color="auto"/>
              <w:left w:val="single" w:sz="4" w:space="0" w:color="auto"/>
              <w:bottom w:val="single" w:sz="4" w:space="0" w:color="auto"/>
            </w:tcBorders>
            <w:shd w:val="clear" w:color="auto" w:fill="FFFFFF"/>
            <w:vAlign w:val="center"/>
          </w:tcPr>
          <w:p w14:paraId="087AE403" w14:textId="77777777" w:rsidR="00350396" w:rsidRPr="004E0FC4" w:rsidRDefault="00350396" w:rsidP="004E0FC4">
            <w:pPr>
              <w:framePr w:w="6590" w:wrap="notBeside" w:vAnchor="text" w:hAnchor="text" w:xAlign="center" w:y="1"/>
              <w:widowControl w:val="0"/>
              <w:spacing w:line="192" w:lineRule="exact"/>
              <w:ind w:left="1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85,5</w:t>
            </w:r>
          </w:p>
        </w:tc>
        <w:tc>
          <w:tcPr>
            <w:tcW w:w="624" w:type="dxa"/>
            <w:tcBorders>
              <w:top w:val="single" w:sz="4" w:space="0" w:color="auto"/>
              <w:left w:val="single" w:sz="4" w:space="0" w:color="auto"/>
              <w:bottom w:val="single" w:sz="4" w:space="0" w:color="auto"/>
            </w:tcBorders>
            <w:shd w:val="clear" w:color="auto" w:fill="FFFFFF"/>
            <w:vAlign w:val="center"/>
          </w:tcPr>
          <w:p w14:paraId="6D89EA9A"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155,5</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EFA19E4"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126,7</w:t>
            </w:r>
          </w:p>
        </w:tc>
      </w:tr>
    </w:tbl>
    <w:p w14:paraId="58A78D1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p w14:paraId="2EDD6E5F" w14:textId="77777777" w:rsidR="00350396" w:rsidRPr="004E0FC4" w:rsidRDefault="00350396" w:rsidP="004E0FC4">
      <w:pPr>
        <w:widowControl w:val="0"/>
        <w:spacing w:line="240" w:lineRule="auto"/>
        <w:ind w:firstLine="0"/>
        <w:rPr>
          <w:rFonts w:ascii="Bookman Old Style" w:hAnsi="Bookman Old Style"/>
          <w:sz w:val="18"/>
          <w:szCs w:val="18"/>
        </w:rPr>
      </w:pPr>
    </w:p>
    <w:p w14:paraId="7FE00E5F" w14:textId="5C934FF1" w:rsidR="00350396" w:rsidRPr="004E0FC4" w:rsidRDefault="00350396" w:rsidP="004E0FC4">
      <w:pPr>
        <w:widowControl w:val="0"/>
        <w:spacing w:before="328" w:after="321" w:line="178" w:lineRule="exact"/>
        <w:ind w:firstLine="0"/>
        <w:rPr>
          <w:rFonts w:ascii="Bookman Old Style" w:hAnsi="Bookman Old Style"/>
          <w:sz w:val="18"/>
          <w:szCs w:val="18"/>
        </w:rPr>
      </w:pPr>
      <w:r w:rsidRPr="004E0FC4">
        <w:rPr>
          <w:rFonts w:ascii="Bookman Old Style" w:hAnsi="Bookman Old Style"/>
          <w:noProof/>
          <w:sz w:val="18"/>
          <w:szCs w:val="18"/>
          <w:lang w:bidi="ar-SA"/>
        </w:rPr>
        <mc:AlternateContent>
          <mc:Choice Requires="wps">
            <w:drawing>
              <wp:anchor distT="105410" distB="0" distL="63500" distR="63500" simplePos="0" relativeHeight="377519934" behindDoc="1" locked="0" layoutInCell="1" allowOverlap="1" wp14:anchorId="098F517B" wp14:editId="437E3A67">
                <wp:simplePos x="0" y="0"/>
                <wp:positionH relativeFrom="margin">
                  <wp:posOffset>726440</wp:posOffset>
                </wp:positionH>
                <wp:positionV relativeFrom="paragraph">
                  <wp:posOffset>244475</wp:posOffset>
                </wp:positionV>
                <wp:extent cx="231775" cy="268605"/>
                <wp:effectExtent l="0" t="0" r="0" b="0"/>
                <wp:wrapSquare wrapText="bothSides"/>
                <wp:docPr id="286" name="Надпись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6AB6" w14:textId="77777777" w:rsidR="00350396" w:rsidRDefault="00350396" w:rsidP="00350396">
                            <w:r>
                              <w:rPr>
                                <w:rStyle w:val="4Exact0"/>
                              </w:rPr>
                              <w:t>17,5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F517B" id="Надпись 286" o:spid="_x0000_s1043" type="#_x0000_t202" style="position:absolute;left:0;text-align:left;margin-left:57.2pt;margin-top:19.25pt;width:18.25pt;height:21.15pt;z-index:-125796546;visibility:visible;mso-wrap-style:square;mso-width-percent:0;mso-height-percent:0;mso-wrap-distance-left:5pt;mso-wrap-distance-top:8.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" filled="f" stroked="f">
                <v:textbox style="mso-fit-shape-to-text:t" inset="0,0,0,0">
                  <w:txbxContent>
                    <w:p w14:paraId="07356AB6" w14:textId="77777777" w:rsidR="00350396" w:rsidRDefault="00350396" w:rsidP="00350396">
                      <w:r>
                        <w:rPr>
                          <w:rStyle w:val="4Exact0"/>
                        </w:rPr>
                        <w:t>17,5</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105410" distB="0" distL="63500" distR="63500" simplePos="0" relativeHeight="377520958" behindDoc="1" locked="0" layoutInCell="1" allowOverlap="1" wp14:anchorId="5A358485" wp14:editId="634B6750">
                <wp:simplePos x="0" y="0"/>
                <wp:positionH relativeFrom="margin">
                  <wp:posOffset>1183640</wp:posOffset>
                </wp:positionH>
                <wp:positionV relativeFrom="paragraph">
                  <wp:posOffset>902970</wp:posOffset>
                </wp:positionV>
                <wp:extent cx="365760" cy="133985"/>
                <wp:effectExtent l="0" t="635" r="0" b="0"/>
                <wp:wrapSquare wrapText="bothSides"/>
                <wp:docPr id="285" name="Надпись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96A3" w14:textId="77777777" w:rsidR="00350396" w:rsidRDefault="00350396" w:rsidP="00350396">
                            <w:r>
                              <w:rPr>
                                <w:rStyle w:val="4Exact0"/>
                              </w:rPr>
                              <w:t>20 %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358485" id="Надпись 285" o:spid="_x0000_s1044" type="#_x0000_t202" style="position:absolute;left:0;text-align:left;margin-left:93.2pt;margin-top:71.1pt;width:28.8pt;height:10.55pt;z-index:-125795522;visibility:visible;mso-wrap-style:square;mso-width-percent:0;mso-height-percent:0;mso-wrap-distance-left:5pt;mso-wrap-distance-top:8.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" filled="f" stroked="f">
                <v:textbox style="mso-fit-shape-to-text:t" inset="0,0,0,0">
                  <w:txbxContent>
                    <w:p w14:paraId="148996A3" w14:textId="77777777" w:rsidR="00350396" w:rsidRDefault="00350396" w:rsidP="00350396">
                      <w:r>
                        <w:rPr>
                          <w:rStyle w:val="4Exact0"/>
                        </w:rPr>
                        <w:t>20 %</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105410" distB="0" distL="63500" distR="63500" simplePos="0" relativeHeight="377521982" behindDoc="1" locked="0" layoutInCell="1" allowOverlap="1" wp14:anchorId="5229BBEE" wp14:editId="15E63EB1">
                <wp:simplePos x="0" y="0"/>
                <wp:positionH relativeFrom="margin">
                  <wp:posOffset>2232660</wp:posOffset>
                </wp:positionH>
                <wp:positionV relativeFrom="paragraph">
                  <wp:posOffset>94615</wp:posOffset>
                </wp:positionV>
                <wp:extent cx="389890" cy="121920"/>
                <wp:effectExtent l="1270" t="1905" r="0" b="0"/>
                <wp:wrapSquare wrapText="bothSides"/>
                <wp:docPr id="284" name="Надпись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AE75" w14:textId="77777777" w:rsidR="00350396" w:rsidRDefault="00350396" w:rsidP="00350396">
                            <w:pPr>
                              <w:pStyle w:val="af0"/>
                              <w:shd w:val="clear" w:color="auto" w:fill="E2E2E3"/>
                              <w:spacing w:line="192" w:lineRule="exact"/>
                              <w:jc w:val="left"/>
                            </w:pPr>
                            <w:r>
                              <w:rPr>
                                <w:rStyle w:val="Exact1"/>
                              </w:rPr>
                              <w:t>538,2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29BBEE" id="Надпись 284" o:spid="_x0000_s1045" type="#_x0000_t202" style="position:absolute;left:0;text-align:left;margin-left:175.8pt;margin-top:7.45pt;width:30.7pt;height:9.6pt;z-index:-125794498;visibility:visible;mso-wrap-style:square;mso-width-percent:0;mso-height-percent:0;mso-wrap-distance-left:5pt;mso-wrap-distance-top:8.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" filled="f" stroked="f">
                <v:textbox style="mso-fit-shape-to-text:t" inset="0,0,0,0">
                  <w:txbxContent>
                    <w:p w14:paraId="1981AE75" w14:textId="77777777" w:rsidR="00350396" w:rsidRDefault="00350396" w:rsidP="00350396">
                      <w:pPr>
                        <w:pStyle w:val="af0"/>
                        <w:shd w:val="clear" w:color="auto" w:fill="E2E2E3"/>
                        <w:spacing w:line="192" w:lineRule="exact"/>
                        <w:jc w:val="left"/>
                      </w:pPr>
                      <w:r>
                        <w:rPr>
                          <w:rStyle w:val="Exact1"/>
                        </w:rPr>
                        <w:t>538,2</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105410" distB="0" distL="63500" distR="63500" simplePos="0" relativeHeight="377523006" behindDoc="1" locked="0" layoutInCell="1" allowOverlap="1" wp14:anchorId="261B7C98" wp14:editId="46B66C04">
                <wp:simplePos x="0" y="0"/>
                <wp:positionH relativeFrom="margin">
                  <wp:posOffset>1848485</wp:posOffset>
                </wp:positionH>
                <wp:positionV relativeFrom="paragraph">
                  <wp:posOffset>908050</wp:posOffset>
                </wp:positionV>
                <wp:extent cx="359410" cy="121920"/>
                <wp:effectExtent l="0" t="0" r="4445" b="0"/>
                <wp:wrapSquare wrapText="bothSides"/>
                <wp:docPr id="283" name="Надпись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CF522" w14:textId="77777777" w:rsidR="00350396" w:rsidRDefault="00350396" w:rsidP="00350396">
                            <w:pPr>
                              <w:pStyle w:val="af0"/>
                              <w:shd w:val="clear" w:color="auto" w:fill="auto"/>
                              <w:spacing w:line="192" w:lineRule="exact"/>
                              <w:jc w:val="left"/>
                            </w:pPr>
                            <w:r>
                              <w:rPr>
                                <w:rStyle w:val="Exact1"/>
                              </w:rPr>
                              <w:t>40 %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1B7C98" id="Надпись 283" o:spid="_x0000_s1046" type="#_x0000_t202" style="position:absolute;left:0;text-align:left;margin-left:145.55pt;margin-top:71.5pt;width:28.3pt;height:9.6pt;z-index:-125793474;visibility:visible;mso-wrap-style:square;mso-width-percent:0;mso-height-percent:0;mso-wrap-distance-left:5pt;mso-wrap-distance-top:8.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" filled="f" stroked="f">
                <v:textbox style="mso-fit-shape-to-text:t" inset="0,0,0,0">
                  <w:txbxContent>
                    <w:p w14:paraId="08CCF522" w14:textId="77777777" w:rsidR="00350396" w:rsidRDefault="00350396" w:rsidP="00350396">
                      <w:pPr>
                        <w:pStyle w:val="af0"/>
                        <w:shd w:val="clear" w:color="auto" w:fill="auto"/>
                        <w:spacing w:line="192" w:lineRule="exact"/>
                        <w:jc w:val="left"/>
                      </w:pPr>
                      <w:r>
                        <w:rPr>
                          <w:rStyle w:val="Exact1"/>
                        </w:rPr>
                        <w:t>40 %</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105410" distB="0" distL="63500" distR="63500" simplePos="0" relativeHeight="377524030" behindDoc="1" locked="0" layoutInCell="1" allowOverlap="1" wp14:anchorId="0787929D" wp14:editId="7C8838A6">
                <wp:simplePos x="0" y="0"/>
                <wp:positionH relativeFrom="margin">
                  <wp:posOffset>2512695</wp:posOffset>
                </wp:positionH>
                <wp:positionV relativeFrom="paragraph">
                  <wp:posOffset>908050</wp:posOffset>
                </wp:positionV>
                <wp:extent cx="359410" cy="121920"/>
                <wp:effectExtent l="0" t="0" r="0" b="0"/>
                <wp:wrapSquare wrapText="bothSides"/>
                <wp:docPr id="282" name="Надпись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2D80D" w14:textId="77777777" w:rsidR="00350396" w:rsidRDefault="00350396" w:rsidP="00350396">
                            <w:pPr>
                              <w:pStyle w:val="af0"/>
                              <w:shd w:val="clear" w:color="auto" w:fill="auto"/>
                              <w:spacing w:line="192" w:lineRule="exact"/>
                              <w:jc w:val="left"/>
                            </w:pPr>
                            <w:r>
                              <w:rPr>
                                <w:rStyle w:val="Exact1"/>
                              </w:rPr>
                              <w:t>60 %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87929D" id="Надпись 282" o:spid="_x0000_s1047" type="#_x0000_t202" style="position:absolute;left:0;text-align:left;margin-left:197.85pt;margin-top:71.5pt;width:28.3pt;height:9.6pt;z-index:-125792450;visibility:visible;mso-wrap-style:square;mso-width-percent:0;mso-height-percent:0;mso-wrap-distance-left:5pt;mso-wrap-distance-top:8.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" filled="f" stroked="f">
                <v:textbox style="mso-fit-shape-to-text:t" inset="0,0,0,0">
                  <w:txbxContent>
                    <w:p w14:paraId="1BE2D80D" w14:textId="77777777" w:rsidR="00350396" w:rsidRDefault="00350396" w:rsidP="00350396">
                      <w:pPr>
                        <w:pStyle w:val="af0"/>
                        <w:shd w:val="clear" w:color="auto" w:fill="auto"/>
                        <w:spacing w:line="192" w:lineRule="exact"/>
                        <w:jc w:val="left"/>
                      </w:pPr>
                      <w:r>
                        <w:rPr>
                          <w:rStyle w:val="Exact1"/>
                        </w:rPr>
                        <w:t>60 %</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105410" distB="0" distL="63500" distR="63500" simplePos="0" relativeHeight="377525054" behindDoc="1" locked="0" layoutInCell="1" allowOverlap="1" wp14:anchorId="771037C5" wp14:editId="20466559">
                <wp:simplePos x="0" y="0"/>
                <wp:positionH relativeFrom="margin">
                  <wp:posOffset>3171190</wp:posOffset>
                </wp:positionH>
                <wp:positionV relativeFrom="paragraph">
                  <wp:posOffset>908050</wp:posOffset>
                </wp:positionV>
                <wp:extent cx="359410" cy="121920"/>
                <wp:effectExtent l="0" t="0" r="0" b="0"/>
                <wp:wrapSquare wrapText="bothSides"/>
                <wp:docPr id="281" name="Надпись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6583" w14:textId="77777777" w:rsidR="00350396" w:rsidRDefault="00350396" w:rsidP="00350396">
                            <w:pPr>
                              <w:pStyle w:val="af0"/>
                              <w:shd w:val="clear" w:color="auto" w:fill="auto"/>
                              <w:spacing w:line="192" w:lineRule="exact"/>
                              <w:jc w:val="left"/>
                            </w:pPr>
                            <w:r>
                              <w:rPr>
                                <w:rStyle w:val="Exact1"/>
                              </w:rPr>
                              <w:t>80 %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1037C5" id="Надпись 281" o:spid="_x0000_s1048" type="#_x0000_t202" style="position:absolute;left:0;text-align:left;margin-left:249.7pt;margin-top:71.5pt;width:28.3pt;height:9.6pt;z-index:-125791426;visibility:visible;mso-wrap-style:square;mso-width-percent:0;mso-height-percent:0;mso-wrap-distance-left:5pt;mso-wrap-distance-top:8.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" filled="f" stroked="f">
                <v:textbox style="mso-fit-shape-to-text:t" inset="0,0,0,0">
                  <w:txbxContent>
                    <w:p w14:paraId="21CF6583" w14:textId="77777777" w:rsidR="00350396" w:rsidRDefault="00350396" w:rsidP="00350396">
                      <w:pPr>
                        <w:pStyle w:val="af0"/>
                        <w:shd w:val="clear" w:color="auto" w:fill="auto"/>
                        <w:spacing w:line="192" w:lineRule="exact"/>
                        <w:jc w:val="left"/>
                      </w:pPr>
                      <w:r>
                        <w:rPr>
                          <w:rStyle w:val="Exact1"/>
                        </w:rPr>
                        <w:t>80 %</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105410" distB="0" distL="63500" distR="63500" simplePos="0" relativeHeight="377526078" behindDoc="1" locked="0" layoutInCell="1" allowOverlap="1" wp14:anchorId="44387D3F" wp14:editId="05876BD7">
                <wp:simplePos x="0" y="0"/>
                <wp:positionH relativeFrom="margin">
                  <wp:posOffset>3884295</wp:posOffset>
                </wp:positionH>
                <wp:positionV relativeFrom="paragraph">
                  <wp:posOffset>393065</wp:posOffset>
                </wp:positionV>
                <wp:extent cx="189230" cy="121920"/>
                <wp:effectExtent l="0" t="0" r="0" b="0"/>
                <wp:wrapSquare wrapText="bothSides"/>
                <wp:docPr id="280" name="Надпись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1BFF" w14:textId="77777777" w:rsidR="00350396" w:rsidRDefault="00350396" w:rsidP="00350396">
                            <w:pPr>
                              <w:pStyle w:val="af0"/>
                              <w:shd w:val="clear" w:color="auto" w:fill="auto"/>
                              <w:spacing w:line="192" w:lineRule="exact"/>
                              <w:jc w:val="left"/>
                            </w:pPr>
                            <w:r>
                              <w:rPr>
                                <w:rStyle w:val="Exact1"/>
                              </w:rPr>
                              <w:t>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387D3F" id="Надпись 280" o:spid="_x0000_s1049" type="#_x0000_t202" style="position:absolute;left:0;text-align:left;margin-left:305.85pt;margin-top:30.95pt;width:14.9pt;height:9.6pt;z-index:-125790402;visibility:visible;mso-wrap-style:square;mso-width-percent:0;mso-height-percent:0;mso-wrap-distance-left:5pt;mso-wrap-distance-top:8.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" filled="f" stroked="f">
                <v:textbox style="mso-fit-shape-to-text:t" inset="0,0,0,0">
                  <w:txbxContent>
                    <w:p w14:paraId="4AFB1BFF" w14:textId="77777777" w:rsidR="00350396" w:rsidRDefault="00350396" w:rsidP="00350396">
                      <w:pPr>
                        <w:pStyle w:val="af0"/>
                        <w:shd w:val="clear" w:color="auto" w:fill="auto"/>
                        <w:spacing w:line="192" w:lineRule="exact"/>
                        <w:jc w:val="left"/>
                      </w:pPr>
                      <w:r>
                        <w:rPr>
                          <w:rStyle w:val="Exact1"/>
                        </w:rPr>
                        <w:t>64</w:t>
                      </w:r>
                    </w:p>
                  </w:txbxContent>
                </v:textbox>
                <w10:wrap type="square" anchorx="margin"/>
              </v:shape>
            </w:pict>
          </mc:Fallback>
        </mc:AlternateContent>
      </w:r>
      <w:r w:rsidRPr="004E0FC4">
        <w:rPr>
          <w:rFonts w:ascii="Bookman Old Style" w:hAnsi="Bookman Old Style"/>
          <w:noProof/>
          <w:sz w:val="18"/>
          <w:szCs w:val="18"/>
          <w:lang w:bidi="ar-SA"/>
        </w:rPr>
        <w:drawing>
          <wp:anchor distT="105410" distB="0" distL="63500" distR="63500" simplePos="0" relativeHeight="377527102" behindDoc="1" locked="0" layoutInCell="1" allowOverlap="1" wp14:anchorId="53C20096" wp14:editId="549D6929">
            <wp:simplePos x="0" y="0"/>
            <wp:positionH relativeFrom="margin">
              <wp:posOffset>702310</wp:posOffset>
            </wp:positionH>
            <wp:positionV relativeFrom="paragraph">
              <wp:posOffset>265430</wp:posOffset>
            </wp:positionV>
            <wp:extent cx="3328670" cy="597535"/>
            <wp:effectExtent l="19050" t="0" r="5080" b="0"/>
            <wp:wrapSquare wrapText="bothSides"/>
            <wp:docPr id="51" name="Рисунок 5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4"/>
                    <pic:cNvPicPr>
                      <a:picLocks noChangeAspect="1" noChangeArrowheads="1"/>
                    </pic:cNvPicPr>
                  </pic:nvPicPr>
                  <pic:blipFill>
                    <a:blip r:embed="rId42" cstate="print"/>
                    <a:srcRect/>
                    <a:stretch>
                      <a:fillRect/>
                    </a:stretch>
                  </pic:blipFill>
                  <pic:spPr bwMode="auto">
                    <a:xfrm>
                      <a:off x="0" y="0"/>
                      <a:ext cx="3328670" cy="597535"/>
                    </a:xfrm>
                    <a:prstGeom prst="rect">
                      <a:avLst/>
                    </a:prstGeom>
                    <a:noFill/>
                  </pic:spPr>
                </pic:pic>
              </a:graphicData>
            </a:graphic>
          </wp:anchor>
        </w:drawing>
      </w:r>
      <w:r w:rsidRPr="004E0FC4">
        <w:rPr>
          <w:rFonts w:ascii="Bookman Old Style" w:eastAsia="Bookman Old Style" w:hAnsi="Bookman Old Style" w:cs="Bookman Old Style"/>
          <w:i/>
          <w:iCs/>
          <w:color w:val="231F20"/>
          <w:sz w:val="18"/>
          <w:szCs w:val="18"/>
        </w:rPr>
        <w:t>V</w:t>
      </w:r>
      <w:r w:rsidRPr="004E0FC4">
        <w:rPr>
          <w:rFonts w:ascii="Bookman Old Style" w:eastAsia="Bookman Old Style" w:hAnsi="Bookman Old Style" w:cs="Bookman Old Style"/>
          <w:color w:val="231F20"/>
          <w:sz w:val="18"/>
          <w:szCs w:val="18"/>
        </w:rPr>
        <w:t xml:space="preserve"> част. инвест. | (млрд руб)</w:t>
      </w:r>
    </w:p>
    <w:p w14:paraId="519446E0" w14:textId="77777777" w:rsidR="00350396" w:rsidRPr="004E0FC4" w:rsidRDefault="00350396" w:rsidP="004E0FC4">
      <w:pPr>
        <w:widowControl w:val="0"/>
        <w:spacing w:line="20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Кол-во</w:t>
      </w:r>
    </w:p>
    <w:p w14:paraId="406FDCA9" w14:textId="77777777" w:rsidR="00350396" w:rsidRPr="004E0FC4" w:rsidRDefault="00350396" w:rsidP="004E0FC4">
      <w:pPr>
        <w:widowControl w:val="0"/>
        <w:spacing w:after="140" w:line="20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проектов</w:t>
      </w:r>
    </w:p>
    <w:p w14:paraId="1E711EB5" w14:textId="13416941" w:rsidR="00350396" w:rsidRPr="004E0FC4" w:rsidRDefault="00350396" w:rsidP="004E0FC4">
      <w:pPr>
        <w:widowControl w:val="0"/>
        <w:spacing w:after="143" w:line="202" w:lineRule="exact"/>
        <w:ind w:firstLine="0"/>
        <w:rPr>
          <w:rFonts w:ascii="Bookman Old Style" w:hAnsi="Bookman Old Style"/>
          <w:sz w:val="18"/>
          <w:szCs w:val="18"/>
        </w:rPr>
      </w:pPr>
      <w:r w:rsidRPr="004E0FC4">
        <w:rPr>
          <w:rFonts w:ascii="Bookman Old Style" w:hAnsi="Bookman Old Style"/>
          <w:noProof/>
          <w:sz w:val="18"/>
          <w:szCs w:val="18"/>
          <w:lang w:bidi="ar-SA"/>
        </w:rPr>
        <mc:AlternateContent>
          <mc:Choice Requires="wps">
            <w:drawing>
              <wp:anchor distT="0" distB="0" distL="63500" distR="63500" simplePos="0" relativeHeight="377528126" behindDoc="1" locked="0" layoutInCell="1" allowOverlap="1" wp14:anchorId="4629BD51" wp14:editId="1EF0B44B">
                <wp:simplePos x="0" y="0"/>
                <wp:positionH relativeFrom="margin">
                  <wp:posOffset>562610</wp:posOffset>
                </wp:positionH>
                <wp:positionV relativeFrom="paragraph">
                  <wp:posOffset>12700</wp:posOffset>
                </wp:positionV>
                <wp:extent cx="292735" cy="128270"/>
                <wp:effectExtent l="0" t="1270" r="4445" b="3810"/>
                <wp:wrapSquare wrapText="right"/>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8CF4" w14:textId="77777777" w:rsidR="00350396" w:rsidRDefault="00350396" w:rsidP="00350396">
                            <w:pPr>
                              <w:spacing w:line="202" w:lineRule="exact"/>
                            </w:pPr>
                            <w:r>
                              <w:rPr>
                                <w:rStyle w:val="2Exact3"/>
                              </w:rPr>
                              <w:t>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29BD51" id="Надпись 279" o:spid="_x0000_s1050" type="#_x0000_t202" style="position:absolute;left:0;text-align:left;margin-left:44.3pt;margin-top:1pt;width:23.05pt;height:10.1pt;z-index:-12578835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" filled="f" stroked="f">
                <v:textbox style="mso-fit-shape-to-text:t" inset="0,0,0,0">
                  <w:txbxContent>
                    <w:p w14:paraId="79878CF4" w14:textId="77777777" w:rsidR="00350396" w:rsidRDefault="00350396" w:rsidP="00350396">
                      <w:pPr>
                        <w:spacing w:line="202" w:lineRule="exact"/>
                      </w:pPr>
                      <w:r>
                        <w:rPr>
                          <w:rStyle w:val="2Exact3"/>
                        </w:rPr>
                        <w:t>0 %</w:t>
                      </w:r>
                    </w:p>
                  </w:txbxContent>
                </v:textbox>
                <w10:wrap type="square" side="right" anchorx="margin"/>
              </v:shape>
            </w:pict>
          </mc:Fallback>
        </mc:AlternateContent>
      </w:r>
      <w:r w:rsidRPr="004E0FC4">
        <w:rPr>
          <w:rFonts w:ascii="Bookman Old Style" w:eastAsia="Bookman Old Style" w:hAnsi="Bookman Old Style" w:cs="Bookman Old Style"/>
          <w:color w:val="231F20"/>
          <w:sz w:val="18"/>
          <w:szCs w:val="18"/>
        </w:rPr>
        <w:t>100 %</w:t>
      </w:r>
    </w:p>
    <w:p w14:paraId="74B3BB06" w14:textId="77777777" w:rsidR="00350396" w:rsidRPr="004E0FC4" w:rsidRDefault="00350396" w:rsidP="004E0FC4">
      <w:pPr>
        <w:widowControl w:val="0"/>
        <w:spacing w:line="198" w:lineRule="exact"/>
        <w:ind w:firstLine="0"/>
        <w:rPr>
          <w:rFonts w:ascii="Bookman Old Style" w:hAnsi="Bookman Old Style"/>
          <w:sz w:val="18"/>
          <w:szCs w:val="18"/>
        </w:rPr>
      </w:pPr>
      <w:r w:rsidRPr="004E0FC4">
        <w:rPr>
          <w:rFonts w:ascii="Bookman Old Style" w:eastAsia="Bookman Old Style" w:hAnsi="Bookman Old Style" w:cs="Bookman Old Style"/>
          <w:b/>
          <w:bCs/>
          <w:i/>
          <w:iCs/>
          <w:color w:val="231F20"/>
          <w:sz w:val="18"/>
          <w:szCs w:val="18"/>
        </w:rPr>
        <w:t>Рис. 4.</w:t>
      </w:r>
      <w:r w:rsidRPr="004E0FC4">
        <w:rPr>
          <w:rFonts w:ascii="Bookman Old Style" w:eastAsia="Bookman Old Style" w:hAnsi="Bookman Old Style" w:cs="Bookman Old Style"/>
          <w:b/>
          <w:bCs/>
          <w:i/>
          <w:iCs/>
          <w:color w:val="231F20"/>
          <w:sz w:val="18"/>
          <w:szCs w:val="18"/>
          <w:highlight w:val="green"/>
        </w:rPr>
        <w:t>4</w:t>
      </w:r>
      <w:r w:rsidRPr="004E0FC4">
        <w:rPr>
          <w:rFonts w:ascii="Bookman Old Style" w:eastAsia="Bookman Old Style" w:hAnsi="Bookman Old Style" w:cs="Bookman Old Style"/>
          <w:b/>
          <w:bCs/>
          <w:i/>
          <w:iCs/>
          <w:color w:val="231F20"/>
          <w:sz w:val="18"/>
          <w:szCs w:val="18"/>
        </w:rPr>
        <w:t>.</w:t>
      </w:r>
      <w:r w:rsidRPr="004E0FC4">
        <w:rPr>
          <w:rFonts w:ascii="Bookman Old Style" w:eastAsia="Bookman Old Style" w:hAnsi="Bookman Old Style" w:cs="Bookman Old Style"/>
          <w:b/>
          <w:bCs/>
          <w:color w:val="231F20"/>
          <w:sz w:val="18"/>
          <w:szCs w:val="18"/>
        </w:rPr>
        <w:t xml:space="preserve"> </w:t>
      </w:r>
      <w:r w:rsidRPr="004E0FC4">
        <w:rPr>
          <w:rFonts w:ascii="Bookman Old Style" w:eastAsia="Arial Narrow" w:hAnsi="Bookman Old Style" w:cs="Arial Narrow"/>
          <w:b/>
          <w:bCs/>
          <w:color w:val="231F20"/>
          <w:sz w:val="18"/>
          <w:szCs w:val="18"/>
        </w:rPr>
        <w:t>Заключенные концессионные соглашения по инвестиционной емкости</w:t>
      </w:r>
      <w:r w:rsidRPr="004E0FC4">
        <w:rPr>
          <w:rFonts w:ascii="Bookman Old Style" w:eastAsia="Arial Narrow" w:hAnsi="Bookman Old Style" w:cs="Arial Narrow"/>
          <w:b/>
          <w:bCs/>
          <w:color w:val="231F20"/>
          <w:sz w:val="18"/>
          <w:szCs w:val="18"/>
          <w:vertAlign w:val="superscript"/>
        </w:rPr>
        <w:footnoteReference w:id="80"/>
      </w:r>
      <w:r w:rsidRPr="004E0FC4">
        <w:rPr>
          <w:rFonts w:ascii="Bookman Old Style" w:eastAsia="Arial Narrow" w:hAnsi="Bookman Old Style" w:cs="Arial Narrow"/>
          <w:b/>
          <w:bCs/>
          <w:color w:val="231F20"/>
          <w:sz w:val="18"/>
          <w:szCs w:val="18"/>
        </w:rPr>
        <w:t>:</w:t>
      </w:r>
    </w:p>
    <w:p w14:paraId="2E1ADB01" w14:textId="77777777" w:rsidR="00350396" w:rsidRPr="004E0FC4" w:rsidRDefault="00350396" w:rsidP="004E0FC4">
      <w:pPr>
        <w:widowControl w:val="0"/>
        <w:spacing w:line="192" w:lineRule="exact"/>
        <w:ind w:firstLine="0"/>
        <w:rPr>
          <w:rFonts w:ascii="Bookman Old Style" w:hAnsi="Bookman Old Style"/>
          <w:sz w:val="18"/>
          <w:szCs w:val="18"/>
        </w:rPr>
        <w:sectPr w:rsidR="00350396" w:rsidRPr="004E0FC4">
          <w:footerReference w:type="even" r:id="rId43"/>
          <w:footerReference w:type="default" r:id="rId44"/>
          <w:headerReference w:type="first" r:id="rId45"/>
          <w:footerReference w:type="first" r:id="rId46"/>
          <w:pgSz w:w="8789" w:h="13493"/>
          <w:pgMar w:top="853" w:right="1066" w:bottom="1057" w:left="1061" w:header="0" w:footer="3" w:gutter="0"/>
          <w:cols w:space="720"/>
          <w:noEndnote/>
          <w:titlePg/>
          <w:docGrid w:linePitch="360"/>
        </w:sectPr>
      </w:pPr>
      <w:r w:rsidRPr="004E0FC4">
        <w:rPr>
          <w:rFonts w:ascii="Bookman Old Style" w:eastAsia="Bookman Old Style" w:hAnsi="Bookman Old Style" w:cs="Bookman Old Style"/>
          <w:color w:val="231F20"/>
          <w:sz w:val="18"/>
          <w:szCs w:val="18"/>
        </w:rPr>
        <w:t>— менее 100 млн; — 200 млн — 1 млрд; — свыше 1 млрд</w:t>
      </w:r>
    </w:p>
    <w:p w14:paraId="575078B9"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Таким образом, 64 наиболее крупных концессионных проекта (2,7 % от общего числа проектов) аккумулировали 86,9 % от общего объема частных вложений. При этом эксперты считают, что на рын</w:t>
      </w:r>
      <w:r w:rsidRPr="004E0FC4">
        <w:rPr>
          <w:rFonts w:ascii="Bookman Old Style" w:eastAsia="Bookman Old Style" w:hAnsi="Bookman Old Style" w:cs="Bookman Old Style"/>
          <w:color w:val="231F20"/>
          <w:sz w:val="18"/>
          <w:szCs w:val="18"/>
        </w:rPr>
        <w:softHyphen/>
        <w:t>ке крупных концессий (свыше 1 млрд руб.) наблюдается дефицит готовых для финансирования проектов, несмотря на возможности и интерес крупнейших финансовых институтов в инвестировании в общественную инфраструктуру.</w:t>
      </w:r>
    </w:p>
    <w:p w14:paraId="4534365C" w14:textId="77777777" w:rsidR="00350396" w:rsidRPr="004E0FC4" w:rsidRDefault="00350396" w:rsidP="004E0FC4">
      <w:pPr>
        <w:widowControl w:val="0"/>
        <w:numPr>
          <w:ilvl w:val="0"/>
          <w:numId w:val="52"/>
        </w:numPr>
        <w:tabs>
          <w:tab w:val="left" w:pos="64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о государственно-частном, муниципально</w:t>
      </w:r>
      <w:r w:rsidRPr="004E0FC4">
        <w:rPr>
          <w:rFonts w:ascii="Bookman Old Style" w:eastAsia="Bookman Old Style" w:hAnsi="Bookman Old Style" w:cs="Bookman Old Style"/>
          <w:color w:val="231F20"/>
          <w:sz w:val="18"/>
          <w:szCs w:val="18"/>
        </w:rPr>
        <w:softHyphen/>
        <w:t>частном партнерстве.</w:t>
      </w:r>
    </w:p>
    <w:p w14:paraId="7F164980"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о государственно-частном (СГЧП), муниципально</w:t>
      </w:r>
      <w:r w:rsidRPr="004E0FC4">
        <w:rPr>
          <w:rFonts w:ascii="Bookman Old Style" w:eastAsia="Bookman Old Style" w:hAnsi="Bookman Old Style" w:cs="Bookman Old Style"/>
          <w:color w:val="231F20"/>
          <w:sz w:val="18"/>
          <w:szCs w:val="18"/>
        </w:rPr>
        <w:softHyphen/>
        <w:t>частном партнерстве (СМЧП) как классическая форма ГЧП по со</w:t>
      </w:r>
      <w:r w:rsidRPr="004E0FC4">
        <w:rPr>
          <w:rFonts w:ascii="Bookman Old Style" w:eastAsia="Bookman Old Style" w:hAnsi="Bookman Old Style" w:cs="Bookman Old Style"/>
          <w:color w:val="231F20"/>
          <w:sz w:val="18"/>
          <w:szCs w:val="18"/>
        </w:rPr>
        <w:softHyphen/>
        <w:t>стоянию на конец 2019 г. применялись в 20 субъектах РФ, при этом в наибольшей степени на региональном, чем на муниципальном уровне. Общее число — около 100 проектов. Наиболее успешно с помощью данного механизма удалось привлечь частные инвести</w:t>
      </w:r>
      <w:r w:rsidRPr="004E0FC4">
        <w:rPr>
          <w:rFonts w:ascii="Bookman Old Style" w:eastAsia="Bookman Old Style" w:hAnsi="Bookman Old Style" w:cs="Bookman Old Style"/>
          <w:color w:val="231F20"/>
          <w:sz w:val="18"/>
          <w:szCs w:val="18"/>
        </w:rPr>
        <w:softHyphen/>
        <w:t>ции в развитие инфраструктуры в Санкт-Петербург и в Ямало-Не</w:t>
      </w:r>
      <w:r w:rsidRPr="004E0FC4">
        <w:rPr>
          <w:rFonts w:ascii="Bookman Old Style" w:eastAsia="Bookman Old Style" w:hAnsi="Bookman Old Style" w:cs="Bookman Old Style"/>
          <w:color w:val="231F20"/>
          <w:sz w:val="18"/>
          <w:szCs w:val="18"/>
        </w:rPr>
        <w:softHyphen/>
        <w:t>нецкий автономный округ. Объем «законтрактованных» частных обязательств в СГЧП в этих двух регионах составил 87 % от общего объема законтрактованных обязательств в рамках данной формы. При этом также можно наблюдать, что практика заключения таких соглашений оставалась непостоянной от года к году (табл. 4.4).</w:t>
      </w:r>
    </w:p>
    <w:p w14:paraId="150EAACA"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i/>
          <w:iCs/>
          <w:color w:val="231F20"/>
          <w:sz w:val="18"/>
          <w:szCs w:val="18"/>
        </w:rPr>
        <w:t>Таблица 4.4</w:t>
      </w:r>
    </w:p>
    <w:p w14:paraId="6EBAC173" w14:textId="77777777" w:rsidR="00350396" w:rsidRPr="004E0FC4" w:rsidRDefault="00350396" w:rsidP="004E0FC4">
      <w:pPr>
        <w:framePr w:w="6590" w:wrap="notBeside" w:vAnchor="text" w:hAnchor="text" w:xAlign="center" w:y="1"/>
        <w:widowControl w:val="0"/>
        <w:spacing w:line="194" w:lineRule="exact"/>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Заключенные СГЧП/СМЧП по годам</w:t>
      </w:r>
      <w:r w:rsidRPr="004E0FC4">
        <w:rPr>
          <w:rFonts w:ascii="Bookman Old Style" w:eastAsia="Arial Narrow" w:hAnsi="Bookman Old Style" w:cs="Arial Narrow"/>
          <w:b/>
          <w:bCs/>
          <w:color w:val="231F20"/>
          <w:sz w:val="18"/>
          <w:szCs w:val="18"/>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624"/>
        <w:gridCol w:w="624"/>
        <w:gridCol w:w="624"/>
        <w:gridCol w:w="624"/>
        <w:gridCol w:w="624"/>
        <w:gridCol w:w="634"/>
      </w:tblGrid>
      <w:tr w:rsidR="00350396" w:rsidRPr="004E0FC4" w14:paraId="0FB86774" w14:textId="77777777" w:rsidTr="006D7F71">
        <w:trPr>
          <w:trHeight w:hRule="exact" w:val="331"/>
          <w:jc w:val="center"/>
        </w:trPr>
        <w:tc>
          <w:tcPr>
            <w:tcW w:w="2837" w:type="dxa"/>
            <w:tcBorders>
              <w:top w:val="single" w:sz="4" w:space="0" w:color="auto"/>
              <w:left w:val="single" w:sz="4" w:space="0" w:color="auto"/>
            </w:tcBorders>
            <w:shd w:val="clear" w:color="auto" w:fill="FFFFFF"/>
            <w:vAlign w:val="center"/>
          </w:tcPr>
          <w:p w14:paraId="0D9C5037"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Годы</w:t>
            </w:r>
          </w:p>
        </w:tc>
        <w:tc>
          <w:tcPr>
            <w:tcW w:w="624" w:type="dxa"/>
            <w:tcBorders>
              <w:top w:val="single" w:sz="4" w:space="0" w:color="auto"/>
              <w:left w:val="single" w:sz="4" w:space="0" w:color="auto"/>
            </w:tcBorders>
            <w:shd w:val="clear" w:color="auto" w:fill="FFFFFF"/>
            <w:vAlign w:val="center"/>
          </w:tcPr>
          <w:p w14:paraId="40BE1623"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2012</w:t>
            </w:r>
          </w:p>
        </w:tc>
        <w:tc>
          <w:tcPr>
            <w:tcW w:w="624" w:type="dxa"/>
            <w:tcBorders>
              <w:top w:val="single" w:sz="4" w:space="0" w:color="auto"/>
              <w:left w:val="single" w:sz="4" w:space="0" w:color="auto"/>
            </w:tcBorders>
            <w:shd w:val="clear" w:color="auto" w:fill="FFFFFF"/>
            <w:vAlign w:val="center"/>
          </w:tcPr>
          <w:p w14:paraId="5764137B" w14:textId="77777777" w:rsidR="00350396" w:rsidRPr="004E0FC4" w:rsidRDefault="00350396" w:rsidP="004E0FC4">
            <w:pPr>
              <w:framePr w:w="6590"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2013</w:t>
            </w:r>
          </w:p>
        </w:tc>
        <w:tc>
          <w:tcPr>
            <w:tcW w:w="624" w:type="dxa"/>
            <w:tcBorders>
              <w:top w:val="single" w:sz="4" w:space="0" w:color="auto"/>
              <w:left w:val="single" w:sz="4" w:space="0" w:color="auto"/>
            </w:tcBorders>
            <w:shd w:val="clear" w:color="auto" w:fill="FFFFFF"/>
            <w:vAlign w:val="center"/>
          </w:tcPr>
          <w:p w14:paraId="354C3C90"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2014</w:t>
            </w:r>
          </w:p>
        </w:tc>
        <w:tc>
          <w:tcPr>
            <w:tcW w:w="624" w:type="dxa"/>
            <w:tcBorders>
              <w:top w:val="single" w:sz="4" w:space="0" w:color="auto"/>
              <w:left w:val="single" w:sz="4" w:space="0" w:color="auto"/>
            </w:tcBorders>
            <w:shd w:val="clear" w:color="auto" w:fill="FFFFFF"/>
            <w:vAlign w:val="center"/>
          </w:tcPr>
          <w:p w14:paraId="48BC22D9" w14:textId="77777777" w:rsidR="00350396" w:rsidRPr="004E0FC4" w:rsidRDefault="00350396" w:rsidP="004E0FC4">
            <w:pPr>
              <w:framePr w:w="6590" w:wrap="notBeside" w:vAnchor="text" w:hAnchor="text" w:xAlign="center" w:y="1"/>
              <w:widowControl w:val="0"/>
              <w:spacing w:line="192" w:lineRule="exact"/>
              <w:ind w:left="1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2015</w:t>
            </w:r>
          </w:p>
        </w:tc>
        <w:tc>
          <w:tcPr>
            <w:tcW w:w="624" w:type="dxa"/>
            <w:tcBorders>
              <w:top w:val="single" w:sz="4" w:space="0" w:color="auto"/>
              <w:left w:val="single" w:sz="4" w:space="0" w:color="auto"/>
            </w:tcBorders>
            <w:shd w:val="clear" w:color="auto" w:fill="FFFFFF"/>
            <w:vAlign w:val="center"/>
          </w:tcPr>
          <w:p w14:paraId="7491C40F"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2016</w:t>
            </w:r>
          </w:p>
        </w:tc>
        <w:tc>
          <w:tcPr>
            <w:tcW w:w="634" w:type="dxa"/>
            <w:tcBorders>
              <w:top w:val="single" w:sz="4" w:space="0" w:color="auto"/>
              <w:left w:val="single" w:sz="4" w:space="0" w:color="auto"/>
              <w:right w:val="single" w:sz="4" w:space="0" w:color="auto"/>
            </w:tcBorders>
            <w:shd w:val="clear" w:color="auto" w:fill="FFFFFF"/>
            <w:vAlign w:val="center"/>
          </w:tcPr>
          <w:p w14:paraId="171B5C80"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2017</w:t>
            </w:r>
          </w:p>
        </w:tc>
      </w:tr>
      <w:tr w:rsidR="00350396" w:rsidRPr="004E0FC4" w14:paraId="29487A6B" w14:textId="77777777" w:rsidTr="006D7F71">
        <w:trPr>
          <w:trHeight w:hRule="exact" w:val="326"/>
          <w:jc w:val="center"/>
        </w:trPr>
        <w:tc>
          <w:tcPr>
            <w:tcW w:w="2837" w:type="dxa"/>
            <w:tcBorders>
              <w:top w:val="single" w:sz="4" w:space="0" w:color="auto"/>
              <w:left w:val="single" w:sz="4" w:space="0" w:color="auto"/>
            </w:tcBorders>
            <w:shd w:val="clear" w:color="auto" w:fill="FFFFFF"/>
            <w:vAlign w:val="center"/>
          </w:tcPr>
          <w:p w14:paraId="30659586"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Количество СГЧП/СМЧП</w:t>
            </w:r>
          </w:p>
        </w:tc>
        <w:tc>
          <w:tcPr>
            <w:tcW w:w="624" w:type="dxa"/>
            <w:tcBorders>
              <w:top w:val="single" w:sz="4" w:space="0" w:color="auto"/>
              <w:left w:val="single" w:sz="4" w:space="0" w:color="auto"/>
            </w:tcBorders>
            <w:shd w:val="clear" w:color="auto" w:fill="FFFFFF"/>
            <w:vAlign w:val="center"/>
          </w:tcPr>
          <w:p w14:paraId="4425FAFD"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5</w:t>
            </w:r>
          </w:p>
        </w:tc>
        <w:tc>
          <w:tcPr>
            <w:tcW w:w="624" w:type="dxa"/>
            <w:tcBorders>
              <w:top w:val="single" w:sz="4" w:space="0" w:color="auto"/>
              <w:left w:val="single" w:sz="4" w:space="0" w:color="auto"/>
            </w:tcBorders>
            <w:shd w:val="clear" w:color="auto" w:fill="FFFFFF"/>
            <w:vAlign w:val="bottom"/>
          </w:tcPr>
          <w:p w14:paraId="001A966E" w14:textId="77777777" w:rsidR="00350396" w:rsidRPr="004E0FC4" w:rsidRDefault="00350396" w:rsidP="004E0FC4">
            <w:pPr>
              <w:framePr w:w="6590" w:wrap="notBeside" w:vAnchor="text" w:hAnchor="text" w:xAlign="center" w:y="1"/>
              <w:widowControl w:val="0"/>
              <w:spacing w:line="192" w:lineRule="exact"/>
              <w:ind w:left="2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16</w:t>
            </w:r>
          </w:p>
        </w:tc>
        <w:tc>
          <w:tcPr>
            <w:tcW w:w="624" w:type="dxa"/>
            <w:tcBorders>
              <w:top w:val="single" w:sz="4" w:space="0" w:color="auto"/>
              <w:left w:val="single" w:sz="4" w:space="0" w:color="auto"/>
            </w:tcBorders>
            <w:shd w:val="clear" w:color="auto" w:fill="FFFFFF"/>
            <w:vAlign w:val="bottom"/>
          </w:tcPr>
          <w:p w14:paraId="17099743" w14:textId="77777777" w:rsidR="00350396" w:rsidRPr="004E0FC4" w:rsidRDefault="00350396" w:rsidP="004E0FC4">
            <w:pPr>
              <w:framePr w:w="6590" w:wrap="notBeside" w:vAnchor="text" w:hAnchor="text" w:xAlign="center" w:y="1"/>
              <w:widowControl w:val="0"/>
              <w:spacing w:line="192" w:lineRule="exact"/>
              <w:ind w:left="2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8</w:t>
            </w:r>
          </w:p>
        </w:tc>
        <w:tc>
          <w:tcPr>
            <w:tcW w:w="624" w:type="dxa"/>
            <w:tcBorders>
              <w:top w:val="single" w:sz="4" w:space="0" w:color="auto"/>
              <w:left w:val="single" w:sz="4" w:space="0" w:color="auto"/>
            </w:tcBorders>
            <w:shd w:val="clear" w:color="auto" w:fill="FFFFFF"/>
            <w:vAlign w:val="center"/>
          </w:tcPr>
          <w:p w14:paraId="65FC99A4" w14:textId="77777777" w:rsidR="00350396" w:rsidRPr="004E0FC4" w:rsidRDefault="00350396" w:rsidP="004E0FC4">
            <w:pPr>
              <w:framePr w:w="6590" w:wrap="notBeside" w:vAnchor="text" w:hAnchor="text" w:xAlign="center" w:y="1"/>
              <w:widowControl w:val="0"/>
              <w:spacing w:line="192" w:lineRule="exact"/>
              <w:ind w:left="22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37</w:t>
            </w:r>
          </w:p>
        </w:tc>
        <w:tc>
          <w:tcPr>
            <w:tcW w:w="624" w:type="dxa"/>
            <w:tcBorders>
              <w:top w:val="single" w:sz="4" w:space="0" w:color="auto"/>
              <w:left w:val="single" w:sz="4" w:space="0" w:color="auto"/>
            </w:tcBorders>
            <w:shd w:val="clear" w:color="auto" w:fill="FFFFFF"/>
            <w:vAlign w:val="center"/>
          </w:tcPr>
          <w:p w14:paraId="269F088B"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w:t>
            </w:r>
          </w:p>
        </w:tc>
        <w:tc>
          <w:tcPr>
            <w:tcW w:w="634" w:type="dxa"/>
            <w:tcBorders>
              <w:top w:val="single" w:sz="4" w:space="0" w:color="auto"/>
              <w:left w:val="single" w:sz="4" w:space="0" w:color="auto"/>
              <w:right w:val="single" w:sz="4" w:space="0" w:color="auto"/>
            </w:tcBorders>
            <w:shd w:val="clear" w:color="auto" w:fill="FFFFFF"/>
            <w:vAlign w:val="bottom"/>
          </w:tcPr>
          <w:p w14:paraId="3E1791FD"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w:t>
            </w:r>
          </w:p>
        </w:tc>
      </w:tr>
      <w:tr w:rsidR="00350396" w:rsidRPr="004E0FC4" w14:paraId="3D4B7918" w14:textId="77777777" w:rsidTr="006D7F71">
        <w:trPr>
          <w:trHeight w:hRule="exact" w:val="557"/>
          <w:jc w:val="center"/>
        </w:trPr>
        <w:tc>
          <w:tcPr>
            <w:tcW w:w="2837" w:type="dxa"/>
            <w:tcBorders>
              <w:top w:val="single" w:sz="4" w:space="0" w:color="auto"/>
              <w:left w:val="single" w:sz="4" w:space="0" w:color="auto"/>
              <w:bottom w:val="single" w:sz="4" w:space="0" w:color="auto"/>
            </w:tcBorders>
            <w:shd w:val="clear" w:color="auto" w:fill="FFFFFF"/>
            <w:vAlign w:val="bottom"/>
          </w:tcPr>
          <w:p w14:paraId="5C8D16BD"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 частных инвестиций (млрд руб.)</w:t>
            </w:r>
          </w:p>
        </w:tc>
        <w:tc>
          <w:tcPr>
            <w:tcW w:w="624" w:type="dxa"/>
            <w:tcBorders>
              <w:top w:val="single" w:sz="4" w:space="0" w:color="auto"/>
              <w:left w:val="single" w:sz="4" w:space="0" w:color="auto"/>
              <w:bottom w:val="single" w:sz="4" w:space="0" w:color="auto"/>
            </w:tcBorders>
            <w:shd w:val="clear" w:color="auto" w:fill="FFFFFF"/>
          </w:tcPr>
          <w:p w14:paraId="2BAE2F85"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0,17</w:t>
            </w:r>
          </w:p>
        </w:tc>
        <w:tc>
          <w:tcPr>
            <w:tcW w:w="624" w:type="dxa"/>
            <w:tcBorders>
              <w:top w:val="single" w:sz="4" w:space="0" w:color="auto"/>
              <w:left w:val="single" w:sz="4" w:space="0" w:color="auto"/>
              <w:bottom w:val="single" w:sz="4" w:space="0" w:color="auto"/>
            </w:tcBorders>
            <w:shd w:val="clear" w:color="auto" w:fill="FFFFFF"/>
          </w:tcPr>
          <w:p w14:paraId="5461D982" w14:textId="77777777" w:rsidR="00350396" w:rsidRPr="004E0FC4" w:rsidRDefault="00350396" w:rsidP="004E0FC4">
            <w:pPr>
              <w:framePr w:w="6590"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134</w:t>
            </w:r>
          </w:p>
        </w:tc>
        <w:tc>
          <w:tcPr>
            <w:tcW w:w="624" w:type="dxa"/>
            <w:tcBorders>
              <w:top w:val="single" w:sz="4" w:space="0" w:color="auto"/>
              <w:left w:val="single" w:sz="4" w:space="0" w:color="auto"/>
              <w:bottom w:val="single" w:sz="4" w:space="0" w:color="auto"/>
            </w:tcBorders>
            <w:shd w:val="clear" w:color="auto" w:fill="FFFFFF"/>
          </w:tcPr>
          <w:p w14:paraId="48E2220C" w14:textId="77777777" w:rsidR="00350396" w:rsidRPr="004E0FC4" w:rsidRDefault="00350396" w:rsidP="004E0FC4">
            <w:pPr>
              <w:framePr w:w="6590" w:wrap="notBeside" w:vAnchor="text" w:hAnchor="text" w:xAlign="center" w:y="1"/>
              <w:widowControl w:val="0"/>
              <w:spacing w:line="192" w:lineRule="exact"/>
              <w:ind w:left="2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14</w:t>
            </w:r>
          </w:p>
        </w:tc>
        <w:tc>
          <w:tcPr>
            <w:tcW w:w="624" w:type="dxa"/>
            <w:tcBorders>
              <w:top w:val="single" w:sz="4" w:space="0" w:color="auto"/>
              <w:left w:val="single" w:sz="4" w:space="0" w:color="auto"/>
              <w:bottom w:val="single" w:sz="4" w:space="0" w:color="auto"/>
            </w:tcBorders>
            <w:shd w:val="clear" w:color="auto" w:fill="FFFFFF"/>
          </w:tcPr>
          <w:p w14:paraId="26410DB0" w14:textId="77777777" w:rsidR="00350396" w:rsidRPr="004E0FC4" w:rsidRDefault="00350396" w:rsidP="004E0FC4">
            <w:pPr>
              <w:framePr w:w="6590" w:wrap="notBeside" w:vAnchor="text" w:hAnchor="text" w:xAlign="center" w:y="1"/>
              <w:widowControl w:val="0"/>
              <w:spacing w:line="192" w:lineRule="exact"/>
              <w:ind w:left="1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11,9</w:t>
            </w:r>
          </w:p>
        </w:tc>
        <w:tc>
          <w:tcPr>
            <w:tcW w:w="624" w:type="dxa"/>
            <w:tcBorders>
              <w:top w:val="single" w:sz="4" w:space="0" w:color="auto"/>
              <w:left w:val="single" w:sz="4" w:space="0" w:color="auto"/>
              <w:bottom w:val="single" w:sz="4" w:space="0" w:color="auto"/>
            </w:tcBorders>
            <w:shd w:val="clear" w:color="auto" w:fill="FFFFFF"/>
          </w:tcPr>
          <w:p w14:paraId="28B6DEEC"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163,8</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0A92D03D" w14:textId="77777777" w:rsidR="00350396" w:rsidRPr="004E0FC4" w:rsidRDefault="00350396" w:rsidP="004E0FC4">
            <w:pPr>
              <w:framePr w:w="6590"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w:t>
            </w:r>
          </w:p>
        </w:tc>
      </w:tr>
    </w:tbl>
    <w:p w14:paraId="13716BC2"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p w14:paraId="013FA362" w14:textId="77777777" w:rsidR="00350396" w:rsidRPr="004E0FC4" w:rsidRDefault="00350396" w:rsidP="004E0FC4">
      <w:pPr>
        <w:widowControl w:val="0"/>
        <w:spacing w:line="240" w:lineRule="auto"/>
        <w:ind w:firstLine="0"/>
        <w:rPr>
          <w:rFonts w:ascii="Bookman Old Style" w:hAnsi="Bookman Old Style"/>
          <w:sz w:val="18"/>
          <w:szCs w:val="18"/>
        </w:rPr>
      </w:pPr>
    </w:p>
    <w:p w14:paraId="016B9908" w14:textId="77777777" w:rsidR="00350396" w:rsidRPr="004E0FC4" w:rsidRDefault="00350396" w:rsidP="004E0FC4">
      <w:pPr>
        <w:widowControl w:val="0"/>
        <w:numPr>
          <w:ilvl w:val="0"/>
          <w:numId w:val="52"/>
        </w:numPr>
        <w:tabs>
          <w:tab w:val="left" w:pos="641"/>
        </w:tabs>
        <w:spacing w:before="74" w:line="250"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Соглашения о разделе продукции (СРП)</w:t>
      </w:r>
      <w:r w:rsidRPr="004E0FC4">
        <w:rPr>
          <w:rFonts w:ascii="Bookman Old Style" w:eastAsia="Bookman Old Style" w:hAnsi="Bookman Old Style" w:cs="Bookman Old Style"/>
          <w:color w:val="231F20"/>
          <w:sz w:val="18"/>
          <w:szCs w:val="18"/>
        </w:rPr>
        <w:t xml:space="preserve"> — </w:t>
      </w:r>
      <w:r w:rsidRPr="004E0FC4">
        <w:rPr>
          <w:rFonts w:ascii="Bookman Old Style" w:eastAsia="Bookman Old Style" w:hAnsi="Bookman Old Style" w:cs="Bookman Old Style"/>
          <w:i/>
          <w:iCs/>
          <w:color w:val="231F20"/>
          <w:sz w:val="18"/>
          <w:szCs w:val="18"/>
          <w:lang w:val="en-US" w:eastAsia="en-US" w:bidi="en-US"/>
        </w:rPr>
        <w:t>Production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Sharing</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Agreement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Эта форма партнерских отношений между государством и частным бизнесом обладает своими особенностями, более все</w:t>
      </w:r>
      <w:r w:rsidRPr="004E0FC4">
        <w:rPr>
          <w:rFonts w:ascii="Bookman Old Style" w:eastAsia="Bookman Old Style" w:hAnsi="Bookman Old Style" w:cs="Bookman Old Style"/>
          <w:color w:val="231F20"/>
          <w:sz w:val="18"/>
          <w:szCs w:val="18"/>
        </w:rPr>
        <w:softHyphen/>
        <w:t>го напоминая традиционную концессию и аренду, но в некоторых определениях относится и к совместным предприятиям. Наиболее уместным является сравнение с концессией, так как по условиям СРП подрядчик обычно уполномочивается производить оговорен</w:t>
      </w:r>
      <w:r w:rsidRPr="004E0FC4">
        <w:rPr>
          <w:rFonts w:ascii="Bookman Old Style" w:eastAsia="Bookman Old Style" w:hAnsi="Bookman Old Style" w:cs="Bookman Old Style"/>
          <w:color w:val="231F20"/>
          <w:sz w:val="18"/>
          <w:szCs w:val="18"/>
        </w:rPr>
        <w:softHyphen/>
        <w:t>ные виды работ и эксплуатацию ресурсов определенной области (контрактной территории), наименование которой часто выно</w:t>
      </w:r>
      <w:r w:rsidRPr="004E0FC4">
        <w:rPr>
          <w:rFonts w:ascii="Bookman Old Style" w:eastAsia="Bookman Old Style" w:hAnsi="Bookman Old Style" w:cs="Bookman Old Style"/>
          <w:color w:val="231F20"/>
          <w:sz w:val="18"/>
          <w:szCs w:val="18"/>
        </w:rPr>
        <w:softHyphen/>
        <w:t>сится в название соглашения. Однако, если по условиям концессии концессионер является собственником всей выпущенной продук</w:t>
      </w:r>
      <w:r w:rsidRPr="004E0FC4">
        <w:rPr>
          <w:rFonts w:ascii="Bookman Old Style" w:eastAsia="Bookman Old Style" w:hAnsi="Bookman Old Style" w:cs="Bookman Old Style"/>
          <w:color w:val="231F20"/>
          <w:sz w:val="18"/>
          <w:szCs w:val="18"/>
        </w:rPr>
        <w:softHyphen/>
        <w:t xml:space="preserve">ции, выплачивая фиксированное вознаграждение концеденту (го- </w:t>
      </w:r>
      <w:r w:rsidRPr="004E0FC4">
        <w:rPr>
          <w:rFonts w:ascii="Bookman Old Style" w:eastAsia="Bookman Old Style" w:hAnsi="Bookman Old Style" w:cs="Bookman Old Style"/>
          <w:color w:val="231F20"/>
          <w:sz w:val="18"/>
          <w:szCs w:val="18"/>
          <w:vertAlign w:val="superscript"/>
        </w:rPr>
        <w:footnoteReference w:id="81"/>
      </w:r>
      <w:r w:rsidRPr="004E0FC4">
        <w:rPr>
          <w:rFonts w:ascii="Bookman Old Style" w:eastAsia="Bookman Old Style" w:hAnsi="Bookman Old Style" w:cs="Bookman Old Style"/>
          <w:color w:val="231F20"/>
          <w:sz w:val="18"/>
          <w:szCs w:val="18"/>
        </w:rPr>
        <w:t xml:space="preserve"> сударству), то в СРП частному партнеру принадлежит только часть продукции. Условия и порядок раздела продукции между государ</w:t>
      </w:r>
      <w:r w:rsidRPr="004E0FC4">
        <w:rPr>
          <w:rFonts w:ascii="Bookman Old Style" w:eastAsia="Bookman Old Style" w:hAnsi="Bookman Old Style" w:cs="Bookman Old Style"/>
          <w:color w:val="231F20"/>
          <w:sz w:val="18"/>
          <w:szCs w:val="18"/>
        </w:rPr>
        <w:softHyphen/>
        <w:t xml:space="preserve">ством и инвестором являются основным предметом заключаемого соглашения. При этом получаемая </w:t>
      </w:r>
      <w:r w:rsidRPr="004E0FC4">
        <w:rPr>
          <w:rFonts w:ascii="Bookman Old Style" w:eastAsia="Bookman Old Style" w:hAnsi="Bookman Old Style" w:cs="Bookman Old Style"/>
          <w:color w:val="231F20"/>
          <w:sz w:val="18"/>
          <w:szCs w:val="18"/>
        </w:rPr>
        <w:lastRenderedPageBreak/>
        <w:t>государством часть продукции является аналогом концессионных или арендных платежей.</w:t>
      </w:r>
    </w:p>
    <w:p w14:paraId="17DA84C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Имеются различные модели раздела продукции, в частности сра</w:t>
      </w:r>
      <w:r w:rsidRPr="004E0FC4">
        <w:rPr>
          <w:rFonts w:ascii="Bookman Old Style" w:eastAsia="Bookman Old Style" w:hAnsi="Bookman Old Style" w:cs="Bookman Old Style"/>
          <w:color w:val="231F20"/>
          <w:sz w:val="18"/>
          <w:szCs w:val="18"/>
        </w:rPr>
        <w:softHyphen/>
        <w:t>зу на две части или после вычета затрат инвестора. В первом случае и государство, и частный партнер с начального периода деятельно</w:t>
      </w:r>
      <w:r w:rsidRPr="004E0FC4">
        <w:rPr>
          <w:rFonts w:ascii="Bookman Old Style" w:eastAsia="Bookman Old Style" w:hAnsi="Bookman Old Style" w:cs="Bookman Old Style"/>
          <w:color w:val="231F20"/>
          <w:sz w:val="18"/>
          <w:szCs w:val="18"/>
        </w:rPr>
        <w:softHyphen/>
        <w:t>сти получают устанавливаемые соглашением доли производимой продукции. Во втором случае в течение определенного периода государство не получает своей доли, «зачитывая» ее в счет произ</w:t>
      </w:r>
      <w:r w:rsidRPr="004E0FC4">
        <w:rPr>
          <w:rFonts w:ascii="Bookman Old Style" w:eastAsia="Bookman Old Style" w:hAnsi="Bookman Old Style" w:cs="Bookman Old Style"/>
          <w:color w:val="231F20"/>
          <w:sz w:val="18"/>
          <w:szCs w:val="18"/>
        </w:rPr>
        <w:softHyphen/>
        <w:t>водимых инвестором затрат. На растущих рынках второй вариант является более выгодным для инвестора, на рынках же, где цена на производимый товар падает, второй вариант может оказаться более выгодным государству, однако необходимо также учитывать особенности налогообложения в данной стране, регионе и по кон</w:t>
      </w:r>
      <w:r w:rsidRPr="004E0FC4">
        <w:rPr>
          <w:rFonts w:ascii="Bookman Old Style" w:eastAsia="Bookman Old Style" w:hAnsi="Bookman Old Style" w:cs="Bookman Old Style"/>
          <w:color w:val="231F20"/>
          <w:sz w:val="18"/>
          <w:szCs w:val="18"/>
        </w:rPr>
        <w:softHyphen/>
        <w:t>кретному проекту.</w:t>
      </w:r>
    </w:p>
    <w:p w14:paraId="35238B9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о разделе продукции в основном используются для привлечения частных инвесторов, включая зарубежных, в край</w:t>
      </w:r>
      <w:r w:rsidRPr="004E0FC4">
        <w:rPr>
          <w:rFonts w:ascii="Bookman Old Style" w:eastAsia="Bookman Old Style" w:hAnsi="Bookman Old Style" w:cs="Bookman Old Style"/>
          <w:color w:val="231F20"/>
          <w:sz w:val="18"/>
          <w:szCs w:val="18"/>
        </w:rPr>
        <w:softHyphen/>
        <w:t>не капиталоемкие отрасли, связанные с добычей природных ресур</w:t>
      </w:r>
      <w:r w:rsidRPr="004E0FC4">
        <w:rPr>
          <w:rFonts w:ascii="Bookman Old Style" w:eastAsia="Bookman Old Style" w:hAnsi="Bookman Old Style" w:cs="Bookman Old Style"/>
          <w:color w:val="231F20"/>
          <w:sz w:val="18"/>
          <w:szCs w:val="18"/>
        </w:rPr>
        <w:softHyphen/>
        <w:t>сов. Концессионные соглашения в этих отраслях не заключаются. В мировой практике соглашения о разделе продукции особенно активно используются международными корпорациями в нефте</w:t>
      </w:r>
      <w:r w:rsidRPr="004E0FC4">
        <w:rPr>
          <w:rFonts w:ascii="Bookman Old Style" w:eastAsia="Bookman Old Style" w:hAnsi="Bookman Old Style" w:cs="Bookman Old Style"/>
          <w:color w:val="231F20"/>
          <w:sz w:val="18"/>
          <w:szCs w:val="18"/>
        </w:rPr>
        <w:softHyphen/>
        <w:t>газовой сфере для получения доступа к природным ресурсам, соб</w:t>
      </w:r>
      <w:r w:rsidRPr="004E0FC4">
        <w:rPr>
          <w:rFonts w:ascii="Bookman Old Style" w:eastAsia="Bookman Old Style" w:hAnsi="Bookman Old Style" w:cs="Bookman Old Style"/>
          <w:color w:val="231F20"/>
          <w:sz w:val="18"/>
          <w:szCs w:val="18"/>
        </w:rPr>
        <w:softHyphen/>
        <w:t>ственником которых является государство. Доля добытой нефти, ко</w:t>
      </w:r>
      <w:r w:rsidRPr="004E0FC4">
        <w:rPr>
          <w:rFonts w:ascii="Bookman Old Style" w:eastAsia="Bookman Old Style" w:hAnsi="Bookman Old Style" w:cs="Bookman Old Style"/>
          <w:color w:val="231F20"/>
          <w:sz w:val="18"/>
          <w:szCs w:val="18"/>
        </w:rPr>
        <w:softHyphen/>
        <w:t>торую удерживают правительства разных стран в рамках договоров об СРП, по состоянию на начало 2010-х гг. составляет 60—80 %.</w:t>
      </w:r>
    </w:p>
    <w:p w14:paraId="2FAFA04D"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России отношения, возникающие в рамках соглашений о раз</w:t>
      </w:r>
      <w:r w:rsidRPr="004E0FC4">
        <w:rPr>
          <w:rFonts w:ascii="Bookman Old Style" w:eastAsia="Bookman Old Style" w:hAnsi="Bookman Old Style" w:cs="Bookman Old Style"/>
          <w:color w:val="231F20"/>
          <w:sz w:val="18"/>
          <w:szCs w:val="18"/>
        </w:rPr>
        <w:softHyphen/>
        <w:t>деле продукции, регулируются Федеральным законом от 30.12.1995 № 225-ФЗ «О соглашениях о разделе продукции». Для СРП предусмо</w:t>
      </w:r>
      <w:r w:rsidRPr="004E0FC4">
        <w:rPr>
          <w:rFonts w:ascii="Bookman Old Style" w:eastAsia="Bookman Old Style" w:hAnsi="Bookman Old Style" w:cs="Bookman Old Style"/>
          <w:color w:val="231F20"/>
          <w:sz w:val="18"/>
          <w:szCs w:val="18"/>
        </w:rPr>
        <w:softHyphen/>
        <w:t>трен особый налоговый режим, который регулируется гл. 26.4 На</w:t>
      </w:r>
      <w:r w:rsidRPr="004E0FC4">
        <w:rPr>
          <w:rFonts w:ascii="Bookman Old Style" w:eastAsia="Bookman Old Style" w:hAnsi="Bookman Old Style" w:cs="Bookman Old Style"/>
          <w:color w:val="231F20"/>
          <w:sz w:val="18"/>
          <w:szCs w:val="18"/>
        </w:rPr>
        <w:softHyphen/>
        <w:t>логового кодекса РФ.</w:t>
      </w:r>
    </w:p>
    <w:p w14:paraId="7FA563C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Согласно российскому законодательству соглашение о разделе продукции является договором, в соответствии с которым Россий</w:t>
      </w:r>
      <w:r w:rsidRPr="004E0FC4">
        <w:rPr>
          <w:rFonts w:ascii="Bookman Old Style" w:eastAsia="Bookman Old Style" w:hAnsi="Bookman Old Style" w:cs="Bookman Old Style"/>
          <w:color w:val="231F20"/>
          <w:sz w:val="18"/>
          <w:szCs w:val="18"/>
        </w:rPr>
        <w:softHyphen/>
        <w:t>ская Федерация предоставляет инвестору — субъекту хозяйствен</w:t>
      </w:r>
      <w:r w:rsidRPr="004E0FC4">
        <w:rPr>
          <w:rFonts w:ascii="Bookman Old Style" w:eastAsia="Bookman Old Style" w:hAnsi="Bookman Old Style" w:cs="Bookman Old Style"/>
          <w:color w:val="231F20"/>
          <w:sz w:val="18"/>
          <w:szCs w:val="18"/>
        </w:rPr>
        <w:softHyphen/>
        <w:t>ной деятельности — на возмездной основе и на определенный срок исключительные права на поиск, разведку, добычу минераль</w:t>
      </w:r>
      <w:r w:rsidRPr="004E0FC4">
        <w:rPr>
          <w:rFonts w:ascii="Bookman Old Style" w:eastAsia="Bookman Old Style" w:hAnsi="Bookman Old Style" w:cs="Bookman Old Style"/>
          <w:color w:val="231F20"/>
          <w:sz w:val="18"/>
          <w:szCs w:val="18"/>
        </w:rPr>
        <w:softHyphen/>
        <w:t>ного сырья на участке недр, указанном в соглашении, и на веде</w:t>
      </w:r>
      <w:r w:rsidRPr="004E0FC4">
        <w:rPr>
          <w:rFonts w:ascii="Bookman Old Style" w:eastAsia="Bookman Old Style" w:hAnsi="Bookman Old Style" w:cs="Bookman Old Style"/>
          <w:color w:val="231F20"/>
          <w:sz w:val="18"/>
          <w:szCs w:val="18"/>
        </w:rPr>
        <w:softHyphen/>
        <w:t>ние связанных с этим работ. В свою очередь инвестор обязуется осуществить проведение указанных работ за свой счет и на свой риск. Произведенная продукция подлежит разделу между госу</w:t>
      </w:r>
      <w:r w:rsidRPr="004E0FC4">
        <w:rPr>
          <w:rFonts w:ascii="Bookman Old Style" w:eastAsia="Bookman Old Style" w:hAnsi="Bookman Old Style" w:cs="Bookman Old Style"/>
          <w:color w:val="231F20"/>
          <w:sz w:val="18"/>
          <w:szCs w:val="18"/>
        </w:rPr>
        <w:softHyphen/>
        <w:t>дарством и инвестором в соответствии с соглашением, которое должно предусматривать условия и порядок такого раздела. Так, 32 % и более (в зависимости от геолого-экономической и стои</w:t>
      </w:r>
      <w:r w:rsidRPr="004E0FC4">
        <w:rPr>
          <w:rFonts w:ascii="Bookman Old Style" w:eastAsia="Bookman Old Style" w:hAnsi="Bookman Old Style" w:cs="Bookman Old Style"/>
          <w:color w:val="231F20"/>
          <w:sz w:val="18"/>
          <w:szCs w:val="18"/>
        </w:rPr>
        <w:softHyphen/>
        <w:t>мостной оценок участка недр, технического проекта, показателей технико-экономического обоснования соглашения) стоимостного эквивалента произведенной инвестором продукции, полученной с участков недр внутренних морских вод, территориального моря, континентального шельфа Российской Федерации, зачисляется в федеральный бюджет. Кроме того, государство получает всю гео</w:t>
      </w:r>
      <w:r w:rsidRPr="004E0FC4">
        <w:rPr>
          <w:rFonts w:ascii="Bookman Old Style" w:eastAsia="Bookman Old Style" w:hAnsi="Bookman Old Style" w:cs="Bookman Old Style"/>
          <w:color w:val="231F20"/>
          <w:sz w:val="18"/>
          <w:szCs w:val="18"/>
        </w:rPr>
        <w:softHyphen/>
        <w:t>графическую, геофизическую, геохимическую информацию, дан</w:t>
      </w:r>
      <w:r w:rsidRPr="004E0FC4">
        <w:rPr>
          <w:rFonts w:ascii="Bookman Old Style" w:eastAsia="Bookman Old Style" w:hAnsi="Bookman Old Style" w:cs="Bookman Old Style"/>
          <w:color w:val="231F20"/>
          <w:sz w:val="18"/>
          <w:szCs w:val="18"/>
        </w:rPr>
        <w:softHyphen/>
        <w:t>ные по ее интерпретации и производные данные, а также образцы горных пород, в том числе керн, полученные частным инвестором в результате работ по соглашению. Также данная организацион</w:t>
      </w:r>
      <w:r w:rsidRPr="004E0FC4">
        <w:rPr>
          <w:rFonts w:ascii="Bookman Old Style" w:eastAsia="Bookman Old Style" w:hAnsi="Bookman Old Style" w:cs="Bookman Old Style"/>
          <w:color w:val="231F20"/>
          <w:sz w:val="18"/>
          <w:szCs w:val="18"/>
        </w:rPr>
        <w:softHyphen/>
        <w:t>ная форма может обеспечить и социально-экономический эффект, когда разработка:</w:t>
      </w:r>
    </w:p>
    <w:p w14:paraId="06F1BB86" w14:textId="77777777" w:rsidR="00350396" w:rsidRPr="004E0FC4" w:rsidRDefault="00350396" w:rsidP="004E0FC4">
      <w:pPr>
        <w:widowControl w:val="0"/>
        <w:numPr>
          <w:ilvl w:val="0"/>
          <w:numId w:val="54"/>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участка недр может обеспечить сохранение рабочих мест для градообразующей организации;</w:t>
      </w:r>
    </w:p>
    <w:p w14:paraId="02B3C70B" w14:textId="77777777" w:rsidR="00350396" w:rsidRPr="004E0FC4" w:rsidRDefault="00350396" w:rsidP="004E0FC4">
      <w:pPr>
        <w:widowControl w:val="0"/>
        <w:numPr>
          <w:ilvl w:val="0"/>
          <w:numId w:val="54"/>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месторождения требует использования специальных высоко</w:t>
      </w:r>
      <w:r w:rsidRPr="004E0FC4">
        <w:rPr>
          <w:rFonts w:ascii="Bookman Old Style" w:eastAsia="Bookman Old Style" w:hAnsi="Bookman Old Style" w:cs="Bookman Old Style"/>
          <w:color w:val="231F20"/>
          <w:sz w:val="18"/>
          <w:szCs w:val="18"/>
        </w:rPr>
        <w:softHyphen/>
      </w:r>
      <w:r w:rsidRPr="004E0FC4">
        <w:rPr>
          <w:rFonts w:ascii="Bookman Old Style" w:eastAsia="Bookman Old Style" w:hAnsi="Bookman Old Style" w:cs="Bookman Old Style"/>
          <w:color w:val="231F20"/>
          <w:sz w:val="18"/>
          <w:szCs w:val="18"/>
        </w:rPr>
        <w:lastRenderedPageBreak/>
        <w:t>затратных технологий для добычи значительных по объему трудно</w:t>
      </w:r>
      <w:r w:rsidRPr="004E0FC4">
        <w:rPr>
          <w:rFonts w:ascii="Bookman Old Style" w:eastAsia="Bookman Old Style" w:hAnsi="Bookman Old Style" w:cs="Bookman Old Style"/>
          <w:color w:val="231F20"/>
          <w:sz w:val="18"/>
          <w:szCs w:val="18"/>
        </w:rPr>
        <w:softHyphen/>
        <w:t>извлекаемых полезных ископаемых, находящихся в сложных горно</w:t>
      </w:r>
      <w:r w:rsidRPr="004E0FC4">
        <w:rPr>
          <w:rFonts w:ascii="Bookman Old Style" w:eastAsia="Bookman Old Style" w:hAnsi="Bookman Old Style" w:cs="Bookman Old Style"/>
          <w:color w:val="231F20"/>
          <w:sz w:val="18"/>
          <w:szCs w:val="18"/>
        </w:rPr>
        <w:softHyphen/>
        <w:t>геологических условиях.</w:t>
      </w:r>
    </w:p>
    <w:p w14:paraId="45E7AFC9"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частного инвестора указанная организационная форма так</w:t>
      </w:r>
      <w:r w:rsidRPr="004E0FC4">
        <w:rPr>
          <w:rFonts w:ascii="Bookman Old Style" w:eastAsia="Bookman Old Style" w:hAnsi="Bookman Old Style" w:cs="Bookman Old Style"/>
          <w:color w:val="231F20"/>
          <w:sz w:val="18"/>
          <w:szCs w:val="18"/>
        </w:rPr>
        <w:softHyphen/>
        <w:t>же обеспечивает удовлетворение экономических интересов, кото</w:t>
      </w:r>
      <w:r w:rsidRPr="004E0FC4">
        <w:rPr>
          <w:rFonts w:ascii="Bookman Old Style" w:eastAsia="Bookman Old Style" w:hAnsi="Bookman Old Style" w:cs="Bookman Old Style"/>
          <w:color w:val="231F20"/>
          <w:sz w:val="18"/>
          <w:szCs w:val="18"/>
        </w:rPr>
        <w:softHyphen/>
        <w:t>рые выражаются в получении высокого уровня дохода, прибыли. По соглашению о разделе продукции частный инвестор имеет воз</w:t>
      </w:r>
      <w:r w:rsidRPr="004E0FC4">
        <w:rPr>
          <w:rFonts w:ascii="Bookman Old Style" w:eastAsia="Bookman Old Style" w:hAnsi="Bookman Old Style" w:cs="Bookman Old Style"/>
          <w:color w:val="231F20"/>
          <w:sz w:val="18"/>
          <w:szCs w:val="18"/>
        </w:rPr>
        <w:softHyphen/>
        <w:t>можность получения 68 % (но не более) от общего объема произ</w:t>
      </w:r>
      <w:r w:rsidRPr="004E0FC4">
        <w:rPr>
          <w:rFonts w:ascii="Bookman Old Style" w:eastAsia="Bookman Old Style" w:hAnsi="Bookman Old Style" w:cs="Bookman Old Style"/>
          <w:color w:val="231F20"/>
          <w:sz w:val="18"/>
          <w:szCs w:val="18"/>
        </w:rPr>
        <w:softHyphen/>
        <w:t>веденной продукции, а также вероятность компенсировать затраты на выполнение работ частью произведенной продукции (предель</w:t>
      </w:r>
      <w:r w:rsidRPr="004E0FC4">
        <w:rPr>
          <w:rFonts w:ascii="Bookman Old Style" w:eastAsia="Bookman Old Style" w:hAnsi="Bookman Old Style" w:cs="Bookman Old Style"/>
          <w:color w:val="231F20"/>
          <w:sz w:val="18"/>
          <w:szCs w:val="18"/>
        </w:rPr>
        <w:softHyphen/>
        <w:t>ный уровень компенсации 75 %, а при добыче на континентальном шельфе Российской Федерации до 90 % общего объема произведен</w:t>
      </w:r>
      <w:r w:rsidRPr="004E0FC4">
        <w:rPr>
          <w:rFonts w:ascii="Bookman Old Style" w:eastAsia="Bookman Old Style" w:hAnsi="Bookman Old Style" w:cs="Bookman Old Style"/>
          <w:color w:val="231F20"/>
          <w:sz w:val="18"/>
          <w:szCs w:val="18"/>
        </w:rPr>
        <w:softHyphen/>
        <w:t>ной продукции).</w:t>
      </w:r>
    </w:p>
    <w:p w14:paraId="644F941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Кроме того, в России в рамках СРП разрабатываются три про</w:t>
      </w:r>
      <w:r w:rsidRPr="004E0FC4">
        <w:rPr>
          <w:rFonts w:ascii="Bookman Old Style" w:eastAsia="Bookman Old Style" w:hAnsi="Bookman Old Style" w:cs="Bookman Old Style"/>
          <w:color w:val="231F20"/>
          <w:sz w:val="18"/>
          <w:szCs w:val="18"/>
        </w:rPr>
        <w:softHyphen/>
        <w:t>екта, которые не регулируются указанным Законом, поскольку СРП по этим проектам были заключены отдельно на правительственно</w:t>
      </w:r>
      <w:r w:rsidRPr="004E0FC4">
        <w:rPr>
          <w:rFonts w:ascii="Bookman Old Style" w:eastAsia="Bookman Old Style" w:hAnsi="Bookman Old Style" w:cs="Bookman Old Style"/>
          <w:color w:val="231F20"/>
          <w:sz w:val="18"/>
          <w:szCs w:val="18"/>
        </w:rPr>
        <w:softHyphen/>
        <w:t>областном уровне, включая установление особого налогового режи</w:t>
      </w:r>
      <w:r w:rsidRPr="004E0FC4">
        <w:rPr>
          <w:rFonts w:ascii="Bookman Old Style" w:eastAsia="Bookman Old Style" w:hAnsi="Bookman Old Style" w:cs="Bookman Old Style"/>
          <w:color w:val="231F20"/>
          <w:sz w:val="18"/>
          <w:szCs w:val="18"/>
        </w:rPr>
        <w:softHyphen/>
        <w:t>ма для проектов. Это Харьягинское нефтяное месторождение (опе</w:t>
      </w:r>
      <w:r w:rsidRPr="004E0FC4">
        <w:rPr>
          <w:rFonts w:ascii="Bookman Old Style" w:eastAsia="Bookman Old Style" w:hAnsi="Bookman Old Style" w:cs="Bookman Old Style"/>
          <w:color w:val="231F20"/>
          <w:sz w:val="18"/>
          <w:szCs w:val="18"/>
        </w:rPr>
        <w:softHyphen/>
        <w:t xml:space="preserve">ратор — </w:t>
      </w:r>
      <w:r w:rsidRPr="004E0FC4">
        <w:rPr>
          <w:rFonts w:ascii="Bookman Old Style" w:eastAsia="Bookman Old Style" w:hAnsi="Bookman Old Style" w:cs="Bookman Old Style"/>
          <w:i/>
          <w:iCs/>
          <w:color w:val="231F20"/>
          <w:sz w:val="18"/>
          <w:szCs w:val="18"/>
          <w:lang w:val="en-US" w:eastAsia="en-US" w:bidi="en-US"/>
        </w:rPr>
        <w:t>Total</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«Сахалин-1» (оператор — </w:t>
      </w:r>
      <w:r w:rsidRPr="004E0FC4">
        <w:rPr>
          <w:rFonts w:ascii="Bookman Old Style" w:eastAsia="Bookman Old Style" w:hAnsi="Bookman Old Style" w:cs="Bookman Old Style"/>
          <w:i/>
          <w:iCs/>
          <w:color w:val="231F20"/>
          <w:sz w:val="18"/>
          <w:szCs w:val="18"/>
          <w:lang w:val="en-US" w:eastAsia="en-US" w:bidi="en-US"/>
        </w:rPr>
        <w:t>Exxon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Mobil</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«Сахалин-2» (оператор — </w:t>
      </w:r>
      <w:r w:rsidRPr="004E0FC4">
        <w:rPr>
          <w:rFonts w:ascii="Bookman Old Style" w:eastAsia="Bookman Old Style" w:hAnsi="Bookman Old Style" w:cs="Bookman Old Style"/>
          <w:i/>
          <w:iCs/>
          <w:color w:val="231F20"/>
          <w:sz w:val="18"/>
          <w:szCs w:val="18"/>
          <w:lang w:val="en-US" w:eastAsia="en-US" w:bidi="en-US"/>
        </w:rPr>
        <w:t>Sakhalin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Energy</w:t>
      </w:r>
      <w:r w:rsidRPr="004E0FC4">
        <w:rPr>
          <w:rFonts w:ascii="Bookman Old Style" w:eastAsia="Bookman Old Style" w:hAnsi="Bookman Old Style" w:cs="Bookman Old Style"/>
          <w:i/>
          <w:iCs/>
          <w:color w:val="231F20"/>
          <w:sz w:val="18"/>
          <w:szCs w:val="18"/>
          <w:lang w:eastAsia="en-US" w:bidi="en-US"/>
        </w:rPr>
        <w:t>).</w:t>
      </w:r>
    </w:p>
    <w:p w14:paraId="5BF1915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Заключение договоров в форме СРП было особенно актуально для России в 1990-х гг. для привлечения иностранных инвесторов в крупные проекты нефтегазодобычи. Опыт работы в рамках до</w:t>
      </w:r>
      <w:r w:rsidRPr="004E0FC4">
        <w:rPr>
          <w:rFonts w:ascii="Bookman Old Style" w:eastAsia="Bookman Old Style" w:hAnsi="Bookman Old Style" w:cs="Bookman Old Style"/>
          <w:color w:val="231F20"/>
          <w:sz w:val="18"/>
          <w:szCs w:val="18"/>
        </w:rPr>
        <w:softHyphen/>
        <w:t>говоров о СРП в этот период считают одним из первых примеров практики использования современных форм ГЧП в России. Данную практику в ранний период применения не во всем следует считать успешной. Условия и результаты выполнения ряда крупнейших СРП на территории России ранее получали негативные оценки Счетной палаты Российской Федерации. Заключенные с иностранными пар</w:t>
      </w:r>
      <w:r w:rsidRPr="004E0FC4">
        <w:rPr>
          <w:rFonts w:ascii="Bookman Old Style" w:eastAsia="Bookman Old Style" w:hAnsi="Bookman Old Style" w:cs="Bookman Old Style"/>
          <w:color w:val="231F20"/>
          <w:sz w:val="18"/>
          <w:szCs w:val="18"/>
        </w:rPr>
        <w:softHyphen/>
        <w:t>тнерами СРП («Сахалин-1», «Сахалин-2») предусматривали схемы раздела продукции с первоначальным вычетом затрат инвесторов, в результате реализации которых публичный партнер в течение длительного периода времени не получал своей доли произведен</w:t>
      </w:r>
      <w:r w:rsidRPr="004E0FC4">
        <w:rPr>
          <w:rFonts w:ascii="Bookman Old Style" w:eastAsia="Bookman Old Style" w:hAnsi="Bookman Old Style" w:cs="Bookman Old Style"/>
          <w:color w:val="231F20"/>
          <w:sz w:val="18"/>
          <w:szCs w:val="18"/>
        </w:rPr>
        <w:softHyphen/>
        <w:t>ной продукции за предоставленные иностранным компаниям ре</w:t>
      </w:r>
      <w:r w:rsidRPr="004E0FC4">
        <w:rPr>
          <w:rFonts w:ascii="Bookman Old Style" w:eastAsia="Bookman Old Style" w:hAnsi="Bookman Old Style" w:cs="Bookman Old Style"/>
          <w:color w:val="231F20"/>
          <w:sz w:val="18"/>
          <w:szCs w:val="18"/>
        </w:rPr>
        <w:softHyphen/>
        <w:t>сурсные базы (нефти, газа в их стоимостном эквиваленте), так как по условиям соглашения вся произведенная продукция направля</w:t>
      </w:r>
      <w:r w:rsidRPr="004E0FC4">
        <w:rPr>
          <w:rFonts w:ascii="Bookman Old Style" w:eastAsia="Bookman Old Style" w:hAnsi="Bookman Old Style" w:cs="Bookman Old Style"/>
          <w:color w:val="231F20"/>
          <w:sz w:val="18"/>
          <w:szCs w:val="18"/>
        </w:rPr>
        <w:softHyphen/>
        <w:t>лась на возмещение затрат инвесторов.</w:t>
      </w:r>
    </w:p>
    <w:p w14:paraId="5D62C0E0" w14:textId="77777777" w:rsidR="00350396" w:rsidRPr="004E0FC4" w:rsidRDefault="00350396" w:rsidP="004E0FC4">
      <w:pPr>
        <w:widowControl w:val="0"/>
        <w:numPr>
          <w:ilvl w:val="0"/>
          <w:numId w:val="52"/>
        </w:numPr>
        <w:tabs>
          <w:tab w:val="left" w:pos="638"/>
        </w:tabs>
        <w:spacing w:line="254"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Совместные (смешанные) предприятия</w:t>
      </w:r>
      <w:r w:rsidRPr="004E0FC4">
        <w:rPr>
          <w:rFonts w:ascii="Bookman Old Style" w:eastAsia="Bookman Old Style" w:hAnsi="Bookman Old Style" w:cs="Bookman Old Style"/>
          <w:color w:val="231F20"/>
          <w:sz w:val="18"/>
          <w:szCs w:val="18"/>
        </w:rPr>
        <w:t xml:space="preserve"> (СП) — одна из форм взаимодействия государства и частного бизнеса, которая предпола</w:t>
      </w:r>
      <w:r w:rsidRPr="004E0FC4">
        <w:rPr>
          <w:rFonts w:ascii="Bookman Old Style" w:eastAsia="Bookman Old Style" w:hAnsi="Bookman Old Style" w:cs="Bookman Old Style"/>
          <w:color w:val="231F20"/>
          <w:sz w:val="18"/>
          <w:szCs w:val="18"/>
        </w:rPr>
        <w:softHyphen/>
        <w:t>гает создание юридического лица с долевым участием органов го</w:t>
      </w:r>
      <w:r w:rsidRPr="004E0FC4">
        <w:rPr>
          <w:rFonts w:ascii="Bookman Old Style" w:eastAsia="Bookman Old Style" w:hAnsi="Bookman Old Style" w:cs="Bookman Old Style"/>
          <w:color w:val="231F20"/>
          <w:sz w:val="18"/>
          <w:szCs w:val="18"/>
        </w:rPr>
        <w:softHyphen/>
        <w:t>сударства и частных инвесторов. Если такое юридическое лицо (как правило, в форме ЗАО) создается для реализации конкретного от</w:t>
      </w:r>
      <w:r w:rsidRPr="004E0FC4">
        <w:rPr>
          <w:rFonts w:ascii="Bookman Old Style" w:eastAsia="Bookman Old Style" w:hAnsi="Bookman Old Style" w:cs="Bookman Old Style"/>
          <w:color w:val="231F20"/>
          <w:sz w:val="18"/>
          <w:szCs w:val="18"/>
        </w:rPr>
        <w:softHyphen/>
        <w:t xml:space="preserve">дельного проекта, оно относится к категории проектной компании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SPV</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i/>
          <w:iCs/>
          <w:color w:val="231F20"/>
          <w:sz w:val="18"/>
          <w:szCs w:val="18"/>
          <w:lang w:val="en-US" w:eastAsia="en-US" w:bidi="en-US"/>
        </w:rPr>
        <w:t>special</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purpose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vehicle</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Проектная компания, или </w:t>
      </w:r>
      <w:r w:rsidRPr="004E0FC4">
        <w:rPr>
          <w:rFonts w:ascii="Bookman Old Style" w:eastAsia="Bookman Old Style" w:hAnsi="Bookman Old Style" w:cs="Bookman Old Style"/>
          <w:i/>
          <w:iCs/>
          <w:color w:val="231F20"/>
          <w:sz w:val="18"/>
          <w:szCs w:val="18"/>
          <w:lang w:val="en-US" w:eastAsia="en-US" w:bidi="en-US"/>
        </w:rPr>
        <w:t>SPV</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часто является необходимой финансовой «прослойкой» для объединения вкладов сторон в процессе государственно-частного партнерства, а реальным управлением и производством работ по объекту со</w:t>
      </w:r>
      <w:r w:rsidRPr="004E0FC4">
        <w:rPr>
          <w:rFonts w:ascii="Bookman Old Style" w:eastAsia="Bookman Old Style" w:hAnsi="Bookman Old Style" w:cs="Bookman Old Style"/>
          <w:color w:val="231F20"/>
          <w:sz w:val="18"/>
          <w:szCs w:val="18"/>
        </w:rPr>
        <w:softHyphen/>
        <w:t>вместной деятельности занимаются конкретные компании-менед</w:t>
      </w:r>
      <w:r w:rsidRPr="004E0FC4">
        <w:rPr>
          <w:rFonts w:ascii="Bookman Old Style" w:eastAsia="Bookman Old Style" w:hAnsi="Bookman Old Style" w:cs="Bookman Old Style"/>
          <w:color w:val="231F20"/>
          <w:sz w:val="18"/>
          <w:szCs w:val="18"/>
        </w:rPr>
        <w:softHyphen/>
        <w:t>жеры с обеих сторон. В некоторых случаях совместные предприятия образуются в результате приватизации или, наоборот, выкупа го</w:t>
      </w:r>
      <w:r w:rsidRPr="004E0FC4">
        <w:rPr>
          <w:rFonts w:ascii="Bookman Old Style" w:eastAsia="Bookman Old Style" w:hAnsi="Bookman Old Style" w:cs="Bookman Old Style"/>
          <w:color w:val="231F20"/>
          <w:sz w:val="18"/>
          <w:szCs w:val="18"/>
        </w:rPr>
        <w:softHyphen/>
        <w:t xml:space="preserve">сударством долей этих частных компаний. Возможности партнеров по принятию самостоятельных административно-хозяйственных решений определяются их долей в </w:t>
      </w:r>
      <w:r w:rsidRPr="004E0FC4">
        <w:rPr>
          <w:rFonts w:ascii="Bookman Old Style" w:eastAsia="Bookman Old Style" w:hAnsi="Bookman Old Style" w:cs="Bookman Old Style"/>
          <w:color w:val="231F20"/>
          <w:sz w:val="18"/>
          <w:szCs w:val="18"/>
        </w:rPr>
        <w:lastRenderedPageBreak/>
        <w:t>акционерном капитале. Риски сторон также распределяются в зависимости от величины долей в капитале совместного предприятия. Во всех случаях юридические лица, в составе акционеров которых присутствуют как государствен</w:t>
      </w:r>
      <w:r w:rsidRPr="004E0FC4">
        <w:rPr>
          <w:rFonts w:ascii="Bookman Old Style" w:eastAsia="Bookman Old Style" w:hAnsi="Bookman Old Style" w:cs="Bookman Old Style"/>
          <w:color w:val="231F20"/>
          <w:sz w:val="18"/>
          <w:szCs w:val="18"/>
        </w:rPr>
        <w:softHyphen/>
        <w:t>ные структуры, так и частные, осуществляют свою деятельность на основе Федерального закона от 26.12.1995 № 208-ФЗ «Об акцио</w:t>
      </w:r>
      <w:r w:rsidRPr="004E0FC4">
        <w:rPr>
          <w:rFonts w:ascii="Bookman Old Style" w:eastAsia="Bookman Old Style" w:hAnsi="Bookman Old Style" w:cs="Bookman Old Style"/>
          <w:color w:val="231F20"/>
          <w:sz w:val="18"/>
          <w:szCs w:val="18"/>
        </w:rPr>
        <w:softHyphen/>
        <w:t>нерных обществах».</w:t>
      </w:r>
    </w:p>
    <w:p w14:paraId="308E49A3"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Однако не все акционерные общества, в составе акционеров которых присутствуют и государственные, и частные структуры, следует признать государственно-частными партнерствами. В част</w:t>
      </w:r>
      <w:r w:rsidRPr="004E0FC4">
        <w:rPr>
          <w:rFonts w:ascii="Bookman Old Style" w:eastAsia="Bookman Old Style" w:hAnsi="Bookman Old Style" w:cs="Bookman Old Style"/>
          <w:color w:val="231F20"/>
          <w:sz w:val="18"/>
          <w:szCs w:val="18"/>
        </w:rPr>
        <w:softHyphen/>
        <w:t>ности, акционеры в публичных акционерных обществах, где есть доля государства и частных лиц, например ПАО «ВТБ» или ПАО «Сбербанк», не вступают в отношения государственно-частного партнерства.</w:t>
      </w:r>
    </w:p>
    <w:p w14:paraId="5DABBA25"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Критерием отнесения акционерного общества (совместного предприятия), в составе акционеров которого присутствуют как государственные, так и частные структуры, к ГЧП, как и в случае с арендой, является факт временной передачи функций, которые ранее осуществлялись государством, частному партнеру. Правовая форма акционерного общества не во всех случаях является наи</w:t>
      </w:r>
      <w:r w:rsidRPr="004E0FC4">
        <w:rPr>
          <w:rFonts w:ascii="Bookman Old Style" w:eastAsia="Bookman Old Style" w:hAnsi="Bookman Old Style" w:cs="Bookman Old Style"/>
          <w:color w:val="231F20"/>
          <w:sz w:val="18"/>
          <w:szCs w:val="18"/>
        </w:rPr>
        <w:softHyphen/>
        <w:t>лучшей основой для подобной временной передачи функций. Бо</w:t>
      </w:r>
      <w:r w:rsidRPr="004E0FC4">
        <w:rPr>
          <w:rFonts w:ascii="Bookman Old Style" w:eastAsia="Bookman Old Style" w:hAnsi="Bookman Old Style" w:cs="Bookman Old Style"/>
          <w:color w:val="231F20"/>
          <w:sz w:val="18"/>
          <w:szCs w:val="18"/>
        </w:rPr>
        <w:softHyphen/>
        <w:t>лее удобны соглашения в форме концессии, контрактов на управ</w:t>
      </w:r>
      <w:r w:rsidRPr="004E0FC4">
        <w:rPr>
          <w:rFonts w:ascii="Bookman Old Style" w:eastAsia="Bookman Old Style" w:hAnsi="Bookman Old Style" w:cs="Bookman Old Style"/>
          <w:color w:val="231F20"/>
          <w:sz w:val="18"/>
          <w:szCs w:val="18"/>
        </w:rPr>
        <w:softHyphen/>
        <w:t>ление и др.</w:t>
      </w:r>
    </w:p>
    <w:p w14:paraId="201105A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Однако если частным партнером осуществляется строительство «с нуля» нового объекта, но государство вносит оговоренную в со</w:t>
      </w:r>
      <w:r w:rsidRPr="004E0FC4">
        <w:rPr>
          <w:rFonts w:ascii="Bookman Old Style" w:eastAsia="Bookman Old Style" w:hAnsi="Bookman Old Style" w:cs="Bookman Old Style"/>
          <w:color w:val="231F20"/>
          <w:sz w:val="18"/>
          <w:szCs w:val="18"/>
        </w:rPr>
        <w:softHyphen/>
        <w:t>глашении о ГЧП долю в финансирование сооружения данного про</w:t>
      </w:r>
      <w:r w:rsidRPr="004E0FC4">
        <w:rPr>
          <w:rFonts w:ascii="Bookman Old Style" w:eastAsia="Bookman Old Style" w:hAnsi="Bookman Old Style" w:cs="Bookman Old Style"/>
          <w:color w:val="231F20"/>
          <w:sz w:val="18"/>
          <w:szCs w:val="18"/>
        </w:rPr>
        <w:softHyphen/>
        <w:t>екта, то форма акционерного общества для объединения вкладов частного инвестора и государства является достаточно распростра</w:t>
      </w:r>
      <w:r w:rsidRPr="004E0FC4">
        <w:rPr>
          <w:rFonts w:ascii="Bookman Old Style" w:eastAsia="Bookman Old Style" w:hAnsi="Bookman Old Style" w:cs="Bookman Old Style"/>
          <w:color w:val="231F20"/>
          <w:sz w:val="18"/>
          <w:szCs w:val="18"/>
        </w:rPr>
        <w:softHyphen/>
        <w:t>ненной. Именно в этих случаях учреждаются специальные проект</w:t>
      </w:r>
      <w:r w:rsidRPr="004E0FC4">
        <w:rPr>
          <w:rFonts w:ascii="Bookman Old Style" w:eastAsia="Bookman Old Style" w:hAnsi="Bookman Old Style" w:cs="Bookman Old Style"/>
          <w:color w:val="231F20"/>
          <w:sz w:val="18"/>
          <w:szCs w:val="18"/>
        </w:rPr>
        <w:softHyphen/>
        <w:t>ные компании в форме акционерного общества для реализации ГЧП-проектов. Дальнейшее управление объектом в рамках согла</w:t>
      </w:r>
      <w:r w:rsidRPr="004E0FC4">
        <w:rPr>
          <w:rFonts w:ascii="Bookman Old Style" w:eastAsia="Bookman Old Style" w:hAnsi="Bookman Old Style" w:cs="Bookman Old Style"/>
          <w:color w:val="231F20"/>
          <w:sz w:val="18"/>
          <w:szCs w:val="18"/>
        </w:rPr>
        <w:softHyphen/>
        <w:t>шения о ГЧП на долгосрочной основе осуществляется от имени ак</w:t>
      </w:r>
      <w:r w:rsidRPr="004E0FC4">
        <w:rPr>
          <w:rFonts w:ascii="Bookman Old Style" w:eastAsia="Bookman Old Style" w:hAnsi="Bookman Old Style" w:cs="Bookman Old Style"/>
          <w:color w:val="231F20"/>
          <w:sz w:val="18"/>
          <w:szCs w:val="18"/>
        </w:rPr>
        <w:softHyphen/>
        <w:t>ционерного общества силами частного партнера с привлечением профессиональной управляющей компании, подрядчиков или най</w:t>
      </w:r>
      <w:r w:rsidRPr="004E0FC4">
        <w:rPr>
          <w:rFonts w:ascii="Bookman Old Style" w:eastAsia="Bookman Old Style" w:hAnsi="Bookman Old Style" w:cs="Bookman Old Style"/>
          <w:color w:val="231F20"/>
          <w:sz w:val="18"/>
          <w:szCs w:val="18"/>
        </w:rPr>
        <w:softHyphen/>
        <w:t>ма персонала, который обеспечит возможность самой проектной компании заниматься управлением самостоятельно.</w:t>
      </w:r>
    </w:p>
    <w:p w14:paraId="48133DFF" w14:textId="77777777" w:rsidR="00350396" w:rsidRPr="004E0FC4" w:rsidRDefault="00350396" w:rsidP="004E0FC4">
      <w:pPr>
        <w:widowControl w:val="0"/>
        <w:numPr>
          <w:ilvl w:val="0"/>
          <w:numId w:val="52"/>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Контракты, сочетающие в себе различные виды работ и от</w:t>
      </w:r>
      <w:r w:rsidRPr="004E0FC4">
        <w:rPr>
          <w:rFonts w:ascii="Bookman Old Style" w:eastAsia="Bookman Old Style" w:hAnsi="Bookman Old Style" w:cs="Bookman Old Style"/>
          <w:i/>
          <w:iCs/>
          <w:color w:val="231F20"/>
          <w:sz w:val="18"/>
          <w:szCs w:val="18"/>
        </w:rPr>
        <w:softHyphen/>
        <w:t>ношения собственности.</w:t>
      </w:r>
      <w:r w:rsidRPr="004E0FC4">
        <w:rPr>
          <w:rFonts w:ascii="Bookman Old Style" w:eastAsia="Bookman Old Style" w:hAnsi="Bookman Old Style" w:cs="Bookman Old Style"/>
          <w:color w:val="231F20"/>
          <w:sz w:val="18"/>
          <w:szCs w:val="18"/>
        </w:rPr>
        <w:t xml:space="preserve"> При строительстве новых объектов для пу</w:t>
      </w:r>
      <w:r w:rsidRPr="004E0FC4">
        <w:rPr>
          <w:rFonts w:ascii="Bookman Old Style" w:eastAsia="Bookman Old Style" w:hAnsi="Bookman Old Style" w:cs="Bookman Old Style"/>
          <w:color w:val="231F20"/>
          <w:sz w:val="18"/>
          <w:szCs w:val="18"/>
        </w:rPr>
        <w:softHyphen/>
        <w:t>бличных нужд в рамках ГЧП за рубежом часто используются ком</w:t>
      </w:r>
      <w:r w:rsidRPr="004E0FC4">
        <w:rPr>
          <w:rFonts w:ascii="Bookman Old Style" w:eastAsia="Bookman Old Style" w:hAnsi="Bookman Old Style" w:cs="Bookman Old Style"/>
          <w:color w:val="231F20"/>
          <w:sz w:val="18"/>
          <w:szCs w:val="18"/>
        </w:rPr>
        <w:softHyphen/>
        <w:t xml:space="preserve">плексные контракты, которые отличаются по сроку перехода права собственности и по субъекту управления сооружаемым объектом. ГЧП-контракты, в которых объекты строятся «с нуля», называются гринфилд-проектами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greenfield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projects</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при реконструкции объ</w:t>
      </w:r>
      <w:r w:rsidRPr="004E0FC4">
        <w:rPr>
          <w:rFonts w:ascii="Bookman Old Style" w:eastAsia="Bookman Old Style" w:hAnsi="Bookman Old Style" w:cs="Bookman Old Style"/>
          <w:color w:val="231F20"/>
          <w:sz w:val="18"/>
          <w:szCs w:val="18"/>
        </w:rPr>
        <w:softHyphen/>
        <w:t xml:space="preserve">ектов — браунфилд-проектами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brownfield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projects</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Определенные типовые наборы обязательств партнеров, возникающих в рам</w:t>
      </w:r>
      <w:r w:rsidRPr="004E0FC4">
        <w:rPr>
          <w:rFonts w:ascii="Bookman Old Style" w:eastAsia="Bookman Old Style" w:hAnsi="Bookman Old Style" w:cs="Bookman Old Style"/>
          <w:color w:val="231F20"/>
          <w:sz w:val="18"/>
          <w:szCs w:val="18"/>
        </w:rPr>
        <w:softHyphen/>
        <w:t xml:space="preserve">ках комплексных </w:t>
      </w:r>
      <w:r w:rsidRPr="004E0FC4">
        <w:rPr>
          <w:rFonts w:ascii="Bookman Old Style" w:eastAsia="Bookman Old Style" w:hAnsi="Bookman Old Style" w:cs="Bookman Old Style"/>
          <w:i/>
          <w:iCs/>
          <w:color w:val="231F20"/>
          <w:sz w:val="18"/>
          <w:szCs w:val="18"/>
          <w:lang w:val="en-US" w:eastAsia="en-US" w:bidi="en-US"/>
        </w:rPr>
        <w:t>greenfield</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и </w:t>
      </w:r>
      <w:r w:rsidRPr="004E0FC4">
        <w:rPr>
          <w:rFonts w:ascii="Bookman Old Style" w:eastAsia="Bookman Old Style" w:hAnsi="Bookman Old Style" w:cs="Bookman Old Style"/>
          <w:color w:val="231F20"/>
          <w:sz w:val="18"/>
          <w:szCs w:val="18"/>
          <w:lang w:val="en-US" w:eastAsia="en-US" w:bidi="en-US"/>
        </w:rPr>
        <w:t>brownfield</w:t>
      </w:r>
      <w:r w:rsidRPr="004E0FC4">
        <w:rPr>
          <w:rFonts w:ascii="Bookman Old Style" w:eastAsia="Bookman Old Style" w:hAnsi="Bookman Old Style" w:cs="Bookman Old Style"/>
          <w:color w:val="231F20"/>
          <w:sz w:val="18"/>
          <w:szCs w:val="18"/>
        </w:rPr>
        <w:t>-проектов, где сочетаются различные виды работ и отношения собственности, характерны для концессий. Данные типовые наборы обязательств могут встре</w:t>
      </w:r>
      <w:r w:rsidRPr="004E0FC4">
        <w:rPr>
          <w:rFonts w:ascii="Bookman Old Style" w:eastAsia="Bookman Old Style" w:hAnsi="Bookman Old Style" w:cs="Bookman Old Style"/>
          <w:color w:val="231F20"/>
          <w:sz w:val="18"/>
          <w:szCs w:val="18"/>
        </w:rPr>
        <w:softHyphen/>
        <w:t>чаться и при реализации других форм ГЧП, поэтому чаще они рас</w:t>
      </w:r>
      <w:r w:rsidRPr="004E0FC4">
        <w:rPr>
          <w:rFonts w:ascii="Bookman Old Style" w:eastAsia="Bookman Old Style" w:hAnsi="Bookman Old Style" w:cs="Bookman Old Style"/>
          <w:color w:val="231F20"/>
          <w:sz w:val="18"/>
          <w:szCs w:val="18"/>
        </w:rPr>
        <w:softHyphen/>
        <w:t>сматриваются отдельно — как механизмы ГЧП (см. параграф 4.3).</w:t>
      </w:r>
    </w:p>
    <w:p w14:paraId="253E476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международной и российской практике также выделяются та</w:t>
      </w:r>
      <w:r w:rsidRPr="004E0FC4">
        <w:rPr>
          <w:rFonts w:ascii="Bookman Old Style" w:eastAsia="Bookman Old Style" w:hAnsi="Bookman Old Style" w:cs="Bookman Old Style"/>
          <w:color w:val="231F20"/>
          <w:sz w:val="18"/>
          <w:szCs w:val="18"/>
        </w:rPr>
        <w:softHyphen/>
        <w:t xml:space="preserve">кие </w:t>
      </w:r>
      <w:r w:rsidRPr="004E0FC4">
        <w:rPr>
          <w:rFonts w:ascii="Bookman Old Style" w:eastAsia="Bookman Old Style" w:hAnsi="Bookman Old Style" w:cs="Bookman Old Style"/>
          <w:color w:val="231F20"/>
          <w:sz w:val="18"/>
          <w:szCs w:val="18"/>
        </w:rPr>
        <w:lastRenderedPageBreak/>
        <w:t>комплексные формы.</w:t>
      </w:r>
    </w:p>
    <w:p w14:paraId="614676F0"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Особые экономические зоны — зоны в таких сферах, как туристско-рекреационная, промышленная, инновационная; порты, где предусмотрены особые (льготные) налоговый и (или) таможен</w:t>
      </w:r>
      <w:r w:rsidRPr="004E0FC4">
        <w:rPr>
          <w:rFonts w:ascii="Bookman Old Style" w:eastAsia="Bookman Old Style" w:hAnsi="Bookman Old Style" w:cs="Bookman Old Style"/>
          <w:color w:val="231F20"/>
          <w:sz w:val="18"/>
          <w:szCs w:val="18"/>
        </w:rPr>
        <w:softHyphen/>
        <w:t>ный режимы, снижение административных барьеров, финансовые гарантии государства и др.</w:t>
      </w:r>
    </w:p>
    <w:p w14:paraId="674DAF53" w14:textId="77777777" w:rsidR="00350396" w:rsidRPr="004E0FC4" w:rsidRDefault="00350396" w:rsidP="004E0FC4">
      <w:pPr>
        <w:widowControl w:val="0"/>
        <w:numPr>
          <w:ilvl w:val="0"/>
          <w:numId w:val="48"/>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Специальный инвестиционный контракт</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В отраслях про</w:t>
      </w:r>
      <w:r w:rsidRPr="004E0FC4">
        <w:rPr>
          <w:rFonts w:ascii="Bookman Old Style" w:eastAsia="Bookman Old Style" w:hAnsi="Bookman Old Style" w:cs="Bookman Old Style"/>
          <w:color w:val="231F20"/>
          <w:sz w:val="18"/>
          <w:szCs w:val="18"/>
        </w:rPr>
        <w:softHyphen/>
        <w:t>мышленного производства предусматривает создание либо модер</w:t>
      </w:r>
      <w:r w:rsidRPr="004E0FC4">
        <w:rPr>
          <w:rFonts w:ascii="Bookman Old Style" w:eastAsia="Bookman Old Style" w:hAnsi="Bookman Old Style" w:cs="Bookman Old Style"/>
          <w:color w:val="231F20"/>
          <w:sz w:val="18"/>
          <w:szCs w:val="18"/>
        </w:rPr>
        <w:softHyphen/>
        <w:t>низацию и (или) освоение производства новой промышленной про</w:t>
      </w:r>
      <w:r w:rsidRPr="004E0FC4">
        <w:rPr>
          <w:rFonts w:ascii="Bookman Old Style" w:eastAsia="Bookman Old Style" w:hAnsi="Bookman Old Style" w:cs="Bookman Old Style"/>
          <w:color w:val="231F20"/>
          <w:sz w:val="18"/>
          <w:szCs w:val="18"/>
        </w:rPr>
        <w:softHyphen/>
        <w:t>дукции.</w:t>
      </w:r>
    </w:p>
    <w:p w14:paraId="2A4BF0B3" w14:textId="77777777" w:rsidR="00350396" w:rsidRPr="004E0FC4" w:rsidRDefault="00350396" w:rsidP="004E0FC4">
      <w:pPr>
        <w:widowControl w:val="0"/>
        <w:numPr>
          <w:ilvl w:val="0"/>
          <w:numId w:val="52"/>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Создание особых экономических зон</w:t>
      </w:r>
      <w:r w:rsidRPr="004E0FC4">
        <w:rPr>
          <w:rFonts w:ascii="Bookman Old Style" w:eastAsia="Bookman Old Style" w:hAnsi="Bookman Old Style" w:cs="Bookman Old Style"/>
          <w:color w:val="231F20"/>
          <w:sz w:val="18"/>
          <w:szCs w:val="18"/>
        </w:rPr>
        <w:t xml:space="preserve"> (ОЭЗ) призвано решить одну из острейших проблем — неравномерное развитие регионов. Причиной является то, что система межбюджетных трансфертов, которая должна была обеспечивать выравнивание регионов, не ра- </w:t>
      </w:r>
      <w:r w:rsidRPr="004E0FC4">
        <w:rPr>
          <w:rFonts w:ascii="Bookman Old Style" w:eastAsia="Bookman Old Style" w:hAnsi="Bookman Old Style" w:cs="Bookman Old Style"/>
          <w:color w:val="231F20"/>
          <w:sz w:val="18"/>
          <w:szCs w:val="18"/>
          <w:vertAlign w:val="superscript"/>
        </w:rPr>
        <w:footnoteReference w:id="82"/>
      </w:r>
      <w:r w:rsidRPr="004E0FC4">
        <w:rPr>
          <w:rFonts w:ascii="Bookman Old Style" w:eastAsia="Bookman Old Style" w:hAnsi="Bookman Old Style" w:cs="Bookman Old Style"/>
          <w:color w:val="231F20"/>
          <w:sz w:val="18"/>
          <w:szCs w:val="18"/>
        </w:rPr>
        <w:t xml:space="preserve"> ботает. Различие между экономически активными и депрессивны</w:t>
      </w:r>
      <w:r w:rsidRPr="004E0FC4">
        <w:rPr>
          <w:rFonts w:ascii="Bookman Old Style" w:eastAsia="Bookman Old Style" w:hAnsi="Bookman Old Style" w:cs="Bookman Old Style"/>
          <w:color w:val="231F20"/>
          <w:sz w:val="18"/>
          <w:szCs w:val="18"/>
        </w:rPr>
        <w:softHyphen/>
        <w:t>ми территориями увеличилось до 60 раз. Во всем мире ОЭЗ — ин</w:t>
      </w:r>
      <w:r w:rsidRPr="004E0FC4">
        <w:rPr>
          <w:rFonts w:ascii="Bookman Old Style" w:eastAsia="Bookman Old Style" w:hAnsi="Bookman Old Style" w:cs="Bookman Old Style"/>
          <w:color w:val="231F20"/>
          <w:sz w:val="18"/>
          <w:szCs w:val="18"/>
        </w:rPr>
        <w:softHyphen/>
        <w:t>струмент выравнивания регионального развития. Основные цели создания ОЭЗ:</w:t>
      </w:r>
    </w:p>
    <w:p w14:paraId="3E5DCBEF" w14:textId="77777777" w:rsidR="00350396" w:rsidRPr="004E0FC4" w:rsidRDefault="00350396" w:rsidP="004E0FC4">
      <w:pPr>
        <w:widowControl w:val="0"/>
        <w:numPr>
          <w:ilvl w:val="0"/>
          <w:numId w:val="54"/>
        </w:numPr>
        <w:tabs>
          <w:tab w:val="left" w:pos="671"/>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развитие обрабатывающих и высокотехнологичных отраслей;</w:t>
      </w:r>
    </w:p>
    <w:p w14:paraId="2F655F8D" w14:textId="77777777" w:rsidR="00350396" w:rsidRPr="004E0FC4" w:rsidRDefault="00350396" w:rsidP="004E0FC4">
      <w:pPr>
        <w:widowControl w:val="0"/>
        <w:numPr>
          <w:ilvl w:val="0"/>
          <w:numId w:val="54"/>
        </w:numPr>
        <w:tabs>
          <w:tab w:val="left" w:pos="671"/>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производство новых видов продукции;</w:t>
      </w:r>
    </w:p>
    <w:p w14:paraId="5F0F61E3" w14:textId="77777777" w:rsidR="00350396" w:rsidRPr="004E0FC4" w:rsidRDefault="00350396" w:rsidP="004E0FC4">
      <w:pPr>
        <w:widowControl w:val="0"/>
        <w:numPr>
          <w:ilvl w:val="0"/>
          <w:numId w:val="54"/>
        </w:numPr>
        <w:tabs>
          <w:tab w:val="left" w:pos="671"/>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развитие транспортной инфраструктуры;</w:t>
      </w:r>
    </w:p>
    <w:p w14:paraId="6C2B2E1C" w14:textId="77777777" w:rsidR="00350396" w:rsidRPr="004E0FC4" w:rsidRDefault="00350396" w:rsidP="004E0FC4">
      <w:pPr>
        <w:widowControl w:val="0"/>
        <w:numPr>
          <w:ilvl w:val="0"/>
          <w:numId w:val="54"/>
        </w:numPr>
        <w:tabs>
          <w:tab w:val="left" w:pos="671"/>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развитие туризма и санаторно-курортной сферы.</w:t>
      </w:r>
    </w:p>
    <w:p w14:paraId="4F94D08C"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Особые экономические зоны могут быть четырех типов:</w:t>
      </w:r>
    </w:p>
    <w:p w14:paraId="1B1165C0" w14:textId="77777777" w:rsidR="00350396" w:rsidRPr="004E0FC4" w:rsidRDefault="00350396" w:rsidP="004E0FC4">
      <w:pPr>
        <w:widowControl w:val="0"/>
        <w:numPr>
          <w:ilvl w:val="0"/>
          <w:numId w:val="55"/>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промышленно-производственные, располагающиеся в наибо</w:t>
      </w:r>
      <w:r w:rsidRPr="004E0FC4">
        <w:rPr>
          <w:rFonts w:ascii="Bookman Old Style" w:eastAsia="Bookman Old Style" w:hAnsi="Bookman Old Style" w:cs="Bookman Old Style"/>
          <w:color w:val="231F20"/>
          <w:sz w:val="18"/>
          <w:szCs w:val="18"/>
        </w:rPr>
        <w:softHyphen/>
        <w:t>лее развитых регионах, в структуре экономики которых преоблада</w:t>
      </w:r>
      <w:r w:rsidRPr="004E0FC4">
        <w:rPr>
          <w:rFonts w:ascii="Bookman Old Style" w:eastAsia="Bookman Old Style" w:hAnsi="Bookman Old Style" w:cs="Bookman Old Style"/>
          <w:color w:val="231F20"/>
          <w:sz w:val="18"/>
          <w:szCs w:val="18"/>
        </w:rPr>
        <w:softHyphen/>
        <w:t>ет промышленный сектор;</w:t>
      </w:r>
    </w:p>
    <w:p w14:paraId="057936E4" w14:textId="77777777" w:rsidR="00350396" w:rsidRPr="004E0FC4" w:rsidRDefault="00350396" w:rsidP="004E0FC4">
      <w:pPr>
        <w:widowControl w:val="0"/>
        <w:numPr>
          <w:ilvl w:val="0"/>
          <w:numId w:val="55"/>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технико-внедренческие, которые размещаются в регионах с высоким научно-техническим потенциалом;</w:t>
      </w:r>
    </w:p>
    <w:p w14:paraId="163B8EE4" w14:textId="77777777" w:rsidR="00350396" w:rsidRPr="004E0FC4" w:rsidRDefault="00350396" w:rsidP="004E0FC4">
      <w:pPr>
        <w:widowControl w:val="0"/>
        <w:numPr>
          <w:ilvl w:val="0"/>
          <w:numId w:val="55"/>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туристско-рекреационные, устраиваемые в регионах, имею</w:t>
      </w:r>
      <w:r w:rsidRPr="004E0FC4">
        <w:rPr>
          <w:rFonts w:ascii="Bookman Old Style" w:eastAsia="Bookman Old Style" w:hAnsi="Bookman Old Style" w:cs="Bookman Old Style"/>
          <w:color w:val="231F20"/>
          <w:sz w:val="18"/>
          <w:szCs w:val="18"/>
        </w:rPr>
        <w:softHyphen/>
        <w:t>щих архитектурный, ландшафтный потенциал, а также потенциал для развития оздоровительного, пляжного отдыха, экстремальных видов спорта и других видов туризма;</w:t>
      </w:r>
    </w:p>
    <w:p w14:paraId="05E56DF0" w14:textId="77777777" w:rsidR="00350396" w:rsidRPr="004E0FC4" w:rsidRDefault="00350396" w:rsidP="004E0FC4">
      <w:pPr>
        <w:widowControl w:val="0"/>
        <w:numPr>
          <w:ilvl w:val="0"/>
          <w:numId w:val="55"/>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портовые, находящиеся в регионах, которые имеют выход к морским торговым путям и воздушным коридорам.</w:t>
      </w:r>
    </w:p>
    <w:p w14:paraId="4DB75100"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Развитие ОЭЗ выражает экономические интересы государства, которое получит расширение ресурсной базы за счет привлечения частных инвестиций в промышленных, наукоемких отраслях, тури</w:t>
      </w:r>
      <w:r w:rsidRPr="004E0FC4">
        <w:rPr>
          <w:rFonts w:ascii="Bookman Old Style" w:eastAsia="Bookman Old Style" w:hAnsi="Bookman Old Style" w:cs="Bookman Old Style"/>
          <w:color w:val="231F20"/>
          <w:sz w:val="18"/>
          <w:szCs w:val="18"/>
        </w:rPr>
        <w:softHyphen/>
        <w:t>стических сферах и портовых зонах.</w:t>
      </w:r>
    </w:p>
    <w:p w14:paraId="0CAB4B6A"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Экономические интересы частного бизнеса ОЭЗ заключаются в следующем:</w:t>
      </w:r>
    </w:p>
    <w:p w14:paraId="2278CFE4" w14:textId="77777777" w:rsidR="00350396" w:rsidRPr="004E0FC4" w:rsidRDefault="00350396" w:rsidP="004E0FC4">
      <w:pPr>
        <w:widowControl w:val="0"/>
        <w:numPr>
          <w:ilvl w:val="0"/>
          <w:numId w:val="56"/>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 и в концессиях, частный инвестор получает всю продук</w:t>
      </w:r>
      <w:r w:rsidRPr="004E0FC4">
        <w:rPr>
          <w:rFonts w:ascii="Bookman Old Style" w:eastAsia="Bookman Old Style" w:hAnsi="Bookman Old Style" w:cs="Bookman Old Style"/>
          <w:color w:val="231F20"/>
          <w:sz w:val="18"/>
          <w:szCs w:val="18"/>
        </w:rPr>
        <w:softHyphen/>
        <w:t>цию и доходы от осуществляемой деятельности;</w:t>
      </w:r>
    </w:p>
    <w:p w14:paraId="0FCC2204" w14:textId="77777777" w:rsidR="00350396" w:rsidRPr="004E0FC4" w:rsidRDefault="00350396" w:rsidP="004E0FC4">
      <w:pPr>
        <w:widowControl w:val="0"/>
        <w:numPr>
          <w:ilvl w:val="0"/>
          <w:numId w:val="56"/>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за счет средств федерального, регионального и местного бюд</w:t>
      </w:r>
      <w:r w:rsidRPr="004E0FC4">
        <w:rPr>
          <w:rFonts w:ascii="Bookman Old Style" w:eastAsia="Bookman Old Style" w:hAnsi="Bookman Old Style" w:cs="Bookman Old Style"/>
          <w:color w:val="231F20"/>
          <w:sz w:val="18"/>
          <w:szCs w:val="18"/>
        </w:rPr>
        <w:softHyphen/>
        <w:t>жетов формируются различные элементы инфраструктуры (инже</w:t>
      </w:r>
      <w:r w:rsidRPr="004E0FC4">
        <w:rPr>
          <w:rFonts w:ascii="Bookman Old Style" w:eastAsia="Bookman Old Style" w:hAnsi="Bookman Old Style" w:cs="Bookman Old Style"/>
          <w:color w:val="231F20"/>
          <w:sz w:val="18"/>
          <w:szCs w:val="18"/>
        </w:rPr>
        <w:softHyphen/>
        <w:t>нерной, рыночной и др.);</w:t>
      </w:r>
    </w:p>
    <w:p w14:paraId="2541B22C" w14:textId="77777777" w:rsidR="00350396" w:rsidRPr="004E0FC4" w:rsidRDefault="00350396" w:rsidP="004E0FC4">
      <w:pPr>
        <w:widowControl w:val="0"/>
        <w:numPr>
          <w:ilvl w:val="0"/>
          <w:numId w:val="56"/>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предоставляется особый налоговый режим (пониженная ставка налога на прибыль, в региональной части налога в зависи</w:t>
      </w:r>
      <w:r w:rsidRPr="004E0FC4">
        <w:rPr>
          <w:rFonts w:ascii="Bookman Old Style" w:eastAsia="Bookman Old Style" w:hAnsi="Bookman Old Style" w:cs="Bookman Old Style"/>
          <w:color w:val="231F20"/>
          <w:sz w:val="18"/>
          <w:szCs w:val="18"/>
        </w:rPr>
        <w:softHyphen/>
        <w:t>мости от типа зоны освобождение на 5—10 лет от уплаты налога на имущество предприятий и земельного налога);</w:t>
      </w:r>
    </w:p>
    <w:p w14:paraId="645CF6BB" w14:textId="77777777" w:rsidR="00350396" w:rsidRPr="004E0FC4" w:rsidRDefault="00350396" w:rsidP="004E0FC4">
      <w:pPr>
        <w:widowControl w:val="0"/>
        <w:numPr>
          <w:ilvl w:val="0"/>
          <w:numId w:val="56"/>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обеспечивается льготный таможенный режим (ввозимое импортное оборудование не облагается импортными пошлинами, пока находится на территории зоны).</w:t>
      </w:r>
    </w:p>
    <w:p w14:paraId="5D725F57"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Создание ОЭЗ порождает и социально-экономический эффект:</w:t>
      </w:r>
    </w:p>
    <w:p w14:paraId="07C06CAB" w14:textId="77777777" w:rsidR="00350396" w:rsidRPr="004E0FC4" w:rsidRDefault="00350396" w:rsidP="004E0FC4">
      <w:pPr>
        <w:widowControl w:val="0"/>
        <w:numPr>
          <w:ilvl w:val="0"/>
          <w:numId w:val="54"/>
        </w:numPr>
        <w:tabs>
          <w:tab w:val="left" w:pos="671"/>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обеспечивает занятость населения конкретного региона;</w:t>
      </w:r>
    </w:p>
    <w:p w14:paraId="7C158A59" w14:textId="77777777" w:rsidR="00350396" w:rsidRPr="004E0FC4" w:rsidRDefault="00350396" w:rsidP="004E0FC4">
      <w:pPr>
        <w:widowControl w:val="0"/>
        <w:numPr>
          <w:ilvl w:val="0"/>
          <w:numId w:val="54"/>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создает условия для развития регионов за счет формирования точек роста на определенных территориях.</w:t>
      </w:r>
    </w:p>
    <w:p w14:paraId="61697B4E" w14:textId="77777777" w:rsidR="00350396" w:rsidRPr="004E0FC4" w:rsidRDefault="00350396" w:rsidP="004E0FC4">
      <w:pPr>
        <w:widowControl w:val="0"/>
        <w:numPr>
          <w:ilvl w:val="0"/>
          <w:numId w:val="52"/>
        </w:numPr>
        <w:tabs>
          <w:tab w:val="left" w:pos="640"/>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По </w:t>
      </w:r>
      <w:r w:rsidRPr="004E0FC4">
        <w:rPr>
          <w:rFonts w:ascii="Bookman Old Style" w:eastAsia="Bookman Old Style" w:hAnsi="Bookman Old Style" w:cs="Bookman Old Style"/>
          <w:i/>
          <w:iCs/>
          <w:color w:val="231F20"/>
          <w:sz w:val="18"/>
          <w:szCs w:val="18"/>
        </w:rPr>
        <w:t>специальному инвестиционному контракту</w:t>
      </w:r>
      <w:r w:rsidRPr="004E0FC4">
        <w:rPr>
          <w:rFonts w:ascii="Bookman Old Style" w:eastAsia="Bookman Old Style" w:hAnsi="Bookman Old Style" w:cs="Bookman Old Style"/>
          <w:color w:val="231F20"/>
          <w:sz w:val="18"/>
          <w:szCs w:val="18"/>
        </w:rPr>
        <w:t xml:space="preserve"> (СПИК) одна сторона (инвестор) в предусмотренный этим контрактом срок сво</w:t>
      </w:r>
      <w:r w:rsidRPr="004E0FC4">
        <w:rPr>
          <w:rFonts w:ascii="Bookman Old Style" w:eastAsia="Bookman Old Style" w:hAnsi="Bookman Old Style" w:cs="Bookman Old Style"/>
          <w:color w:val="231F20"/>
          <w:sz w:val="18"/>
          <w:szCs w:val="18"/>
        </w:rPr>
        <w:softHyphen/>
        <w:t>ими силами или с привлечением иных лиц обязуется создать либо модернизировать и (или) освоить производство промышленной продукции на территории Российской Федерации, на ее континен</w:t>
      </w:r>
      <w:r w:rsidRPr="004E0FC4">
        <w:rPr>
          <w:rFonts w:ascii="Bookman Old Style" w:eastAsia="Bookman Old Style" w:hAnsi="Bookman Old Style" w:cs="Bookman Old Style"/>
          <w:color w:val="231F20"/>
          <w:sz w:val="18"/>
          <w:szCs w:val="18"/>
        </w:rPr>
        <w:softHyphen/>
        <w:t>тальном шельфе, в исключительной экономической зоне, а другая сторона (Российская Федерация) — и меры стимулирования дея</w:t>
      </w:r>
      <w:r w:rsidRPr="004E0FC4">
        <w:rPr>
          <w:rFonts w:ascii="Bookman Old Style" w:eastAsia="Bookman Old Style" w:hAnsi="Bookman Old Style" w:cs="Bookman Old Style"/>
          <w:color w:val="231F20"/>
          <w:sz w:val="18"/>
          <w:szCs w:val="18"/>
        </w:rPr>
        <w:softHyphen/>
        <w:t>тельности в сфере промышленности, предусмотренные законода</w:t>
      </w:r>
      <w:r w:rsidRPr="004E0FC4">
        <w:rPr>
          <w:rFonts w:ascii="Bookman Old Style" w:eastAsia="Bookman Old Style" w:hAnsi="Bookman Old Style" w:cs="Bookman Old Style"/>
          <w:color w:val="231F20"/>
          <w:sz w:val="18"/>
          <w:szCs w:val="18"/>
        </w:rPr>
        <w:softHyphen/>
        <w:t>тельством РФ или законодательством субъекта РФ, в момент заклю</w:t>
      </w:r>
      <w:r w:rsidRPr="004E0FC4">
        <w:rPr>
          <w:rFonts w:ascii="Bookman Old Style" w:eastAsia="Bookman Old Style" w:hAnsi="Bookman Old Style" w:cs="Bookman Old Style"/>
          <w:color w:val="231F20"/>
          <w:sz w:val="18"/>
          <w:szCs w:val="18"/>
        </w:rPr>
        <w:softHyphen/>
        <w:t>чения специального инвестиционного контракта.</w:t>
      </w:r>
    </w:p>
    <w:p w14:paraId="26AC4CA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Наряду с Российской Федерацией сторонами специального инве</w:t>
      </w:r>
      <w:r w:rsidRPr="004E0FC4">
        <w:rPr>
          <w:rFonts w:ascii="Bookman Old Style" w:eastAsia="Bookman Old Style" w:hAnsi="Bookman Old Style" w:cs="Bookman Old Style"/>
          <w:color w:val="231F20"/>
          <w:sz w:val="18"/>
          <w:szCs w:val="18"/>
        </w:rPr>
        <w:softHyphen/>
        <w:t>стиционного контракта могут быть субъект Российской Федерации и (или) муниципальное образование, а при заключении специаль</w:t>
      </w:r>
      <w:r w:rsidRPr="004E0FC4">
        <w:rPr>
          <w:rFonts w:ascii="Bookman Old Style" w:eastAsia="Bookman Old Style" w:hAnsi="Bookman Old Style" w:cs="Bookman Old Style"/>
          <w:color w:val="231F20"/>
          <w:sz w:val="18"/>
          <w:szCs w:val="18"/>
        </w:rPr>
        <w:softHyphen/>
        <w:t>ного инвестиционного контракта без участия Российской Федера</w:t>
      </w:r>
      <w:r w:rsidRPr="004E0FC4">
        <w:rPr>
          <w:rFonts w:ascii="Bookman Old Style" w:eastAsia="Bookman Old Style" w:hAnsi="Bookman Old Style" w:cs="Bookman Old Style"/>
          <w:color w:val="231F20"/>
          <w:sz w:val="18"/>
          <w:szCs w:val="18"/>
        </w:rPr>
        <w:softHyphen/>
        <w:t>ции — муниципальное образование.</w:t>
      </w:r>
    </w:p>
    <w:p w14:paraId="3B05A36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специальном инвестиционном контракте предусмотрены меры стимулирования деятельности в сфере промышленности. Такой кон</w:t>
      </w:r>
      <w:r w:rsidRPr="004E0FC4">
        <w:rPr>
          <w:rFonts w:ascii="Bookman Old Style" w:eastAsia="Bookman Old Style" w:hAnsi="Bookman Old Style" w:cs="Bookman Old Style"/>
          <w:color w:val="231F20"/>
          <w:sz w:val="18"/>
          <w:szCs w:val="18"/>
        </w:rPr>
        <w:softHyphen/>
        <w:t>тракт заключается на срок до десяти лет в порядке, установленном Правительством РФ, и по типовым формам, утвержденным Прави</w:t>
      </w:r>
      <w:r w:rsidRPr="004E0FC4">
        <w:rPr>
          <w:rFonts w:ascii="Bookman Old Style" w:eastAsia="Bookman Old Style" w:hAnsi="Bookman Old Style" w:cs="Bookman Old Style"/>
          <w:color w:val="231F20"/>
          <w:sz w:val="18"/>
          <w:szCs w:val="18"/>
        </w:rPr>
        <w:softHyphen/>
        <w:t>тельством РФ для отдельных отраслей промышленности. Специаль</w:t>
      </w:r>
      <w:r w:rsidRPr="004E0FC4">
        <w:rPr>
          <w:rFonts w:ascii="Bookman Old Style" w:eastAsia="Bookman Old Style" w:hAnsi="Bookman Old Style" w:cs="Bookman Old Style"/>
          <w:color w:val="231F20"/>
          <w:sz w:val="18"/>
          <w:szCs w:val="18"/>
        </w:rPr>
        <w:softHyphen/>
        <w:t>ный инвестиционный контракт заключается от имени Российской Федерации уполномоченным органом или иным федеральным ор</w:t>
      </w:r>
      <w:r w:rsidRPr="004E0FC4">
        <w:rPr>
          <w:rFonts w:ascii="Bookman Old Style" w:eastAsia="Bookman Old Style" w:hAnsi="Bookman Old Style" w:cs="Bookman Old Style"/>
          <w:color w:val="231F20"/>
          <w:sz w:val="18"/>
          <w:szCs w:val="18"/>
        </w:rPr>
        <w:softHyphen/>
        <w:t>ганом исполнительной власти, уполномоченным Правительством РФ на его заключение.</w:t>
      </w:r>
    </w:p>
    <w:p w14:paraId="625A35C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контракте обязательно указываются</w:t>
      </w:r>
      <w:r w:rsidRPr="004E0FC4">
        <w:rPr>
          <w:rFonts w:ascii="Bookman Old Style" w:eastAsia="Bookman Old Style" w:hAnsi="Bookman Old Style" w:cs="Bookman Old Style"/>
          <w:color w:val="231F20"/>
          <w:sz w:val="18"/>
          <w:szCs w:val="18"/>
          <w:vertAlign w:val="superscript"/>
        </w:rPr>
        <w:footnoteReference w:id="83"/>
      </w:r>
      <w:r w:rsidRPr="004E0FC4">
        <w:rPr>
          <w:rFonts w:ascii="Bookman Old Style" w:eastAsia="Bookman Old Style" w:hAnsi="Bookman Old Style" w:cs="Bookman Old Style"/>
          <w:color w:val="231F20"/>
          <w:sz w:val="18"/>
          <w:szCs w:val="18"/>
        </w:rPr>
        <w:t>:</w:t>
      </w:r>
    </w:p>
    <w:p w14:paraId="39CDF633" w14:textId="77777777" w:rsidR="00350396" w:rsidRPr="004E0FC4" w:rsidRDefault="00350396" w:rsidP="004E0FC4">
      <w:pPr>
        <w:widowControl w:val="0"/>
        <w:numPr>
          <w:ilvl w:val="0"/>
          <w:numId w:val="54"/>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характеристики промышленной продукции, производство ко</w:t>
      </w:r>
      <w:r w:rsidRPr="004E0FC4">
        <w:rPr>
          <w:rFonts w:ascii="Bookman Old Style" w:eastAsia="Bookman Old Style" w:hAnsi="Bookman Old Style" w:cs="Bookman Old Style"/>
          <w:color w:val="231F20"/>
          <w:sz w:val="18"/>
          <w:szCs w:val="18"/>
        </w:rPr>
        <w:softHyphen/>
        <w:t>торой создается, модернизируется и (или) осваивается;</w:t>
      </w:r>
    </w:p>
    <w:p w14:paraId="2D6AD360" w14:textId="77777777" w:rsidR="00350396" w:rsidRPr="004E0FC4" w:rsidRDefault="00350396" w:rsidP="004E0FC4">
      <w:pPr>
        <w:widowControl w:val="0"/>
        <w:numPr>
          <w:ilvl w:val="0"/>
          <w:numId w:val="54"/>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перечень мероприятий, направленных на создание, модер</w:t>
      </w:r>
      <w:r w:rsidRPr="004E0FC4">
        <w:rPr>
          <w:rFonts w:ascii="Bookman Old Style" w:eastAsia="Bookman Old Style" w:hAnsi="Bookman Old Style" w:cs="Bookman Old Style"/>
          <w:color w:val="231F20"/>
          <w:sz w:val="18"/>
          <w:szCs w:val="18"/>
        </w:rPr>
        <w:softHyphen/>
        <w:t>низацию и (или) освоение производства промышленной продук</w:t>
      </w:r>
      <w:r w:rsidRPr="004E0FC4">
        <w:rPr>
          <w:rFonts w:ascii="Bookman Old Style" w:eastAsia="Bookman Old Style" w:hAnsi="Bookman Old Style" w:cs="Bookman Old Style"/>
          <w:color w:val="231F20"/>
          <w:sz w:val="18"/>
          <w:szCs w:val="18"/>
        </w:rPr>
        <w:softHyphen/>
        <w:t>ции на территории Российской Федерации, на ее континентальном шельфе, в исключительной экономической зоне;</w:t>
      </w:r>
    </w:p>
    <w:p w14:paraId="763BE356" w14:textId="77777777" w:rsidR="00350396" w:rsidRPr="004E0FC4" w:rsidRDefault="00350396" w:rsidP="004E0FC4">
      <w:pPr>
        <w:widowControl w:val="0"/>
        <w:numPr>
          <w:ilvl w:val="0"/>
          <w:numId w:val="54"/>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объем инвестиций в создание, модернизацию и (или) освое</w:t>
      </w:r>
      <w:r w:rsidRPr="004E0FC4">
        <w:rPr>
          <w:rFonts w:ascii="Bookman Old Style" w:eastAsia="Bookman Old Style" w:hAnsi="Bookman Old Style" w:cs="Bookman Old Style"/>
          <w:color w:val="231F20"/>
          <w:sz w:val="18"/>
          <w:szCs w:val="18"/>
        </w:rPr>
        <w:softHyphen/>
        <w:t>ние производства промышленной продукции и срок, в течение ко</w:t>
      </w:r>
      <w:r w:rsidRPr="004E0FC4">
        <w:rPr>
          <w:rFonts w:ascii="Bookman Old Style" w:eastAsia="Bookman Old Style" w:hAnsi="Bookman Old Style" w:cs="Bookman Old Style"/>
          <w:color w:val="231F20"/>
          <w:sz w:val="18"/>
          <w:szCs w:val="18"/>
        </w:rPr>
        <w:softHyphen/>
        <w:t>торого инвестор обязуется осуществлять данный проект;</w:t>
      </w:r>
    </w:p>
    <w:p w14:paraId="728D55CC" w14:textId="77777777" w:rsidR="00350396" w:rsidRPr="004E0FC4" w:rsidRDefault="00350396" w:rsidP="004E0FC4">
      <w:pPr>
        <w:widowControl w:val="0"/>
        <w:numPr>
          <w:ilvl w:val="0"/>
          <w:numId w:val="54"/>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перечень мер стимулирования деятельности в сфере про</w:t>
      </w:r>
      <w:r w:rsidRPr="004E0FC4">
        <w:rPr>
          <w:rFonts w:ascii="Bookman Old Style" w:eastAsia="Bookman Old Style" w:hAnsi="Bookman Old Style" w:cs="Bookman Old Style"/>
          <w:color w:val="231F20"/>
          <w:sz w:val="18"/>
          <w:szCs w:val="18"/>
        </w:rPr>
        <w:softHyphen/>
        <w:t>мышленности, применяемых в течение срока действия специально</w:t>
      </w:r>
      <w:r w:rsidRPr="004E0FC4">
        <w:rPr>
          <w:rFonts w:ascii="Bookman Old Style" w:eastAsia="Bookman Old Style" w:hAnsi="Bookman Old Style" w:cs="Bookman Old Style"/>
          <w:color w:val="231F20"/>
          <w:sz w:val="18"/>
          <w:szCs w:val="18"/>
        </w:rPr>
        <w:softHyphen/>
        <w:t>го инвестиционного контракта к инвестору и (или) иным указан</w:t>
      </w:r>
      <w:r w:rsidRPr="004E0FC4">
        <w:rPr>
          <w:rFonts w:ascii="Bookman Old Style" w:eastAsia="Bookman Old Style" w:hAnsi="Bookman Old Style" w:cs="Bookman Old Style"/>
          <w:color w:val="231F20"/>
          <w:sz w:val="18"/>
          <w:szCs w:val="18"/>
        </w:rPr>
        <w:softHyphen/>
        <w:t>ным в специальном инвестиционном контракте лицам;</w:t>
      </w:r>
    </w:p>
    <w:p w14:paraId="3321612E" w14:textId="77777777" w:rsidR="00350396" w:rsidRPr="004E0FC4" w:rsidRDefault="00350396" w:rsidP="004E0FC4">
      <w:pPr>
        <w:widowControl w:val="0"/>
        <w:numPr>
          <w:ilvl w:val="0"/>
          <w:numId w:val="54"/>
        </w:numPr>
        <w:tabs>
          <w:tab w:val="left" w:pos="625"/>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иные обеспечивающие выполнение специального инвестици</w:t>
      </w:r>
      <w:r w:rsidRPr="004E0FC4">
        <w:rPr>
          <w:rFonts w:ascii="Bookman Old Style" w:eastAsia="Bookman Old Style" w:hAnsi="Bookman Old Style" w:cs="Bookman Old Style"/>
          <w:color w:val="231F20"/>
          <w:sz w:val="18"/>
          <w:szCs w:val="18"/>
        </w:rPr>
        <w:softHyphen/>
        <w:t>онного контракта условия.</w:t>
      </w:r>
    </w:p>
    <w:p w14:paraId="2299F51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специальном контракте, как и в концессии, предметом согла</w:t>
      </w:r>
      <w:r w:rsidRPr="004E0FC4">
        <w:rPr>
          <w:rFonts w:ascii="Bookman Old Style" w:eastAsia="Bookman Old Style" w:hAnsi="Bookman Old Style" w:cs="Bookman Old Style"/>
          <w:color w:val="231F20"/>
          <w:sz w:val="18"/>
          <w:szCs w:val="18"/>
        </w:rPr>
        <w:softHyphen/>
        <w:t>шения являются льготы, привилегии, но объектом экономических отношений при реализации контракта является частная собствен</w:t>
      </w:r>
      <w:r w:rsidRPr="004E0FC4">
        <w:rPr>
          <w:rFonts w:ascii="Bookman Old Style" w:eastAsia="Bookman Old Style" w:hAnsi="Bookman Old Style" w:cs="Bookman Old Style"/>
          <w:color w:val="231F20"/>
          <w:sz w:val="18"/>
          <w:szCs w:val="18"/>
        </w:rPr>
        <w:softHyphen/>
        <w:t>ность.</w:t>
      </w:r>
    </w:p>
    <w:p w14:paraId="075CED05"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53" w:name="bookmark51"/>
      <w:bookmarkStart w:id="54" w:name="bookmark52"/>
      <w:bookmarkStart w:id="55" w:name="_Toc118131265"/>
      <w:r w:rsidRPr="004E0FC4">
        <w:rPr>
          <w:rFonts w:ascii="Bookman Old Style" w:eastAsiaTheme="majorEastAsia" w:hAnsi="Bookman Old Style" w:cstheme="majorBidi"/>
          <w:b/>
          <w:bCs/>
          <w:i/>
          <w:iCs/>
          <w:sz w:val="18"/>
          <w:szCs w:val="18"/>
          <w:lang w:eastAsia="en-US"/>
        </w:rPr>
        <w:t>4.3. Механизмы и модели государственно-частного партнерства</w:t>
      </w:r>
      <w:bookmarkEnd w:id="53"/>
      <w:bookmarkEnd w:id="54"/>
      <w:bookmarkEnd w:id="55"/>
    </w:p>
    <w:p w14:paraId="12FD94FD"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о ГЧП различаются по составу обязательств и ри</w:t>
      </w:r>
      <w:r w:rsidRPr="004E0FC4">
        <w:rPr>
          <w:rFonts w:ascii="Bookman Old Style" w:eastAsia="Bookman Old Style" w:hAnsi="Bookman Old Style" w:cs="Bookman Old Style"/>
          <w:color w:val="231F20"/>
          <w:sz w:val="18"/>
          <w:szCs w:val="18"/>
        </w:rPr>
        <w:softHyphen/>
        <w:t>сков, которые берут на себя стороны соглашения. Больший объем принимаемых на себя обязательств частным партнером (степень вовлеченности частного партнера в проект ГЧП) в большинстве слу</w:t>
      </w:r>
      <w:r w:rsidRPr="004E0FC4">
        <w:rPr>
          <w:rFonts w:ascii="Bookman Old Style" w:eastAsia="Bookman Old Style" w:hAnsi="Bookman Old Style" w:cs="Bookman Old Style"/>
          <w:color w:val="231F20"/>
          <w:sz w:val="18"/>
          <w:szCs w:val="18"/>
        </w:rPr>
        <w:softHyphen/>
        <w:t>чаев означает повышенные риски как для частного партнера, так и для государства.</w:t>
      </w:r>
    </w:p>
    <w:p w14:paraId="25495BE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Сложность и риски реализации соглашений о ГЧП зависят в пер</w:t>
      </w:r>
      <w:r w:rsidRPr="004E0FC4">
        <w:rPr>
          <w:rFonts w:ascii="Bookman Old Style" w:eastAsia="Bookman Old Style" w:hAnsi="Bookman Old Style" w:cs="Bookman Old Style"/>
          <w:color w:val="231F20"/>
          <w:sz w:val="18"/>
          <w:szCs w:val="18"/>
        </w:rPr>
        <w:softHyphen/>
        <w:t>вую очередь от отрасли (сферы) и конкретного объекта соглашения, но и сами заключаемые соглашения также должны быть сбаланси</w:t>
      </w:r>
      <w:r w:rsidRPr="004E0FC4">
        <w:rPr>
          <w:rFonts w:ascii="Bookman Old Style" w:eastAsia="Bookman Old Style" w:hAnsi="Bookman Old Style" w:cs="Bookman Old Style"/>
          <w:color w:val="231F20"/>
          <w:sz w:val="18"/>
          <w:szCs w:val="18"/>
        </w:rPr>
        <w:softHyphen/>
        <w:t>рованы по логике, форме и механизмам реализации. Так, при рас</w:t>
      </w:r>
      <w:r w:rsidRPr="004E0FC4">
        <w:rPr>
          <w:rFonts w:ascii="Bookman Old Style" w:eastAsia="Bookman Old Style" w:hAnsi="Bookman Old Style" w:cs="Bookman Old Style"/>
          <w:color w:val="231F20"/>
          <w:sz w:val="18"/>
          <w:szCs w:val="18"/>
        </w:rPr>
        <w:softHyphen/>
        <w:t>пределении между участниками проекта ГЧП зон ответственности, функций и рисков возлагать решение конкретных задач стараются на того из партнеров, который наиболее компетентен (эффективен) в данной зоне ответственности или имеет в распоряжении больше ресурсов. Различия в составе обязательств (обязанностей, функ</w:t>
      </w:r>
      <w:r w:rsidRPr="004E0FC4">
        <w:rPr>
          <w:rFonts w:ascii="Bookman Old Style" w:eastAsia="Bookman Old Style" w:hAnsi="Bookman Old Style" w:cs="Bookman Old Style"/>
          <w:color w:val="231F20"/>
          <w:sz w:val="18"/>
          <w:szCs w:val="18"/>
        </w:rPr>
        <w:softHyphen/>
        <w:t>ций), прав (правомочий) формируют различные типы механизмов (видов, схем) ГЧП.</w:t>
      </w:r>
    </w:p>
    <w:p w14:paraId="0A580E1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Под </w:t>
      </w:r>
      <w:r w:rsidRPr="004E0FC4">
        <w:rPr>
          <w:rFonts w:ascii="Bookman Old Style" w:eastAsia="Bookman Old Style" w:hAnsi="Bookman Old Style" w:cs="Bookman Old Style"/>
          <w:i/>
          <w:iCs/>
          <w:color w:val="231F20"/>
          <w:sz w:val="18"/>
          <w:szCs w:val="18"/>
        </w:rPr>
        <w:t>механизмом государственно-частного партнерства</w:t>
      </w:r>
      <w:r w:rsidRPr="004E0FC4">
        <w:rPr>
          <w:rFonts w:ascii="Bookman Old Style" w:eastAsia="Bookman Old Style" w:hAnsi="Bookman Old Style" w:cs="Bookman Old Style"/>
          <w:color w:val="231F20"/>
          <w:sz w:val="18"/>
          <w:szCs w:val="18"/>
        </w:rPr>
        <w:t xml:space="preserve"> сле</w:t>
      </w:r>
      <w:r w:rsidRPr="004E0FC4">
        <w:rPr>
          <w:rFonts w:ascii="Bookman Old Style" w:eastAsia="Bookman Old Style" w:hAnsi="Bookman Old Style" w:cs="Bookman Old Style"/>
          <w:color w:val="231F20"/>
          <w:sz w:val="18"/>
          <w:szCs w:val="18"/>
        </w:rPr>
        <w:softHyphen/>
        <w:t>дует понимать систему, определяющую порядок взаимодействия субъектов ГЧП в отношении объекта ГЧП в условиях сложившейся институциональной среды</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Наиболее распространены следующие механизмы партнерств, в том числе по классификации МВФ и Ев</w:t>
      </w:r>
      <w:r w:rsidRPr="004E0FC4">
        <w:rPr>
          <w:rFonts w:ascii="Bookman Old Style" w:eastAsia="Bookman Old Style" w:hAnsi="Bookman Old Style" w:cs="Bookman Old Style"/>
          <w:color w:val="231F20"/>
          <w:sz w:val="18"/>
          <w:szCs w:val="18"/>
        </w:rPr>
        <w:softHyphen/>
        <w:t>ропейской экономической комиссии ООН (табл. 4.5).</w:t>
      </w:r>
    </w:p>
    <w:p w14:paraId="6F20E895"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Таблица 4.5</w:t>
      </w:r>
    </w:p>
    <w:p w14:paraId="5C879BBB"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Типология механизмов ГЧП в зависимости от объема прав и обязанностей частного партнера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0"/>
        <w:gridCol w:w="4531"/>
      </w:tblGrid>
      <w:tr w:rsidR="00350396" w:rsidRPr="004E0FC4" w14:paraId="40E89987" w14:textId="77777777" w:rsidTr="006D7F71">
        <w:trPr>
          <w:trHeight w:hRule="exact" w:val="331"/>
          <w:jc w:val="center"/>
        </w:trPr>
        <w:tc>
          <w:tcPr>
            <w:tcW w:w="2050" w:type="dxa"/>
            <w:tcBorders>
              <w:top w:val="single" w:sz="4" w:space="0" w:color="auto"/>
              <w:left w:val="single" w:sz="4" w:space="0" w:color="auto"/>
            </w:tcBorders>
            <w:shd w:val="clear" w:color="auto" w:fill="FFFFFF"/>
            <w:vAlign w:val="bottom"/>
          </w:tcPr>
          <w:p w14:paraId="596E3BA9" w14:textId="77777777" w:rsidR="00350396" w:rsidRPr="004E0FC4" w:rsidRDefault="00350396" w:rsidP="004E0FC4">
            <w:pPr>
              <w:framePr w:w="6581"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Механизм (тип) ГЧП</w:t>
            </w:r>
          </w:p>
        </w:tc>
        <w:tc>
          <w:tcPr>
            <w:tcW w:w="4531" w:type="dxa"/>
            <w:tcBorders>
              <w:top w:val="single" w:sz="4" w:space="0" w:color="auto"/>
              <w:left w:val="single" w:sz="4" w:space="0" w:color="auto"/>
              <w:right w:val="single" w:sz="4" w:space="0" w:color="auto"/>
            </w:tcBorders>
            <w:shd w:val="clear" w:color="auto" w:fill="FFFFFF"/>
            <w:vAlign w:val="bottom"/>
          </w:tcPr>
          <w:p w14:paraId="74F39D5B" w14:textId="77777777" w:rsidR="00350396" w:rsidRPr="004E0FC4" w:rsidRDefault="00350396" w:rsidP="004E0FC4">
            <w:pPr>
              <w:framePr w:w="6581"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Краткая характеристика</w:t>
            </w:r>
          </w:p>
        </w:tc>
      </w:tr>
      <w:tr w:rsidR="00350396" w:rsidRPr="004E0FC4" w14:paraId="37B1E45A" w14:textId="77777777" w:rsidTr="006D7F71">
        <w:trPr>
          <w:trHeight w:hRule="exact" w:val="2602"/>
          <w:jc w:val="center"/>
        </w:trPr>
        <w:tc>
          <w:tcPr>
            <w:tcW w:w="2050" w:type="dxa"/>
            <w:tcBorders>
              <w:top w:val="single" w:sz="4" w:space="0" w:color="auto"/>
              <w:left w:val="single" w:sz="4" w:space="0" w:color="auto"/>
              <w:bottom w:val="single" w:sz="4" w:space="0" w:color="auto"/>
            </w:tcBorders>
            <w:shd w:val="clear" w:color="auto" w:fill="FFFFFF"/>
            <w:vAlign w:val="center"/>
          </w:tcPr>
          <w:p w14:paraId="3656B86B"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BTO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transfer</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operate</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строи</w:t>
            </w:r>
            <w:r w:rsidRPr="004E0FC4">
              <w:rPr>
                <w:rFonts w:ascii="Bookman Old Style" w:eastAsia="Bookman Old Style" w:hAnsi="Bookman Old Style" w:cs="Bookman Old Style"/>
                <w:color w:val="231F20"/>
                <w:sz w:val="18"/>
                <w:szCs w:val="18"/>
              </w:rPr>
              <w:softHyphen/>
              <w:t>тельство — переда</w:t>
            </w:r>
            <w:r w:rsidRPr="004E0FC4">
              <w:rPr>
                <w:rFonts w:ascii="Bookman Old Style" w:eastAsia="Bookman Old Style" w:hAnsi="Bookman Old Style" w:cs="Bookman Old Style"/>
                <w:color w:val="231F20"/>
                <w:sz w:val="18"/>
                <w:szCs w:val="18"/>
              </w:rPr>
              <w:softHyphen/>
              <w:t>ча — эксплуатация/ управление;</w:t>
            </w:r>
          </w:p>
          <w:p w14:paraId="37EDBBAF"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DBTO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design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transfer</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operate</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стро</w:t>
            </w:r>
            <w:r w:rsidRPr="004E0FC4">
              <w:rPr>
                <w:rFonts w:ascii="Bookman Old Style" w:eastAsia="Bookman Old Style" w:hAnsi="Bookman Old Style" w:cs="Bookman Old Style"/>
                <w:color w:val="231F20"/>
                <w:sz w:val="18"/>
                <w:szCs w:val="18"/>
              </w:rPr>
              <w:softHyphen/>
              <w:t>ительство — переда</w:t>
            </w:r>
            <w:r w:rsidRPr="004E0FC4">
              <w:rPr>
                <w:rFonts w:ascii="Bookman Old Style" w:eastAsia="Bookman Old Style" w:hAnsi="Bookman Old Style" w:cs="Bookman Old Style"/>
                <w:color w:val="231F20"/>
                <w:sz w:val="18"/>
                <w:szCs w:val="18"/>
              </w:rPr>
              <w:softHyphen/>
              <w:t>ча — эксплуатация/ управление — проек</w:t>
            </w:r>
            <w:r w:rsidRPr="004E0FC4">
              <w:rPr>
                <w:rFonts w:ascii="Bookman Old Style" w:eastAsia="Bookman Old Style" w:hAnsi="Bookman Old Style" w:cs="Bookman Old Style"/>
                <w:color w:val="231F20"/>
                <w:sz w:val="18"/>
                <w:szCs w:val="18"/>
              </w:rPr>
              <w:softHyphen/>
              <w:t>тирование</w:t>
            </w:r>
          </w:p>
        </w:tc>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14:paraId="3646081C"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Частный партнер занимается организацией фи</w:t>
            </w:r>
            <w:r w:rsidRPr="004E0FC4">
              <w:rPr>
                <w:rFonts w:ascii="Bookman Old Style" w:eastAsia="Bookman Old Style" w:hAnsi="Bookman Old Style" w:cs="Bookman Old Style"/>
                <w:color w:val="231F20"/>
                <w:sz w:val="18"/>
                <w:szCs w:val="18"/>
              </w:rPr>
              <w:softHyphen/>
              <w:t>нансирования, проектированием, строительством и эксплуатацией. Механизм предполагает пере</w:t>
            </w:r>
            <w:r w:rsidRPr="004E0FC4">
              <w:rPr>
                <w:rFonts w:ascii="Bookman Old Style" w:eastAsia="Bookman Old Style" w:hAnsi="Bookman Old Style" w:cs="Bookman Old Style"/>
                <w:color w:val="231F20"/>
                <w:sz w:val="18"/>
                <w:szCs w:val="18"/>
              </w:rPr>
              <w:softHyphen/>
              <w:t>дачу объекта государству сразу по завершении строительства, затем он поступает в пользование частного партнера, но без перехода к нему права владения. Наиболее полно отвечает этому типу ГЧП ситуация, когда управляющим субъектом является государственное предприятие (муниципальное уни</w:t>
            </w:r>
            <w:r w:rsidRPr="004E0FC4">
              <w:rPr>
                <w:rFonts w:ascii="Bookman Old Style" w:eastAsia="Bookman Old Style" w:hAnsi="Bookman Old Style" w:cs="Bookman Old Style"/>
                <w:color w:val="231F20"/>
                <w:sz w:val="18"/>
                <w:szCs w:val="18"/>
              </w:rPr>
              <w:softHyphen/>
              <w:t>тарное предприятие, бюджетное учреждение, авто</w:t>
            </w:r>
            <w:r w:rsidRPr="004E0FC4">
              <w:rPr>
                <w:rFonts w:ascii="Bookman Old Style" w:eastAsia="Bookman Old Style" w:hAnsi="Bookman Old Style" w:cs="Bookman Old Style"/>
                <w:color w:val="231F20"/>
                <w:sz w:val="18"/>
                <w:szCs w:val="18"/>
              </w:rPr>
              <w:softHyphen/>
              <w:t>номное учреждение и др.), некоторые концессии</w:t>
            </w:r>
          </w:p>
        </w:tc>
      </w:tr>
    </w:tbl>
    <w:p w14:paraId="3E9223CB"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i/>
          <w:iCs/>
          <w:color w:val="231F20"/>
          <w:sz w:val="18"/>
          <w:szCs w:val="18"/>
        </w:rPr>
        <w:t>Бабкин И. А., Жеребов Е. Д.</w:t>
      </w:r>
      <w:r w:rsidRPr="004E0FC4">
        <w:rPr>
          <w:rFonts w:ascii="Bookman Old Style" w:eastAsia="Bookman Old Style" w:hAnsi="Bookman Old Style" w:cs="Bookman Old Style"/>
          <w:color w:val="231F20"/>
          <w:sz w:val="18"/>
          <w:szCs w:val="18"/>
        </w:rPr>
        <w:t xml:space="preserve"> Механизм взаимодействия государства и бизнеса на основе государственно-частного партнерства // Научно-технические ведомости СПБГПУ. Экономические науки. 2015. № 4. С. 100.</w:t>
      </w:r>
    </w:p>
    <w:p w14:paraId="0773E716"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0474DD49" w14:textId="77777777" w:rsidR="00350396" w:rsidRPr="004E0FC4" w:rsidRDefault="00350396" w:rsidP="004E0FC4">
      <w:pPr>
        <w:widowControl w:val="0"/>
        <w:spacing w:line="240" w:lineRule="auto"/>
        <w:ind w:firstLine="0"/>
        <w:rPr>
          <w:rFonts w:ascii="Bookman Old Style" w:hAnsi="Bookman Old Style"/>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4522"/>
      </w:tblGrid>
      <w:tr w:rsidR="00350396" w:rsidRPr="004E0FC4" w14:paraId="60146C41" w14:textId="77777777" w:rsidTr="006D7F71">
        <w:trPr>
          <w:trHeight w:hRule="exact" w:val="240"/>
          <w:jc w:val="center"/>
        </w:trPr>
        <w:tc>
          <w:tcPr>
            <w:tcW w:w="2045" w:type="dxa"/>
            <w:shd w:val="clear" w:color="auto" w:fill="FFFFFF"/>
          </w:tcPr>
          <w:p w14:paraId="1259E608" w14:textId="77777777" w:rsidR="00350396" w:rsidRPr="004E0FC4" w:rsidRDefault="00350396" w:rsidP="004E0FC4">
            <w:pPr>
              <w:framePr w:w="6566" w:wrap="notBeside" w:vAnchor="text" w:hAnchor="text" w:xAlign="center" w:y="1"/>
              <w:widowControl w:val="0"/>
              <w:spacing w:line="240" w:lineRule="auto"/>
              <w:ind w:firstLine="0"/>
              <w:rPr>
                <w:rFonts w:ascii="Bookman Old Style" w:hAnsi="Bookman Old Style"/>
                <w:sz w:val="18"/>
                <w:szCs w:val="18"/>
              </w:rPr>
            </w:pPr>
          </w:p>
        </w:tc>
        <w:tc>
          <w:tcPr>
            <w:tcW w:w="4522" w:type="dxa"/>
            <w:shd w:val="clear" w:color="auto" w:fill="FFFFFF"/>
          </w:tcPr>
          <w:p w14:paraId="1DDA7057" w14:textId="77777777" w:rsidR="00350396" w:rsidRPr="004E0FC4" w:rsidRDefault="00350396" w:rsidP="004E0FC4">
            <w:pPr>
              <w:framePr w:w="6566" w:wrap="notBeside" w:vAnchor="text" w:hAnchor="text" w:xAlign="center" w:y="1"/>
              <w:widowControl w:val="0"/>
              <w:spacing w:line="188"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Продолжение табл. 4.5</w:t>
            </w:r>
          </w:p>
        </w:tc>
      </w:tr>
      <w:tr w:rsidR="00350396" w:rsidRPr="004E0FC4" w14:paraId="6BD352C7" w14:textId="77777777" w:rsidTr="006D7F71">
        <w:trPr>
          <w:trHeight w:hRule="exact" w:val="326"/>
          <w:jc w:val="center"/>
        </w:trPr>
        <w:tc>
          <w:tcPr>
            <w:tcW w:w="2045" w:type="dxa"/>
            <w:tcBorders>
              <w:top w:val="single" w:sz="4" w:space="0" w:color="auto"/>
              <w:left w:val="single" w:sz="4" w:space="0" w:color="auto"/>
            </w:tcBorders>
            <w:shd w:val="clear" w:color="auto" w:fill="FFFFFF"/>
            <w:vAlign w:val="bottom"/>
          </w:tcPr>
          <w:p w14:paraId="0A89F1BA" w14:textId="77777777" w:rsidR="00350396" w:rsidRPr="004E0FC4" w:rsidRDefault="00350396" w:rsidP="004E0FC4">
            <w:pPr>
              <w:framePr w:w="6566"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Механизм (тип) ГЧП</w:t>
            </w:r>
          </w:p>
        </w:tc>
        <w:tc>
          <w:tcPr>
            <w:tcW w:w="4522" w:type="dxa"/>
            <w:tcBorders>
              <w:top w:val="single" w:sz="4" w:space="0" w:color="auto"/>
              <w:left w:val="single" w:sz="4" w:space="0" w:color="auto"/>
              <w:right w:val="single" w:sz="4" w:space="0" w:color="auto"/>
            </w:tcBorders>
            <w:shd w:val="clear" w:color="auto" w:fill="FFFFFF"/>
            <w:vAlign w:val="bottom"/>
          </w:tcPr>
          <w:p w14:paraId="690B2690" w14:textId="77777777" w:rsidR="00350396" w:rsidRPr="004E0FC4" w:rsidRDefault="00350396" w:rsidP="004E0FC4">
            <w:pPr>
              <w:framePr w:w="656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Краткая характеристика</w:t>
            </w:r>
          </w:p>
        </w:tc>
      </w:tr>
      <w:tr w:rsidR="00350396" w:rsidRPr="004E0FC4" w14:paraId="44777D99" w14:textId="77777777" w:rsidTr="006D7F71">
        <w:trPr>
          <w:trHeight w:hRule="exact" w:val="2616"/>
          <w:jc w:val="center"/>
        </w:trPr>
        <w:tc>
          <w:tcPr>
            <w:tcW w:w="2045" w:type="dxa"/>
            <w:tcBorders>
              <w:top w:val="single" w:sz="4" w:space="0" w:color="auto"/>
              <w:left w:val="single" w:sz="4" w:space="0" w:color="auto"/>
            </w:tcBorders>
            <w:shd w:val="clear" w:color="auto" w:fill="FFFFFF"/>
          </w:tcPr>
          <w:p w14:paraId="251B8EC9"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BOT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operate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transfer</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строитель</w:t>
            </w:r>
            <w:r w:rsidRPr="004E0FC4">
              <w:rPr>
                <w:rFonts w:ascii="Bookman Old Style" w:eastAsia="Bookman Old Style" w:hAnsi="Bookman Old Style" w:cs="Bookman Old Style"/>
                <w:color w:val="231F20"/>
                <w:sz w:val="18"/>
                <w:szCs w:val="18"/>
              </w:rPr>
              <w:softHyphen/>
              <w:t>ство — эксплуатация/ управление — пере</w:t>
            </w:r>
            <w:r w:rsidRPr="004E0FC4">
              <w:rPr>
                <w:rFonts w:ascii="Bookman Old Style" w:eastAsia="Bookman Old Style" w:hAnsi="Bookman Old Style" w:cs="Bookman Old Style"/>
                <w:color w:val="231F20"/>
                <w:sz w:val="18"/>
                <w:szCs w:val="18"/>
              </w:rPr>
              <w:softHyphen/>
              <w:t>дача</w:t>
            </w:r>
          </w:p>
        </w:tc>
        <w:tc>
          <w:tcPr>
            <w:tcW w:w="4522" w:type="dxa"/>
            <w:tcBorders>
              <w:top w:val="single" w:sz="4" w:space="0" w:color="auto"/>
              <w:left w:val="single" w:sz="4" w:space="0" w:color="auto"/>
              <w:right w:val="single" w:sz="4" w:space="0" w:color="auto"/>
            </w:tcBorders>
            <w:shd w:val="clear" w:color="auto" w:fill="FFFFFF"/>
            <w:vAlign w:val="center"/>
          </w:tcPr>
          <w:p w14:paraId="2D417D7A"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Этот механизм используется главным образом в концессиях. Инфраструктурный объект создает</w:t>
            </w:r>
            <w:r w:rsidRPr="004E0FC4">
              <w:rPr>
                <w:rFonts w:ascii="Bookman Old Style" w:eastAsia="Bookman Old Style" w:hAnsi="Bookman Old Style" w:cs="Bookman Old Style"/>
                <w:color w:val="231F20"/>
                <w:sz w:val="18"/>
                <w:szCs w:val="18"/>
              </w:rPr>
              <w:softHyphen/>
              <w:t>ся за счет средств концессионера и государства. Концессионер после завершения строительства получает право эксплуатации сооруженного объ</w:t>
            </w:r>
            <w:r w:rsidRPr="004E0FC4">
              <w:rPr>
                <w:rFonts w:ascii="Bookman Old Style" w:eastAsia="Bookman Old Style" w:hAnsi="Bookman Old Style" w:cs="Bookman Old Style"/>
                <w:color w:val="231F20"/>
                <w:sz w:val="18"/>
                <w:szCs w:val="18"/>
              </w:rPr>
              <w:softHyphen/>
              <w:t>екта в течение срока, достаточного для окупае</w:t>
            </w:r>
            <w:r w:rsidRPr="004E0FC4">
              <w:rPr>
                <w:rFonts w:ascii="Bookman Old Style" w:eastAsia="Bookman Old Style" w:hAnsi="Bookman Old Style" w:cs="Bookman Old Style"/>
                <w:color w:val="231F20"/>
                <w:sz w:val="18"/>
                <w:szCs w:val="18"/>
              </w:rPr>
              <w:softHyphen/>
              <w:t>мости вложенных им средств. По его истечении объект передается государству. Концессионер получает правомочие использования, но не владе</w:t>
            </w:r>
            <w:r w:rsidRPr="004E0FC4">
              <w:rPr>
                <w:rFonts w:ascii="Bookman Old Style" w:eastAsia="Bookman Old Style" w:hAnsi="Bookman Old Style" w:cs="Bookman Old Style"/>
                <w:color w:val="231F20"/>
                <w:sz w:val="18"/>
                <w:szCs w:val="18"/>
              </w:rPr>
              <w:softHyphen/>
              <w:t>ния объектом, собственником которого является государство</w:t>
            </w:r>
          </w:p>
        </w:tc>
      </w:tr>
      <w:tr w:rsidR="00350396" w:rsidRPr="004E0FC4" w14:paraId="40D22463" w14:textId="77777777" w:rsidTr="006D7F71">
        <w:trPr>
          <w:trHeight w:hRule="exact" w:val="1277"/>
          <w:jc w:val="center"/>
        </w:trPr>
        <w:tc>
          <w:tcPr>
            <w:tcW w:w="2045" w:type="dxa"/>
            <w:tcBorders>
              <w:top w:val="single" w:sz="4" w:space="0" w:color="auto"/>
              <w:left w:val="single" w:sz="4" w:space="0" w:color="auto"/>
            </w:tcBorders>
            <w:shd w:val="clear" w:color="auto" w:fill="FFFFFF"/>
            <w:vAlign w:val="center"/>
          </w:tcPr>
          <w:p w14:paraId="371A2CFA"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lang w:val="en-US"/>
              </w:rPr>
            </w:pPr>
            <w:r w:rsidRPr="004E0FC4">
              <w:rPr>
                <w:rFonts w:ascii="Bookman Old Style" w:eastAsia="Bookman Old Style" w:hAnsi="Bookman Old Style" w:cs="Bookman Old Style"/>
                <w:i/>
                <w:iCs/>
                <w:color w:val="231F20"/>
                <w:sz w:val="18"/>
                <w:szCs w:val="18"/>
                <w:lang w:val="en-US" w:eastAsia="en-US" w:bidi="en-US"/>
              </w:rPr>
              <w:t xml:space="preserve">ROT (reabilitate, </w:t>
            </w:r>
            <w:r w:rsidRPr="004E0FC4">
              <w:rPr>
                <w:rFonts w:ascii="Bookman Old Style" w:eastAsia="Bookman Old Style" w:hAnsi="Bookman Old Style" w:cs="Bookman Old Style"/>
                <w:color w:val="231F20"/>
                <w:sz w:val="18"/>
                <w:szCs w:val="18"/>
                <w:lang w:val="en-US" w:eastAsia="en-US" w:bidi="en-US"/>
              </w:rPr>
              <w:t xml:space="preserve">operate, transfer): </w:t>
            </w:r>
            <w:r w:rsidRPr="004E0FC4">
              <w:rPr>
                <w:rFonts w:ascii="Bookman Old Style" w:eastAsia="Bookman Old Style" w:hAnsi="Bookman Old Style" w:cs="Bookman Old Style"/>
                <w:color w:val="231F20"/>
                <w:sz w:val="18"/>
                <w:szCs w:val="18"/>
              </w:rPr>
              <w:t>вос</w:t>
            </w:r>
            <w:r w:rsidRPr="004E0FC4">
              <w:rPr>
                <w:rFonts w:ascii="Bookman Old Style" w:eastAsia="Bookman Old Style" w:hAnsi="Bookman Old Style" w:cs="Bookman Old Style"/>
                <w:color w:val="231F20"/>
                <w:sz w:val="18"/>
                <w:szCs w:val="18"/>
                <w:lang w:val="en-US"/>
              </w:rPr>
              <w:softHyphen/>
            </w:r>
            <w:r w:rsidRPr="004E0FC4">
              <w:rPr>
                <w:rFonts w:ascii="Bookman Old Style" w:eastAsia="Bookman Old Style" w:hAnsi="Bookman Old Style" w:cs="Bookman Old Style"/>
                <w:color w:val="231F20"/>
                <w:sz w:val="18"/>
                <w:szCs w:val="18"/>
              </w:rPr>
              <w:t>становление</w:t>
            </w:r>
            <w:r w:rsidRPr="004E0FC4">
              <w:rPr>
                <w:rFonts w:ascii="Bookman Old Style" w:eastAsia="Bookman Old Style" w:hAnsi="Bookman Old Style" w:cs="Bookman Old Style"/>
                <w:color w:val="231F20"/>
                <w:sz w:val="18"/>
                <w:szCs w:val="18"/>
                <w:lang w:val="en-US"/>
              </w:rPr>
              <w:t xml:space="preserve"> — </w:t>
            </w:r>
            <w:r w:rsidRPr="004E0FC4">
              <w:rPr>
                <w:rFonts w:ascii="Bookman Old Style" w:eastAsia="Bookman Old Style" w:hAnsi="Bookman Old Style" w:cs="Bookman Old Style"/>
                <w:color w:val="231F20"/>
                <w:sz w:val="18"/>
                <w:szCs w:val="18"/>
              </w:rPr>
              <w:t>экс</w:t>
            </w:r>
            <w:r w:rsidRPr="004E0FC4">
              <w:rPr>
                <w:rFonts w:ascii="Bookman Old Style" w:eastAsia="Bookman Old Style" w:hAnsi="Bookman Old Style" w:cs="Bookman Old Style"/>
                <w:color w:val="231F20"/>
                <w:sz w:val="18"/>
                <w:szCs w:val="18"/>
                <w:lang w:val="en-US"/>
              </w:rPr>
              <w:t>-</w:t>
            </w:r>
          </w:p>
          <w:p w14:paraId="023C36DC"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плуатация/управле- ние — передача</w:t>
            </w:r>
          </w:p>
        </w:tc>
        <w:tc>
          <w:tcPr>
            <w:tcW w:w="4522" w:type="dxa"/>
            <w:tcBorders>
              <w:top w:val="single" w:sz="4" w:space="0" w:color="auto"/>
              <w:left w:val="single" w:sz="4" w:space="0" w:color="auto"/>
              <w:right w:val="single" w:sz="4" w:space="0" w:color="auto"/>
            </w:tcBorders>
            <w:shd w:val="clear" w:color="auto" w:fill="FFFFFF"/>
          </w:tcPr>
          <w:p w14:paraId="5B1146B3"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Аналогично </w:t>
            </w:r>
            <w:r w:rsidRPr="004E0FC4">
              <w:rPr>
                <w:rFonts w:ascii="Bookman Old Style" w:eastAsia="Bookman Old Style" w:hAnsi="Bookman Old Style" w:cs="Bookman Old Style"/>
                <w:i/>
                <w:iCs/>
                <w:color w:val="231F20"/>
                <w:sz w:val="18"/>
                <w:szCs w:val="18"/>
                <w:lang w:eastAsia="en-US" w:bidi="en-US"/>
              </w:rPr>
              <w:t>ВОТ.</w:t>
            </w:r>
            <w:r w:rsidRPr="004E0FC4">
              <w:rPr>
                <w:rFonts w:ascii="Bookman Old Style" w:eastAsia="Bookman Old Style" w:hAnsi="Bookman Old Style" w:cs="Bookman Old Style"/>
                <w:color w:val="231F20"/>
                <w:sz w:val="18"/>
                <w:szCs w:val="18"/>
              </w:rPr>
              <w:t xml:space="preserve"> Предусматривает реконструкцию объекта с последующей эксплуатацией — обычно в рамках концессии — и передачей государству</w:t>
            </w:r>
          </w:p>
        </w:tc>
      </w:tr>
      <w:tr w:rsidR="00350396" w:rsidRPr="004E0FC4" w14:paraId="2D8BF81F" w14:textId="77777777" w:rsidTr="006D7F71">
        <w:trPr>
          <w:trHeight w:hRule="exact" w:val="1949"/>
          <w:jc w:val="center"/>
        </w:trPr>
        <w:tc>
          <w:tcPr>
            <w:tcW w:w="2045" w:type="dxa"/>
            <w:tcBorders>
              <w:top w:val="single" w:sz="4" w:space="0" w:color="auto"/>
              <w:left w:val="single" w:sz="4" w:space="0" w:color="auto"/>
            </w:tcBorders>
            <w:shd w:val="clear" w:color="auto" w:fill="FFFFFF"/>
          </w:tcPr>
          <w:p w14:paraId="58CAAEE6"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BOOT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lang w:val="en-US" w:eastAsia="en-US" w:bidi="en-US"/>
              </w:rPr>
              <w:t>own</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operat</w:t>
            </w:r>
            <w:r w:rsidRPr="004E0FC4">
              <w:rPr>
                <w:rFonts w:ascii="Bookman Old Style" w:eastAsia="Bookman Old Style" w:hAnsi="Bookman Old Style" w:cs="Bookman Old Style"/>
                <w:color w:val="231F20"/>
                <w:sz w:val="18"/>
                <w:szCs w:val="18"/>
                <w:lang w:val="en-US" w:eastAsia="en-US" w:bidi="en-US"/>
              </w:rPr>
              <w:t>e</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transfe</w:t>
            </w:r>
            <w:r w:rsidRPr="004E0FC4">
              <w:rPr>
                <w:rFonts w:ascii="Bookman Old Style" w:eastAsia="Bookman Old Style" w:hAnsi="Bookman Old Style" w:cs="Bookman Old Style"/>
                <w:color w:val="231F20"/>
                <w:sz w:val="18"/>
                <w:szCs w:val="18"/>
                <w:lang w:val="en-US" w:eastAsia="en-US" w:bidi="en-US"/>
              </w:rPr>
              <w:t>r</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стро</w:t>
            </w:r>
            <w:r w:rsidRPr="004E0FC4">
              <w:rPr>
                <w:rFonts w:ascii="Bookman Old Style" w:eastAsia="Bookman Old Style" w:hAnsi="Bookman Old Style" w:cs="Bookman Old Style"/>
                <w:color w:val="231F20"/>
                <w:sz w:val="18"/>
                <w:szCs w:val="18"/>
              </w:rPr>
              <w:softHyphen/>
              <w:t>ительство — владе</w:t>
            </w:r>
            <w:r w:rsidRPr="004E0FC4">
              <w:rPr>
                <w:rFonts w:ascii="Bookman Old Style" w:eastAsia="Bookman Old Style" w:hAnsi="Bookman Old Style" w:cs="Bookman Old Style"/>
                <w:color w:val="231F20"/>
                <w:sz w:val="18"/>
                <w:szCs w:val="18"/>
              </w:rPr>
              <w:softHyphen/>
              <w:t>ние — эксплуатация/ управление — пере</w:t>
            </w:r>
            <w:r w:rsidRPr="004E0FC4">
              <w:rPr>
                <w:rFonts w:ascii="Bookman Old Style" w:eastAsia="Bookman Old Style" w:hAnsi="Bookman Old Style" w:cs="Bookman Old Style"/>
                <w:color w:val="231F20"/>
                <w:sz w:val="18"/>
                <w:szCs w:val="18"/>
              </w:rPr>
              <w:softHyphen/>
              <w:t>дача</w:t>
            </w:r>
          </w:p>
        </w:tc>
        <w:tc>
          <w:tcPr>
            <w:tcW w:w="4522" w:type="dxa"/>
            <w:tcBorders>
              <w:top w:val="single" w:sz="4" w:space="0" w:color="auto"/>
              <w:left w:val="single" w:sz="4" w:space="0" w:color="auto"/>
              <w:right w:val="single" w:sz="4" w:space="0" w:color="auto"/>
            </w:tcBorders>
            <w:shd w:val="clear" w:color="auto" w:fill="FFFFFF"/>
            <w:vAlign w:val="center"/>
          </w:tcPr>
          <w:p w14:paraId="72A48B96"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этом случае частный партнер получает право</w:t>
            </w:r>
            <w:r w:rsidRPr="004E0FC4">
              <w:rPr>
                <w:rFonts w:ascii="Bookman Old Style" w:eastAsia="Bookman Old Style" w:hAnsi="Bookman Old Style" w:cs="Bookman Old Style"/>
                <w:color w:val="231F20"/>
                <w:sz w:val="18"/>
                <w:szCs w:val="18"/>
              </w:rPr>
              <w:softHyphen/>
              <w:t>мочие не только пользования, но и владения объектом в течение срока действия соглашения, после чего он передается публичной власти. Может использоваться в концессиях, где государство не участвовало в финансировании строительства, но фактически являлось инициатором (заказчиком) проекта</w:t>
            </w:r>
          </w:p>
        </w:tc>
      </w:tr>
      <w:tr w:rsidR="00350396" w:rsidRPr="004E0FC4" w14:paraId="5BBE7C6A" w14:textId="77777777" w:rsidTr="006D7F71">
        <w:trPr>
          <w:trHeight w:hRule="exact" w:val="1728"/>
          <w:jc w:val="center"/>
        </w:trPr>
        <w:tc>
          <w:tcPr>
            <w:tcW w:w="2045" w:type="dxa"/>
            <w:tcBorders>
              <w:top w:val="single" w:sz="4" w:space="0" w:color="auto"/>
              <w:left w:val="single" w:sz="4" w:space="0" w:color="auto"/>
            </w:tcBorders>
            <w:shd w:val="clear" w:color="auto" w:fill="FFFFFF"/>
          </w:tcPr>
          <w:p w14:paraId="6DBA9633"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lang w:val="en-US"/>
              </w:rPr>
            </w:pPr>
            <w:r w:rsidRPr="004E0FC4">
              <w:rPr>
                <w:rFonts w:ascii="Bookman Old Style" w:eastAsia="Bookman Old Style" w:hAnsi="Bookman Old Style" w:cs="Bookman Old Style"/>
                <w:i/>
                <w:iCs/>
                <w:color w:val="231F20"/>
                <w:sz w:val="18"/>
                <w:szCs w:val="18"/>
                <w:lang w:val="en-US" w:eastAsia="en-US" w:bidi="en-US"/>
              </w:rPr>
              <w:t>BOLT (build,</w:t>
            </w:r>
            <w:r w:rsidRPr="004E0FC4">
              <w:rPr>
                <w:rFonts w:ascii="Bookman Old Style" w:eastAsia="Bookman Old Style" w:hAnsi="Bookman Old Style" w:cs="Bookman Old Style"/>
                <w:color w:val="231F20"/>
                <w:sz w:val="18"/>
                <w:szCs w:val="18"/>
                <w:lang w:val="en-US" w:eastAsia="en-US" w:bidi="en-US"/>
              </w:rPr>
              <w:t xml:space="preserve"> own, </w:t>
            </w:r>
            <w:r w:rsidRPr="004E0FC4">
              <w:rPr>
                <w:rFonts w:ascii="Bookman Old Style" w:eastAsia="Bookman Old Style" w:hAnsi="Bookman Old Style" w:cs="Bookman Old Style"/>
                <w:i/>
                <w:iCs/>
                <w:color w:val="231F20"/>
                <w:sz w:val="18"/>
                <w:szCs w:val="18"/>
                <w:lang w:val="en-US" w:eastAsia="en-US" w:bidi="en-US"/>
              </w:rPr>
              <w:t>lease, transfer</w:t>
            </w:r>
            <w:r w:rsidRPr="004E0FC4">
              <w:rPr>
                <w:rFonts w:ascii="Bookman Old Style" w:eastAsia="Bookman Old Style" w:hAnsi="Bookman Old Style" w:cs="Bookman Old Style"/>
                <w:color w:val="231F20"/>
                <w:sz w:val="18"/>
                <w:szCs w:val="18"/>
                <w:lang w:val="en-US" w:eastAsia="en-US" w:bidi="en-US"/>
              </w:rPr>
              <w:t xml:space="preserve">): </w:t>
            </w:r>
            <w:r w:rsidRPr="004E0FC4">
              <w:rPr>
                <w:rFonts w:ascii="Bookman Old Style" w:eastAsia="Bookman Old Style" w:hAnsi="Bookman Old Style" w:cs="Bookman Old Style"/>
                <w:color w:val="231F20"/>
                <w:sz w:val="18"/>
                <w:szCs w:val="18"/>
              </w:rPr>
              <w:t>строитель</w:t>
            </w:r>
            <w:r w:rsidRPr="004E0FC4">
              <w:rPr>
                <w:rFonts w:ascii="Bookman Old Style" w:eastAsia="Bookman Old Style" w:hAnsi="Bookman Old Style" w:cs="Bookman Old Style"/>
                <w:color w:val="231F20"/>
                <w:sz w:val="18"/>
                <w:szCs w:val="18"/>
                <w:lang w:val="en-US"/>
              </w:rPr>
              <w:softHyphen/>
            </w:r>
            <w:r w:rsidRPr="004E0FC4">
              <w:rPr>
                <w:rFonts w:ascii="Bookman Old Style" w:eastAsia="Bookman Old Style" w:hAnsi="Bookman Old Style" w:cs="Bookman Old Style"/>
                <w:color w:val="231F20"/>
                <w:sz w:val="18"/>
                <w:szCs w:val="18"/>
              </w:rPr>
              <w:t>ство</w:t>
            </w:r>
            <w:r w:rsidRPr="004E0FC4">
              <w:rPr>
                <w:rFonts w:ascii="Bookman Old Style" w:eastAsia="Bookman Old Style" w:hAnsi="Bookman Old Style" w:cs="Bookman Old Style"/>
                <w:color w:val="231F20"/>
                <w:sz w:val="18"/>
                <w:szCs w:val="18"/>
                <w:lang w:val="en-US"/>
              </w:rPr>
              <w:t xml:space="preserve"> </w:t>
            </w:r>
            <w:r w:rsidRPr="004E0FC4">
              <w:rPr>
                <w:rFonts w:ascii="Bookman Old Style" w:eastAsia="Bookman Old Style" w:hAnsi="Bookman Old Style" w:cs="Bookman Old Style"/>
                <w:color w:val="231F20"/>
                <w:sz w:val="18"/>
                <w:szCs w:val="18"/>
                <w:lang w:val="en-US" w:eastAsia="en-US" w:bidi="en-US"/>
              </w:rPr>
              <w:t xml:space="preserve">— </w:t>
            </w:r>
            <w:r w:rsidRPr="004E0FC4">
              <w:rPr>
                <w:rFonts w:ascii="Bookman Old Style" w:eastAsia="Bookman Old Style" w:hAnsi="Bookman Old Style" w:cs="Bookman Old Style"/>
                <w:color w:val="231F20"/>
                <w:sz w:val="18"/>
                <w:szCs w:val="18"/>
              </w:rPr>
              <w:t>владение</w:t>
            </w:r>
            <w:r w:rsidRPr="004E0FC4">
              <w:rPr>
                <w:rFonts w:ascii="Bookman Old Style" w:eastAsia="Bookman Old Style" w:hAnsi="Bookman Old Style" w:cs="Bookman Old Style"/>
                <w:color w:val="231F20"/>
                <w:sz w:val="18"/>
                <w:szCs w:val="18"/>
                <w:lang w:val="en-US"/>
              </w:rPr>
              <w:t xml:space="preserve"> —</w:t>
            </w:r>
          </w:p>
          <w:p w14:paraId="2A2113AC"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лизинг — передача</w:t>
            </w:r>
          </w:p>
        </w:tc>
        <w:tc>
          <w:tcPr>
            <w:tcW w:w="4522" w:type="dxa"/>
            <w:tcBorders>
              <w:top w:val="single" w:sz="4" w:space="0" w:color="auto"/>
              <w:left w:val="single" w:sz="4" w:space="0" w:color="auto"/>
              <w:right w:val="single" w:sz="4" w:space="0" w:color="auto"/>
            </w:tcBorders>
            <w:shd w:val="clear" w:color="auto" w:fill="FFFFFF"/>
            <w:vAlign w:val="center"/>
          </w:tcPr>
          <w:p w14:paraId="51FC6BC0"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целом аналогично </w:t>
            </w:r>
            <w:r w:rsidRPr="004E0FC4">
              <w:rPr>
                <w:rFonts w:ascii="Bookman Old Style" w:eastAsia="Bookman Old Style" w:hAnsi="Bookman Old Style" w:cs="Bookman Old Style"/>
                <w:i/>
                <w:iCs/>
                <w:color w:val="231F20"/>
                <w:sz w:val="18"/>
                <w:szCs w:val="18"/>
                <w:lang w:val="en-US" w:eastAsia="en-US" w:bidi="en-US"/>
              </w:rPr>
              <w:t>BOOT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но с включением меха</w:t>
            </w:r>
            <w:r w:rsidRPr="004E0FC4">
              <w:rPr>
                <w:rFonts w:ascii="Bookman Old Style" w:eastAsia="Bookman Old Style" w:hAnsi="Bookman Old Style" w:cs="Bookman Old Style"/>
                <w:color w:val="231F20"/>
                <w:sz w:val="18"/>
                <w:szCs w:val="18"/>
              </w:rPr>
              <w:softHyphen/>
              <w:t>низма лизинга на часть имущества, переданного государством в качестве своей доли участия в про</w:t>
            </w:r>
            <w:r w:rsidRPr="004E0FC4">
              <w:rPr>
                <w:rFonts w:ascii="Bookman Old Style" w:eastAsia="Bookman Old Style" w:hAnsi="Bookman Old Style" w:cs="Bookman Old Style"/>
                <w:color w:val="231F20"/>
                <w:sz w:val="18"/>
                <w:szCs w:val="18"/>
              </w:rPr>
              <w:softHyphen/>
              <w:t>екте. Применяется в концессиях и ГЧП-контрактах, где государство не участвовало в финансировании реконструкции объекта, переданного в лизинг частному партнеру для расширения деятельности</w:t>
            </w:r>
          </w:p>
        </w:tc>
      </w:tr>
      <w:tr w:rsidR="00350396" w:rsidRPr="004E0FC4" w14:paraId="7E9B96AA" w14:textId="77777777" w:rsidTr="006D7F71">
        <w:trPr>
          <w:trHeight w:hRule="exact" w:val="1642"/>
          <w:jc w:val="center"/>
        </w:trPr>
        <w:tc>
          <w:tcPr>
            <w:tcW w:w="2045" w:type="dxa"/>
            <w:tcBorders>
              <w:top w:val="single" w:sz="4" w:space="0" w:color="auto"/>
              <w:left w:val="single" w:sz="4" w:space="0" w:color="auto"/>
            </w:tcBorders>
            <w:shd w:val="clear" w:color="auto" w:fill="FFFFFF"/>
          </w:tcPr>
          <w:p w14:paraId="35B7DC47"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BOO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own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operate</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строитель</w:t>
            </w:r>
            <w:r w:rsidRPr="004E0FC4">
              <w:rPr>
                <w:rFonts w:ascii="Bookman Old Style" w:eastAsia="Bookman Old Style" w:hAnsi="Bookman Old Style" w:cs="Bookman Old Style"/>
                <w:color w:val="231F20"/>
                <w:sz w:val="18"/>
                <w:szCs w:val="18"/>
              </w:rPr>
              <w:softHyphen/>
              <w:t>ство — владение — эксплуатация/управ</w:t>
            </w:r>
            <w:r w:rsidRPr="004E0FC4">
              <w:rPr>
                <w:rFonts w:ascii="Bookman Old Style" w:eastAsia="Bookman Old Style" w:hAnsi="Bookman Old Style" w:cs="Bookman Old Style"/>
                <w:color w:val="231F20"/>
                <w:sz w:val="18"/>
                <w:szCs w:val="18"/>
              </w:rPr>
              <w:softHyphen/>
              <w:t>ление</w:t>
            </w:r>
          </w:p>
        </w:tc>
        <w:tc>
          <w:tcPr>
            <w:tcW w:w="4522" w:type="dxa"/>
            <w:tcBorders>
              <w:top w:val="single" w:sz="4" w:space="0" w:color="auto"/>
              <w:left w:val="single" w:sz="4" w:space="0" w:color="auto"/>
              <w:right w:val="single" w:sz="4" w:space="0" w:color="auto"/>
            </w:tcBorders>
            <w:shd w:val="clear" w:color="auto" w:fill="FFFFFF"/>
            <w:vAlign w:val="bottom"/>
          </w:tcPr>
          <w:p w14:paraId="698A6D9A"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Частный партнер получает права владения объ</w:t>
            </w:r>
            <w:r w:rsidRPr="004E0FC4">
              <w:rPr>
                <w:rFonts w:ascii="Bookman Old Style" w:eastAsia="Bookman Old Style" w:hAnsi="Bookman Old Style" w:cs="Bookman Old Style"/>
                <w:color w:val="231F20"/>
                <w:sz w:val="18"/>
                <w:szCs w:val="18"/>
              </w:rPr>
              <w:softHyphen/>
              <w:t>ектом. В течение срока действия соглашения деятельность объекта подлежит прямому государ</w:t>
            </w:r>
            <w:r w:rsidRPr="004E0FC4">
              <w:rPr>
                <w:rFonts w:ascii="Bookman Old Style" w:eastAsia="Bookman Old Style" w:hAnsi="Bookman Old Style" w:cs="Bookman Old Style"/>
                <w:color w:val="231F20"/>
                <w:sz w:val="18"/>
                <w:szCs w:val="18"/>
              </w:rPr>
              <w:softHyphen/>
              <w:t>ственному регулированию. После окончания срока действия соглашения о ГЧП находящийся в частной собственности частного партнера объект соглаше</w:t>
            </w:r>
            <w:r w:rsidRPr="004E0FC4">
              <w:rPr>
                <w:rFonts w:ascii="Bookman Old Style" w:eastAsia="Bookman Old Style" w:hAnsi="Bookman Old Style" w:cs="Bookman Old Style"/>
                <w:color w:val="231F20"/>
                <w:sz w:val="18"/>
                <w:szCs w:val="18"/>
              </w:rPr>
              <w:softHyphen/>
              <w:t>ния используется им по своему усмотрению</w:t>
            </w:r>
          </w:p>
        </w:tc>
      </w:tr>
      <w:tr w:rsidR="00350396" w:rsidRPr="004E0FC4" w14:paraId="7FE765CD" w14:textId="77777777" w:rsidTr="006D7F71">
        <w:trPr>
          <w:trHeight w:hRule="exact" w:val="1430"/>
          <w:jc w:val="center"/>
        </w:trPr>
        <w:tc>
          <w:tcPr>
            <w:tcW w:w="2045" w:type="dxa"/>
            <w:tcBorders>
              <w:top w:val="single" w:sz="4" w:space="0" w:color="auto"/>
              <w:left w:val="single" w:sz="4" w:space="0" w:color="auto"/>
              <w:bottom w:val="single" w:sz="4" w:space="0" w:color="auto"/>
            </w:tcBorders>
            <w:shd w:val="clear" w:color="auto" w:fill="FFFFFF"/>
          </w:tcPr>
          <w:p w14:paraId="31F00347"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BRO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brownfield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contract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контракт на реконструкцию</w:t>
            </w:r>
          </w:p>
          <w:p w14:paraId="5FBA76A9"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 сохранением целе</w:t>
            </w:r>
            <w:r w:rsidRPr="004E0FC4">
              <w:rPr>
                <w:rFonts w:ascii="Bookman Old Style" w:eastAsia="Bookman Old Style" w:hAnsi="Bookman Old Style" w:cs="Bookman Old Style"/>
                <w:color w:val="231F20"/>
                <w:sz w:val="18"/>
                <w:szCs w:val="18"/>
              </w:rPr>
              <w:softHyphen/>
              <w:t>вого использования</w:t>
            </w:r>
          </w:p>
        </w:tc>
        <w:tc>
          <w:tcPr>
            <w:tcW w:w="4522" w:type="dxa"/>
            <w:tcBorders>
              <w:top w:val="single" w:sz="4" w:space="0" w:color="auto"/>
              <w:left w:val="single" w:sz="4" w:space="0" w:color="auto"/>
              <w:bottom w:val="single" w:sz="4" w:space="0" w:color="auto"/>
              <w:right w:val="single" w:sz="4" w:space="0" w:color="auto"/>
            </w:tcBorders>
            <w:shd w:val="clear" w:color="auto" w:fill="FFFFFF"/>
            <w:vAlign w:val="bottom"/>
          </w:tcPr>
          <w:p w14:paraId="0F671042" w14:textId="77777777" w:rsidR="00350396" w:rsidRPr="004E0FC4" w:rsidRDefault="00350396" w:rsidP="004E0FC4">
            <w:pPr>
              <w:framePr w:w="656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Частный партнер привлекается для реконструкции имеющегося объекта и получает его во владение и пользование по окончании реконструкции с со</w:t>
            </w:r>
            <w:r w:rsidRPr="004E0FC4">
              <w:rPr>
                <w:rFonts w:ascii="Bookman Old Style" w:eastAsia="Bookman Old Style" w:hAnsi="Bookman Old Style" w:cs="Bookman Old Style"/>
                <w:color w:val="231F20"/>
                <w:sz w:val="18"/>
                <w:szCs w:val="18"/>
              </w:rPr>
              <w:softHyphen/>
              <w:t>хранением установленного государством целевого назначения объекта. Финансовое участие государ</w:t>
            </w:r>
            <w:r w:rsidRPr="004E0FC4">
              <w:rPr>
                <w:rFonts w:ascii="Bookman Old Style" w:eastAsia="Bookman Old Style" w:hAnsi="Bookman Old Style" w:cs="Bookman Old Style"/>
                <w:color w:val="231F20"/>
                <w:sz w:val="18"/>
                <w:szCs w:val="18"/>
              </w:rPr>
              <w:softHyphen/>
              <w:t>ства в таких проектах может быть минимально</w:t>
            </w:r>
          </w:p>
        </w:tc>
      </w:tr>
    </w:tbl>
    <w:p w14:paraId="6B3961A8" w14:textId="77777777" w:rsidR="00350396" w:rsidRPr="004E0FC4" w:rsidRDefault="00350396" w:rsidP="004E0FC4">
      <w:pPr>
        <w:framePr w:w="6566" w:wrap="notBeside" w:vAnchor="text" w:hAnchor="text" w:xAlign="center" w:y="1"/>
        <w:widowControl w:val="0"/>
        <w:spacing w:line="240" w:lineRule="auto"/>
        <w:ind w:firstLine="0"/>
        <w:rPr>
          <w:rFonts w:ascii="Bookman Old Style" w:hAnsi="Bookman Old Style"/>
          <w:sz w:val="18"/>
          <w:szCs w:val="18"/>
        </w:rPr>
      </w:pPr>
    </w:p>
    <w:p w14:paraId="1364515C" w14:textId="77777777" w:rsidR="00350396" w:rsidRPr="004E0FC4" w:rsidRDefault="00350396" w:rsidP="004E0FC4">
      <w:pPr>
        <w:widowControl w:val="0"/>
        <w:spacing w:line="240" w:lineRule="auto"/>
        <w:ind w:firstLine="0"/>
        <w:rPr>
          <w:rFonts w:ascii="Bookman Old Style" w:hAnsi="Bookman Old Style"/>
          <w:sz w:val="18"/>
          <w:szCs w:val="18"/>
        </w:rPr>
      </w:pPr>
    </w:p>
    <w:p w14:paraId="0A91FC7C"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i/>
          <w:iCs/>
          <w:color w:val="231F20"/>
          <w:sz w:val="18"/>
          <w:szCs w:val="18"/>
        </w:rPr>
        <w:t>Окончание табл. 4.5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5"/>
        <w:gridCol w:w="4522"/>
      </w:tblGrid>
      <w:tr w:rsidR="00350396" w:rsidRPr="004E0FC4" w14:paraId="4C422F61" w14:textId="77777777" w:rsidTr="006D7F71">
        <w:trPr>
          <w:trHeight w:hRule="exact" w:val="331"/>
          <w:jc w:val="center"/>
        </w:trPr>
        <w:tc>
          <w:tcPr>
            <w:tcW w:w="2045" w:type="dxa"/>
            <w:tcBorders>
              <w:top w:val="single" w:sz="4" w:space="0" w:color="auto"/>
              <w:left w:val="single" w:sz="4" w:space="0" w:color="auto"/>
            </w:tcBorders>
            <w:shd w:val="clear" w:color="auto" w:fill="FFFFFF"/>
            <w:vAlign w:val="bottom"/>
          </w:tcPr>
          <w:p w14:paraId="1D8FCE28" w14:textId="77777777" w:rsidR="00350396" w:rsidRPr="004E0FC4" w:rsidRDefault="00350396" w:rsidP="004E0FC4">
            <w:pPr>
              <w:framePr w:w="6566" w:wrap="notBeside" w:vAnchor="text" w:hAnchor="text" w:xAlign="center" w:y="1"/>
              <w:widowControl w:val="0"/>
              <w:spacing w:line="192" w:lineRule="exact"/>
              <w:ind w:left="1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Механизм (тип) ГЧП</w:t>
            </w:r>
          </w:p>
        </w:tc>
        <w:tc>
          <w:tcPr>
            <w:tcW w:w="4522" w:type="dxa"/>
            <w:tcBorders>
              <w:top w:val="single" w:sz="4" w:space="0" w:color="auto"/>
              <w:left w:val="single" w:sz="4" w:space="0" w:color="auto"/>
              <w:right w:val="single" w:sz="4" w:space="0" w:color="auto"/>
            </w:tcBorders>
            <w:shd w:val="clear" w:color="auto" w:fill="FFFFFF"/>
            <w:vAlign w:val="bottom"/>
          </w:tcPr>
          <w:p w14:paraId="30E49558" w14:textId="77777777" w:rsidR="00350396" w:rsidRPr="004E0FC4" w:rsidRDefault="00350396" w:rsidP="004E0FC4">
            <w:pPr>
              <w:framePr w:w="656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Краткая характеристика</w:t>
            </w:r>
          </w:p>
        </w:tc>
      </w:tr>
      <w:tr w:rsidR="00350396" w:rsidRPr="004E0FC4" w14:paraId="4AB5E603" w14:textId="77777777" w:rsidTr="006D7F71">
        <w:trPr>
          <w:trHeight w:hRule="exact" w:val="1373"/>
          <w:jc w:val="center"/>
        </w:trPr>
        <w:tc>
          <w:tcPr>
            <w:tcW w:w="2045" w:type="dxa"/>
            <w:tcBorders>
              <w:top w:val="single" w:sz="4" w:space="0" w:color="auto"/>
              <w:left w:val="single" w:sz="4" w:space="0" w:color="auto"/>
            </w:tcBorders>
            <w:shd w:val="clear" w:color="auto" w:fill="FFFFFF"/>
            <w:vAlign w:val="bottom"/>
          </w:tcPr>
          <w:p w14:paraId="222070FC"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BOMT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operate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maintain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transfer</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строительство </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экс</w:t>
            </w:r>
            <w:r w:rsidRPr="004E0FC4">
              <w:rPr>
                <w:rFonts w:ascii="Bookman Old Style" w:eastAsia="Bookman Old Style" w:hAnsi="Bookman Old Style" w:cs="Bookman Old Style"/>
                <w:color w:val="231F20"/>
                <w:sz w:val="18"/>
                <w:szCs w:val="18"/>
              </w:rPr>
              <w:softHyphen/>
              <w:t>плуатация/управле</w:t>
            </w:r>
            <w:r w:rsidRPr="004E0FC4">
              <w:rPr>
                <w:rFonts w:ascii="Bookman Old Style" w:eastAsia="Bookman Old Style" w:hAnsi="Bookman Old Style" w:cs="Bookman Old Style"/>
                <w:color w:val="231F20"/>
                <w:sz w:val="18"/>
                <w:szCs w:val="18"/>
              </w:rPr>
              <w:softHyphen/>
              <w:t>ние — обслужива</w:t>
            </w:r>
            <w:r w:rsidRPr="004E0FC4">
              <w:rPr>
                <w:rFonts w:ascii="Bookman Old Style" w:eastAsia="Bookman Old Style" w:hAnsi="Bookman Old Style" w:cs="Bookman Old Style"/>
                <w:color w:val="231F20"/>
                <w:sz w:val="18"/>
                <w:szCs w:val="18"/>
              </w:rPr>
              <w:softHyphen/>
              <w:t>ние — передача</w:t>
            </w:r>
          </w:p>
        </w:tc>
        <w:tc>
          <w:tcPr>
            <w:tcW w:w="4522" w:type="dxa"/>
            <w:tcBorders>
              <w:top w:val="single" w:sz="4" w:space="0" w:color="auto"/>
              <w:left w:val="single" w:sz="4" w:space="0" w:color="auto"/>
              <w:right w:val="single" w:sz="4" w:space="0" w:color="auto"/>
            </w:tcBorders>
            <w:shd w:val="clear" w:color="auto" w:fill="FFFFFF"/>
          </w:tcPr>
          <w:p w14:paraId="519B37BB"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Акцент делается на ответственности частного пар</w:t>
            </w:r>
            <w:r w:rsidRPr="004E0FC4">
              <w:rPr>
                <w:rFonts w:ascii="Bookman Old Style" w:eastAsia="Bookman Old Style" w:hAnsi="Bookman Old Style" w:cs="Bookman Old Style"/>
                <w:color w:val="231F20"/>
                <w:sz w:val="18"/>
                <w:szCs w:val="18"/>
              </w:rPr>
              <w:softHyphen/>
              <w:t>тнера за содержание и текущий ремонт сооружен</w:t>
            </w:r>
            <w:r w:rsidRPr="004E0FC4">
              <w:rPr>
                <w:rFonts w:ascii="Bookman Old Style" w:eastAsia="Bookman Old Style" w:hAnsi="Bookman Old Style" w:cs="Bookman Old Style"/>
                <w:color w:val="231F20"/>
                <w:sz w:val="18"/>
                <w:szCs w:val="18"/>
              </w:rPr>
              <w:softHyphen/>
              <w:t>ных им инфраструктурных объектов с обязатель</w:t>
            </w:r>
            <w:r w:rsidRPr="004E0FC4">
              <w:rPr>
                <w:rFonts w:ascii="Bookman Old Style" w:eastAsia="Bookman Old Style" w:hAnsi="Bookman Old Style" w:cs="Bookman Old Style"/>
                <w:color w:val="231F20"/>
                <w:sz w:val="18"/>
                <w:szCs w:val="18"/>
              </w:rPr>
              <w:softHyphen/>
              <w:t>ной передачей в конце срока действия государству</w:t>
            </w:r>
          </w:p>
        </w:tc>
      </w:tr>
      <w:tr w:rsidR="00350396" w:rsidRPr="004E0FC4" w14:paraId="668E2FE1" w14:textId="77777777" w:rsidTr="006D7F71">
        <w:trPr>
          <w:trHeight w:hRule="exact" w:val="2222"/>
          <w:jc w:val="center"/>
        </w:trPr>
        <w:tc>
          <w:tcPr>
            <w:tcW w:w="2045" w:type="dxa"/>
            <w:tcBorders>
              <w:top w:val="single" w:sz="4" w:space="0" w:color="auto"/>
              <w:left w:val="single" w:sz="4" w:space="0" w:color="auto"/>
            </w:tcBorders>
            <w:shd w:val="clear" w:color="auto" w:fill="FFFFFF"/>
          </w:tcPr>
          <w:p w14:paraId="3F45DC34"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Lease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contract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пере</w:t>
            </w:r>
            <w:r w:rsidRPr="004E0FC4">
              <w:rPr>
                <w:rFonts w:ascii="Bookman Old Style" w:eastAsia="Bookman Old Style" w:hAnsi="Bookman Old Style" w:cs="Bookman Old Style"/>
                <w:color w:val="231F20"/>
                <w:sz w:val="18"/>
                <w:szCs w:val="18"/>
              </w:rPr>
              <w:softHyphen/>
              <w:t>дача государственно</w:t>
            </w:r>
            <w:r w:rsidRPr="004E0FC4">
              <w:rPr>
                <w:rFonts w:ascii="Bookman Old Style" w:eastAsia="Bookman Old Style" w:hAnsi="Bookman Old Style" w:cs="Bookman Old Style"/>
                <w:color w:val="231F20"/>
                <w:sz w:val="18"/>
                <w:szCs w:val="18"/>
              </w:rPr>
              <w:softHyphen/>
              <w:t>го имущества в ли</w:t>
            </w:r>
            <w:r w:rsidRPr="004E0FC4">
              <w:rPr>
                <w:rFonts w:ascii="Bookman Old Style" w:eastAsia="Bookman Old Style" w:hAnsi="Bookman Old Style" w:cs="Bookman Old Style"/>
                <w:color w:val="231F20"/>
                <w:sz w:val="18"/>
                <w:szCs w:val="18"/>
              </w:rPr>
              <w:softHyphen/>
              <w:t>зинг</w:t>
            </w:r>
          </w:p>
        </w:tc>
        <w:tc>
          <w:tcPr>
            <w:tcW w:w="4522" w:type="dxa"/>
            <w:tcBorders>
              <w:top w:val="single" w:sz="4" w:space="0" w:color="auto"/>
              <w:left w:val="single" w:sz="4" w:space="0" w:color="auto"/>
              <w:right w:val="single" w:sz="4" w:space="0" w:color="auto"/>
            </w:tcBorders>
            <w:shd w:val="clear" w:color="auto" w:fill="FFFFFF"/>
            <w:vAlign w:val="bottom"/>
          </w:tcPr>
          <w:p w14:paraId="761D8BEE"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Данный механизм используется для избавления го</w:t>
            </w:r>
            <w:r w:rsidRPr="004E0FC4">
              <w:rPr>
                <w:rFonts w:ascii="Bookman Old Style" w:eastAsia="Bookman Old Style" w:hAnsi="Bookman Old Style" w:cs="Bookman Old Style"/>
                <w:color w:val="231F20"/>
                <w:sz w:val="18"/>
                <w:szCs w:val="18"/>
              </w:rPr>
              <w:softHyphen/>
              <w:t>сударства от «непрофильных активов» и снижения государственных расходов на содержание объектов, а также получения дохода от приватизации. Имею</w:t>
            </w:r>
            <w:r w:rsidRPr="004E0FC4">
              <w:rPr>
                <w:rFonts w:ascii="Bookman Old Style" w:eastAsia="Bookman Old Style" w:hAnsi="Bookman Old Style" w:cs="Bookman Old Style"/>
                <w:color w:val="231F20"/>
                <w:sz w:val="18"/>
                <w:szCs w:val="18"/>
              </w:rPr>
              <w:softHyphen/>
              <w:t>щийся объект без реконструкции передается в дол</w:t>
            </w:r>
            <w:r w:rsidRPr="004E0FC4">
              <w:rPr>
                <w:rFonts w:ascii="Bookman Old Style" w:eastAsia="Bookman Old Style" w:hAnsi="Bookman Old Style" w:cs="Bookman Old Style"/>
                <w:color w:val="231F20"/>
                <w:sz w:val="18"/>
                <w:szCs w:val="18"/>
              </w:rPr>
              <w:softHyphen/>
              <w:t>госрочную финансовую аренду (лизинг) частному партнеру. В отдельных случаях строительство/ре</w:t>
            </w:r>
            <w:r w:rsidRPr="004E0FC4">
              <w:rPr>
                <w:rFonts w:ascii="Bookman Old Style" w:eastAsia="Bookman Old Style" w:hAnsi="Bookman Old Style" w:cs="Bookman Old Style"/>
                <w:color w:val="231F20"/>
                <w:sz w:val="18"/>
                <w:szCs w:val="18"/>
              </w:rPr>
              <w:softHyphen/>
              <w:t>конструкция объекта финансируется государством для последующей передачи в лизинг (пилотные проекты, инновационная инфраструктура)</w:t>
            </w:r>
          </w:p>
        </w:tc>
      </w:tr>
      <w:tr w:rsidR="00350396" w:rsidRPr="004E0FC4" w14:paraId="24E9B0AF" w14:textId="77777777" w:rsidTr="006D7F71">
        <w:trPr>
          <w:trHeight w:hRule="exact" w:val="1162"/>
          <w:jc w:val="center"/>
        </w:trPr>
        <w:tc>
          <w:tcPr>
            <w:tcW w:w="2045" w:type="dxa"/>
            <w:tcBorders>
              <w:top w:val="single" w:sz="4" w:space="0" w:color="auto"/>
              <w:left w:val="single" w:sz="4" w:space="0" w:color="auto"/>
            </w:tcBorders>
            <w:shd w:val="clear" w:color="auto" w:fill="FFFFFF"/>
          </w:tcPr>
          <w:p w14:paraId="77CFC5D8"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lang w:val="en-US"/>
              </w:rPr>
            </w:pPr>
            <w:r w:rsidRPr="004E0FC4">
              <w:rPr>
                <w:rFonts w:ascii="Bookman Old Style" w:eastAsia="Bookman Old Style" w:hAnsi="Bookman Old Style" w:cs="Bookman Old Style"/>
                <w:i/>
                <w:iCs/>
                <w:color w:val="231F20"/>
                <w:sz w:val="18"/>
                <w:szCs w:val="18"/>
                <w:lang w:val="en-US" w:eastAsia="en-US" w:bidi="en-US"/>
              </w:rPr>
              <w:t>LDO</w:t>
            </w:r>
            <w:r w:rsidRPr="004E0FC4">
              <w:rPr>
                <w:rFonts w:ascii="Bookman Old Style" w:eastAsia="Bookman Old Style" w:hAnsi="Bookman Old Style" w:cs="Bookman Old Style"/>
                <w:color w:val="231F20"/>
                <w:sz w:val="18"/>
                <w:szCs w:val="18"/>
                <w:lang w:val="en-US"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leas</w:t>
            </w:r>
            <w:r w:rsidRPr="004E0FC4">
              <w:rPr>
                <w:rFonts w:ascii="Bookman Old Style" w:eastAsia="Bookman Old Style" w:hAnsi="Bookman Old Style" w:cs="Bookman Old Style"/>
                <w:color w:val="231F20"/>
                <w:sz w:val="18"/>
                <w:szCs w:val="18"/>
                <w:lang w:val="en-US" w:eastAsia="en-US" w:bidi="en-US"/>
              </w:rPr>
              <w:t xml:space="preserve">e, </w:t>
            </w:r>
            <w:r w:rsidRPr="004E0FC4">
              <w:rPr>
                <w:rFonts w:ascii="Bookman Old Style" w:eastAsia="Bookman Old Style" w:hAnsi="Bookman Old Style" w:cs="Bookman Old Style"/>
                <w:i/>
                <w:iCs/>
                <w:color w:val="231F20"/>
                <w:sz w:val="18"/>
                <w:szCs w:val="18"/>
                <w:lang w:val="en-US" w:eastAsia="en-US" w:bidi="en-US"/>
              </w:rPr>
              <w:t>develop</w:t>
            </w:r>
            <w:r w:rsidRPr="004E0FC4">
              <w:rPr>
                <w:rFonts w:ascii="Bookman Old Style" w:eastAsia="Bookman Old Style" w:hAnsi="Bookman Old Style" w:cs="Bookman Old Style"/>
                <w:color w:val="231F20"/>
                <w:sz w:val="18"/>
                <w:szCs w:val="18"/>
                <w:lang w:val="en-US"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transfer</w:t>
            </w:r>
            <w:r w:rsidRPr="004E0FC4">
              <w:rPr>
                <w:rFonts w:ascii="Bookman Old Style" w:eastAsia="Bookman Old Style" w:hAnsi="Bookman Old Style" w:cs="Bookman Old Style"/>
                <w:color w:val="231F20"/>
                <w:sz w:val="18"/>
                <w:szCs w:val="18"/>
                <w:lang w:val="en-US" w:eastAsia="en-US" w:bidi="en-US"/>
              </w:rPr>
              <w:t xml:space="preserve">): </w:t>
            </w:r>
            <w:r w:rsidRPr="004E0FC4">
              <w:rPr>
                <w:rFonts w:ascii="Bookman Old Style" w:eastAsia="Bookman Old Style" w:hAnsi="Bookman Old Style" w:cs="Bookman Old Style"/>
                <w:color w:val="231F20"/>
                <w:sz w:val="18"/>
                <w:szCs w:val="18"/>
              </w:rPr>
              <w:t>лизинг</w:t>
            </w:r>
            <w:r w:rsidRPr="004E0FC4">
              <w:rPr>
                <w:rFonts w:ascii="Bookman Old Style" w:eastAsia="Bookman Old Style" w:hAnsi="Bookman Old Style" w:cs="Bookman Old Style"/>
                <w:color w:val="231F20"/>
                <w:sz w:val="18"/>
                <w:szCs w:val="18"/>
                <w:lang w:val="en-US"/>
              </w:rPr>
              <w:t xml:space="preserve"> — </w:t>
            </w:r>
            <w:r w:rsidRPr="004E0FC4">
              <w:rPr>
                <w:rFonts w:ascii="Bookman Old Style" w:eastAsia="Bookman Old Style" w:hAnsi="Bookman Old Style" w:cs="Bookman Old Style"/>
                <w:color w:val="231F20"/>
                <w:sz w:val="18"/>
                <w:szCs w:val="18"/>
              </w:rPr>
              <w:t>развитие</w:t>
            </w:r>
            <w:r w:rsidRPr="004E0FC4">
              <w:rPr>
                <w:rFonts w:ascii="Bookman Old Style" w:eastAsia="Bookman Old Style" w:hAnsi="Bookman Old Style" w:cs="Bookman Old Style"/>
                <w:color w:val="231F20"/>
                <w:sz w:val="18"/>
                <w:szCs w:val="18"/>
                <w:lang w:val="en-US"/>
              </w:rPr>
              <w:t xml:space="preserve"> — </w:t>
            </w:r>
            <w:r w:rsidRPr="004E0FC4">
              <w:rPr>
                <w:rFonts w:ascii="Bookman Old Style" w:eastAsia="Bookman Old Style" w:hAnsi="Bookman Old Style" w:cs="Bookman Old Style"/>
                <w:color w:val="231F20"/>
                <w:sz w:val="18"/>
                <w:szCs w:val="18"/>
              </w:rPr>
              <w:t>передача</w:t>
            </w:r>
          </w:p>
        </w:tc>
        <w:tc>
          <w:tcPr>
            <w:tcW w:w="4522" w:type="dxa"/>
            <w:tcBorders>
              <w:top w:val="single" w:sz="4" w:space="0" w:color="auto"/>
              <w:left w:val="single" w:sz="4" w:space="0" w:color="auto"/>
              <w:right w:val="single" w:sz="4" w:space="0" w:color="auto"/>
            </w:tcBorders>
            <w:shd w:val="clear" w:color="auto" w:fill="FFFFFF"/>
            <w:vAlign w:val="bottom"/>
          </w:tcPr>
          <w:p w14:paraId="78E5DA03"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Частный партнер получает действующее государ</w:t>
            </w:r>
            <w:r w:rsidRPr="004E0FC4">
              <w:rPr>
                <w:rFonts w:ascii="Bookman Old Style" w:eastAsia="Bookman Old Style" w:hAnsi="Bookman Old Style" w:cs="Bookman Old Style"/>
                <w:color w:val="231F20"/>
                <w:sz w:val="18"/>
                <w:szCs w:val="18"/>
              </w:rPr>
              <w:softHyphen/>
              <w:t>ственное имущество в лизинг. Занимается рекон</w:t>
            </w:r>
            <w:r w:rsidRPr="004E0FC4">
              <w:rPr>
                <w:rFonts w:ascii="Bookman Old Style" w:eastAsia="Bookman Old Style" w:hAnsi="Bookman Old Style" w:cs="Bookman Old Style"/>
                <w:color w:val="231F20"/>
                <w:sz w:val="18"/>
                <w:szCs w:val="18"/>
              </w:rPr>
              <w:softHyphen/>
              <w:t>струкцией и развитием (как привило, расширени</w:t>
            </w:r>
            <w:r w:rsidRPr="004E0FC4">
              <w:rPr>
                <w:rFonts w:ascii="Bookman Old Style" w:eastAsia="Bookman Old Style" w:hAnsi="Bookman Old Style" w:cs="Bookman Old Style"/>
                <w:color w:val="231F20"/>
                <w:sz w:val="18"/>
                <w:szCs w:val="18"/>
              </w:rPr>
              <w:softHyphen/>
              <w:t>ем) объекта и его эксплуатацией, по окончании срока которой вновь передает объект государству</w:t>
            </w:r>
          </w:p>
        </w:tc>
      </w:tr>
      <w:tr w:rsidR="00350396" w:rsidRPr="004E0FC4" w14:paraId="3C4716C7" w14:textId="77777777" w:rsidTr="006D7F71">
        <w:trPr>
          <w:trHeight w:hRule="exact" w:val="2011"/>
          <w:jc w:val="center"/>
        </w:trPr>
        <w:tc>
          <w:tcPr>
            <w:tcW w:w="2045" w:type="dxa"/>
            <w:tcBorders>
              <w:top w:val="single" w:sz="4" w:space="0" w:color="auto"/>
              <w:left w:val="single" w:sz="4" w:space="0" w:color="auto"/>
            </w:tcBorders>
            <w:shd w:val="clear" w:color="auto" w:fill="FFFFFF"/>
          </w:tcPr>
          <w:p w14:paraId="342BEC56"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DBOOT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design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own</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operat</w:t>
            </w:r>
            <w:r w:rsidRPr="004E0FC4">
              <w:rPr>
                <w:rFonts w:ascii="Bookman Old Style" w:eastAsia="Bookman Old Style" w:hAnsi="Bookman Old Style" w:cs="Bookman Old Style"/>
                <w:color w:val="231F20"/>
                <w:sz w:val="18"/>
                <w:szCs w:val="18"/>
                <w:lang w:val="en-US" w:eastAsia="en-US" w:bidi="en-US"/>
              </w:rPr>
              <w:t>e</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transfer</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проекти</w:t>
            </w:r>
            <w:r w:rsidRPr="004E0FC4">
              <w:rPr>
                <w:rFonts w:ascii="Bookman Old Style" w:eastAsia="Bookman Old Style" w:hAnsi="Bookman Old Style" w:cs="Bookman Old Style"/>
                <w:color w:val="231F20"/>
                <w:sz w:val="18"/>
                <w:szCs w:val="18"/>
              </w:rPr>
              <w:softHyphen/>
              <w:t>рование — строи</w:t>
            </w:r>
            <w:r w:rsidRPr="004E0FC4">
              <w:rPr>
                <w:rFonts w:ascii="Bookman Old Style" w:eastAsia="Bookman Old Style" w:hAnsi="Bookman Old Style" w:cs="Bookman Old Style"/>
                <w:color w:val="231F20"/>
                <w:sz w:val="18"/>
                <w:szCs w:val="18"/>
              </w:rPr>
              <w:softHyphen/>
              <w:t>тельство — владе</w:t>
            </w:r>
            <w:r w:rsidRPr="004E0FC4">
              <w:rPr>
                <w:rFonts w:ascii="Bookman Old Style" w:eastAsia="Bookman Old Style" w:hAnsi="Bookman Old Style" w:cs="Bookman Old Style"/>
                <w:color w:val="231F20"/>
                <w:sz w:val="18"/>
                <w:szCs w:val="18"/>
              </w:rPr>
              <w:softHyphen/>
              <w:t>ние — эксплуатация/ управление — пере</w:t>
            </w:r>
            <w:r w:rsidRPr="004E0FC4">
              <w:rPr>
                <w:rFonts w:ascii="Bookman Old Style" w:eastAsia="Bookman Old Style" w:hAnsi="Bookman Old Style" w:cs="Bookman Old Style"/>
                <w:color w:val="231F20"/>
                <w:sz w:val="18"/>
                <w:szCs w:val="18"/>
              </w:rPr>
              <w:softHyphen/>
              <w:t>дача</w:t>
            </w:r>
          </w:p>
        </w:tc>
        <w:tc>
          <w:tcPr>
            <w:tcW w:w="4522" w:type="dxa"/>
            <w:tcBorders>
              <w:top w:val="single" w:sz="4" w:space="0" w:color="auto"/>
              <w:left w:val="single" w:sz="4" w:space="0" w:color="auto"/>
              <w:right w:val="single" w:sz="4" w:space="0" w:color="auto"/>
            </w:tcBorders>
            <w:shd w:val="clear" w:color="auto" w:fill="FFFFFF"/>
            <w:vAlign w:val="bottom"/>
          </w:tcPr>
          <w:p w14:paraId="14167304"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Особенность соглашений этого типа состоит в от</w:t>
            </w:r>
            <w:r w:rsidRPr="004E0FC4">
              <w:rPr>
                <w:rFonts w:ascii="Bookman Old Style" w:eastAsia="Bookman Old Style" w:hAnsi="Bookman Old Style" w:cs="Bookman Old Style"/>
                <w:color w:val="231F20"/>
                <w:sz w:val="18"/>
                <w:szCs w:val="18"/>
              </w:rPr>
              <w:softHyphen/>
              <w:t>ветственности частного партнера не только за стро</w:t>
            </w:r>
            <w:r w:rsidRPr="004E0FC4">
              <w:rPr>
                <w:rFonts w:ascii="Bookman Old Style" w:eastAsia="Bookman Old Style" w:hAnsi="Bookman Old Style" w:cs="Bookman Old Style"/>
                <w:color w:val="231F20"/>
                <w:sz w:val="18"/>
                <w:szCs w:val="18"/>
              </w:rPr>
              <w:softHyphen/>
              <w:t xml:space="preserve">ительство инфраструктурного объекта, но и за его проектирование. В случае соглашений типа </w:t>
            </w:r>
            <w:r w:rsidRPr="004E0FC4">
              <w:rPr>
                <w:rFonts w:ascii="Bookman Old Style" w:eastAsia="Bookman Old Style" w:hAnsi="Bookman Old Style" w:cs="Bookman Old Style"/>
                <w:i/>
                <w:iCs/>
                <w:color w:val="231F20"/>
                <w:sz w:val="18"/>
                <w:szCs w:val="18"/>
                <w:lang w:val="en-US" w:eastAsia="en-US" w:bidi="en-US"/>
              </w:rPr>
              <w:t>DBFO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design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finance</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lang w:val="en-US" w:eastAsia="en-US" w:bidi="en-US"/>
              </w:rPr>
              <w:t>operate</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проектирование </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строительство — финансирование — эксплуатация/ управление — специально оговаривается ответ</w:t>
            </w:r>
            <w:r w:rsidRPr="004E0FC4">
              <w:rPr>
                <w:rFonts w:ascii="Bookman Old Style" w:eastAsia="Bookman Old Style" w:hAnsi="Bookman Old Style" w:cs="Bookman Old Style"/>
                <w:color w:val="231F20"/>
                <w:sz w:val="18"/>
                <w:szCs w:val="18"/>
              </w:rPr>
              <w:softHyphen/>
              <w:t>ственность частного партнера за финансирование строительства инфраструктурных объектов</w:t>
            </w:r>
          </w:p>
        </w:tc>
      </w:tr>
      <w:tr w:rsidR="00350396" w:rsidRPr="004E0FC4" w14:paraId="1DA076F5" w14:textId="77777777" w:rsidTr="006D7F71">
        <w:trPr>
          <w:trHeight w:hRule="exact" w:val="1800"/>
          <w:jc w:val="center"/>
        </w:trPr>
        <w:tc>
          <w:tcPr>
            <w:tcW w:w="2045" w:type="dxa"/>
            <w:tcBorders>
              <w:top w:val="single" w:sz="4" w:space="0" w:color="auto"/>
              <w:left w:val="single" w:sz="4" w:space="0" w:color="auto"/>
            </w:tcBorders>
            <w:shd w:val="clear" w:color="auto" w:fill="FFFFFF"/>
          </w:tcPr>
          <w:p w14:paraId="0E419E39"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D</w:t>
            </w:r>
            <w:r w:rsidRPr="004E0FC4">
              <w:rPr>
                <w:rFonts w:ascii="Bookman Old Style" w:eastAsia="Bookman Old Style" w:hAnsi="Bookman Old Style" w:cs="Bookman Old Style"/>
                <w:color w:val="231F20"/>
                <w:sz w:val="18"/>
                <w:szCs w:val="18"/>
                <w:lang w:eastAsia="en-US" w:bidi="en-US"/>
              </w:rPr>
              <w:t>&amp;</w:t>
            </w:r>
            <w:r w:rsidRPr="004E0FC4">
              <w:rPr>
                <w:rFonts w:ascii="Bookman Old Style" w:eastAsia="Bookman Old Style" w:hAnsi="Bookman Old Style" w:cs="Bookman Old Style"/>
                <w:i/>
                <w:iCs/>
                <w:color w:val="231F20"/>
                <w:sz w:val="18"/>
                <w:szCs w:val="18"/>
                <w:lang w:val="en-US" w:eastAsia="en-US" w:bidi="en-US"/>
              </w:rPr>
              <w:t>B</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design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and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проектирова</w:t>
            </w:r>
            <w:r w:rsidRPr="004E0FC4">
              <w:rPr>
                <w:rFonts w:ascii="Bookman Old Style" w:eastAsia="Bookman Old Style" w:hAnsi="Bookman Old Style" w:cs="Bookman Old Style"/>
                <w:color w:val="231F20"/>
                <w:sz w:val="18"/>
                <w:szCs w:val="18"/>
              </w:rPr>
              <w:softHyphen/>
              <w:t xml:space="preserve">ние и строительство; </w:t>
            </w:r>
            <w:r w:rsidRPr="004E0FC4">
              <w:rPr>
                <w:rFonts w:ascii="Bookman Old Style" w:eastAsia="Bookman Old Style" w:hAnsi="Bookman Old Style" w:cs="Bookman Old Style"/>
                <w:i/>
                <w:iCs/>
                <w:color w:val="231F20"/>
                <w:sz w:val="18"/>
                <w:szCs w:val="18"/>
                <w:lang w:val="en-US" w:eastAsia="en-US" w:bidi="en-US"/>
              </w:rPr>
              <w:t>DBM</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design</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build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maintain</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проектиро</w:t>
            </w:r>
            <w:r w:rsidRPr="004E0FC4">
              <w:rPr>
                <w:rFonts w:ascii="Bookman Old Style" w:eastAsia="Bookman Old Style" w:hAnsi="Bookman Old Style" w:cs="Bookman Old Style"/>
                <w:color w:val="231F20"/>
                <w:sz w:val="18"/>
                <w:szCs w:val="18"/>
              </w:rPr>
              <w:softHyphen/>
              <w:t xml:space="preserve">вание, строительство, обслуживание; </w:t>
            </w:r>
            <w:r w:rsidRPr="004E0FC4">
              <w:rPr>
                <w:rFonts w:ascii="Bookman Old Style" w:eastAsia="Bookman Old Style" w:hAnsi="Bookman Old Style" w:cs="Bookman Old Style"/>
                <w:i/>
                <w:iCs/>
                <w:color w:val="231F20"/>
                <w:sz w:val="18"/>
                <w:szCs w:val="18"/>
                <w:lang w:val="en-US" w:eastAsia="en-US" w:bidi="en-US"/>
              </w:rPr>
              <w:t>turnkey</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contracts</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(«под ключ»)</w:t>
            </w:r>
          </w:p>
        </w:tc>
        <w:tc>
          <w:tcPr>
            <w:tcW w:w="4522" w:type="dxa"/>
            <w:tcBorders>
              <w:top w:val="single" w:sz="4" w:space="0" w:color="auto"/>
              <w:left w:val="single" w:sz="4" w:space="0" w:color="auto"/>
              <w:right w:val="single" w:sz="4" w:space="0" w:color="auto"/>
            </w:tcBorders>
            <w:shd w:val="clear" w:color="auto" w:fill="FFFFFF"/>
          </w:tcPr>
          <w:p w14:paraId="065FA097"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Частный партнер проектирует и строит объект «под ключ», который в эксплуатацию передает государ</w:t>
            </w:r>
            <w:r w:rsidRPr="004E0FC4">
              <w:rPr>
                <w:rFonts w:ascii="Bookman Old Style" w:eastAsia="Bookman Old Style" w:hAnsi="Bookman Old Style" w:cs="Bookman Old Style"/>
                <w:color w:val="231F20"/>
                <w:sz w:val="18"/>
                <w:szCs w:val="18"/>
              </w:rPr>
              <w:softHyphen/>
              <w:t xml:space="preserve">ству. В контрактах </w:t>
            </w:r>
            <w:r w:rsidRPr="004E0FC4">
              <w:rPr>
                <w:rFonts w:ascii="Bookman Old Style" w:eastAsia="Bookman Old Style" w:hAnsi="Bookman Old Style" w:cs="Bookman Old Style"/>
                <w:i/>
                <w:iCs/>
                <w:color w:val="231F20"/>
                <w:sz w:val="18"/>
                <w:szCs w:val="18"/>
                <w:lang w:val="en-US" w:eastAsia="en-US" w:bidi="en-US"/>
              </w:rPr>
              <w:t>DBM</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частный партнер отвечает также за текущий ремонт сооруженных объектов, но эксплуатирует их государство</w:t>
            </w:r>
          </w:p>
        </w:tc>
      </w:tr>
      <w:tr w:rsidR="00350396" w:rsidRPr="004E0FC4" w14:paraId="16AFE05C" w14:textId="77777777" w:rsidTr="006D7F71">
        <w:trPr>
          <w:trHeight w:hRule="exact" w:val="2107"/>
          <w:jc w:val="center"/>
        </w:trPr>
        <w:tc>
          <w:tcPr>
            <w:tcW w:w="2045" w:type="dxa"/>
            <w:tcBorders>
              <w:top w:val="single" w:sz="4" w:space="0" w:color="auto"/>
              <w:left w:val="single" w:sz="4" w:space="0" w:color="auto"/>
              <w:bottom w:val="single" w:sz="4" w:space="0" w:color="auto"/>
            </w:tcBorders>
            <w:shd w:val="clear" w:color="auto" w:fill="FFFFFF"/>
            <w:vAlign w:val="center"/>
          </w:tcPr>
          <w:p w14:paraId="30004E07"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О&amp;М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operat</w:t>
            </w:r>
            <w:r w:rsidRPr="004E0FC4">
              <w:rPr>
                <w:rFonts w:ascii="Bookman Old Style" w:eastAsia="Bookman Old Style" w:hAnsi="Bookman Old Style" w:cs="Bookman Old Style"/>
                <w:i/>
                <w:iCs/>
                <w:color w:val="231F20"/>
                <w:sz w:val="18"/>
                <w:szCs w:val="18"/>
                <w:lang w:eastAsia="en-US" w:bidi="en-US"/>
              </w:rPr>
              <w:t xml:space="preserve">е </w:t>
            </w:r>
            <w:r w:rsidRPr="004E0FC4">
              <w:rPr>
                <w:rFonts w:ascii="Bookman Old Style" w:eastAsia="Bookman Old Style" w:hAnsi="Bookman Old Style" w:cs="Bookman Old Style"/>
                <w:i/>
                <w:iCs/>
                <w:color w:val="231F20"/>
                <w:sz w:val="18"/>
                <w:szCs w:val="18"/>
                <w:lang w:val="en-US" w:eastAsia="en-US" w:bidi="en-US"/>
              </w:rPr>
              <w:t>and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maintain</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эксплу- атация/управле- ние — обслужива</w:t>
            </w:r>
            <w:r w:rsidRPr="004E0FC4">
              <w:rPr>
                <w:rFonts w:ascii="Bookman Old Style" w:eastAsia="Bookman Old Style" w:hAnsi="Bookman Old Style" w:cs="Bookman Old Style"/>
                <w:color w:val="231F20"/>
                <w:sz w:val="18"/>
                <w:szCs w:val="18"/>
              </w:rPr>
              <w:softHyphen/>
              <w:t xml:space="preserve">ние; </w:t>
            </w:r>
            <w:r w:rsidRPr="004E0FC4">
              <w:rPr>
                <w:rFonts w:ascii="Bookman Old Style" w:eastAsia="Bookman Old Style" w:hAnsi="Bookman Old Style" w:cs="Bookman Old Style"/>
                <w:i/>
                <w:iCs/>
                <w:color w:val="231F20"/>
                <w:sz w:val="18"/>
                <w:szCs w:val="18"/>
                <w:lang w:val="en-US" w:eastAsia="en-US" w:bidi="en-US"/>
              </w:rPr>
              <w:t>S</w:t>
            </w:r>
            <w:r w:rsidRPr="004E0FC4">
              <w:rPr>
                <w:rFonts w:ascii="Bookman Old Style" w:eastAsia="Bookman Old Style" w:hAnsi="Bookman Old Style" w:cs="Bookman Old Style"/>
                <w:i/>
                <w:iCs/>
                <w:color w:val="231F20"/>
                <w:sz w:val="18"/>
                <w:szCs w:val="18"/>
                <w:lang w:eastAsia="en-US" w:bidi="en-US"/>
              </w:rPr>
              <w:t>&amp;</w:t>
            </w:r>
            <w:r w:rsidRPr="004E0FC4">
              <w:rPr>
                <w:rFonts w:ascii="Bookman Old Style" w:eastAsia="Bookman Old Style" w:hAnsi="Bookman Old Style" w:cs="Bookman Old Style"/>
                <w:i/>
                <w:iCs/>
                <w:color w:val="231F20"/>
                <w:sz w:val="18"/>
                <w:szCs w:val="18"/>
                <w:lang w:val="en-US" w:eastAsia="en-US" w:bidi="en-US"/>
              </w:rPr>
              <w:t>M</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service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and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management</w:t>
            </w:r>
            <w:r w:rsidRPr="004E0FC4">
              <w:rPr>
                <w:rFonts w:ascii="Bookman Old Style" w:eastAsia="Bookman Old Style" w:hAnsi="Bookman Old Style" w:cs="Bookman Old Style"/>
                <w:color w:val="231F20"/>
                <w:sz w:val="18"/>
                <w:szCs w:val="18"/>
                <w:lang w:eastAsia="en-US" w:bidi="en-US"/>
              </w:rPr>
              <w:t xml:space="preserve">) / </w:t>
            </w:r>
            <w:r w:rsidRPr="004E0FC4">
              <w:rPr>
                <w:rFonts w:ascii="Bookman Old Style" w:eastAsia="Bookman Old Style" w:hAnsi="Bookman Old Style" w:cs="Bookman Old Style"/>
                <w:i/>
                <w:iCs/>
                <w:color w:val="231F20"/>
                <w:sz w:val="18"/>
                <w:szCs w:val="18"/>
                <w:lang w:val="en-US" w:eastAsia="en-US" w:bidi="en-US"/>
              </w:rPr>
              <w:t>Management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contract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обслуживание/управ</w:t>
            </w:r>
            <w:r w:rsidRPr="004E0FC4">
              <w:rPr>
                <w:rFonts w:ascii="Bookman Old Style" w:eastAsia="Bookman Old Style" w:hAnsi="Bookman Old Style" w:cs="Bookman Old Style"/>
                <w:color w:val="231F20"/>
                <w:sz w:val="18"/>
                <w:szCs w:val="18"/>
              </w:rPr>
              <w:softHyphen/>
              <w:t>ление</w:t>
            </w:r>
          </w:p>
        </w:tc>
        <w:tc>
          <w:tcPr>
            <w:tcW w:w="4522" w:type="dxa"/>
            <w:tcBorders>
              <w:top w:val="single" w:sz="4" w:space="0" w:color="auto"/>
              <w:left w:val="single" w:sz="4" w:space="0" w:color="auto"/>
              <w:bottom w:val="single" w:sz="4" w:space="0" w:color="auto"/>
              <w:right w:val="single" w:sz="4" w:space="0" w:color="auto"/>
            </w:tcBorders>
            <w:shd w:val="clear" w:color="auto" w:fill="FFFFFF"/>
          </w:tcPr>
          <w:p w14:paraId="16BE1ECA" w14:textId="77777777" w:rsidR="00350396" w:rsidRPr="004E0FC4" w:rsidRDefault="00350396" w:rsidP="004E0FC4">
            <w:pPr>
              <w:framePr w:w="6566"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Возложение на частного партнера (профессиональ</w:t>
            </w:r>
            <w:r w:rsidRPr="004E0FC4">
              <w:rPr>
                <w:rFonts w:ascii="Bookman Old Style" w:eastAsia="Bookman Old Style" w:hAnsi="Bookman Old Style" w:cs="Bookman Old Style"/>
                <w:color w:val="231F20"/>
                <w:sz w:val="18"/>
                <w:szCs w:val="18"/>
              </w:rPr>
              <w:softHyphen/>
              <w:t>ную управляющую компанию) ответственности за эксплуатацию/обслуживание/управление объек</w:t>
            </w:r>
            <w:r w:rsidRPr="004E0FC4">
              <w:rPr>
                <w:rFonts w:ascii="Bookman Old Style" w:eastAsia="Bookman Old Style" w:hAnsi="Bookman Old Style" w:cs="Bookman Old Style"/>
                <w:color w:val="231F20"/>
                <w:sz w:val="18"/>
                <w:szCs w:val="18"/>
              </w:rPr>
              <w:softHyphen/>
              <w:t>том, в то время как строительство/реконструкция осуществляются государством</w:t>
            </w:r>
          </w:p>
        </w:tc>
      </w:tr>
    </w:tbl>
    <w:p w14:paraId="743EED01" w14:textId="77777777" w:rsidR="00350396" w:rsidRPr="004E0FC4" w:rsidRDefault="00350396" w:rsidP="004E0FC4">
      <w:pPr>
        <w:framePr w:w="6566" w:wrap="notBeside" w:vAnchor="text" w:hAnchor="text" w:xAlign="center" w:y="1"/>
        <w:widowControl w:val="0"/>
        <w:spacing w:line="240" w:lineRule="auto"/>
        <w:ind w:firstLine="0"/>
        <w:rPr>
          <w:rFonts w:ascii="Bookman Old Style" w:hAnsi="Bookman Old Style"/>
          <w:sz w:val="18"/>
          <w:szCs w:val="18"/>
        </w:rPr>
      </w:pPr>
    </w:p>
    <w:p w14:paraId="2D17396C"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hAnsi="Bookman Old Style"/>
          <w:sz w:val="18"/>
          <w:szCs w:val="18"/>
        </w:rPr>
        <w:br w:type="page"/>
      </w:r>
    </w:p>
    <w:p w14:paraId="6F02BA06"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 xml:space="preserve">В ряде работ рассмотренные в таблице механизмы ГЧП также называют </w:t>
      </w:r>
      <w:r w:rsidRPr="004E0FC4">
        <w:rPr>
          <w:rFonts w:ascii="Bookman Old Style" w:eastAsia="Bookman Old Style" w:hAnsi="Bookman Old Style" w:cs="Bookman Old Style"/>
          <w:i/>
          <w:iCs/>
          <w:color w:val="231F20"/>
          <w:sz w:val="18"/>
          <w:szCs w:val="18"/>
          <w:lang w:eastAsia="en-US" w:bidi="en-US"/>
        </w:rPr>
        <w:t>моделями ГЧП</w:t>
      </w:r>
      <w:r w:rsidRPr="004E0FC4">
        <w:rPr>
          <w:rFonts w:ascii="Bookman Old Style" w:eastAsia="Bookman Old Style" w:hAnsi="Bookman Old Style" w:cs="Bookman Old Style"/>
          <w:i/>
          <w:iCs/>
          <w:color w:val="231F20"/>
          <w:sz w:val="18"/>
          <w:szCs w:val="18"/>
        </w:rPr>
        <w:t>.</w:t>
      </w:r>
      <w:r w:rsidRPr="004E0FC4">
        <w:rPr>
          <w:rFonts w:ascii="Bookman Old Style" w:eastAsia="Bookman Old Style" w:hAnsi="Bookman Old Style" w:cs="Bookman Old Style"/>
          <w:color w:val="231F20"/>
          <w:sz w:val="18"/>
          <w:szCs w:val="18"/>
        </w:rPr>
        <w:t xml:space="preserve"> Основной сложившийся подход к пони</w:t>
      </w:r>
      <w:r w:rsidRPr="004E0FC4">
        <w:rPr>
          <w:rFonts w:ascii="Bookman Old Style" w:eastAsia="Bookman Old Style" w:hAnsi="Bookman Old Style" w:cs="Bookman Old Style"/>
          <w:color w:val="231F20"/>
          <w:sz w:val="18"/>
          <w:szCs w:val="18"/>
        </w:rPr>
        <w:softHyphen/>
        <w:t>манию термина «модели ГЧП» в России рассмотрен ниже в данном параграфе.</w:t>
      </w:r>
    </w:p>
    <w:p w14:paraId="56A7778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Одним из важных факторов институциональной среды конкрет</w:t>
      </w:r>
      <w:r w:rsidRPr="004E0FC4">
        <w:rPr>
          <w:rFonts w:ascii="Bookman Old Style" w:eastAsia="Bookman Old Style" w:hAnsi="Bookman Old Style" w:cs="Bookman Old Style"/>
          <w:color w:val="231F20"/>
          <w:sz w:val="18"/>
          <w:szCs w:val="18"/>
        </w:rPr>
        <w:softHyphen/>
        <w:t>ного проекта ГЧП является сфера его реализации. Чем более насущ</w:t>
      </w:r>
      <w:r w:rsidRPr="004E0FC4">
        <w:rPr>
          <w:rFonts w:ascii="Bookman Old Style" w:eastAsia="Bookman Old Style" w:hAnsi="Bookman Old Style" w:cs="Bookman Old Style"/>
          <w:color w:val="231F20"/>
          <w:sz w:val="18"/>
          <w:szCs w:val="18"/>
        </w:rPr>
        <w:softHyphen/>
        <w:t>ной является данная общественная услуга (общественное благо), тем ниже рыночные риски, связанные с ее оказанием, и тем выше потребность в прямом государственном регулировании. Высокая степень контроля процессов оказания общественно необходимых услуг частным партнером со стороны государства может приводить к относительно низкой степени самостоятельности и вовлеченно</w:t>
      </w:r>
      <w:r w:rsidRPr="004E0FC4">
        <w:rPr>
          <w:rFonts w:ascii="Bookman Old Style" w:eastAsia="Bookman Old Style" w:hAnsi="Bookman Old Style" w:cs="Bookman Old Style"/>
          <w:color w:val="231F20"/>
          <w:sz w:val="18"/>
          <w:szCs w:val="18"/>
        </w:rPr>
        <w:softHyphen/>
        <w:t>сти частного партнера. Вовлеченность частного партнера возрас</w:t>
      </w:r>
      <w:r w:rsidRPr="004E0FC4">
        <w:rPr>
          <w:rFonts w:ascii="Bookman Old Style" w:eastAsia="Bookman Old Style" w:hAnsi="Bookman Old Style" w:cs="Bookman Old Style"/>
          <w:color w:val="231F20"/>
          <w:sz w:val="18"/>
          <w:szCs w:val="18"/>
        </w:rPr>
        <w:softHyphen/>
        <w:t>тает, когда ему делегируется больше полномочий и сфер ответ</w:t>
      </w:r>
      <w:r w:rsidRPr="004E0FC4">
        <w:rPr>
          <w:rFonts w:ascii="Bookman Old Style" w:eastAsia="Bookman Old Style" w:hAnsi="Bookman Old Style" w:cs="Bookman Old Style"/>
          <w:color w:val="231F20"/>
          <w:sz w:val="18"/>
          <w:szCs w:val="18"/>
        </w:rPr>
        <w:softHyphen/>
        <w:t>ственности. В то же время в рамках ГЧП свобода частного партнера в принятии рыночных решений ограничена государством, что с ро</w:t>
      </w:r>
      <w:r w:rsidRPr="004E0FC4">
        <w:rPr>
          <w:rFonts w:ascii="Bookman Old Style" w:eastAsia="Bookman Old Style" w:hAnsi="Bookman Old Style" w:cs="Bookman Old Style"/>
          <w:color w:val="231F20"/>
          <w:sz w:val="18"/>
          <w:szCs w:val="18"/>
        </w:rPr>
        <w:softHyphen/>
        <w:t>стом вовлеченности ведет к повышению рисков как для частного партнера, так и для государства.</w:t>
      </w:r>
    </w:p>
    <w:p w14:paraId="71A27AB1" w14:textId="77777777" w:rsidR="00350396" w:rsidRPr="004E0FC4" w:rsidRDefault="00350396" w:rsidP="004E0FC4">
      <w:pPr>
        <w:widowControl w:val="0"/>
        <w:spacing w:after="407"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рис. 4.</w:t>
      </w:r>
      <w:r w:rsidRPr="004E0FC4">
        <w:rPr>
          <w:rFonts w:ascii="Bookman Old Style" w:eastAsia="Bookman Old Style" w:hAnsi="Bookman Old Style" w:cs="Bookman Old Style"/>
          <w:color w:val="231F20"/>
          <w:sz w:val="18"/>
          <w:szCs w:val="18"/>
          <w:highlight w:val="green"/>
        </w:rPr>
        <w:t>5</w:t>
      </w:r>
      <w:r w:rsidRPr="004E0FC4">
        <w:rPr>
          <w:rFonts w:ascii="Bookman Old Style" w:eastAsia="Bookman Old Style" w:hAnsi="Bookman Old Style" w:cs="Bookman Old Style"/>
          <w:color w:val="231F20"/>
          <w:sz w:val="18"/>
          <w:szCs w:val="18"/>
        </w:rPr>
        <w:t xml:space="preserve"> графически соотнесены отдельные механизмы ГЧП в зависимости от рисков частного и государственного партнеров и степени вовлеченности частного партнера.</w:t>
      </w:r>
    </w:p>
    <w:p w14:paraId="0149DF07" w14:textId="0A41B231" w:rsidR="00350396" w:rsidRPr="004E0FC4" w:rsidRDefault="00350396" w:rsidP="004E0FC4">
      <w:pPr>
        <w:widowControl w:val="0"/>
        <w:spacing w:after="116" w:line="216" w:lineRule="exact"/>
        <w:ind w:left="40" w:firstLine="0"/>
        <w:rPr>
          <w:rFonts w:ascii="Bookman Old Style" w:hAnsi="Bookman Old Style"/>
          <w:sz w:val="18"/>
          <w:szCs w:val="18"/>
        </w:rPr>
      </w:pPr>
      <w:r w:rsidRPr="004E0FC4">
        <w:rPr>
          <w:rFonts w:ascii="Bookman Old Style" w:hAnsi="Bookman Old Style"/>
          <w:noProof/>
          <w:sz w:val="18"/>
          <w:szCs w:val="18"/>
          <w:lang w:bidi="ar-SA"/>
        </w:rPr>
        <mc:AlternateContent>
          <mc:Choice Requires="wps">
            <w:drawing>
              <wp:anchor distT="0" distB="983615" distL="63500" distR="1520825" simplePos="0" relativeHeight="377529150" behindDoc="1" locked="0" layoutInCell="1" allowOverlap="1" wp14:anchorId="4A50A7B0" wp14:editId="2271FE9E">
                <wp:simplePos x="0" y="0"/>
                <wp:positionH relativeFrom="margin">
                  <wp:posOffset>34925</wp:posOffset>
                </wp:positionH>
                <wp:positionV relativeFrom="paragraph">
                  <wp:posOffset>-218440</wp:posOffset>
                </wp:positionV>
                <wp:extent cx="189230" cy="372110"/>
                <wp:effectExtent l="0" t="1270" r="3175" b="0"/>
                <wp:wrapSquare wrapText="right"/>
                <wp:docPr id="278" name="Надпись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C233" w14:textId="77777777" w:rsidR="00350396" w:rsidRDefault="00350396" w:rsidP="00350396">
                            <w:pPr>
                              <w:spacing w:line="202" w:lineRule="exact"/>
                              <w:ind w:left="180"/>
                            </w:pPr>
                            <w:r>
                              <w:rPr>
                                <w:rStyle w:val="2Exact3"/>
                              </w:rPr>
                              <w:t>Л</w:t>
                            </w:r>
                          </w:p>
                          <w:p w14:paraId="7F1D08EC" w14:textId="77777777" w:rsidR="00350396" w:rsidRDefault="00350396" w:rsidP="00350396">
                            <w:pPr>
                              <w:pStyle w:val="210"/>
                              <w:shd w:val="clear" w:color="auto" w:fill="auto"/>
                            </w:pPr>
                            <w:r>
                              <w:rPr>
                                <w:rStyle w:val="21Exact0"/>
                              </w:rPr>
                              <w:t>и</w:t>
                            </w:r>
                          </w:p>
                          <w:p w14:paraId="17EC433E" w14:textId="77777777" w:rsidR="00350396" w:rsidRDefault="00350396" w:rsidP="00350396">
                            <w:pPr>
                              <w:spacing w:line="202" w:lineRule="exact"/>
                            </w:pPr>
                            <w:r>
                              <w:rPr>
                                <w:rStyle w:val="2Exact3"/>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50A7B0" id="Надпись 278" o:spid="_x0000_s1051" type="#_x0000_t202" style="position:absolute;left:0;text-align:left;margin-left:2.75pt;margin-top:-17.2pt;width:14.9pt;height:29.3pt;z-index:-125787330;visibility:visible;mso-wrap-style:square;mso-width-percent:0;mso-height-percent:0;mso-wrap-distance-left:5pt;mso-wrap-distance-top:0;mso-wrap-distance-right:119.75pt;mso-wrap-distance-bottom:77.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" filled="f" stroked="f">
                <v:textbox style="mso-fit-shape-to-text:t" inset="0,0,0,0">
                  <w:txbxContent>
                    <w:p w14:paraId="476EC233" w14:textId="77777777" w:rsidR="00350396" w:rsidRDefault="00350396" w:rsidP="00350396">
                      <w:pPr>
                        <w:spacing w:line="202" w:lineRule="exact"/>
                        <w:ind w:left="180"/>
                      </w:pPr>
                      <w:r>
                        <w:rPr>
                          <w:rStyle w:val="2Exact3"/>
                        </w:rPr>
                        <w:t>Л</w:t>
                      </w:r>
                    </w:p>
                    <w:p w14:paraId="7F1D08EC" w14:textId="77777777" w:rsidR="00350396" w:rsidRDefault="00350396" w:rsidP="00350396">
                      <w:pPr>
                        <w:pStyle w:val="210"/>
                        <w:shd w:val="clear" w:color="auto" w:fill="auto"/>
                      </w:pPr>
                      <w:r>
                        <w:rPr>
                          <w:rStyle w:val="21Exact0"/>
                        </w:rPr>
                        <w:t>и</w:t>
                      </w:r>
                    </w:p>
                    <w:p w14:paraId="17EC433E" w14:textId="77777777" w:rsidR="00350396" w:rsidRDefault="00350396" w:rsidP="00350396">
                      <w:pPr>
                        <w:spacing w:line="202" w:lineRule="exact"/>
                      </w:pPr>
                      <w:r>
                        <w:rPr>
                          <w:rStyle w:val="2Exact3"/>
                        </w:rPr>
                        <w:t>о</w:t>
                      </w:r>
                    </w:p>
                  </w:txbxContent>
                </v:textbox>
                <w10:wrap type="square" side="right" anchorx="margin"/>
              </v:shape>
            </w:pict>
          </mc:Fallback>
        </mc:AlternateContent>
      </w:r>
      <w:r w:rsidRPr="004E0FC4">
        <w:rPr>
          <w:rFonts w:ascii="Bookman Old Style" w:hAnsi="Bookman Old Style"/>
          <w:noProof/>
          <w:sz w:val="18"/>
          <w:szCs w:val="18"/>
          <w:lang w:bidi="ar-SA"/>
        </w:rPr>
        <mc:AlternateContent>
          <mc:Choice Requires="wps">
            <w:drawing>
              <wp:anchor distT="453390" distB="614045" distL="63500" distR="1591310" simplePos="0" relativeHeight="377530174" behindDoc="1" locked="0" layoutInCell="1" allowOverlap="1" wp14:anchorId="133DEDEC" wp14:editId="24460F26">
                <wp:simplePos x="0" y="0"/>
                <wp:positionH relativeFrom="margin">
                  <wp:posOffset>34925</wp:posOffset>
                </wp:positionH>
                <wp:positionV relativeFrom="paragraph">
                  <wp:posOffset>258445</wp:posOffset>
                </wp:positionV>
                <wp:extent cx="118745" cy="330200"/>
                <wp:effectExtent l="0" t="1905" r="0" b="1270"/>
                <wp:wrapSquare wrapText="right"/>
                <wp:docPr id="277" name="Надпись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A21E" w14:textId="77777777" w:rsidR="00350396" w:rsidRDefault="00350396" w:rsidP="00350396">
                            <w:pPr>
                              <w:pStyle w:val="220"/>
                              <w:shd w:val="clear" w:color="auto" w:fill="auto"/>
                            </w:pPr>
                            <w:r>
                              <w:rPr>
                                <w:rStyle w:val="22Exact0"/>
                              </w:rPr>
                              <w:t>н</w:t>
                            </w:r>
                          </w:p>
                          <w:p w14:paraId="40C93BE1" w14:textId="77777777" w:rsidR="00350396" w:rsidRDefault="00350396" w:rsidP="00350396">
                            <w:pPr>
                              <w:pStyle w:val="230"/>
                              <w:shd w:val="clear" w:color="auto" w:fill="auto"/>
                            </w:pPr>
                            <w:r>
                              <w:rPr>
                                <w:rStyle w:val="23Exact0"/>
                              </w:rPr>
                              <w:t>о,</w:t>
                            </w:r>
                          </w:p>
                          <w:p w14:paraId="030AFE8F" w14:textId="77777777" w:rsidR="00350396" w:rsidRDefault="00350396" w:rsidP="00350396">
                            <w:pPr>
                              <w:pStyle w:val="240"/>
                              <w:shd w:val="clear" w:color="auto" w:fill="auto"/>
                            </w:pPr>
                            <w:r>
                              <w:rPr>
                                <w:rStyle w:val="24Exact0"/>
                              </w:rPr>
                              <w:t>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3DEDEC" id="Надпись 277" o:spid="_x0000_s1052" type="#_x0000_t202" style="position:absolute;left:0;text-align:left;margin-left:2.75pt;margin-top:20.35pt;width:9.35pt;height:26pt;z-index:-125786306;visibility:visible;mso-wrap-style:square;mso-width-percent:0;mso-height-percent:0;mso-wrap-distance-left:5pt;mso-wrap-distance-top:35.7pt;mso-wrap-distance-right:125.3pt;mso-wrap-distance-bottom:48.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" filled="f" stroked="f">
                <v:textbox style="mso-fit-shape-to-text:t" inset="0,0,0,0">
                  <w:txbxContent>
                    <w:p w14:paraId="6A25A21E" w14:textId="77777777" w:rsidR="00350396" w:rsidRDefault="00350396" w:rsidP="00350396">
                      <w:pPr>
                        <w:pStyle w:val="220"/>
                        <w:shd w:val="clear" w:color="auto" w:fill="auto"/>
                      </w:pPr>
                      <w:r>
                        <w:rPr>
                          <w:rStyle w:val="22Exact0"/>
                        </w:rPr>
                        <w:t>н</w:t>
                      </w:r>
                    </w:p>
                    <w:p w14:paraId="40C93BE1" w14:textId="77777777" w:rsidR="00350396" w:rsidRDefault="00350396" w:rsidP="00350396">
                      <w:pPr>
                        <w:pStyle w:val="230"/>
                        <w:shd w:val="clear" w:color="auto" w:fill="auto"/>
                      </w:pPr>
                      <w:r>
                        <w:rPr>
                          <w:rStyle w:val="23Exact0"/>
                        </w:rPr>
                        <w:t>о,</w:t>
                      </w:r>
                    </w:p>
                    <w:p w14:paraId="030AFE8F" w14:textId="77777777" w:rsidR="00350396" w:rsidRDefault="00350396" w:rsidP="00350396">
                      <w:pPr>
                        <w:pStyle w:val="240"/>
                        <w:shd w:val="clear" w:color="auto" w:fill="auto"/>
                      </w:pPr>
                      <w:r>
                        <w:rPr>
                          <w:rStyle w:val="24Exact0"/>
                        </w:rPr>
                        <w:t>ей</w:t>
                      </w:r>
                    </w:p>
                  </w:txbxContent>
                </v:textbox>
                <w10:wrap type="square" side="right" anchorx="margin"/>
              </v:shape>
            </w:pict>
          </mc:Fallback>
        </mc:AlternateContent>
      </w:r>
      <w:r w:rsidRPr="004E0FC4">
        <w:rPr>
          <w:rFonts w:ascii="Bookman Old Style" w:eastAsia="Bookman Old Style" w:hAnsi="Bookman Old Style" w:cs="Bookman Old Style"/>
          <w:i/>
          <w:iCs/>
          <w:color w:val="231F20"/>
          <w:sz w:val="18"/>
          <w:szCs w:val="18"/>
          <w:lang w:val="en-US" w:eastAsia="en-US" w:bidi="en-US"/>
        </w:rPr>
        <w:t>BTO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ROT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BOOT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BOO</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 другие меха-</w:t>
      </w:r>
      <w:r w:rsidRPr="004E0FC4">
        <w:rPr>
          <w:rFonts w:ascii="Bookman Old Style" w:eastAsia="Bookman Old Style" w:hAnsi="Bookman Old Style" w:cs="Bookman Old Style"/>
          <w:color w:val="231F20"/>
          <w:sz w:val="18"/>
          <w:szCs w:val="18"/>
        </w:rPr>
        <w:br/>
        <w:t>низмы и формы (включая акционерную),</w:t>
      </w:r>
      <w:r w:rsidRPr="004E0FC4">
        <w:rPr>
          <w:rFonts w:ascii="Bookman Old Style" w:eastAsia="Bookman Old Style" w:hAnsi="Bookman Old Style" w:cs="Bookman Old Style"/>
          <w:color w:val="231F20"/>
          <w:sz w:val="18"/>
          <w:szCs w:val="18"/>
        </w:rPr>
        <w:br/>
        <w:t>предусматривающие наиболее тесное</w:t>
      </w:r>
      <w:r w:rsidRPr="004E0FC4">
        <w:rPr>
          <w:rFonts w:ascii="Bookman Old Style" w:eastAsia="Bookman Old Style" w:hAnsi="Bookman Old Style" w:cs="Bookman Old Style"/>
          <w:color w:val="231F20"/>
          <w:sz w:val="18"/>
          <w:szCs w:val="18"/>
        </w:rPr>
        <w:br/>
        <w:t>взаимодействие бизнеса и государства</w:t>
      </w:r>
      <w:r w:rsidRPr="004E0FC4">
        <w:rPr>
          <w:rFonts w:ascii="Bookman Old Style" w:eastAsia="Bookman Old Style" w:hAnsi="Bookman Old Style" w:cs="Bookman Old Style"/>
          <w:color w:val="231F20"/>
          <w:sz w:val="18"/>
          <w:szCs w:val="18"/>
        </w:rPr>
        <w:br/>
        <w:t>на стадиях строительства и эксплуатации</w:t>
      </w:r>
      <w:r w:rsidRPr="004E0FC4">
        <w:rPr>
          <w:rFonts w:ascii="Bookman Old Style" w:eastAsia="Bookman Old Style" w:hAnsi="Bookman Old Style" w:cs="Bookman Old Style"/>
          <w:color w:val="231F20"/>
          <w:sz w:val="18"/>
          <w:szCs w:val="18"/>
        </w:rPr>
        <w:br/>
        <w:t>объектов</w:t>
      </w:r>
    </w:p>
    <w:p w14:paraId="09FDB370" w14:textId="77777777" w:rsidR="00350396" w:rsidRPr="004E0FC4" w:rsidRDefault="00350396" w:rsidP="004E0FC4">
      <w:pPr>
        <w:widowControl w:val="0"/>
        <w:spacing w:after="260" w:line="221" w:lineRule="exact"/>
        <w:ind w:right="1080"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O</w:t>
      </w:r>
      <w:r w:rsidRPr="004E0FC4">
        <w:rPr>
          <w:rFonts w:ascii="Bookman Old Style" w:eastAsia="Bookman Old Style" w:hAnsi="Bookman Old Style" w:cs="Bookman Old Style"/>
          <w:i/>
          <w:iCs/>
          <w:color w:val="231F20"/>
          <w:sz w:val="18"/>
          <w:szCs w:val="18"/>
          <w:lang w:eastAsia="en-US" w:bidi="en-US"/>
        </w:rPr>
        <w:t>&amp;</w:t>
      </w:r>
      <w:r w:rsidRPr="004E0FC4">
        <w:rPr>
          <w:rFonts w:ascii="Bookman Old Style" w:eastAsia="Bookman Old Style" w:hAnsi="Bookman Old Style" w:cs="Bookman Old Style"/>
          <w:i/>
          <w:iCs/>
          <w:color w:val="231F20"/>
          <w:sz w:val="18"/>
          <w:szCs w:val="18"/>
          <w:lang w:val="en-US" w:eastAsia="en-US" w:bidi="en-US"/>
        </w:rPr>
        <w:t>M</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S</w:t>
      </w:r>
      <w:r w:rsidRPr="004E0FC4">
        <w:rPr>
          <w:rFonts w:ascii="Bookman Old Style" w:eastAsia="Bookman Old Style" w:hAnsi="Bookman Old Style" w:cs="Bookman Old Style"/>
          <w:i/>
          <w:iCs/>
          <w:color w:val="231F20"/>
          <w:sz w:val="18"/>
          <w:szCs w:val="18"/>
          <w:lang w:eastAsia="en-US" w:bidi="en-US"/>
        </w:rPr>
        <w:t>&amp;</w:t>
      </w:r>
      <w:r w:rsidRPr="004E0FC4">
        <w:rPr>
          <w:rFonts w:ascii="Bookman Old Style" w:eastAsia="Bookman Old Style" w:hAnsi="Bookman Old Style" w:cs="Bookman Old Style"/>
          <w:i/>
          <w:iCs/>
          <w:color w:val="231F20"/>
          <w:sz w:val="18"/>
          <w:szCs w:val="18"/>
          <w:lang w:val="en-US" w:eastAsia="en-US" w:bidi="en-US"/>
        </w:rPr>
        <w:t>M</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обслуживание, аутсор</w:t>
      </w:r>
      <w:r w:rsidRPr="004E0FC4">
        <w:rPr>
          <w:rFonts w:ascii="Bookman Old Style" w:eastAsia="Bookman Old Style" w:hAnsi="Bookman Old Style" w:cs="Bookman Old Style"/>
          <w:color w:val="231F20"/>
          <w:sz w:val="18"/>
          <w:szCs w:val="18"/>
        </w:rPr>
        <w:softHyphen/>
        <w:t>синг менеджмента объектов</w:t>
      </w:r>
    </w:p>
    <w:p w14:paraId="64D98363" w14:textId="77777777" w:rsidR="00350396" w:rsidRPr="004E0FC4" w:rsidRDefault="00350396" w:rsidP="004E0FC4">
      <w:pPr>
        <w:widowControl w:val="0"/>
        <w:spacing w:after="120" w:line="221" w:lineRule="exact"/>
        <w:ind w:left="40"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BRO</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передача частному партнеру в лизинг</w:t>
      </w:r>
      <w:r w:rsidRPr="004E0FC4">
        <w:rPr>
          <w:rFonts w:ascii="Bookman Old Style" w:eastAsia="Bookman Old Style" w:hAnsi="Bookman Old Style" w:cs="Bookman Old Style"/>
          <w:color w:val="231F20"/>
          <w:sz w:val="18"/>
          <w:szCs w:val="18"/>
        </w:rPr>
        <w:br/>
        <w:t>и аренду объектов, которыми владеет государ-</w:t>
      </w:r>
      <w:r w:rsidRPr="004E0FC4">
        <w:rPr>
          <w:rFonts w:ascii="Bookman Old Style" w:eastAsia="Bookman Old Style" w:hAnsi="Bookman Old Style" w:cs="Bookman Old Style"/>
          <w:color w:val="231F20"/>
          <w:sz w:val="18"/>
          <w:szCs w:val="18"/>
        </w:rPr>
        <w:br/>
        <w:t>ство</w:t>
      </w:r>
    </w:p>
    <w:p w14:paraId="07925F0C" w14:textId="77777777" w:rsidR="00350396" w:rsidRPr="004E0FC4" w:rsidRDefault="00350396" w:rsidP="004E0FC4">
      <w:pPr>
        <w:widowControl w:val="0"/>
        <w:spacing w:after="135" w:line="221" w:lineRule="exact"/>
        <w:ind w:left="520"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DB</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DBM</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проектирование, постройка + поддержа-</w:t>
      </w:r>
      <w:r w:rsidRPr="004E0FC4">
        <w:rPr>
          <w:rFonts w:ascii="Bookman Old Style" w:eastAsia="Bookman Old Style" w:hAnsi="Bookman Old Style" w:cs="Bookman Old Style"/>
          <w:color w:val="231F20"/>
          <w:sz w:val="18"/>
          <w:szCs w:val="18"/>
        </w:rPr>
        <w:br/>
        <w:t>ние</w:t>
      </w:r>
    </w:p>
    <w:p w14:paraId="155504B6" w14:textId="77777777" w:rsidR="00350396" w:rsidRPr="004E0FC4" w:rsidRDefault="00350396" w:rsidP="004E0FC4">
      <w:pPr>
        <w:widowControl w:val="0"/>
        <w:tabs>
          <w:tab w:val="left" w:leader="hyphen" w:pos="6485"/>
        </w:tabs>
        <w:spacing w:line="202" w:lineRule="exact"/>
        <w:ind w:left="33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ab/>
        <w:t>►</w:t>
      </w:r>
    </w:p>
    <w:p w14:paraId="79A27A2D" w14:textId="77777777" w:rsidR="00350396" w:rsidRPr="004E0FC4" w:rsidRDefault="00350396" w:rsidP="004E0FC4">
      <w:pPr>
        <w:widowControl w:val="0"/>
        <w:spacing w:after="230" w:line="202" w:lineRule="exact"/>
        <w:ind w:left="336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Вовлеченность частного партнера</w:t>
      </w:r>
    </w:p>
    <w:p w14:paraId="69361C29" w14:textId="77777777" w:rsidR="00350396" w:rsidRPr="004E0FC4" w:rsidRDefault="00350396" w:rsidP="004E0FC4">
      <w:pPr>
        <w:widowControl w:val="0"/>
        <w:spacing w:after="252" w:line="240" w:lineRule="auto"/>
        <w:ind w:left="40" w:firstLine="0"/>
        <w:rPr>
          <w:rFonts w:ascii="Bookman Old Style" w:hAnsi="Bookman Old Style"/>
          <w:sz w:val="18"/>
          <w:szCs w:val="18"/>
        </w:rPr>
      </w:pPr>
      <w:r w:rsidRPr="004E0FC4">
        <w:rPr>
          <w:rFonts w:ascii="Bookman Old Style" w:eastAsia="Bookman Old Style" w:hAnsi="Bookman Old Style" w:cs="Bookman Old Style"/>
          <w:b/>
          <w:bCs/>
          <w:i/>
          <w:iCs/>
          <w:color w:val="231F20"/>
          <w:sz w:val="18"/>
          <w:szCs w:val="18"/>
        </w:rPr>
        <w:t>Рис. 4.</w:t>
      </w:r>
      <w:r w:rsidRPr="004E0FC4">
        <w:rPr>
          <w:rFonts w:ascii="Bookman Old Style" w:eastAsia="Bookman Old Style" w:hAnsi="Bookman Old Style" w:cs="Bookman Old Style"/>
          <w:b/>
          <w:bCs/>
          <w:i/>
          <w:iCs/>
          <w:color w:val="231F20"/>
          <w:sz w:val="18"/>
          <w:szCs w:val="18"/>
          <w:highlight w:val="green"/>
        </w:rPr>
        <w:t>5.</w:t>
      </w:r>
      <w:r w:rsidRPr="004E0FC4">
        <w:rPr>
          <w:rFonts w:ascii="Bookman Old Style" w:eastAsia="Bookman Old Style" w:hAnsi="Bookman Old Style" w:cs="Bookman Old Style"/>
          <w:b/>
          <w:bCs/>
          <w:color w:val="231F20"/>
          <w:sz w:val="18"/>
          <w:szCs w:val="18"/>
        </w:rPr>
        <w:t xml:space="preserve"> </w:t>
      </w:r>
      <w:r w:rsidRPr="004E0FC4">
        <w:rPr>
          <w:rFonts w:ascii="Bookman Old Style" w:eastAsia="Arial Narrow" w:hAnsi="Bookman Old Style" w:cs="Arial Narrow"/>
          <w:b/>
          <w:bCs/>
          <w:color w:val="231F20"/>
          <w:sz w:val="18"/>
          <w:szCs w:val="18"/>
        </w:rPr>
        <w:t>Соотношение различных механизмов ГЧП в зависимости от рисков,</w:t>
      </w:r>
      <w:r w:rsidRPr="004E0FC4">
        <w:rPr>
          <w:rFonts w:ascii="Bookman Old Style" w:eastAsia="Arial Narrow" w:hAnsi="Bookman Old Style" w:cs="Arial Narrow"/>
          <w:b/>
          <w:bCs/>
          <w:color w:val="231F20"/>
          <w:sz w:val="18"/>
          <w:szCs w:val="18"/>
        </w:rPr>
        <w:br/>
        <w:t>принимаемых частным партнером, и степени вовлеченности частного партнера</w:t>
      </w:r>
    </w:p>
    <w:p w14:paraId="5BE34EF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дополнение к наличию различных форм и механизмов ГЧП выделяют также три принципиальные модели ГЧП — </w:t>
      </w:r>
      <w:r w:rsidRPr="004E0FC4">
        <w:rPr>
          <w:rFonts w:ascii="Bookman Old Style" w:eastAsia="Bookman Old Style" w:hAnsi="Bookman Old Style" w:cs="Bookman Old Style"/>
          <w:i/>
          <w:iCs/>
          <w:color w:val="231F20"/>
          <w:sz w:val="18"/>
          <w:szCs w:val="18"/>
          <w:lang w:eastAsia="en-US" w:bidi="en-US"/>
        </w:rPr>
        <w:t>модели ор</w:t>
      </w:r>
      <w:r w:rsidRPr="004E0FC4">
        <w:rPr>
          <w:rFonts w:ascii="Bookman Old Style" w:eastAsia="Bookman Old Style" w:hAnsi="Bookman Old Style" w:cs="Bookman Old Style"/>
          <w:i/>
          <w:iCs/>
          <w:color w:val="231F20"/>
          <w:sz w:val="18"/>
          <w:szCs w:val="18"/>
          <w:lang w:eastAsia="en-US" w:bidi="en-US"/>
        </w:rPr>
        <w:softHyphen/>
        <w:t>ганизации</w:t>
      </w:r>
      <w:r w:rsidRPr="004E0FC4">
        <w:rPr>
          <w:rFonts w:ascii="Bookman Old Style" w:eastAsia="Bookman Old Style" w:hAnsi="Bookman Old Style" w:cs="Bookman Old Style"/>
          <w:i/>
          <w:iCs/>
          <w:color w:val="231F20"/>
          <w:sz w:val="18"/>
          <w:szCs w:val="18"/>
        </w:rPr>
        <w:t xml:space="preserve">, </w:t>
      </w:r>
      <w:r w:rsidRPr="004E0FC4">
        <w:rPr>
          <w:rFonts w:ascii="Bookman Old Style" w:eastAsia="Bookman Old Style" w:hAnsi="Bookman Old Style" w:cs="Bookman Old Style"/>
          <w:i/>
          <w:iCs/>
          <w:color w:val="231F20"/>
          <w:sz w:val="18"/>
          <w:szCs w:val="18"/>
          <w:lang w:eastAsia="en-US" w:bidi="en-US"/>
        </w:rPr>
        <w:t>финансирования и кооперации</w:t>
      </w:r>
      <w:r w:rsidRPr="004E0FC4">
        <w:rPr>
          <w:rFonts w:ascii="Bookman Old Style" w:eastAsia="Bookman Old Style" w:hAnsi="Bookman Old Style" w:cs="Bookman Old Style"/>
          <w:i/>
          <w:iCs/>
          <w:color w:val="231F20"/>
          <w:sz w:val="18"/>
          <w:szCs w:val="18"/>
        </w:rPr>
        <w:t>.</w:t>
      </w:r>
      <w:r w:rsidRPr="004E0FC4">
        <w:rPr>
          <w:rFonts w:ascii="Bookman Old Style" w:eastAsia="Bookman Old Style" w:hAnsi="Bookman Old Style" w:cs="Bookman Old Style"/>
          <w:color w:val="231F20"/>
          <w:sz w:val="18"/>
          <w:szCs w:val="18"/>
        </w:rPr>
        <w:t xml:space="preserve"> Данные модели ГЧП</w:t>
      </w:r>
      <w:r w:rsidRPr="004E0FC4">
        <w:rPr>
          <w:rFonts w:ascii="Bookman Old Style" w:eastAsia="Bookman Old Style" w:hAnsi="Bookman Old Style" w:cs="Bookman Old Style"/>
          <w:color w:val="231F20"/>
          <w:sz w:val="18"/>
          <w:szCs w:val="18"/>
        </w:rPr>
        <w:br w:type="page"/>
      </w:r>
      <w:r w:rsidRPr="004E0FC4">
        <w:rPr>
          <w:rFonts w:ascii="Bookman Old Style" w:eastAsia="Bookman Old Style" w:hAnsi="Bookman Old Style" w:cs="Bookman Old Style"/>
          <w:color w:val="231F20"/>
          <w:sz w:val="18"/>
          <w:szCs w:val="18"/>
        </w:rPr>
        <w:lastRenderedPageBreak/>
        <w:t>более удобны для теоретического осмысления, тогда как на прак</w:t>
      </w:r>
      <w:r w:rsidRPr="004E0FC4">
        <w:rPr>
          <w:rFonts w:ascii="Bookman Old Style" w:eastAsia="Bookman Old Style" w:hAnsi="Bookman Old Style" w:cs="Bookman Old Style"/>
          <w:color w:val="231F20"/>
          <w:sz w:val="18"/>
          <w:szCs w:val="18"/>
        </w:rPr>
        <w:softHyphen/>
        <w:t>тике используются формы и механизмы, более точно отражающие суть конкретной сделки, иногда сочетающие особенности несколь</w:t>
      </w:r>
      <w:r w:rsidRPr="004E0FC4">
        <w:rPr>
          <w:rFonts w:ascii="Bookman Old Style" w:eastAsia="Bookman Old Style" w:hAnsi="Bookman Old Style" w:cs="Bookman Old Style"/>
          <w:color w:val="231F20"/>
          <w:sz w:val="18"/>
          <w:szCs w:val="18"/>
        </w:rPr>
        <w:softHyphen/>
        <w:t>ких моделей</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w:t>
      </w:r>
    </w:p>
    <w:p w14:paraId="3A5A8160"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Организационные модели</w:t>
      </w:r>
      <w:r w:rsidRPr="004E0FC4">
        <w:rPr>
          <w:rFonts w:ascii="Bookman Old Style" w:eastAsia="Bookman Old Style" w:hAnsi="Bookman Old Style" w:cs="Bookman Old Style"/>
          <w:color w:val="231F20"/>
          <w:sz w:val="18"/>
          <w:szCs w:val="18"/>
        </w:rPr>
        <w:t xml:space="preserve"> предполагают переуступку государ</w:t>
      </w:r>
      <w:r w:rsidRPr="004E0FC4">
        <w:rPr>
          <w:rFonts w:ascii="Bookman Old Style" w:eastAsia="Bookman Old Style" w:hAnsi="Bookman Old Style" w:cs="Bookman Old Style"/>
          <w:color w:val="231F20"/>
          <w:sz w:val="18"/>
          <w:szCs w:val="18"/>
        </w:rPr>
        <w:softHyphen/>
        <w:t>ством своих функций и обязанностей на основе передачи объектов во внешнее управление. К организационной модели относят наибо</w:t>
      </w:r>
      <w:r w:rsidRPr="004E0FC4">
        <w:rPr>
          <w:rFonts w:ascii="Bookman Old Style" w:eastAsia="Bookman Old Style" w:hAnsi="Bookman Old Style" w:cs="Bookman Old Style"/>
          <w:color w:val="231F20"/>
          <w:sz w:val="18"/>
          <w:szCs w:val="18"/>
        </w:rPr>
        <w:softHyphen/>
        <w:t xml:space="preserve">лее распространенную в настоящее время форму ГЧП — концессии, а также государственные контракты на управление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Management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contract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rPr>
        <w:t>О&amp;М,</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lang w:val="en-US" w:eastAsia="en-US" w:bidi="en-US"/>
        </w:rPr>
        <w:t>S</w:t>
      </w:r>
      <w:r w:rsidRPr="004E0FC4">
        <w:rPr>
          <w:rFonts w:ascii="Bookman Old Style" w:eastAsia="Bookman Old Style" w:hAnsi="Bookman Old Style" w:cs="Bookman Old Style"/>
          <w:color w:val="231F20"/>
          <w:sz w:val="18"/>
          <w:szCs w:val="18"/>
          <w:lang w:eastAsia="en-US" w:bidi="en-US"/>
        </w:rPr>
        <w:t>&amp;</w:t>
      </w:r>
      <w:r w:rsidRPr="004E0FC4">
        <w:rPr>
          <w:rFonts w:ascii="Bookman Old Style" w:eastAsia="Bookman Old Style" w:hAnsi="Bookman Old Style" w:cs="Bookman Old Style"/>
          <w:color w:val="231F20"/>
          <w:sz w:val="18"/>
          <w:szCs w:val="18"/>
          <w:lang w:val="en-US" w:eastAsia="en-US" w:bidi="en-US"/>
        </w:rPr>
        <w:t>M</w:t>
      </w:r>
      <w:r w:rsidRPr="004E0FC4">
        <w:rPr>
          <w:rFonts w:ascii="Bookman Old Style" w:eastAsia="Bookman Old Style" w:hAnsi="Bookman Old Style" w:cs="Bookman Old Style"/>
          <w:color w:val="231F20"/>
          <w:sz w:val="18"/>
          <w:szCs w:val="18"/>
          <w:lang w:eastAsia="en-US" w:bidi="en-US"/>
        </w:rPr>
        <w:t>).</w:t>
      </w:r>
    </w:p>
    <w:p w14:paraId="3D221991"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Модели финансирования</w:t>
      </w:r>
      <w:r w:rsidRPr="004E0FC4">
        <w:rPr>
          <w:rFonts w:ascii="Bookman Old Style" w:eastAsia="Bookman Old Style" w:hAnsi="Bookman Old Style" w:cs="Bookman Old Style"/>
          <w:color w:val="231F20"/>
          <w:sz w:val="18"/>
          <w:szCs w:val="18"/>
        </w:rPr>
        <w:t xml:space="preserve"> предполагают получение (возврат) госу</w:t>
      </w:r>
      <w:r w:rsidRPr="004E0FC4">
        <w:rPr>
          <w:rFonts w:ascii="Bookman Old Style" w:eastAsia="Bookman Old Style" w:hAnsi="Bookman Old Style" w:cs="Bookman Old Style"/>
          <w:color w:val="231F20"/>
          <w:sz w:val="18"/>
          <w:szCs w:val="18"/>
        </w:rPr>
        <w:softHyphen/>
        <w:t>дарством средств от партнерства с частным бизнесом и включают в первую очередь формы аренды и лизинга.</w:t>
      </w:r>
    </w:p>
    <w:p w14:paraId="603B9369"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Модели кооперации</w:t>
      </w:r>
      <w:r w:rsidRPr="004E0FC4">
        <w:rPr>
          <w:rFonts w:ascii="Bookman Old Style" w:eastAsia="Bookman Old Style" w:hAnsi="Bookman Old Style" w:cs="Bookman Old Style"/>
          <w:color w:val="231F20"/>
          <w:sz w:val="18"/>
          <w:szCs w:val="18"/>
        </w:rPr>
        <w:t xml:space="preserve"> предполагают объединение усилий на раз</w:t>
      </w:r>
      <w:r w:rsidRPr="004E0FC4">
        <w:rPr>
          <w:rFonts w:ascii="Bookman Old Style" w:eastAsia="Bookman Old Style" w:hAnsi="Bookman Old Style" w:cs="Bookman Old Style"/>
          <w:color w:val="231F20"/>
          <w:sz w:val="18"/>
          <w:szCs w:val="18"/>
        </w:rPr>
        <w:softHyphen/>
        <w:t>личных стадиях процесса оказания публичных услуг, т. е. совмест</w:t>
      </w:r>
      <w:r w:rsidRPr="004E0FC4">
        <w:rPr>
          <w:rFonts w:ascii="Bookman Old Style" w:eastAsia="Bookman Old Style" w:hAnsi="Bookman Old Style" w:cs="Bookman Old Style"/>
          <w:color w:val="231F20"/>
          <w:sz w:val="18"/>
          <w:szCs w:val="18"/>
        </w:rPr>
        <w:softHyphen/>
        <w:t>ное строительство и эксплуатацию объектов. Модель кооперации реализуется через создание совместных (смешанных) предпри</w:t>
      </w:r>
      <w:r w:rsidRPr="004E0FC4">
        <w:rPr>
          <w:rFonts w:ascii="Bookman Old Style" w:eastAsia="Bookman Old Style" w:hAnsi="Bookman Old Style" w:cs="Bookman Old Style"/>
          <w:color w:val="231F20"/>
          <w:sz w:val="18"/>
          <w:szCs w:val="18"/>
        </w:rPr>
        <w:softHyphen/>
        <w:t>ятий — иногда в виде сложных холдинговых структур, в ряде типов концессий, в контактах с инвестиционными обязательствами сто</w:t>
      </w:r>
      <w:r w:rsidRPr="004E0FC4">
        <w:rPr>
          <w:rFonts w:ascii="Bookman Old Style" w:eastAsia="Bookman Old Style" w:hAnsi="Bookman Old Style" w:cs="Bookman Old Style"/>
          <w:color w:val="231F20"/>
          <w:sz w:val="18"/>
          <w:szCs w:val="18"/>
        </w:rPr>
        <w:softHyphen/>
        <w:t xml:space="preserve">рон и переходом прав собственности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BOT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ROT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BTO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BOOT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DBOOT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BOO</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 др.).</w:t>
      </w:r>
    </w:p>
    <w:p w14:paraId="689304C6"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Кооперационные модели ГЧП, предполагающие привлечение инвестиций в конкретные проекты, во многом являются развитием института проектного финансирования. Общими чертами моделей проектного финансирования и ГЧП являются</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w:t>
      </w:r>
    </w:p>
    <w:p w14:paraId="6B2B13C4" w14:textId="77777777" w:rsidR="00350396" w:rsidRPr="004E0FC4" w:rsidRDefault="00350396" w:rsidP="004E0FC4">
      <w:pPr>
        <w:widowControl w:val="0"/>
        <w:numPr>
          <w:ilvl w:val="0"/>
          <w:numId w:val="48"/>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уникальность проекта;</w:t>
      </w:r>
    </w:p>
    <w:p w14:paraId="6EA23F5C" w14:textId="77777777" w:rsidR="00350396" w:rsidRPr="004E0FC4" w:rsidRDefault="00350396" w:rsidP="004E0FC4">
      <w:pPr>
        <w:widowControl w:val="0"/>
        <w:numPr>
          <w:ilvl w:val="0"/>
          <w:numId w:val="48"/>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создание самостоятельной проектной компании;</w:t>
      </w:r>
    </w:p>
    <w:p w14:paraId="6165A1AF" w14:textId="77777777" w:rsidR="00350396" w:rsidRPr="004E0FC4" w:rsidRDefault="00350396" w:rsidP="004E0FC4">
      <w:pPr>
        <w:widowControl w:val="0"/>
        <w:numPr>
          <w:ilvl w:val="0"/>
          <w:numId w:val="48"/>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возврат инвестированных средств за счет генерируемых про</w:t>
      </w:r>
      <w:r w:rsidRPr="004E0FC4">
        <w:rPr>
          <w:rFonts w:ascii="Bookman Old Style" w:eastAsia="Bookman Old Style" w:hAnsi="Bookman Old Style" w:cs="Bookman Old Style"/>
          <w:color w:val="231F20"/>
          <w:sz w:val="18"/>
          <w:szCs w:val="18"/>
        </w:rPr>
        <w:softHyphen/>
        <w:t>ектом будущих денежных потоков;</w:t>
      </w:r>
    </w:p>
    <w:p w14:paraId="12F89AC2" w14:textId="77777777" w:rsidR="00350396" w:rsidRPr="004E0FC4" w:rsidRDefault="00350396" w:rsidP="004E0FC4">
      <w:pPr>
        <w:widowControl w:val="0"/>
        <w:numPr>
          <w:ilvl w:val="0"/>
          <w:numId w:val="48"/>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необходимость выявления областей риска, их оценки и рас</w:t>
      </w:r>
      <w:r w:rsidRPr="004E0FC4">
        <w:rPr>
          <w:rFonts w:ascii="Bookman Old Style" w:eastAsia="Bookman Old Style" w:hAnsi="Bookman Old Style" w:cs="Bookman Old Style"/>
          <w:color w:val="231F20"/>
          <w:sz w:val="18"/>
          <w:szCs w:val="18"/>
        </w:rPr>
        <w:softHyphen/>
        <w:t>пределения между партнерами/участниками проекта;</w:t>
      </w:r>
    </w:p>
    <w:p w14:paraId="6655B255" w14:textId="77777777" w:rsidR="00350396" w:rsidRPr="004E0FC4" w:rsidRDefault="00350396" w:rsidP="004E0FC4">
      <w:pPr>
        <w:widowControl w:val="0"/>
        <w:numPr>
          <w:ilvl w:val="0"/>
          <w:numId w:val="48"/>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четкое определение обязательств партнеров;</w:t>
      </w:r>
    </w:p>
    <w:p w14:paraId="00A74704" w14:textId="77777777" w:rsidR="00350396" w:rsidRPr="004E0FC4" w:rsidRDefault="00350396" w:rsidP="004E0FC4">
      <w:pPr>
        <w:widowControl w:val="0"/>
        <w:numPr>
          <w:ilvl w:val="0"/>
          <w:numId w:val="48"/>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определение пределов ответственности, включая установление полного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full</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recourse</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или ограниченного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limited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recourse</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регресса на все активы заемщика. При проектном финансировании чаще все</w:t>
      </w:r>
      <w:r w:rsidRPr="004E0FC4">
        <w:rPr>
          <w:rFonts w:ascii="Bookman Old Style" w:eastAsia="Bookman Old Style" w:hAnsi="Bookman Old Style" w:cs="Bookman Old Style"/>
          <w:color w:val="231F20"/>
          <w:sz w:val="18"/>
          <w:szCs w:val="18"/>
        </w:rPr>
        <w:softHyphen/>
        <w:t>го предоставляются кредиты с правом ограниченного регресса.</w:t>
      </w:r>
    </w:p>
    <w:p w14:paraId="2C5C19A7"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Рассмотрение форм, механизмов и моделей ГЧП позволяет выде</w:t>
      </w:r>
      <w:r w:rsidRPr="004E0FC4">
        <w:rPr>
          <w:rFonts w:ascii="Bookman Old Style" w:eastAsia="Bookman Old Style" w:hAnsi="Bookman Old Style" w:cs="Bookman Old Style"/>
          <w:color w:val="231F20"/>
          <w:sz w:val="18"/>
          <w:szCs w:val="18"/>
        </w:rPr>
        <w:softHyphen/>
        <w:t xml:space="preserve">лить следующие </w:t>
      </w:r>
      <w:r w:rsidRPr="004E0FC4">
        <w:rPr>
          <w:rFonts w:ascii="Bookman Old Style" w:eastAsia="Bookman Old Style" w:hAnsi="Bookman Old Style" w:cs="Bookman Old Style"/>
          <w:i/>
          <w:iCs/>
          <w:color w:val="231F20"/>
          <w:sz w:val="18"/>
          <w:szCs w:val="18"/>
        </w:rPr>
        <w:t>характерные черты ГЧП,</w:t>
      </w:r>
      <w:r w:rsidRPr="004E0FC4">
        <w:rPr>
          <w:rFonts w:ascii="Bookman Old Style" w:eastAsia="Bookman Old Style" w:hAnsi="Bookman Old Style" w:cs="Bookman Old Style"/>
          <w:color w:val="231F20"/>
          <w:sz w:val="18"/>
          <w:szCs w:val="18"/>
        </w:rPr>
        <w:t xml:space="preserve"> отличающие его проекты от других форм отношений государства и частного бизнеса</w:t>
      </w:r>
      <w:r w:rsidRPr="004E0FC4">
        <w:rPr>
          <w:rFonts w:ascii="Bookman Old Style" w:eastAsia="Bookman Old Style" w:hAnsi="Bookman Old Style" w:cs="Bookman Old Style"/>
          <w:color w:val="231F20"/>
          <w:sz w:val="18"/>
          <w:szCs w:val="18"/>
          <w:highlight w:val="red"/>
          <w:vertAlign w:val="superscript"/>
        </w:rPr>
        <w:t>3</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vertAlign w:val="superscript"/>
        </w:rPr>
        <w:footnoteReference w:id="84"/>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85"/>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86"/>
      </w:r>
    </w:p>
    <w:p w14:paraId="6450F428" w14:textId="77777777" w:rsidR="00350396" w:rsidRPr="004E0FC4" w:rsidRDefault="00350396" w:rsidP="004E0FC4">
      <w:pPr>
        <w:widowControl w:val="0"/>
        <w:numPr>
          <w:ilvl w:val="0"/>
          <w:numId w:val="48"/>
        </w:numPr>
        <w:tabs>
          <w:tab w:val="left" w:pos="624"/>
        </w:tabs>
        <w:spacing w:line="250" w:lineRule="exact"/>
        <w:rPr>
          <w:rFonts w:ascii="Bookman Old Style" w:hAnsi="Bookman Old Style"/>
          <w:sz w:val="18"/>
          <w:szCs w:val="18"/>
        </w:rPr>
      </w:pPr>
      <w:bookmarkStart w:id="56" w:name="bookmark53"/>
      <w:r w:rsidRPr="004E0FC4">
        <w:rPr>
          <w:rFonts w:ascii="Bookman Old Style" w:eastAsia="Bookman Old Style" w:hAnsi="Bookman Old Style" w:cs="Bookman Old Style"/>
          <w:color w:val="231F20"/>
          <w:sz w:val="18"/>
          <w:szCs w:val="18"/>
        </w:rPr>
        <w:t>определенные, часто длительные сроки действия соглашений о партнерстве (от 10—15 до 20 и более лет, в случае концессий — до 50 лет). Проекты обычно создаются под конкретный объект (порт, дорога, объект социальной инфраструктуры), который дол</w:t>
      </w:r>
      <w:r w:rsidRPr="004E0FC4">
        <w:rPr>
          <w:rFonts w:ascii="Bookman Old Style" w:eastAsia="Bookman Old Style" w:hAnsi="Bookman Old Style" w:cs="Bookman Old Style"/>
          <w:color w:val="231F20"/>
          <w:sz w:val="18"/>
          <w:szCs w:val="18"/>
        </w:rPr>
        <w:softHyphen/>
        <w:t xml:space="preserve">жен быть введен в </w:t>
      </w:r>
      <w:r w:rsidRPr="004E0FC4">
        <w:rPr>
          <w:rFonts w:ascii="Bookman Old Style" w:eastAsia="Bookman Old Style" w:hAnsi="Bookman Old Style" w:cs="Bookman Old Style"/>
          <w:color w:val="231F20"/>
          <w:sz w:val="18"/>
          <w:szCs w:val="18"/>
        </w:rPr>
        <w:lastRenderedPageBreak/>
        <w:t>строй к установленной дате и эксплуатироваться длительный период;</w:t>
      </w:r>
      <w:bookmarkEnd w:id="56"/>
    </w:p>
    <w:p w14:paraId="10B39BBB" w14:textId="77777777" w:rsidR="00350396" w:rsidRPr="004E0FC4" w:rsidRDefault="00350396" w:rsidP="004E0FC4">
      <w:pPr>
        <w:widowControl w:val="0"/>
        <w:numPr>
          <w:ilvl w:val="0"/>
          <w:numId w:val="48"/>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специфические формы финансирования проектов: за счет частных инвестиций, дополненных государственными финансо</w:t>
      </w:r>
      <w:r w:rsidRPr="004E0FC4">
        <w:rPr>
          <w:rFonts w:ascii="Bookman Old Style" w:eastAsia="Bookman Old Style" w:hAnsi="Bookman Old Style" w:cs="Bookman Old Style"/>
          <w:color w:val="231F20"/>
          <w:sz w:val="18"/>
          <w:szCs w:val="18"/>
        </w:rPr>
        <w:softHyphen/>
        <w:t>выми ресурсами, или же совместное инвестирование нескольких участников;</w:t>
      </w:r>
    </w:p>
    <w:p w14:paraId="556A1406" w14:textId="77777777" w:rsidR="00350396" w:rsidRPr="004E0FC4" w:rsidRDefault="00350396" w:rsidP="004E0FC4">
      <w:pPr>
        <w:widowControl w:val="0"/>
        <w:numPr>
          <w:ilvl w:val="0"/>
          <w:numId w:val="48"/>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наличие конкурентной борьбы между претендентами на за</w:t>
      </w:r>
      <w:r w:rsidRPr="004E0FC4">
        <w:rPr>
          <w:rFonts w:ascii="Bookman Old Style" w:eastAsia="Bookman Old Style" w:hAnsi="Bookman Old Style" w:cs="Bookman Old Style"/>
          <w:color w:val="231F20"/>
          <w:sz w:val="18"/>
          <w:szCs w:val="18"/>
        </w:rPr>
        <w:softHyphen/>
        <w:t>ключение контракта;</w:t>
      </w:r>
    </w:p>
    <w:p w14:paraId="618F01C5" w14:textId="77777777" w:rsidR="00350396" w:rsidRPr="004E0FC4" w:rsidRDefault="00350396" w:rsidP="004E0FC4">
      <w:pPr>
        <w:widowControl w:val="0"/>
        <w:numPr>
          <w:ilvl w:val="0"/>
          <w:numId w:val="48"/>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специфические формы распределения ответственности между партнерами: государство устанавливает цели проекта с по</w:t>
      </w:r>
      <w:r w:rsidRPr="004E0FC4">
        <w:rPr>
          <w:rFonts w:ascii="Bookman Old Style" w:eastAsia="Bookman Old Style" w:hAnsi="Bookman Old Style" w:cs="Bookman Old Style"/>
          <w:color w:val="231F20"/>
          <w:sz w:val="18"/>
          <w:szCs w:val="18"/>
        </w:rPr>
        <w:softHyphen/>
        <w:t>зиций общественных интересов и определяет стоимостные и каче</w:t>
      </w:r>
      <w:r w:rsidRPr="004E0FC4">
        <w:rPr>
          <w:rFonts w:ascii="Bookman Old Style" w:eastAsia="Bookman Old Style" w:hAnsi="Bookman Old Style" w:cs="Bookman Old Style"/>
          <w:color w:val="231F20"/>
          <w:sz w:val="18"/>
          <w:szCs w:val="18"/>
        </w:rPr>
        <w:softHyphen/>
        <w:t>ственные параметры, осуществляет мониторинг реализации проек</w:t>
      </w:r>
      <w:r w:rsidRPr="004E0FC4">
        <w:rPr>
          <w:rFonts w:ascii="Bookman Old Style" w:eastAsia="Bookman Old Style" w:hAnsi="Bookman Old Style" w:cs="Bookman Old Style"/>
          <w:color w:val="231F20"/>
          <w:sz w:val="18"/>
          <w:szCs w:val="18"/>
        </w:rPr>
        <w:softHyphen/>
        <w:t>тов, а частный партнер берет на себя операционную деятельность на разных стадиях проекта — разработка, финансирование, стро</w:t>
      </w:r>
      <w:r w:rsidRPr="004E0FC4">
        <w:rPr>
          <w:rFonts w:ascii="Bookman Old Style" w:eastAsia="Bookman Old Style" w:hAnsi="Bookman Old Style" w:cs="Bookman Old Style"/>
          <w:color w:val="231F20"/>
          <w:sz w:val="18"/>
          <w:szCs w:val="18"/>
        </w:rPr>
        <w:softHyphen/>
        <w:t>ительство и эксплуатация, управление, практическая реализация услуг потребителям;</w:t>
      </w:r>
    </w:p>
    <w:p w14:paraId="4643C95E" w14:textId="77777777" w:rsidR="00350396" w:rsidRPr="004E0FC4" w:rsidRDefault="00350396" w:rsidP="004E0FC4">
      <w:pPr>
        <w:widowControl w:val="0"/>
        <w:numPr>
          <w:ilvl w:val="0"/>
          <w:numId w:val="48"/>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разделение рисков, характерных для процессов сооружения и эксплуатации объектов, между участниками ГЧП. Укрупненно можно выделить следующие риски:</w:t>
      </w:r>
    </w:p>
    <w:p w14:paraId="3190FD15" w14:textId="77777777" w:rsidR="00350396" w:rsidRPr="004E0FC4" w:rsidRDefault="00350396" w:rsidP="004E0FC4">
      <w:pPr>
        <w:widowControl w:val="0"/>
        <w:numPr>
          <w:ilvl w:val="0"/>
          <w:numId w:val="54"/>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строительными рисками считаются риск просрочки поставок и несоблюдения принятых нормативов (большую часть рисков не</w:t>
      </w:r>
      <w:r w:rsidRPr="004E0FC4">
        <w:rPr>
          <w:rFonts w:ascii="Bookman Old Style" w:eastAsia="Bookman Old Style" w:hAnsi="Bookman Old Style" w:cs="Bookman Old Style"/>
          <w:color w:val="231F20"/>
          <w:sz w:val="18"/>
          <w:szCs w:val="18"/>
        </w:rPr>
        <w:softHyphen/>
        <w:t>сет государство),</w:t>
      </w:r>
    </w:p>
    <w:p w14:paraId="2249D19E" w14:textId="77777777" w:rsidR="00350396" w:rsidRPr="004E0FC4" w:rsidRDefault="00350396" w:rsidP="004E0FC4">
      <w:pPr>
        <w:widowControl w:val="0"/>
        <w:numPr>
          <w:ilvl w:val="0"/>
          <w:numId w:val="54"/>
        </w:numPr>
        <w:tabs>
          <w:tab w:val="left" w:pos="625"/>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часть строительных и операционных рисков связывают с ри</w:t>
      </w:r>
      <w:r w:rsidRPr="004E0FC4">
        <w:rPr>
          <w:rFonts w:ascii="Bookman Old Style" w:eastAsia="Bookman Old Style" w:hAnsi="Bookman Old Style" w:cs="Bookman Old Style"/>
          <w:color w:val="231F20"/>
          <w:sz w:val="18"/>
          <w:szCs w:val="18"/>
        </w:rPr>
        <w:softHyphen/>
        <w:t>ском неоплаты требований (риски несет частный партнер),</w:t>
      </w:r>
    </w:p>
    <w:p w14:paraId="04FB5CB7" w14:textId="77777777" w:rsidR="00350396" w:rsidRPr="004E0FC4" w:rsidRDefault="00350396" w:rsidP="004E0FC4">
      <w:pPr>
        <w:widowControl w:val="0"/>
        <w:numPr>
          <w:ilvl w:val="0"/>
          <w:numId w:val="54"/>
        </w:numPr>
        <w:tabs>
          <w:tab w:val="left" w:pos="634"/>
        </w:tabs>
        <w:spacing w:after="521"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операционные риски в долгосрочном периоде определяет риск недостаточности и колебаний спроса, на который партнеры практически повлиять не могут (риски несут оба партнера, но го</w:t>
      </w:r>
      <w:r w:rsidRPr="004E0FC4">
        <w:rPr>
          <w:rFonts w:ascii="Bookman Old Style" w:eastAsia="Bookman Old Style" w:hAnsi="Bookman Old Style" w:cs="Bookman Old Style"/>
          <w:color w:val="231F20"/>
          <w:sz w:val="18"/>
          <w:szCs w:val="18"/>
        </w:rPr>
        <w:softHyphen/>
        <w:t>сударство нередко предусматривает меры по компенсации данного риска с помощью гарантированного на годы вперед объема госу</w:t>
      </w:r>
      <w:r w:rsidRPr="004E0FC4">
        <w:rPr>
          <w:rFonts w:ascii="Bookman Old Style" w:eastAsia="Bookman Old Style" w:hAnsi="Bookman Old Style" w:cs="Bookman Old Style"/>
          <w:color w:val="231F20"/>
          <w:sz w:val="18"/>
          <w:szCs w:val="18"/>
        </w:rPr>
        <w:softHyphen/>
        <w:t>дарственных закупок).</w:t>
      </w:r>
    </w:p>
    <w:p w14:paraId="3A208271"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57" w:name="bookmark54"/>
      <w:bookmarkStart w:id="58" w:name="_Toc118131266"/>
      <w:r w:rsidRPr="004E0FC4">
        <w:rPr>
          <w:rFonts w:ascii="Bookman Old Style" w:eastAsia="Arial Narrow" w:hAnsi="Bookman Old Style" w:cs="Arial Narrow"/>
          <w:i/>
          <w:iCs/>
          <w:color w:val="231F20"/>
          <w:sz w:val="18"/>
          <w:szCs w:val="18"/>
        </w:rPr>
        <w:t xml:space="preserve">4.4. </w:t>
      </w:r>
      <w:r w:rsidRPr="004E0FC4">
        <w:rPr>
          <w:rFonts w:ascii="Bookman Old Style" w:eastAsia="Arial Narrow" w:hAnsi="Bookman Old Style" w:cs="Arial Narrow"/>
          <w:b/>
          <w:bCs/>
          <w:i/>
          <w:iCs/>
          <w:color w:val="231F20"/>
          <w:sz w:val="18"/>
          <w:szCs w:val="18"/>
        </w:rPr>
        <w:t>Российский закон о государственно-частном партнерстве</w:t>
      </w:r>
      <w:bookmarkEnd w:id="57"/>
      <w:bookmarkEnd w:id="58"/>
    </w:p>
    <w:p w14:paraId="0C38F81B"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13 июля 2015 г. Президентом России подписан Федеральный за</w:t>
      </w:r>
      <w:r w:rsidRPr="004E0FC4">
        <w:rPr>
          <w:rFonts w:ascii="Bookman Old Style" w:eastAsia="Bookman Old Style" w:hAnsi="Bookman Old Style" w:cs="Bookman Old Style"/>
          <w:color w:val="231F20"/>
          <w:sz w:val="18"/>
          <w:szCs w:val="18"/>
        </w:rPr>
        <w:softHyphen/>
        <w:t>кон «О государственно-частном партнерстве, муниципально-част</w:t>
      </w:r>
      <w:r w:rsidRPr="004E0FC4">
        <w:rPr>
          <w:rFonts w:ascii="Bookman Old Style" w:eastAsia="Bookman Old Style" w:hAnsi="Bookman Old Style" w:cs="Bookman Old Style"/>
          <w:color w:val="231F20"/>
          <w:sz w:val="18"/>
          <w:szCs w:val="18"/>
        </w:rPr>
        <w:softHyphen/>
        <w:t>ном партнерстве в Российской Федерации и внесении изменений в отдельные законодательные акты Российской Федерации». Закон о ГЧП был принят в результате почти трехлетнего процесса работы над ним (внесения изменений и поправок) в Государственной Думе РФ. В Законе получили освещение такие вопросы, как: порядок раз</w:t>
      </w:r>
      <w:r w:rsidRPr="004E0FC4">
        <w:rPr>
          <w:rFonts w:ascii="Bookman Old Style" w:eastAsia="Bookman Old Style" w:hAnsi="Bookman Old Style" w:cs="Bookman Old Style"/>
          <w:color w:val="231F20"/>
          <w:sz w:val="18"/>
          <w:szCs w:val="18"/>
        </w:rPr>
        <w:softHyphen/>
        <w:t>работки, анализа и оценки предложений о реализации проектов ГЧП; структура и порядок заключения соглашения о партнерстве; права, обязанности и ответственность всех членов подобного со</w:t>
      </w:r>
      <w:r w:rsidRPr="004E0FC4">
        <w:rPr>
          <w:rFonts w:ascii="Bookman Old Style" w:eastAsia="Bookman Old Style" w:hAnsi="Bookman Old Style" w:cs="Bookman Old Style"/>
          <w:color w:val="231F20"/>
          <w:sz w:val="18"/>
          <w:szCs w:val="18"/>
        </w:rPr>
        <w:softHyphen/>
        <w:t>глашения.</w:t>
      </w:r>
    </w:p>
    <w:p w14:paraId="0092C92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До 2015 г. большая часть российских ГЧП-проектов реализовыва</w:t>
      </w:r>
      <w:r w:rsidRPr="004E0FC4">
        <w:rPr>
          <w:rFonts w:ascii="Bookman Old Style" w:eastAsia="Bookman Old Style" w:hAnsi="Bookman Old Style" w:cs="Bookman Old Style"/>
          <w:color w:val="231F20"/>
          <w:sz w:val="18"/>
          <w:szCs w:val="18"/>
        </w:rPr>
        <w:softHyphen/>
        <w:t>лась в рамках Закона о концессиях, а также на основе регионально</w:t>
      </w:r>
      <w:r w:rsidRPr="004E0FC4">
        <w:rPr>
          <w:rFonts w:ascii="Bookman Old Style" w:eastAsia="Bookman Old Style" w:hAnsi="Bookman Old Style" w:cs="Bookman Old Style"/>
          <w:color w:val="231F20"/>
          <w:sz w:val="18"/>
          <w:szCs w:val="18"/>
        </w:rPr>
        <w:softHyphen/>
        <w:t>го законодательства о ГЧП (по данным на 2019 г., в России действует 85 законов субъектов РФ в сфере ГЧП). Субъекты РФ обязывались привести свои законы в соответствие с Законом о ГЧП до 1 июля 2016 г., однако впоследствии этот срок был продлен до 1 января 2025 г.</w:t>
      </w:r>
    </w:p>
    <w:p w14:paraId="1A3A95A3"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конце 2015 г. был также принят ряд постановлений на уровне Правительства РФ, уточняющих процедуры реализации ряда поло</w:t>
      </w:r>
      <w:r w:rsidRPr="004E0FC4">
        <w:rPr>
          <w:rFonts w:ascii="Bookman Old Style" w:eastAsia="Bookman Old Style" w:hAnsi="Bookman Old Style" w:cs="Bookman Old Style"/>
          <w:color w:val="231F20"/>
          <w:sz w:val="18"/>
          <w:szCs w:val="18"/>
        </w:rPr>
        <w:softHyphen/>
        <w:t>жений Закона о ГЧП</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включающих аспекты рассмотрения пред</w:t>
      </w:r>
      <w:r w:rsidRPr="004E0FC4">
        <w:rPr>
          <w:rFonts w:ascii="Bookman Old Style" w:eastAsia="Bookman Old Style" w:hAnsi="Bookman Old Style" w:cs="Bookman Old Style"/>
          <w:color w:val="231F20"/>
          <w:sz w:val="18"/>
          <w:szCs w:val="18"/>
        </w:rPr>
        <w:softHyphen/>
        <w:t xml:space="preserve">ложений, </w:t>
      </w:r>
      <w:r w:rsidRPr="004E0FC4">
        <w:rPr>
          <w:rFonts w:ascii="Bookman Old Style" w:eastAsia="Bookman Old Style" w:hAnsi="Bookman Old Style" w:cs="Bookman Old Style"/>
          <w:color w:val="231F20"/>
          <w:sz w:val="18"/>
          <w:szCs w:val="18"/>
        </w:rPr>
        <w:lastRenderedPageBreak/>
        <w:t>заключения соглашения о государственно-частном пар</w:t>
      </w:r>
      <w:r w:rsidRPr="004E0FC4">
        <w:rPr>
          <w:rFonts w:ascii="Bookman Old Style" w:eastAsia="Bookman Old Style" w:hAnsi="Bookman Old Style" w:cs="Bookman Old Style"/>
          <w:color w:val="231F20"/>
          <w:sz w:val="18"/>
          <w:szCs w:val="18"/>
        </w:rPr>
        <w:softHyphen/>
        <w:t>тнерстве (муниципально-частном партнерстве) и контроля за его исполнением.</w:t>
      </w:r>
    </w:p>
    <w:p w14:paraId="548B4CD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До вступления в силу нового Закона ГЧП реализовывалось лишь по типам (механизмам) </w:t>
      </w:r>
      <w:r w:rsidRPr="004E0FC4">
        <w:rPr>
          <w:rFonts w:ascii="Bookman Old Style" w:eastAsia="Bookman Old Style" w:hAnsi="Bookman Old Style" w:cs="Bookman Old Style"/>
          <w:i/>
          <w:iCs/>
          <w:color w:val="231F20"/>
          <w:sz w:val="18"/>
          <w:szCs w:val="18"/>
          <w:lang w:val="en-US" w:eastAsia="en-US" w:bidi="en-US"/>
        </w:rPr>
        <w:t>BTO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DBTO</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 пр., при которых объект ин</w:t>
      </w:r>
      <w:r w:rsidRPr="004E0FC4">
        <w:rPr>
          <w:rFonts w:ascii="Bookman Old Style" w:eastAsia="Bookman Old Style" w:hAnsi="Bookman Old Style" w:cs="Bookman Old Style"/>
          <w:color w:val="231F20"/>
          <w:sz w:val="18"/>
          <w:szCs w:val="18"/>
        </w:rPr>
        <w:softHyphen/>
        <w:t>фраструктуры должен быть передан после создания публичному партнеру (за исключением нескольких ГЧП-проектов, реализация которых опиралась на региональное законодательство). Основные новеллы (изменения) в сложившейся практике реализации проек</w:t>
      </w:r>
      <w:r w:rsidRPr="004E0FC4">
        <w:rPr>
          <w:rFonts w:ascii="Bookman Old Style" w:eastAsia="Bookman Old Style" w:hAnsi="Bookman Old Style" w:cs="Bookman Old Style"/>
          <w:color w:val="231F20"/>
          <w:sz w:val="18"/>
          <w:szCs w:val="18"/>
        </w:rPr>
        <w:softHyphen/>
        <w:t>тов ГЧП после вступления в силу Закона о ГЧП (с 1 января 2016 г.) состояли в следующем.</w:t>
      </w:r>
    </w:p>
    <w:p w14:paraId="7F104D33"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Основные новеллы (изменения) в законодательстве после всту</w:t>
      </w:r>
      <w:r w:rsidRPr="004E0FC4">
        <w:rPr>
          <w:rFonts w:ascii="Bookman Old Style" w:eastAsia="Bookman Old Style" w:hAnsi="Bookman Old Style" w:cs="Bookman Old Style"/>
          <w:color w:val="231F20"/>
          <w:sz w:val="18"/>
          <w:szCs w:val="18"/>
        </w:rPr>
        <w:softHyphen/>
        <w:t>пления в силу Закона о ГЧП (с 1 января 2016 г.) состоят в следую</w:t>
      </w:r>
      <w:r w:rsidRPr="004E0FC4">
        <w:rPr>
          <w:rFonts w:ascii="Bookman Old Style" w:eastAsia="Bookman Old Style" w:hAnsi="Bookman Old Style" w:cs="Bookman Old Style"/>
          <w:color w:val="231F20"/>
          <w:sz w:val="18"/>
          <w:szCs w:val="18"/>
        </w:rPr>
        <w:softHyphen/>
        <w:t>щем.</w:t>
      </w:r>
    </w:p>
    <w:p w14:paraId="2F6EABBE" w14:textId="77777777" w:rsidR="00350396" w:rsidRPr="004E0FC4" w:rsidRDefault="00350396" w:rsidP="004E0FC4">
      <w:pPr>
        <w:widowControl w:val="0"/>
        <w:numPr>
          <w:ilvl w:val="0"/>
          <w:numId w:val="57"/>
        </w:numPr>
        <w:tabs>
          <w:tab w:val="left" w:pos="62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Появление возможности заключать соглашения (структури</w:t>
      </w:r>
      <w:r w:rsidRPr="004E0FC4">
        <w:rPr>
          <w:rFonts w:ascii="Bookman Old Style" w:eastAsia="Bookman Old Style" w:hAnsi="Bookman Old Style" w:cs="Bookman Old Style"/>
          <w:color w:val="231F20"/>
          <w:sz w:val="18"/>
          <w:szCs w:val="18"/>
        </w:rPr>
        <w:softHyphen/>
        <w:t>ровать) те проекты публично-частного партнерства (ПЧП, термин применяется в законе, объединяя понятия ГЧП и МЧП — муници</w:t>
      </w:r>
      <w:r w:rsidRPr="004E0FC4">
        <w:rPr>
          <w:rFonts w:ascii="Bookman Old Style" w:eastAsia="Bookman Old Style" w:hAnsi="Bookman Old Style" w:cs="Bookman Old Style"/>
          <w:color w:val="231F20"/>
          <w:sz w:val="18"/>
          <w:szCs w:val="18"/>
        </w:rPr>
        <w:softHyphen/>
        <w:t>пально-частного партнерства), включая концессии, в которых пра</w:t>
      </w:r>
      <w:r w:rsidRPr="004E0FC4">
        <w:rPr>
          <w:rFonts w:ascii="Bookman Old Style" w:eastAsia="Bookman Old Style" w:hAnsi="Bookman Old Style" w:cs="Bookman Old Style"/>
          <w:color w:val="231F20"/>
          <w:sz w:val="18"/>
          <w:szCs w:val="18"/>
        </w:rPr>
        <w:softHyphen/>
        <w:t xml:space="preserve">во собственности должно принадлежать частному партнеру, причем как с обязательством последующей передачи объекта публичному партнеру после истечения срока эксплуатации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BOOT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и подобные), так и правом собственности, закрепляемым за частным партнером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BOO</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и подобные). При этом объект ГЧП может остаться в частной </w:t>
      </w:r>
      <w:r w:rsidRPr="004E0FC4">
        <w:rPr>
          <w:rFonts w:ascii="Bookman Old Style" w:eastAsia="Bookman Old Style" w:hAnsi="Bookman Old Style" w:cs="Bookman Old Style"/>
          <w:color w:val="231F20"/>
          <w:sz w:val="18"/>
          <w:szCs w:val="18"/>
          <w:vertAlign w:val="superscript"/>
        </w:rPr>
        <w:footnoteReference w:id="87"/>
      </w:r>
    </w:p>
    <w:p w14:paraId="43BF6892"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собственности при соблюдении условия, что объем финансирова</w:t>
      </w:r>
      <w:r w:rsidRPr="004E0FC4">
        <w:rPr>
          <w:rFonts w:ascii="Bookman Old Style" w:eastAsia="Bookman Old Style" w:hAnsi="Bookman Old Style" w:cs="Bookman Old Style"/>
          <w:color w:val="231F20"/>
          <w:sz w:val="18"/>
          <w:szCs w:val="18"/>
        </w:rPr>
        <w:softHyphen/>
        <w:t>ния создания объекта публичным партнером (государством) и ры</w:t>
      </w:r>
      <w:r w:rsidRPr="004E0FC4">
        <w:rPr>
          <w:rFonts w:ascii="Bookman Old Style" w:eastAsia="Bookman Old Style" w:hAnsi="Bookman Old Style" w:cs="Bookman Old Style"/>
          <w:color w:val="231F20"/>
          <w:sz w:val="18"/>
          <w:szCs w:val="18"/>
        </w:rPr>
        <w:softHyphen/>
        <w:t>ночная стоимость передаваемого им имущества в совокупности не превышают объем финансирования, предоставленный частным партнером. Иными словами, если государство в проект инвестирует больше, чем частные лица, то при прекращении соглашения обяза</w:t>
      </w:r>
      <w:r w:rsidRPr="004E0FC4">
        <w:rPr>
          <w:rFonts w:ascii="Bookman Old Style" w:eastAsia="Bookman Old Style" w:hAnsi="Bookman Old Style" w:cs="Bookman Old Style"/>
          <w:color w:val="231F20"/>
          <w:sz w:val="18"/>
          <w:szCs w:val="18"/>
        </w:rPr>
        <w:softHyphen/>
        <w:t>тельной является передача объекта в публичную собственность.</w:t>
      </w:r>
    </w:p>
    <w:p w14:paraId="211B8CFF" w14:textId="77777777" w:rsidR="00350396" w:rsidRPr="004E0FC4" w:rsidRDefault="00350396" w:rsidP="004E0FC4">
      <w:pPr>
        <w:widowControl w:val="0"/>
        <w:numPr>
          <w:ilvl w:val="0"/>
          <w:numId w:val="58"/>
        </w:numPr>
        <w:tabs>
          <w:tab w:val="left" w:pos="62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Определение закрытого перечня объектов, которые могут быть предметом соглашения о ГЧП. По сравнению с Законом о кон</w:t>
      </w:r>
      <w:r w:rsidRPr="004E0FC4">
        <w:rPr>
          <w:rFonts w:ascii="Bookman Old Style" w:eastAsia="Bookman Old Style" w:hAnsi="Bookman Old Style" w:cs="Bookman Old Style"/>
          <w:color w:val="231F20"/>
          <w:sz w:val="18"/>
          <w:szCs w:val="18"/>
        </w:rPr>
        <w:softHyphen/>
        <w:t>цессиях расширяется перечень объектов — добавляются воздушные суда, линии связи и коммуникации, объекты мелиорации. Вместе с тем из перечня были исключены большинство объектов комму</w:t>
      </w:r>
      <w:r w:rsidRPr="004E0FC4">
        <w:rPr>
          <w:rFonts w:ascii="Bookman Old Style" w:eastAsia="Bookman Old Style" w:hAnsi="Bookman Old Style" w:cs="Bookman Old Style"/>
          <w:color w:val="231F20"/>
          <w:sz w:val="18"/>
          <w:szCs w:val="18"/>
        </w:rPr>
        <w:softHyphen/>
        <w:t>нальной сферы (объекты водоснабжения и канализации, теплоснаб</w:t>
      </w:r>
      <w:r w:rsidRPr="004E0FC4">
        <w:rPr>
          <w:rFonts w:ascii="Bookman Old Style" w:eastAsia="Bookman Old Style" w:hAnsi="Bookman Old Style" w:cs="Bookman Old Style"/>
          <w:color w:val="231F20"/>
          <w:sz w:val="18"/>
          <w:szCs w:val="18"/>
        </w:rPr>
        <w:softHyphen/>
        <w:t>жения), дороги федерального, регионального и местного значения, социальное жилье, объекты социального обеспечения, в отношении которых действует Закон о концессиях. Исключены также объекты уголовно-исправительной системы, объекты негосударственной сферы безопасности. В обоих законах присутствуют объекты здра</w:t>
      </w:r>
      <w:r w:rsidRPr="004E0FC4">
        <w:rPr>
          <w:rFonts w:ascii="Bookman Old Style" w:eastAsia="Bookman Old Style" w:hAnsi="Bookman Old Style" w:cs="Bookman Old Style"/>
          <w:color w:val="231F20"/>
          <w:sz w:val="18"/>
          <w:szCs w:val="18"/>
        </w:rPr>
        <w:softHyphen/>
        <w:t xml:space="preserve">воохранения, образования, культуры и спорта, электроснабжения, мусоропереработки, некоторые </w:t>
      </w:r>
      <w:r w:rsidRPr="004E0FC4">
        <w:rPr>
          <w:rFonts w:ascii="Bookman Old Style" w:eastAsia="Bookman Old Style" w:hAnsi="Bookman Old Style" w:cs="Bookman Old Style"/>
          <w:color w:val="231F20"/>
          <w:sz w:val="18"/>
          <w:szCs w:val="18"/>
        </w:rPr>
        <w:lastRenderedPageBreak/>
        <w:t>объекты транспортной инфраструк</w:t>
      </w:r>
      <w:r w:rsidRPr="004E0FC4">
        <w:rPr>
          <w:rFonts w:ascii="Bookman Old Style" w:eastAsia="Bookman Old Style" w:hAnsi="Bookman Old Style" w:cs="Bookman Old Style"/>
          <w:color w:val="231F20"/>
          <w:sz w:val="18"/>
          <w:szCs w:val="18"/>
        </w:rPr>
        <w:softHyphen/>
        <w:t>туры и др. Ожидается пакет поправок к Закону о ГЧП, который бы расширял перечень объектов, в отношении которых могут быть заключены соглашения о ГЧП, в том числе с включением объек</w:t>
      </w:r>
      <w:r w:rsidRPr="004E0FC4">
        <w:rPr>
          <w:rFonts w:ascii="Bookman Old Style" w:eastAsia="Bookman Old Style" w:hAnsi="Bookman Old Style" w:cs="Bookman Old Style"/>
          <w:color w:val="231F20"/>
          <w:sz w:val="18"/>
          <w:szCs w:val="18"/>
        </w:rPr>
        <w:softHyphen/>
        <w:t>тов производственной инфраструктуры, арендного жилья, имуще</w:t>
      </w:r>
      <w:r w:rsidRPr="004E0FC4">
        <w:rPr>
          <w:rFonts w:ascii="Bookman Old Style" w:eastAsia="Bookman Old Style" w:hAnsi="Bookman Old Style" w:cs="Bookman Old Style"/>
          <w:color w:val="231F20"/>
          <w:sz w:val="18"/>
          <w:szCs w:val="18"/>
        </w:rPr>
        <w:softHyphen/>
        <w:t>ства для обслуживания государственных информационных систем и иного имущества, которое не относится к недвижимому (напри</w:t>
      </w:r>
      <w:r w:rsidRPr="004E0FC4">
        <w:rPr>
          <w:rFonts w:ascii="Bookman Old Style" w:eastAsia="Bookman Old Style" w:hAnsi="Bookman Old Style" w:cs="Bookman Old Style"/>
          <w:color w:val="231F20"/>
          <w:sz w:val="18"/>
          <w:szCs w:val="18"/>
        </w:rPr>
        <w:softHyphen/>
        <w:t>мер, камеры фотовидеофиксации нарушений ПДД).</w:t>
      </w:r>
    </w:p>
    <w:p w14:paraId="38FCD1F4" w14:textId="77777777" w:rsidR="00350396" w:rsidRPr="004E0FC4" w:rsidRDefault="00350396" w:rsidP="004E0FC4">
      <w:pPr>
        <w:widowControl w:val="0"/>
        <w:numPr>
          <w:ilvl w:val="0"/>
          <w:numId w:val="58"/>
        </w:numPr>
        <w:tabs>
          <w:tab w:val="left" w:pos="62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отличие от Закона о концессиях в Законе о ГЧП в качестве частного партнера может выступать только российское юриди</w:t>
      </w:r>
      <w:r w:rsidRPr="004E0FC4">
        <w:rPr>
          <w:rFonts w:ascii="Bookman Old Style" w:eastAsia="Bookman Old Style" w:hAnsi="Bookman Old Style" w:cs="Bookman Old Style"/>
          <w:color w:val="231F20"/>
          <w:sz w:val="18"/>
          <w:szCs w:val="18"/>
        </w:rPr>
        <w:softHyphen/>
        <w:t>ческое лицо. Закон о ГЧП, таким образом, сегодня ориентирован на частных партнеров-резидентов, в то же время зарубежные инве</w:t>
      </w:r>
      <w:r w:rsidRPr="004E0FC4">
        <w:rPr>
          <w:rFonts w:ascii="Bookman Old Style" w:eastAsia="Bookman Old Style" w:hAnsi="Bookman Old Style" w:cs="Bookman Old Style"/>
          <w:color w:val="231F20"/>
          <w:sz w:val="18"/>
          <w:szCs w:val="18"/>
        </w:rPr>
        <w:softHyphen/>
        <w:t>сторы могут участвовать в партнерстве путем создания российского юридического лица</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Китайская корпорация «СиноГидро» и «Росав- тодор» в 2015 г. подписали меморандум о намерениях строительства мостового перехода длиной 21 км через реку Лена в Якутске (проект стоимостью около 1 млрд долл. США). Оформление проекта было произведено на основе концессионного соглашения, в то же время форматирование проекта по Закону о ГЧП также предварительно рассматривалось.</w:t>
      </w:r>
    </w:p>
    <w:p w14:paraId="560F43C6" w14:textId="77777777" w:rsidR="00350396" w:rsidRPr="004E0FC4" w:rsidRDefault="00350396" w:rsidP="004E0FC4">
      <w:pPr>
        <w:widowControl w:val="0"/>
        <w:numPr>
          <w:ilvl w:val="0"/>
          <w:numId w:val="58"/>
        </w:numPr>
        <w:tabs>
          <w:tab w:val="left" w:pos="62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повышения эффективности решения публичных задач введено обязательное проведение оценки эффективности проек</w:t>
      </w:r>
      <w:r w:rsidRPr="004E0FC4">
        <w:rPr>
          <w:rFonts w:ascii="Bookman Old Style" w:eastAsia="Bookman Old Style" w:hAnsi="Bookman Old Style" w:cs="Bookman Old Style"/>
          <w:color w:val="231F20"/>
          <w:sz w:val="18"/>
          <w:szCs w:val="18"/>
        </w:rPr>
        <w:softHyphen/>
        <w:t xml:space="preserve">та (финансовой эффективности и социально-экономического эф- </w:t>
      </w:r>
      <w:r w:rsidRPr="004E0FC4">
        <w:rPr>
          <w:rFonts w:ascii="Bookman Old Style" w:eastAsia="Bookman Old Style" w:hAnsi="Bookman Old Style" w:cs="Bookman Old Style"/>
          <w:color w:val="231F20"/>
          <w:sz w:val="18"/>
          <w:szCs w:val="18"/>
          <w:vertAlign w:val="superscript"/>
        </w:rPr>
        <w:footnoteReference w:id="88"/>
      </w:r>
      <w:r w:rsidRPr="004E0FC4">
        <w:rPr>
          <w:rFonts w:ascii="Bookman Old Style" w:eastAsia="Bookman Old Style" w:hAnsi="Bookman Old Style" w:cs="Bookman Old Style"/>
          <w:color w:val="231F20"/>
          <w:sz w:val="18"/>
          <w:szCs w:val="18"/>
        </w:rPr>
        <w:t xml:space="preserve"> фекта) для выявления наличия «сравнительного преимущества» перед реализацией проекта в альтернативных партнерству фор</w:t>
      </w:r>
      <w:r w:rsidRPr="004E0FC4">
        <w:rPr>
          <w:rFonts w:ascii="Bookman Old Style" w:eastAsia="Bookman Old Style" w:hAnsi="Bookman Old Style" w:cs="Bookman Old Style"/>
          <w:color w:val="231F20"/>
          <w:sz w:val="18"/>
          <w:szCs w:val="18"/>
        </w:rPr>
        <w:softHyphen/>
        <w:t>мах — в рамках государственного и муниципального контракта (п. 8 ст. 3 Закона о ГЧП). Методика оценки эффективности и опре</w:t>
      </w:r>
      <w:r w:rsidRPr="004E0FC4">
        <w:rPr>
          <w:rFonts w:ascii="Bookman Old Style" w:eastAsia="Bookman Old Style" w:hAnsi="Bookman Old Style" w:cs="Bookman Old Style"/>
          <w:color w:val="231F20"/>
          <w:sz w:val="18"/>
          <w:szCs w:val="18"/>
        </w:rPr>
        <w:softHyphen/>
        <w:t>деления сравнительного преимущества должна быть утверждена уполномоченным федеральным органом исполнительной власти. Наличие «сравнительного преимущества» является критерием, со</w:t>
      </w:r>
      <w:r w:rsidRPr="004E0FC4">
        <w:rPr>
          <w:rFonts w:ascii="Bookman Old Style" w:eastAsia="Bookman Old Style" w:hAnsi="Bookman Old Style" w:cs="Bookman Old Style"/>
          <w:color w:val="231F20"/>
          <w:sz w:val="18"/>
          <w:szCs w:val="18"/>
        </w:rPr>
        <w:softHyphen/>
        <w:t>блюдение которого позволяет заключать контракт в форме ГЧП.</w:t>
      </w:r>
    </w:p>
    <w:p w14:paraId="22A7DD5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Согласно поправкам, внесенным в Закон 29.06.2016, сроки оцен</w:t>
      </w:r>
      <w:r w:rsidRPr="004E0FC4">
        <w:rPr>
          <w:rFonts w:ascii="Bookman Old Style" w:eastAsia="Bookman Old Style" w:hAnsi="Bookman Old Style" w:cs="Bookman Old Style"/>
          <w:color w:val="231F20"/>
          <w:sz w:val="18"/>
          <w:szCs w:val="18"/>
        </w:rPr>
        <w:softHyphen/>
        <w:t>ки эффективности проекта и определения его сравнительного пре</w:t>
      </w:r>
      <w:r w:rsidRPr="004E0FC4">
        <w:rPr>
          <w:rFonts w:ascii="Bookman Old Style" w:eastAsia="Bookman Old Style" w:hAnsi="Bookman Old Style" w:cs="Bookman Old Style"/>
          <w:color w:val="231F20"/>
          <w:sz w:val="18"/>
          <w:szCs w:val="18"/>
        </w:rPr>
        <w:softHyphen/>
        <w:t>имущества были сокращены со 180 до 90 дней.</w:t>
      </w:r>
    </w:p>
    <w:p w14:paraId="1CE44235" w14:textId="77777777" w:rsidR="00350396" w:rsidRPr="004E0FC4" w:rsidRDefault="00350396" w:rsidP="004E0FC4">
      <w:pPr>
        <w:widowControl w:val="0"/>
        <w:numPr>
          <w:ilvl w:val="0"/>
          <w:numId w:val="58"/>
        </w:numPr>
        <w:tabs>
          <w:tab w:val="left" w:pos="63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Введена процедура инициирования проекта частным пар</w:t>
      </w:r>
      <w:r w:rsidRPr="004E0FC4">
        <w:rPr>
          <w:rFonts w:ascii="Bookman Old Style" w:eastAsia="Bookman Old Style" w:hAnsi="Bookman Old Style" w:cs="Bookman Old Style"/>
          <w:color w:val="231F20"/>
          <w:sz w:val="18"/>
          <w:szCs w:val="18"/>
        </w:rPr>
        <w:softHyphen/>
        <w:t xml:space="preserve">тнером. В международной практике механизм </w:t>
      </w:r>
      <w:r w:rsidRPr="004E0FC4">
        <w:rPr>
          <w:rFonts w:ascii="Bookman Old Style" w:eastAsia="Bookman Old Style" w:hAnsi="Bookman Old Style" w:cs="Bookman Old Style"/>
          <w:i/>
          <w:iCs/>
          <w:color w:val="231F20"/>
          <w:sz w:val="18"/>
          <w:szCs w:val="18"/>
          <w:lang w:val="en-US" w:eastAsia="en-US" w:bidi="en-US"/>
        </w:rPr>
        <w:t>unsolicited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proposals</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признается в качестве альтернативного способа выбора наилучшего частного партнера (концессионера), готового реализовать проект на единственно возможных или максимально выгодных условиях. Государство рассматривает предложение инвестора и в случае при</w:t>
      </w:r>
      <w:r w:rsidRPr="004E0FC4">
        <w:rPr>
          <w:rFonts w:ascii="Bookman Old Style" w:eastAsia="Bookman Old Style" w:hAnsi="Bookman Old Style" w:cs="Bookman Old Style"/>
          <w:color w:val="231F20"/>
          <w:sz w:val="18"/>
          <w:szCs w:val="18"/>
        </w:rPr>
        <w:softHyphen/>
        <w:t>нятия положительного решения заключает с ним соглашение без проведения конкурса или предоставляет инициатору конкурентное преимущество в случае проведения конкурса.</w:t>
      </w:r>
    </w:p>
    <w:p w14:paraId="7BCCA3A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Механизм инициирования проекта частным партнером в рос</w:t>
      </w:r>
      <w:r w:rsidRPr="004E0FC4">
        <w:rPr>
          <w:rFonts w:ascii="Bookman Old Style" w:eastAsia="Bookman Old Style" w:hAnsi="Bookman Old Style" w:cs="Bookman Old Style"/>
          <w:color w:val="231F20"/>
          <w:sz w:val="18"/>
          <w:szCs w:val="18"/>
        </w:rPr>
        <w:softHyphen/>
        <w:t>сийском законе о ГЧП не предусматривает для частного партнера ни льгот в рамках конкурса за право заключения соглашения о ГЧП, ни возмещения расходов на подготовку проекта (предложения) в случае проигрыша в конкурсе.</w:t>
      </w:r>
    </w:p>
    <w:p w14:paraId="74AFF51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Данная новелла была введена после «обкатки» на механизме частной концессионной инициативы, которая была введена в мае 2015 г. и вызвала определенный энтузиазм, несмотря на то что итоговый удельный вес заключенных соглашений по инициативе концессионеров по итогам 2015—2018 гг. на фоне большого числа предложений составлял всего 9—12 %.</w:t>
      </w:r>
    </w:p>
    <w:p w14:paraId="1D59897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Можно отметить еще несколько различий Закона о ГЧП и За</w:t>
      </w:r>
      <w:r w:rsidRPr="004E0FC4">
        <w:rPr>
          <w:rFonts w:ascii="Bookman Old Style" w:eastAsia="Bookman Old Style" w:hAnsi="Bookman Old Style" w:cs="Bookman Old Style"/>
          <w:color w:val="231F20"/>
          <w:sz w:val="18"/>
          <w:szCs w:val="18"/>
        </w:rPr>
        <w:softHyphen/>
        <w:t>кона о концессиях. Для ГЧП-соглашения установлен минимальный срок действия три года, а для концессии срок действия норматив</w:t>
      </w:r>
      <w:r w:rsidRPr="004E0FC4">
        <w:rPr>
          <w:rFonts w:ascii="Bookman Old Style" w:eastAsia="Bookman Old Style" w:hAnsi="Bookman Old Style" w:cs="Bookman Old Style"/>
          <w:color w:val="231F20"/>
          <w:sz w:val="18"/>
          <w:szCs w:val="18"/>
        </w:rPr>
        <w:softHyphen/>
        <w:t>но не установлен. По Закону о ГЧП государственное финансиро</w:t>
      </w:r>
      <w:r w:rsidRPr="004E0FC4">
        <w:rPr>
          <w:rFonts w:ascii="Bookman Old Style" w:eastAsia="Bookman Old Style" w:hAnsi="Bookman Old Style" w:cs="Bookman Old Style"/>
          <w:color w:val="231F20"/>
          <w:sz w:val="18"/>
          <w:szCs w:val="18"/>
        </w:rPr>
        <w:softHyphen/>
        <w:t>вание проекта осуществляется через субсидирование, в то время как в рамках концессии Бюджетным кодексом РФ предусмотрены механизмы субсидирования и бюджетных инвестиций. По ини</w:t>
      </w:r>
      <w:r w:rsidRPr="004E0FC4">
        <w:rPr>
          <w:rFonts w:ascii="Bookman Old Style" w:eastAsia="Bookman Old Style" w:hAnsi="Bookman Old Style" w:cs="Bookman Old Style"/>
          <w:color w:val="231F20"/>
          <w:sz w:val="18"/>
          <w:szCs w:val="18"/>
        </w:rPr>
        <w:softHyphen/>
        <w:t>циативе Минэкономразвития России с 2018 г. в законах о ГЧП и о концессиях предусмотрены формы публичного финансиро</w:t>
      </w:r>
      <w:r w:rsidRPr="004E0FC4">
        <w:rPr>
          <w:rFonts w:ascii="Bookman Old Style" w:eastAsia="Bookman Old Style" w:hAnsi="Bookman Old Style" w:cs="Bookman Old Style"/>
          <w:color w:val="231F20"/>
          <w:sz w:val="18"/>
          <w:szCs w:val="18"/>
        </w:rPr>
        <w:softHyphen/>
        <w:t>вания, которые уже выработаны практикой: капитальный грант и плата концедента</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highlight w:val="red"/>
        </w:rPr>
        <w:t xml:space="preserve">. </w:t>
      </w:r>
      <w:r w:rsidRPr="004E0FC4">
        <w:rPr>
          <w:rFonts w:ascii="Bookman Old Style" w:eastAsia="Bookman Old Style" w:hAnsi="Bookman Old Style" w:cs="Bookman Old Style"/>
          <w:color w:val="231F20"/>
          <w:sz w:val="18"/>
          <w:szCs w:val="18"/>
          <w:highlight w:val="red"/>
          <w:vertAlign w:val="superscript"/>
        </w:rPr>
        <w:footnoteReference w:id="89"/>
      </w:r>
    </w:p>
    <w:p w14:paraId="0EFC1AB7" w14:textId="77777777" w:rsidR="00350396" w:rsidRPr="004E0FC4" w:rsidRDefault="00350396" w:rsidP="004E0FC4">
      <w:pPr>
        <w:widowControl w:val="0"/>
        <w:spacing w:after="365"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Сравнительная характеристика положений законов о концесси</w:t>
      </w:r>
      <w:r w:rsidRPr="004E0FC4">
        <w:rPr>
          <w:rFonts w:ascii="Bookman Old Style" w:eastAsia="Bookman Old Style" w:hAnsi="Bookman Old Style" w:cs="Bookman Old Style"/>
          <w:color w:val="231F20"/>
          <w:sz w:val="18"/>
          <w:szCs w:val="18"/>
        </w:rPr>
        <w:softHyphen/>
        <w:t>ях и о ГЧП приведена в табл. 4.6.</w:t>
      </w:r>
    </w:p>
    <w:p w14:paraId="78998896" w14:textId="77777777" w:rsidR="00350396" w:rsidRPr="004E0FC4" w:rsidRDefault="00350396" w:rsidP="004E0FC4">
      <w:pPr>
        <w:widowControl w:val="0"/>
        <w:spacing w:line="194" w:lineRule="exact"/>
        <w:ind w:right="20"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Сравнительная характеристика положений законов о концессиях и о ГЧП</w:t>
      </w:r>
    </w:p>
    <w:p w14:paraId="3519E5D8"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color w:val="231F20"/>
          <w:sz w:val="18"/>
          <w:szCs w:val="18"/>
        </w:rPr>
        <w:lastRenderedPageBreak/>
        <w:t>Таблица 4.6</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5"/>
        <w:gridCol w:w="2846"/>
        <w:gridCol w:w="2530"/>
      </w:tblGrid>
      <w:tr w:rsidR="00350396" w:rsidRPr="004E0FC4" w14:paraId="37315D3C" w14:textId="77777777" w:rsidTr="006D7F71">
        <w:trPr>
          <w:trHeight w:hRule="exact" w:val="547"/>
          <w:jc w:val="center"/>
        </w:trPr>
        <w:tc>
          <w:tcPr>
            <w:tcW w:w="1205" w:type="dxa"/>
            <w:tcBorders>
              <w:top w:val="single" w:sz="4" w:space="0" w:color="auto"/>
              <w:left w:val="single" w:sz="4" w:space="0" w:color="auto"/>
            </w:tcBorders>
            <w:shd w:val="clear" w:color="auto" w:fill="FFFFFF"/>
            <w:vAlign w:val="bottom"/>
          </w:tcPr>
          <w:p w14:paraId="3D9352FB" w14:textId="77777777" w:rsidR="00350396" w:rsidRPr="004E0FC4" w:rsidRDefault="00350396" w:rsidP="004E0FC4">
            <w:pPr>
              <w:framePr w:w="6581" w:wrap="notBeside" w:vAnchor="text" w:hAnchor="text" w:xAlign="center" w:y="1"/>
              <w:widowControl w:val="0"/>
              <w:spacing w:line="176" w:lineRule="exact"/>
              <w:ind w:left="16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Параметр</w:t>
            </w:r>
          </w:p>
          <w:p w14:paraId="57E333E9" w14:textId="77777777" w:rsidR="00350396" w:rsidRPr="004E0FC4" w:rsidRDefault="00350396" w:rsidP="004E0FC4">
            <w:pPr>
              <w:framePr w:w="6581" w:wrap="notBeside" w:vAnchor="text" w:hAnchor="text" w:xAlign="center" w:y="1"/>
              <w:widowControl w:val="0"/>
              <w:spacing w:line="176" w:lineRule="exact"/>
              <w:ind w:left="16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сравнения</w:t>
            </w:r>
          </w:p>
        </w:tc>
        <w:tc>
          <w:tcPr>
            <w:tcW w:w="2846" w:type="dxa"/>
            <w:tcBorders>
              <w:top w:val="single" w:sz="4" w:space="0" w:color="auto"/>
              <w:left w:val="single" w:sz="4" w:space="0" w:color="auto"/>
            </w:tcBorders>
            <w:shd w:val="clear" w:color="auto" w:fill="FFFFFF"/>
          </w:tcPr>
          <w:p w14:paraId="424B4B7C"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Закон о концессиях (КС)</w:t>
            </w:r>
          </w:p>
        </w:tc>
        <w:tc>
          <w:tcPr>
            <w:tcW w:w="2530" w:type="dxa"/>
            <w:tcBorders>
              <w:top w:val="single" w:sz="4" w:space="0" w:color="auto"/>
              <w:left w:val="single" w:sz="4" w:space="0" w:color="auto"/>
              <w:right w:val="single" w:sz="4" w:space="0" w:color="auto"/>
            </w:tcBorders>
            <w:shd w:val="clear" w:color="auto" w:fill="FFFFFF"/>
          </w:tcPr>
          <w:p w14:paraId="5D9BA5B8"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Закон о ГЧП</w:t>
            </w:r>
          </w:p>
        </w:tc>
      </w:tr>
      <w:tr w:rsidR="00350396" w:rsidRPr="004E0FC4" w14:paraId="59F10739" w14:textId="77777777" w:rsidTr="006D7F71">
        <w:trPr>
          <w:trHeight w:hRule="exact" w:val="293"/>
          <w:jc w:val="center"/>
        </w:trPr>
        <w:tc>
          <w:tcPr>
            <w:tcW w:w="1205" w:type="dxa"/>
            <w:tcBorders>
              <w:top w:val="single" w:sz="4" w:space="0" w:color="auto"/>
              <w:left w:val="single" w:sz="4" w:space="0" w:color="auto"/>
            </w:tcBorders>
            <w:shd w:val="clear" w:color="auto" w:fill="FFFFFF"/>
            <w:vAlign w:val="bottom"/>
          </w:tcPr>
          <w:p w14:paraId="7BD29505"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Перечень</w:t>
            </w:r>
          </w:p>
        </w:tc>
        <w:tc>
          <w:tcPr>
            <w:tcW w:w="2846" w:type="dxa"/>
            <w:tcBorders>
              <w:top w:val="single" w:sz="4" w:space="0" w:color="auto"/>
              <w:left w:val="single" w:sz="4" w:space="0" w:color="auto"/>
            </w:tcBorders>
            <w:shd w:val="clear" w:color="auto" w:fill="FFFFFF"/>
            <w:vAlign w:val="bottom"/>
          </w:tcPr>
          <w:p w14:paraId="58ABD2E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отношении следующих объ-</w:t>
            </w:r>
          </w:p>
        </w:tc>
        <w:tc>
          <w:tcPr>
            <w:tcW w:w="2530" w:type="dxa"/>
            <w:tcBorders>
              <w:top w:val="single" w:sz="4" w:space="0" w:color="auto"/>
              <w:left w:val="single" w:sz="4" w:space="0" w:color="auto"/>
              <w:right w:val="single" w:sz="4" w:space="0" w:color="auto"/>
            </w:tcBorders>
            <w:shd w:val="clear" w:color="auto" w:fill="FFFFFF"/>
            <w:vAlign w:val="bottom"/>
          </w:tcPr>
          <w:p w14:paraId="52C7E6E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отношении следующих</w:t>
            </w:r>
          </w:p>
        </w:tc>
      </w:tr>
      <w:tr w:rsidR="00350396" w:rsidRPr="004E0FC4" w14:paraId="443237AD" w14:textId="77777777" w:rsidTr="006D7F71">
        <w:trPr>
          <w:trHeight w:hRule="exact" w:val="221"/>
          <w:jc w:val="center"/>
        </w:trPr>
        <w:tc>
          <w:tcPr>
            <w:tcW w:w="1205" w:type="dxa"/>
            <w:tcBorders>
              <w:left w:val="single" w:sz="4" w:space="0" w:color="auto"/>
            </w:tcBorders>
            <w:shd w:val="clear" w:color="auto" w:fill="FFFFFF"/>
          </w:tcPr>
          <w:p w14:paraId="0EAF0C7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объектов</w:t>
            </w:r>
          </w:p>
        </w:tc>
        <w:tc>
          <w:tcPr>
            <w:tcW w:w="2846" w:type="dxa"/>
            <w:tcBorders>
              <w:left w:val="single" w:sz="4" w:space="0" w:color="auto"/>
            </w:tcBorders>
            <w:shd w:val="clear" w:color="auto" w:fill="FFFFFF"/>
          </w:tcPr>
          <w:p w14:paraId="6C7E2D9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ектов может быть заключено</w:t>
            </w:r>
          </w:p>
        </w:tc>
        <w:tc>
          <w:tcPr>
            <w:tcW w:w="2530" w:type="dxa"/>
            <w:tcBorders>
              <w:left w:val="single" w:sz="4" w:space="0" w:color="auto"/>
              <w:right w:val="single" w:sz="4" w:space="0" w:color="auto"/>
            </w:tcBorders>
            <w:shd w:val="clear" w:color="auto" w:fill="FFFFFF"/>
          </w:tcPr>
          <w:p w14:paraId="3FA8A798"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объектов может быть</w:t>
            </w:r>
          </w:p>
        </w:tc>
      </w:tr>
      <w:tr w:rsidR="00350396" w:rsidRPr="004E0FC4" w14:paraId="70799B93" w14:textId="77777777" w:rsidTr="006D7F71">
        <w:trPr>
          <w:trHeight w:hRule="exact" w:val="202"/>
          <w:jc w:val="center"/>
        </w:trPr>
        <w:tc>
          <w:tcPr>
            <w:tcW w:w="1205" w:type="dxa"/>
            <w:tcBorders>
              <w:left w:val="single" w:sz="4" w:space="0" w:color="auto"/>
            </w:tcBorders>
            <w:shd w:val="clear" w:color="auto" w:fill="FFFFFF"/>
          </w:tcPr>
          <w:p w14:paraId="558ED04C"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62D9D56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только концессионное соглаше-</w:t>
            </w:r>
          </w:p>
        </w:tc>
        <w:tc>
          <w:tcPr>
            <w:tcW w:w="2530" w:type="dxa"/>
            <w:tcBorders>
              <w:left w:val="single" w:sz="4" w:space="0" w:color="auto"/>
              <w:right w:val="single" w:sz="4" w:space="0" w:color="auto"/>
            </w:tcBorders>
            <w:shd w:val="clear" w:color="auto" w:fill="FFFFFF"/>
            <w:vAlign w:val="bottom"/>
          </w:tcPr>
          <w:p w14:paraId="59DC38B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заключено только СГЧП</w:t>
            </w:r>
          </w:p>
        </w:tc>
      </w:tr>
      <w:tr w:rsidR="00350396" w:rsidRPr="004E0FC4" w14:paraId="7DE8ECA0" w14:textId="77777777" w:rsidTr="006D7F71">
        <w:trPr>
          <w:trHeight w:hRule="exact" w:val="216"/>
          <w:jc w:val="center"/>
        </w:trPr>
        <w:tc>
          <w:tcPr>
            <w:tcW w:w="1205" w:type="dxa"/>
            <w:tcBorders>
              <w:left w:val="single" w:sz="4" w:space="0" w:color="auto"/>
            </w:tcBorders>
            <w:shd w:val="clear" w:color="auto" w:fill="FFFFFF"/>
          </w:tcPr>
          <w:p w14:paraId="04524C58"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64477BD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ний (КС) (ст. 4 Закона о КС):</w:t>
            </w:r>
          </w:p>
        </w:tc>
        <w:tc>
          <w:tcPr>
            <w:tcW w:w="2530" w:type="dxa"/>
            <w:tcBorders>
              <w:left w:val="single" w:sz="4" w:space="0" w:color="auto"/>
              <w:right w:val="single" w:sz="4" w:space="0" w:color="auto"/>
            </w:tcBorders>
            <w:shd w:val="clear" w:color="auto" w:fill="FFFFFF"/>
            <w:vAlign w:val="bottom"/>
          </w:tcPr>
          <w:p w14:paraId="2567104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(СМЧП) (ст. 7 Закона</w:t>
            </w:r>
          </w:p>
        </w:tc>
      </w:tr>
      <w:tr w:rsidR="00350396" w:rsidRPr="004E0FC4" w14:paraId="08B3F2D7" w14:textId="77777777" w:rsidTr="006D7F71">
        <w:trPr>
          <w:trHeight w:hRule="exact" w:val="226"/>
          <w:jc w:val="center"/>
        </w:trPr>
        <w:tc>
          <w:tcPr>
            <w:tcW w:w="1205" w:type="dxa"/>
            <w:tcBorders>
              <w:left w:val="single" w:sz="4" w:space="0" w:color="auto"/>
            </w:tcBorders>
            <w:shd w:val="clear" w:color="auto" w:fill="FFFFFF"/>
          </w:tcPr>
          <w:p w14:paraId="6BCABF17"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5C11D70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объекты тепло- и водоснаб-</w:t>
            </w:r>
          </w:p>
        </w:tc>
        <w:tc>
          <w:tcPr>
            <w:tcW w:w="2530" w:type="dxa"/>
            <w:tcBorders>
              <w:left w:val="single" w:sz="4" w:space="0" w:color="auto"/>
              <w:right w:val="single" w:sz="4" w:space="0" w:color="auto"/>
            </w:tcBorders>
            <w:shd w:val="clear" w:color="auto" w:fill="FFFFFF"/>
            <w:vAlign w:val="bottom"/>
          </w:tcPr>
          <w:p w14:paraId="33741E1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 ГЧП):</w:t>
            </w:r>
          </w:p>
        </w:tc>
      </w:tr>
      <w:tr w:rsidR="00350396" w:rsidRPr="004E0FC4" w14:paraId="74655934" w14:textId="77777777" w:rsidTr="006D7F71">
        <w:trPr>
          <w:trHeight w:hRule="exact" w:val="235"/>
          <w:jc w:val="center"/>
        </w:trPr>
        <w:tc>
          <w:tcPr>
            <w:tcW w:w="1205" w:type="dxa"/>
            <w:tcBorders>
              <w:left w:val="single" w:sz="4" w:space="0" w:color="auto"/>
            </w:tcBorders>
            <w:shd w:val="clear" w:color="auto" w:fill="FFFFFF"/>
          </w:tcPr>
          <w:p w14:paraId="7A77CD56"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610D5506"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жения/водоотведения и кана-</w:t>
            </w:r>
          </w:p>
        </w:tc>
        <w:tc>
          <w:tcPr>
            <w:tcW w:w="2530" w:type="dxa"/>
            <w:tcBorders>
              <w:left w:val="single" w:sz="4" w:space="0" w:color="auto"/>
              <w:right w:val="single" w:sz="4" w:space="0" w:color="auto"/>
            </w:tcBorders>
            <w:shd w:val="clear" w:color="auto" w:fill="FFFFFF"/>
            <w:vAlign w:val="bottom"/>
          </w:tcPr>
          <w:p w14:paraId="5783BFE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воздушные суда;</w:t>
            </w:r>
          </w:p>
        </w:tc>
      </w:tr>
      <w:tr w:rsidR="00350396" w:rsidRPr="004E0FC4" w14:paraId="35BAA9D9" w14:textId="77777777" w:rsidTr="006D7F71">
        <w:trPr>
          <w:trHeight w:hRule="exact" w:val="202"/>
          <w:jc w:val="center"/>
        </w:trPr>
        <w:tc>
          <w:tcPr>
            <w:tcW w:w="1205" w:type="dxa"/>
            <w:tcBorders>
              <w:left w:val="single" w:sz="4" w:space="0" w:color="auto"/>
            </w:tcBorders>
            <w:shd w:val="clear" w:color="auto" w:fill="FFFFFF"/>
          </w:tcPr>
          <w:p w14:paraId="6F1C15C0"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237B5C51"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лизации;</w:t>
            </w:r>
          </w:p>
        </w:tc>
        <w:tc>
          <w:tcPr>
            <w:tcW w:w="2530" w:type="dxa"/>
            <w:tcBorders>
              <w:left w:val="single" w:sz="4" w:space="0" w:color="auto"/>
              <w:right w:val="single" w:sz="4" w:space="0" w:color="auto"/>
            </w:tcBorders>
            <w:shd w:val="clear" w:color="auto" w:fill="FFFFFF"/>
            <w:vAlign w:val="bottom"/>
          </w:tcPr>
          <w:p w14:paraId="4E9142C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стационарные и пла-</w:t>
            </w:r>
          </w:p>
        </w:tc>
      </w:tr>
      <w:tr w:rsidR="00350396" w:rsidRPr="004E0FC4" w14:paraId="562E030C" w14:textId="77777777" w:rsidTr="006D7F71">
        <w:trPr>
          <w:trHeight w:hRule="exact" w:val="235"/>
          <w:jc w:val="center"/>
        </w:trPr>
        <w:tc>
          <w:tcPr>
            <w:tcW w:w="1205" w:type="dxa"/>
            <w:tcBorders>
              <w:left w:val="single" w:sz="4" w:space="0" w:color="auto"/>
            </w:tcBorders>
            <w:shd w:val="clear" w:color="auto" w:fill="FFFFFF"/>
          </w:tcPr>
          <w:p w14:paraId="5512CB76"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4D1461B5"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дороги федерального, регио-</w:t>
            </w:r>
          </w:p>
        </w:tc>
        <w:tc>
          <w:tcPr>
            <w:tcW w:w="2530" w:type="dxa"/>
            <w:tcBorders>
              <w:left w:val="single" w:sz="4" w:space="0" w:color="auto"/>
              <w:right w:val="single" w:sz="4" w:space="0" w:color="auto"/>
            </w:tcBorders>
            <w:shd w:val="clear" w:color="auto" w:fill="FFFFFF"/>
          </w:tcPr>
          <w:p w14:paraId="21F52F8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вучие платформы, искус-</w:t>
            </w:r>
          </w:p>
        </w:tc>
      </w:tr>
      <w:tr w:rsidR="00350396" w:rsidRPr="004E0FC4" w14:paraId="7F3A8E97" w14:textId="77777777" w:rsidTr="006D7F71">
        <w:trPr>
          <w:trHeight w:hRule="exact" w:val="202"/>
          <w:jc w:val="center"/>
        </w:trPr>
        <w:tc>
          <w:tcPr>
            <w:tcW w:w="1205" w:type="dxa"/>
            <w:tcBorders>
              <w:left w:val="single" w:sz="4" w:space="0" w:color="auto"/>
            </w:tcBorders>
            <w:shd w:val="clear" w:color="auto" w:fill="FFFFFF"/>
          </w:tcPr>
          <w:p w14:paraId="3E37C07F"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7BE09981"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нального и местного значения;</w:t>
            </w:r>
          </w:p>
        </w:tc>
        <w:tc>
          <w:tcPr>
            <w:tcW w:w="2530" w:type="dxa"/>
            <w:tcBorders>
              <w:left w:val="single" w:sz="4" w:space="0" w:color="auto"/>
              <w:right w:val="single" w:sz="4" w:space="0" w:color="auto"/>
            </w:tcBorders>
            <w:shd w:val="clear" w:color="auto" w:fill="FFFFFF"/>
            <w:vAlign w:val="bottom"/>
          </w:tcPr>
          <w:p w14:paraId="726DF41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ственные острова;</w:t>
            </w:r>
          </w:p>
        </w:tc>
      </w:tr>
      <w:tr w:rsidR="00350396" w:rsidRPr="004E0FC4" w14:paraId="4B4AB9AB" w14:textId="77777777" w:rsidTr="006D7F71">
        <w:trPr>
          <w:trHeight w:hRule="exact" w:val="226"/>
          <w:jc w:val="center"/>
        </w:trPr>
        <w:tc>
          <w:tcPr>
            <w:tcW w:w="1205" w:type="dxa"/>
            <w:tcBorders>
              <w:left w:val="single" w:sz="4" w:space="0" w:color="auto"/>
            </w:tcBorders>
            <w:shd w:val="clear" w:color="auto" w:fill="FFFFFF"/>
          </w:tcPr>
          <w:p w14:paraId="047D2E85"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516E5AF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метрополитен;</w:t>
            </w:r>
          </w:p>
        </w:tc>
        <w:tc>
          <w:tcPr>
            <w:tcW w:w="2530" w:type="dxa"/>
            <w:tcBorders>
              <w:left w:val="single" w:sz="4" w:space="0" w:color="auto"/>
              <w:right w:val="single" w:sz="4" w:space="0" w:color="auto"/>
            </w:tcBorders>
            <w:shd w:val="clear" w:color="auto" w:fill="FFFFFF"/>
            <w:vAlign w:val="bottom"/>
          </w:tcPr>
          <w:p w14:paraId="11A392F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подводные и подземные</w:t>
            </w:r>
          </w:p>
        </w:tc>
      </w:tr>
      <w:tr w:rsidR="00350396" w:rsidRPr="004E0FC4" w14:paraId="58CD118E" w14:textId="77777777" w:rsidTr="006D7F71">
        <w:trPr>
          <w:trHeight w:hRule="exact" w:val="221"/>
          <w:jc w:val="center"/>
        </w:trPr>
        <w:tc>
          <w:tcPr>
            <w:tcW w:w="1205" w:type="dxa"/>
            <w:tcBorders>
              <w:left w:val="single" w:sz="4" w:space="0" w:color="auto"/>
            </w:tcBorders>
            <w:shd w:val="clear" w:color="auto" w:fill="FFFFFF"/>
          </w:tcPr>
          <w:p w14:paraId="0CC1B316"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7DFFFDE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здания, строения и со-</w:t>
            </w:r>
          </w:p>
        </w:tc>
        <w:tc>
          <w:tcPr>
            <w:tcW w:w="2530" w:type="dxa"/>
            <w:tcBorders>
              <w:left w:val="single" w:sz="4" w:space="0" w:color="auto"/>
              <w:right w:val="single" w:sz="4" w:space="0" w:color="auto"/>
            </w:tcBorders>
            <w:shd w:val="clear" w:color="auto" w:fill="FFFFFF"/>
            <w:vAlign w:val="bottom"/>
          </w:tcPr>
          <w:p w14:paraId="60BD4A02"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технические сооружения,</w:t>
            </w:r>
          </w:p>
        </w:tc>
      </w:tr>
      <w:tr w:rsidR="00350396" w:rsidRPr="004E0FC4" w14:paraId="2C2F985C" w14:textId="77777777" w:rsidTr="006D7F71">
        <w:trPr>
          <w:trHeight w:hRule="exact" w:val="216"/>
          <w:jc w:val="center"/>
        </w:trPr>
        <w:tc>
          <w:tcPr>
            <w:tcW w:w="1205" w:type="dxa"/>
            <w:tcBorders>
              <w:left w:val="single" w:sz="4" w:space="0" w:color="auto"/>
            </w:tcBorders>
            <w:shd w:val="clear" w:color="auto" w:fill="FFFFFF"/>
          </w:tcPr>
          <w:p w14:paraId="4E2764D4"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5853F69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оружения, предназначенные</w:t>
            </w:r>
          </w:p>
        </w:tc>
        <w:tc>
          <w:tcPr>
            <w:tcW w:w="2530" w:type="dxa"/>
            <w:tcBorders>
              <w:left w:val="single" w:sz="4" w:space="0" w:color="auto"/>
              <w:right w:val="single" w:sz="4" w:space="0" w:color="auto"/>
            </w:tcBorders>
            <w:shd w:val="clear" w:color="auto" w:fill="FFFFFF"/>
            <w:vAlign w:val="bottom"/>
          </w:tcPr>
          <w:p w14:paraId="282846C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переходы;</w:t>
            </w:r>
          </w:p>
        </w:tc>
      </w:tr>
      <w:tr w:rsidR="00350396" w:rsidRPr="004E0FC4" w14:paraId="3B2C375B" w14:textId="77777777" w:rsidTr="006D7F71">
        <w:trPr>
          <w:trHeight w:hRule="exact" w:val="202"/>
          <w:jc w:val="center"/>
        </w:trPr>
        <w:tc>
          <w:tcPr>
            <w:tcW w:w="1205" w:type="dxa"/>
            <w:tcBorders>
              <w:left w:val="single" w:sz="4" w:space="0" w:color="auto"/>
            </w:tcBorders>
            <w:shd w:val="clear" w:color="auto" w:fill="FFFFFF"/>
          </w:tcPr>
          <w:p w14:paraId="38F4BC04"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1FDDC0F1"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складирования, хранения</w:t>
            </w:r>
          </w:p>
        </w:tc>
        <w:tc>
          <w:tcPr>
            <w:tcW w:w="2530" w:type="dxa"/>
            <w:tcBorders>
              <w:left w:val="single" w:sz="4" w:space="0" w:color="auto"/>
              <w:right w:val="single" w:sz="4" w:space="0" w:color="auto"/>
            </w:tcBorders>
            <w:shd w:val="clear" w:color="auto" w:fill="FFFFFF"/>
          </w:tcPr>
          <w:p w14:paraId="193FAF1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линии и иные линейные</w:t>
            </w:r>
          </w:p>
        </w:tc>
      </w:tr>
      <w:tr w:rsidR="00350396" w:rsidRPr="004E0FC4" w14:paraId="2DA729F8" w14:textId="77777777" w:rsidTr="006D7F71">
        <w:trPr>
          <w:trHeight w:hRule="exact" w:val="211"/>
          <w:jc w:val="center"/>
        </w:trPr>
        <w:tc>
          <w:tcPr>
            <w:tcW w:w="1205" w:type="dxa"/>
            <w:tcBorders>
              <w:left w:val="single" w:sz="4" w:space="0" w:color="auto"/>
            </w:tcBorders>
            <w:shd w:val="clear" w:color="auto" w:fill="FFFFFF"/>
          </w:tcPr>
          <w:p w14:paraId="2A547487"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05072A0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ремонта имущества ВС РФ;</w:t>
            </w:r>
          </w:p>
        </w:tc>
        <w:tc>
          <w:tcPr>
            <w:tcW w:w="2530" w:type="dxa"/>
            <w:tcBorders>
              <w:left w:val="single" w:sz="4" w:space="0" w:color="auto"/>
              <w:right w:val="single" w:sz="4" w:space="0" w:color="auto"/>
            </w:tcBorders>
            <w:shd w:val="clear" w:color="auto" w:fill="FFFFFF"/>
          </w:tcPr>
          <w:p w14:paraId="7EE4E16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объекты связи и коммуни-</w:t>
            </w:r>
          </w:p>
        </w:tc>
      </w:tr>
      <w:tr w:rsidR="00350396" w:rsidRPr="004E0FC4" w14:paraId="7E68F366" w14:textId="77777777" w:rsidTr="006D7F71">
        <w:trPr>
          <w:trHeight w:hRule="exact" w:val="211"/>
          <w:jc w:val="center"/>
        </w:trPr>
        <w:tc>
          <w:tcPr>
            <w:tcW w:w="1205" w:type="dxa"/>
            <w:tcBorders>
              <w:left w:val="single" w:sz="4" w:space="0" w:color="auto"/>
            </w:tcBorders>
            <w:shd w:val="clear" w:color="auto" w:fill="FFFFFF"/>
          </w:tcPr>
          <w:p w14:paraId="0101DFF2"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3FF8FA0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социальное жилье, объекты</w:t>
            </w:r>
          </w:p>
        </w:tc>
        <w:tc>
          <w:tcPr>
            <w:tcW w:w="2530" w:type="dxa"/>
            <w:tcBorders>
              <w:left w:val="single" w:sz="4" w:space="0" w:color="auto"/>
              <w:right w:val="single" w:sz="4" w:space="0" w:color="auto"/>
            </w:tcBorders>
            <w:shd w:val="clear" w:color="auto" w:fill="FFFFFF"/>
            <w:vAlign w:val="bottom"/>
          </w:tcPr>
          <w:p w14:paraId="4D9C40A6"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кации;</w:t>
            </w:r>
          </w:p>
        </w:tc>
      </w:tr>
      <w:tr w:rsidR="00350396" w:rsidRPr="004E0FC4" w14:paraId="0B41B2B3" w14:textId="77777777" w:rsidTr="006D7F71">
        <w:trPr>
          <w:trHeight w:hRule="exact" w:val="216"/>
          <w:jc w:val="center"/>
        </w:trPr>
        <w:tc>
          <w:tcPr>
            <w:tcW w:w="1205" w:type="dxa"/>
            <w:tcBorders>
              <w:left w:val="single" w:sz="4" w:space="0" w:color="auto"/>
            </w:tcBorders>
            <w:shd w:val="clear" w:color="auto" w:fill="FFFFFF"/>
          </w:tcPr>
          <w:p w14:paraId="1B4E7AC1"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2CC80AC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социального обеспечения;</w:t>
            </w:r>
          </w:p>
        </w:tc>
        <w:tc>
          <w:tcPr>
            <w:tcW w:w="2530" w:type="dxa"/>
            <w:tcBorders>
              <w:left w:val="single" w:sz="4" w:space="0" w:color="auto"/>
              <w:right w:val="single" w:sz="4" w:space="0" w:color="auto"/>
            </w:tcBorders>
            <w:shd w:val="clear" w:color="auto" w:fill="FFFFFF"/>
            <w:vAlign w:val="bottom"/>
          </w:tcPr>
          <w:p w14:paraId="1151D41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мелиоративные систе-</w:t>
            </w:r>
          </w:p>
        </w:tc>
      </w:tr>
      <w:tr w:rsidR="00350396" w:rsidRPr="004E0FC4" w14:paraId="625663D5" w14:textId="77777777" w:rsidTr="006D7F71">
        <w:trPr>
          <w:trHeight w:hRule="exact" w:val="221"/>
          <w:jc w:val="center"/>
        </w:trPr>
        <w:tc>
          <w:tcPr>
            <w:tcW w:w="1205" w:type="dxa"/>
            <w:tcBorders>
              <w:left w:val="single" w:sz="4" w:space="0" w:color="auto"/>
            </w:tcBorders>
            <w:shd w:val="clear" w:color="auto" w:fill="FFFFFF"/>
          </w:tcPr>
          <w:p w14:paraId="72712FAD"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7B3EF7F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объекты уголовно-испра-</w:t>
            </w:r>
          </w:p>
        </w:tc>
        <w:tc>
          <w:tcPr>
            <w:tcW w:w="2530" w:type="dxa"/>
            <w:tcBorders>
              <w:left w:val="single" w:sz="4" w:space="0" w:color="auto"/>
              <w:right w:val="single" w:sz="4" w:space="0" w:color="auto"/>
            </w:tcBorders>
            <w:shd w:val="clear" w:color="auto" w:fill="FFFFFF"/>
            <w:vAlign w:val="bottom"/>
          </w:tcPr>
          <w:p w14:paraId="39BB527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мы;</w:t>
            </w:r>
          </w:p>
        </w:tc>
      </w:tr>
      <w:tr w:rsidR="00350396" w:rsidRPr="004E0FC4" w14:paraId="2A0BA31C" w14:textId="77777777" w:rsidTr="006D7F71">
        <w:trPr>
          <w:trHeight w:hRule="exact" w:val="211"/>
          <w:jc w:val="center"/>
        </w:trPr>
        <w:tc>
          <w:tcPr>
            <w:tcW w:w="1205" w:type="dxa"/>
            <w:tcBorders>
              <w:left w:val="single" w:sz="4" w:space="0" w:color="auto"/>
            </w:tcBorders>
            <w:shd w:val="clear" w:color="auto" w:fill="FFFFFF"/>
          </w:tcPr>
          <w:p w14:paraId="2740D7B8"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7DA0728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вительной системы, объекты</w:t>
            </w:r>
          </w:p>
        </w:tc>
        <w:tc>
          <w:tcPr>
            <w:tcW w:w="2530" w:type="dxa"/>
            <w:tcBorders>
              <w:left w:val="single" w:sz="4" w:space="0" w:color="auto"/>
              <w:right w:val="single" w:sz="4" w:space="0" w:color="auto"/>
            </w:tcBorders>
            <w:shd w:val="clear" w:color="auto" w:fill="FFFFFF"/>
          </w:tcPr>
          <w:p w14:paraId="0F577AB8"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объекты промышленно-</w:t>
            </w:r>
          </w:p>
        </w:tc>
      </w:tr>
      <w:tr w:rsidR="00350396" w:rsidRPr="004E0FC4" w14:paraId="3BCDCCC7" w14:textId="77777777" w:rsidTr="006D7F71">
        <w:trPr>
          <w:trHeight w:hRule="exact" w:val="221"/>
          <w:jc w:val="center"/>
        </w:trPr>
        <w:tc>
          <w:tcPr>
            <w:tcW w:w="1205" w:type="dxa"/>
            <w:tcBorders>
              <w:left w:val="single" w:sz="4" w:space="0" w:color="auto"/>
            </w:tcBorders>
            <w:shd w:val="clear" w:color="auto" w:fill="FFFFFF"/>
          </w:tcPr>
          <w:p w14:paraId="1B7D40D7"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2F2D3F8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негосударственной сферы без-</w:t>
            </w:r>
          </w:p>
        </w:tc>
        <w:tc>
          <w:tcPr>
            <w:tcW w:w="2530" w:type="dxa"/>
            <w:tcBorders>
              <w:left w:val="single" w:sz="4" w:space="0" w:color="auto"/>
              <w:right w:val="single" w:sz="4" w:space="0" w:color="auto"/>
            </w:tcBorders>
            <w:shd w:val="clear" w:color="auto" w:fill="FFFFFF"/>
            <w:vAlign w:val="bottom"/>
          </w:tcPr>
          <w:p w14:paraId="75EA6266"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сти;</w:t>
            </w:r>
          </w:p>
        </w:tc>
      </w:tr>
      <w:tr w:rsidR="00350396" w:rsidRPr="004E0FC4" w14:paraId="41EA5316" w14:textId="77777777" w:rsidTr="006D7F71">
        <w:trPr>
          <w:trHeight w:hRule="exact" w:val="197"/>
          <w:jc w:val="center"/>
        </w:trPr>
        <w:tc>
          <w:tcPr>
            <w:tcW w:w="1205" w:type="dxa"/>
            <w:tcBorders>
              <w:left w:val="single" w:sz="4" w:space="0" w:color="auto"/>
            </w:tcBorders>
            <w:shd w:val="clear" w:color="auto" w:fill="FFFFFF"/>
          </w:tcPr>
          <w:p w14:paraId="6135D385"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69007E5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опасности;</w:t>
            </w:r>
          </w:p>
        </w:tc>
        <w:tc>
          <w:tcPr>
            <w:tcW w:w="2530" w:type="dxa"/>
            <w:tcBorders>
              <w:left w:val="single" w:sz="4" w:space="0" w:color="auto"/>
              <w:right w:val="single" w:sz="4" w:space="0" w:color="auto"/>
            </w:tcBorders>
            <w:shd w:val="clear" w:color="auto" w:fill="FFFFFF"/>
            <w:vAlign w:val="bottom"/>
          </w:tcPr>
          <w:p w14:paraId="52FCA8F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объекты охотничьей</w:t>
            </w:r>
          </w:p>
        </w:tc>
      </w:tr>
      <w:tr w:rsidR="00350396" w:rsidRPr="004E0FC4" w14:paraId="006AC283" w14:textId="77777777" w:rsidTr="006D7F71">
        <w:trPr>
          <w:trHeight w:hRule="exact" w:val="235"/>
          <w:jc w:val="center"/>
        </w:trPr>
        <w:tc>
          <w:tcPr>
            <w:tcW w:w="1205" w:type="dxa"/>
            <w:tcBorders>
              <w:left w:val="single" w:sz="4" w:space="0" w:color="auto"/>
            </w:tcBorders>
            <w:shd w:val="clear" w:color="auto" w:fill="FFFFFF"/>
          </w:tcPr>
          <w:p w14:paraId="5582408B"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00F2EE4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объекты здравоохране-</w:t>
            </w:r>
          </w:p>
        </w:tc>
        <w:tc>
          <w:tcPr>
            <w:tcW w:w="2530" w:type="dxa"/>
            <w:tcBorders>
              <w:left w:val="single" w:sz="4" w:space="0" w:color="auto"/>
              <w:right w:val="single" w:sz="4" w:space="0" w:color="auto"/>
            </w:tcBorders>
            <w:shd w:val="clear" w:color="auto" w:fill="FFFFFF"/>
            <w:vAlign w:val="bottom"/>
          </w:tcPr>
          <w:p w14:paraId="02AB4B0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инфраструктуры;</w:t>
            </w:r>
          </w:p>
        </w:tc>
      </w:tr>
      <w:tr w:rsidR="00350396" w:rsidRPr="004E0FC4" w14:paraId="0CABBE4A" w14:textId="77777777" w:rsidTr="006D7F71">
        <w:trPr>
          <w:trHeight w:hRule="exact" w:val="216"/>
          <w:jc w:val="center"/>
        </w:trPr>
        <w:tc>
          <w:tcPr>
            <w:tcW w:w="1205" w:type="dxa"/>
            <w:tcBorders>
              <w:left w:val="single" w:sz="4" w:space="0" w:color="auto"/>
            </w:tcBorders>
            <w:shd w:val="clear" w:color="auto" w:fill="FFFFFF"/>
          </w:tcPr>
          <w:p w14:paraId="1AB4CE94"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2565CAB2"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ния, образования, культуры</w:t>
            </w:r>
          </w:p>
        </w:tc>
        <w:tc>
          <w:tcPr>
            <w:tcW w:w="2530" w:type="dxa"/>
            <w:tcBorders>
              <w:left w:val="single" w:sz="4" w:space="0" w:color="auto"/>
              <w:right w:val="single" w:sz="4" w:space="0" w:color="auto"/>
            </w:tcBorders>
            <w:shd w:val="clear" w:color="auto" w:fill="FFFFFF"/>
          </w:tcPr>
          <w:p w14:paraId="4D1DD61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ряд объектов прочего</w:t>
            </w:r>
          </w:p>
        </w:tc>
      </w:tr>
      <w:tr w:rsidR="00350396" w:rsidRPr="004E0FC4" w14:paraId="550DEF26" w14:textId="77777777" w:rsidTr="006D7F71">
        <w:trPr>
          <w:trHeight w:hRule="exact" w:val="216"/>
          <w:jc w:val="center"/>
        </w:trPr>
        <w:tc>
          <w:tcPr>
            <w:tcW w:w="1205" w:type="dxa"/>
            <w:tcBorders>
              <w:left w:val="single" w:sz="4" w:space="0" w:color="auto"/>
            </w:tcBorders>
            <w:shd w:val="clear" w:color="auto" w:fill="FFFFFF"/>
          </w:tcPr>
          <w:p w14:paraId="33AFCB0A"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7A0D1446"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спорта, электроснабжения,</w:t>
            </w:r>
          </w:p>
        </w:tc>
        <w:tc>
          <w:tcPr>
            <w:tcW w:w="2530" w:type="dxa"/>
            <w:tcBorders>
              <w:left w:val="single" w:sz="4" w:space="0" w:color="auto"/>
              <w:right w:val="single" w:sz="4" w:space="0" w:color="auto"/>
            </w:tcBorders>
            <w:shd w:val="clear" w:color="auto" w:fill="FFFFFF"/>
          </w:tcPr>
          <w:p w14:paraId="62CFB2DF"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имущества (ожидается</w:t>
            </w:r>
          </w:p>
        </w:tc>
      </w:tr>
      <w:tr w:rsidR="00350396" w:rsidRPr="004E0FC4" w14:paraId="7E916226" w14:textId="77777777" w:rsidTr="006D7F71">
        <w:trPr>
          <w:trHeight w:hRule="exact" w:val="725"/>
          <w:jc w:val="center"/>
        </w:trPr>
        <w:tc>
          <w:tcPr>
            <w:tcW w:w="1205" w:type="dxa"/>
            <w:tcBorders>
              <w:left w:val="single" w:sz="4" w:space="0" w:color="auto"/>
            </w:tcBorders>
            <w:shd w:val="clear" w:color="auto" w:fill="FFFFFF"/>
          </w:tcPr>
          <w:p w14:paraId="129C725A"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16DBAF9A"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мусоропереработки, некоторые объекты транспортной инфра</w:t>
            </w:r>
            <w:r w:rsidRPr="004E0FC4">
              <w:rPr>
                <w:rFonts w:ascii="Bookman Old Style" w:eastAsia="Bookman Old Style" w:hAnsi="Bookman Old Style" w:cs="Bookman Old Style"/>
                <w:color w:val="231F20"/>
                <w:sz w:val="18"/>
                <w:szCs w:val="18"/>
              </w:rPr>
              <w:softHyphen/>
              <w:t>структуры и др.</w:t>
            </w:r>
          </w:p>
        </w:tc>
        <w:tc>
          <w:tcPr>
            <w:tcW w:w="2530" w:type="dxa"/>
            <w:tcBorders>
              <w:left w:val="single" w:sz="4" w:space="0" w:color="auto"/>
              <w:right w:val="single" w:sz="4" w:space="0" w:color="auto"/>
            </w:tcBorders>
            <w:shd w:val="clear" w:color="auto" w:fill="FFFFFF"/>
          </w:tcPr>
          <w:p w14:paraId="04EC76A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внесение поправок)</w:t>
            </w:r>
          </w:p>
        </w:tc>
      </w:tr>
      <w:tr w:rsidR="00350396" w:rsidRPr="004E0FC4" w14:paraId="5B20567F" w14:textId="77777777" w:rsidTr="006D7F71">
        <w:trPr>
          <w:trHeight w:hRule="exact" w:val="293"/>
          <w:jc w:val="center"/>
        </w:trPr>
        <w:tc>
          <w:tcPr>
            <w:tcW w:w="1205" w:type="dxa"/>
            <w:tcBorders>
              <w:top w:val="single" w:sz="4" w:space="0" w:color="auto"/>
              <w:left w:val="single" w:sz="4" w:space="0" w:color="auto"/>
            </w:tcBorders>
            <w:shd w:val="clear" w:color="auto" w:fill="FFFFFF"/>
            <w:vAlign w:val="bottom"/>
          </w:tcPr>
          <w:p w14:paraId="2A6F387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Сферы</w:t>
            </w:r>
          </w:p>
        </w:tc>
        <w:tc>
          <w:tcPr>
            <w:tcW w:w="2846" w:type="dxa"/>
            <w:tcBorders>
              <w:top w:val="single" w:sz="4" w:space="0" w:color="auto"/>
              <w:left w:val="single" w:sz="4" w:space="0" w:color="auto"/>
            </w:tcBorders>
            <w:shd w:val="clear" w:color="auto" w:fill="FFFFFF"/>
            <w:vAlign w:val="bottom"/>
          </w:tcPr>
          <w:p w14:paraId="07D57C4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отношении объектов, переда-</w:t>
            </w:r>
          </w:p>
        </w:tc>
        <w:tc>
          <w:tcPr>
            <w:tcW w:w="2530" w:type="dxa"/>
            <w:tcBorders>
              <w:top w:val="single" w:sz="4" w:space="0" w:color="auto"/>
              <w:left w:val="single" w:sz="4" w:space="0" w:color="auto"/>
              <w:right w:val="single" w:sz="4" w:space="0" w:color="auto"/>
            </w:tcBorders>
            <w:shd w:val="clear" w:color="auto" w:fill="FFFFFF"/>
            <w:vAlign w:val="bottom"/>
          </w:tcPr>
          <w:p w14:paraId="240E7EB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отношении объектов,</w:t>
            </w:r>
          </w:p>
        </w:tc>
      </w:tr>
      <w:tr w:rsidR="00350396" w:rsidRPr="004E0FC4" w14:paraId="6FB451F3" w14:textId="77777777" w:rsidTr="006D7F71">
        <w:trPr>
          <w:trHeight w:hRule="exact" w:val="221"/>
          <w:jc w:val="center"/>
        </w:trPr>
        <w:tc>
          <w:tcPr>
            <w:tcW w:w="1205" w:type="dxa"/>
            <w:tcBorders>
              <w:left w:val="single" w:sz="4" w:space="0" w:color="auto"/>
            </w:tcBorders>
            <w:shd w:val="clear" w:color="auto" w:fill="FFFFFF"/>
            <w:vAlign w:val="bottom"/>
          </w:tcPr>
          <w:p w14:paraId="02A3376F"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преимуще-</w:t>
            </w:r>
          </w:p>
        </w:tc>
        <w:tc>
          <w:tcPr>
            <w:tcW w:w="2846" w:type="dxa"/>
            <w:tcBorders>
              <w:left w:val="single" w:sz="4" w:space="0" w:color="auto"/>
            </w:tcBorders>
            <w:shd w:val="clear" w:color="auto" w:fill="FFFFFF"/>
            <w:vAlign w:val="bottom"/>
          </w:tcPr>
          <w:p w14:paraId="4A92430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ча которых в частную собствен-</w:t>
            </w:r>
          </w:p>
        </w:tc>
        <w:tc>
          <w:tcPr>
            <w:tcW w:w="2530" w:type="dxa"/>
            <w:tcBorders>
              <w:left w:val="single" w:sz="4" w:space="0" w:color="auto"/>
              <w:right w:val="single" w:sz="4" w:space="0" w:color="auto"/>
            </w:tcBorders>
            <w:shd w:val="clear" w:color="auto" w:fill="FFFFFF"/>
            <w:vAlign w:val="bottom"/>
          </w:tcPr>
          <w:p w14:paraId="6821B1F1"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передача которых в част-</w:t>
            </w:r>
          </w:p>
        </w:tc>
      </w:tr>
      <w:tr w:rsidR="00350396" w:rsidRPr="004E0FC4" w14:paraId="1685EFE4" w14:textId="77777777" w:rsidTr="006D7F71">
        <w:trPr>
          <w:trHeight w:hRule="exact" w:val="202"/>
          <w:jc w:val="center"/>
        </w:trPr>
        <w:tc>
          <w:tcPr>
            <w:tcW w:w="1205" w:type="dxa"/>
            <w:tcBorders>
              <w:left w:val="single" w:sz="4" w:space="0" w:color="auto"/>
            </w:tcBorders>
            <w:shd w:val="clear" w:color="auto" w:fill="FFFFFF"/>
          </w:tcPr>
          <w:p w14:paraId="73B8CA97"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ственного</w:t>
            </w:r>
          </w:p>
        </w:tc>
        <w:tc>
          <w:tcPr>
            <w:tcW w:w="2846" w:type="dxa"/>
            <w:tcBorders>
              <w:left w:val="single" w:sz="4" w:space="0" w:color="auto"/>
            </w:tcBorders>
            <w:shd w:val="clear" w:color="auto" w:fill="FFFFFF"/>
          </w:tcPr>
          <w:p w14:paraId="1340F1A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ность невозможна/нецелесо-</w:t>
            </w:r>
          </w:p>
        </w:tc>
        <w:tc>
          <w:tcPr>
            <w:tcW w:w="2530" w:type="dxa"/>
            <w:tcBorders>
              <w:left w:val="single" w:sz="4" w:space="0" w:color="auto"/>
              <w:right w:val="single" w:sz="4" w:space="0" w:color="auto"/>
            </w:tcBorders>
            <w:shd w:val="clear" w:color="auto" w:fill="FFFFFF"/>
          </w:tcPr>
          <w:p w14:paraId="3D84463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ную собственность возмож-</w:t>
            </w:r>
          </w:p>
        </w:tc>
      </w:tr>
      <w:tr w:rsidR="00350396" w:rsidRPr="004E0FC4" w14:paraId="280BA3C9" w14:textId="77777777" w:rsidTr="006D7F71">
        <w:trPr>
          <w:trHeight w:hRule="exact" w:val="230"/>
          <w:jc w:val="center"/>
        </w:trPr>
        <w:tc>
          <w:tcPr>
            <w:tcW w:w="1205" w:type="dxa"/>
            <w:tcBorders>
              <w:left w:val="single" w:sz="4" w:space="0" w:color="auto"/>
            </w:tcBorders>
            <w:shd w:val="clear" w:color="auto" w:fill="FFFFFF"/>
          </w:tcPr>
          <w:p w14:paraId="2B50BDB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использова-</w:t>
            </w:r>
          </w:p>
        </w:tc>
        <w:tc>
          <w:tcPr>
            <w:tcW w:w="2846" w:type="dxa"/>
            <w:tcBorders>
              <w:left w:val="single" w:sz="4" w:space="0" w:color="auto"/>
            </w:tcBorders>
            <w:shd w:val="clear" w:color="auto" w:fill="FFFFFF"/>
          </w:tcPr>
          <w:p w14:paraId="538BF98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образна.</w:t>
            </w:r>
          </w:p>
        </w:tc>
        <w:tc>
          <w:tcPr>
            <w:tcW w:w="2530" w:type="dxa"/>
            <w:tcBorders>
              <w:left w:val="single" w:sz="4" w:space="0" w:color="auto"/>
              <w:right w:val="single" w:sz="4" w:space="0" w:color="auto"/>
            </w:tcBorders>
            <w:shd w:val="clear" w:color="auto" w:fill="FFFFFF"/>
          </w:tcPr>
          <w:p w14:paraId="3BF102F7"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на/целесообразна.</w:t>
            </w:r>
          </w:p>
        </w:tc>
      </w:tr>
      <w:tr w:rsidR="00350396" w:rsidRPr="004E0FC4" w14:paraId="1F6FEC1E" w14:textId="77777777" w:rsidTr="006D7F71">
        <w:trPr>
          <w:trHeight w:hRule="exact" w:val="206"/>
          <w:jc w:val="center"/>
        </w:trPr>
        <w:tc>
          <w:tcPr>
            <w:tcW w:w="1205" w:type="dxa"/>
            <w:tcBorders>
              <w:left w:val="single" w:sz="4" w:space="0" w:color="auto"/>
            </w:tcBorders>
            <w:shd w:val="clear" w:color="auto" w:fill="FFFFFF"/>
            <w:vAlign w:val="bottom"/>
          </w:tcPr>
          <w:p w14:paraId="619718A1"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ния</w:t>
            </w:r>
          </w:p>
        </w:tc>
        <w:tc>
          <w:tcPr>
            <w:tcW w:w="2846" w:type="dxa"/>
            <w:tcBorders>
              <w:left w:val="single" w:sz="4" w:space="0" w:color="auto"/>
            </w:tcBorders>
            <w:shd w:val="clear" w:color="auto" w:fill="FFFFFF"/>
            <w:vAlign w:val="bottom"/>
          </w:tcPr>
          <w:p w14:paraId="7C98C4A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Например, коммунальная</w:t>
            </w:r>
          </w:p>
        </w:tc>
        <w:tc>
          <w:tcPr>
            <w:tcW w:w="2530" w:type="dxa"/>
            <w:tcBorders>
              <w:left w:val="single" w:sz="4" w:space="0" w:color="auto"/>
              <w:right w:val="single" w:sz="4" w:space="0" w:color="auto"/>
            </w:tcBorders>
            <w:shd w:val="clear" w:color="auto" w:fill="FFFFFF"/>
            <w:vAlign w:val="bottom"/>
          </w:tcPr>
          <w:p w14:paraId="0BBE5282"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Например, социальная</w:t>
            </w:r>
          </w:p>
        </w:tc>
      </w:tr>
      <w:tr w:rsidR="00350396" w:rsidRPr="004E0FC4" w14:paraId="4EC16FA9" w14:textId="77777777" w:rsidTr="006D7F71">
        <w:trPr>
          <w:trHeight w:hRule="exact" w:val="226"/>
          <w:jc w:val="center"/>
        </w:trPr>
        <w:tc>
          <w:tcPr>
            <w:tcW w:w="1205" w:type="dxa"/>
            <w:tcBorders>
              <w:left w:val="single" w:sz="4" w:space="0" w:color="auto"/>
            </w:tcBorders>
            <w:shd w:val="clear" w:color="auto" w:fill="FFFFFF"/>
          </w:tcPr>
          <w:p w14:paraId="23C1F8CB"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63723892"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инфраструктура (теплосети),</w:t>
            </w:r>
          </w:p>
        </w:tc>
        <w:tc>
          <w:tcPr>
            <w:tcW w:w="2530" w:type="dxa"/>
            <w:tcBorders>
              <w:left w:val="single" w:sz="4" w:space="0" w:color="auto"/>
              <w:right w:val="single" w:sz="4" w:space="0" w:color="auto"/>
            </w:tcBorders>
            <w:shd w:val="clear" w:color="auto" w:fill="FFFFFF"/>
          </w:tcPr>
          <w:p w14:paraId="2FF1150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инфраструктура (физкуль-</w:t>
            </w:r>
          </w:p>
        </w:tc>
      </w:tr>
      <w:tr w:rsidR="00350396" w:rsidRPr="004E0FC4" w14:paraId="72EE1F76" w14:textId="77777777" w:rsidTr="006D7F71">
        <w:trPr>
          <w:trHeight w:hRule="exact" w:val="221"/>
          <w:jc w:val="center"/>
        </w:trPr>
        <w:tc>
          <w:tcPr>
            <w:tcW w:w="1205" w:type="dxa"/>
            <w:tcBorders>
              <w:left w:val="single" w:sz="4" w:space="0" w:color="auto"/>
            </w:tcBorders>
            <w:shd w:val="clear" w:color="auto" w:fill="FFFFFF"/>
          </w:tcPr>
          <w:p w14:paraId="6DE57B5C"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17BA77E1"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транспортная инфраструктура</w:t>
            </w:r>
          </w:p>
        </w:tc>
        <w:tc>
          <w:tcPr>
            <w:tcW w:w="2530" w:type="dxa"/>
            <w:tcBorders>
              <w:left w:val="single" w:sz="4" w:space="0" w:color="auto"/>
              <w:right w:val="single" w:sz="4" w:space="0" w:color="auto"/>
            </w:tcBorders>
            <w:shd w:val="clear" w:color="auto" w:fill="FFFFFF"/>
            <w:vAlign w:val="bottom"/>
          </w:tcPr>
          <w:p w14:paraId="6795A52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турно-оздоровительные</w:t>
            </w:r>
          </w:p>
        </w:tc>
      </w:tr>
      <w:tr w:rsidR="00350396" w:rsidRPr="004E0FC4" w14:paraId="1207FB20" w14:textId="77777777" w:rsidTr="006D7F71">
        <w:trPr>
          <w:trHeight w:hRule="exact" w:val="221"/>
          <w:jc w:val="center"/>
        </w:trPr>
        <w:tc>
          <w:tcPr>
            <w:tcW w:w="1205" w:type="dxa"/>
            <w:tcBorders>
              <w:left w:val="single" w:sz="4" w:space="0" w:color="auto"/>
            </w:tcBorders>
            <w:shd w:val="clear" w:color="auto" w:fill="FFFFFF"/>
          </w:tcPr>
          <w:p w14:paraId="3439DE97"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2B1D0FE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(государственные и муници-</w:t>
            </w:r>
          </w:p>
        </w:tc>
        <w:tc>
          <w:tcPr>
            <w:tcW w:w="2530" w:type="dxa"/>
            <w:tcBorders>
              <w:left w:val="single" w:sz="4" w:space="0" w:color="auto"/>
              <w:right w:val="single" w:sz="4" w:space="0" w:color="auto"/>
            </w:tcBorders>
            <w:shd w:val="clear" w:color="auto" w:fill="FFFFFF"/>
          </w:tcPr>
          <w:p w14:paraId="14F83B4F"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комплексы, дошкольные об-</w:t>
            </w:r>
          </w:p>
        </w:tc>
      </w:tr>
      <w:tr w:rsidR="00350396" w:rsidRPr="004E0FC4" w14:paraId="2E8DB708" w14:textId="77777777" w:rsidTr="006D7F71">
        <w:trPr>
          <w:trHeight w:hRule="exact" w:val="202"/>
          <w:jc w:val="center"/>
        </w:trPr>
        <w:tc>
          <w:tcPr>
            <w:tcW w:w="1205" w:type="dxa"/>
            <w:tcBorders>
              <w:left w:val="single" w:sz="4" w:space="0" w:color="auto"/>
            </w:tcBorders>
            <w:shd w:val="clear" w:color="auto" w:fill="FFFFFF"/>
          </w:tcPr>
          <w:p w14:paraId="5739C1A8"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vAlign w:val="bottom"/>
          </w:tcPr>
          <w:p w14:paraId="5DC72B5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пальные дороги, дорожная</w:t>
            </w:r>
          </w:p>
        </w:tc>
        <w:tc>
          <w:tcPr>
            <w:tcW w:w="2530" w:type="dxa"/>
            <w:tcBorders>
              <w:left w:val="single" w:sz="4" w:space="0" w:color="auto"/>
              <w:right w:val="single" w:sz="4" w:space="0" w:color="auto"/>
            </w:tcBorders>
            <w:shd w:val="clear" w:color="auto" w:fill="FFFFFF"/>
            <w:vAlign w:val="bottom"/>
          </w:tcPr>
          <w:p w14:paraId="3CD766C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разовательные учреждения</w:t>
            </w:r>
          </w:p>
        </w:tc>
      </w:tr>
      <w:tr w:rsidR="00350396" w:rsidRPr="004E0FC4" w14:paraId="0C60C879" w14:textId="77777777" w:rsidTr="006D7F71">
        <w:trPr>
          <w:trHeight w:hRule="exact" w:val="293"/>
          <w:jc w:val="center"/>
        </w:trPr>
        <w:tc>
          <w:tcPr>
            <w:tcW w:w="1205" w:type="dxa"/>
            <w:tcBorders>
              <w:left w:val="single" w:sz="4" w:space="0" w:color="auto"/>
            </w:tcBorders>
            <w:shd w:val="clear" w:color="auto" w:fill="FFFFFF"/>
          </w:tcPr>
          <w:p w14:paraId="0DB37B3C"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398B71A8"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инфраструктура и др.)</w:t>
            </w:r>
          </w:p>
        </w:tc>
        <w:tc>
          <w:tcPr>
            <w:tcW w:w="2530" w:type="dxa"/>
            <w:tcBorders>
              <w:left w:val="single" w:sz="4" w:space="0" w:color="auto"/>
              <w:right w:val="single" w:sz="4" w:space="0" w:color="auto"/>
            </w:tcBorders>
            <w:shd w:val="clear" w:color="auto" w:fill="FFFFFF"/>
          </w:tcPr>
          <w:p w14:paraId="3594111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др.)</w:t>
            </w:r>
          </w:p>
        </w:tc>
      </w:tr>
      <w:tr w:rsidR="00350396" w:rsidRPr="004E0FC4" w14:paraId="5FD752DC" w14:textId="77777777" w:rsidTr="006D7F71">
        <w:trPr>
          <w:trHeight w:hRule="exact" w:val="274"/>
          <w:jc w:val="center"/>
        </w:trPr>
        <w:tc>
          <w:tcPr>
            <w:tcW w:w="1205" w:type="dxa"/>
            <w:tcBorders>
              <w:top w:val="single" w:sz="4" w:space="0" w:color="auto"/>
              <w:left w:val="single" w:sz="4" w:space="0" w:color="auto"/>
            </w:tcBorders>
            <w:shd w:val="clear" w:color="auto" w:fill="FFFFFF"/>
            <w:vAlign w:val="bottom"/>
          </w:tcPr>
          <w:p w14:paraId="77F77C02"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Возмож-</w:t>
            </w:r>
          </w:p>
        </w:tc>
        <w:tc>
          <w:tcPr>
            <w:tcW w:w="2846" w:type="dxa"/>
            <w:tcBorders>
              <w:top w:val="single" w:sz="4" w:space="0" w:color="auto"/>
              <w:left w:val="single" w:sz="4" w:space="0" w:color="auto"/>
            </w:tcBorders>
            <w:shd w:val="clear" w:color="auto" w:fill="FFFFFF"/>
            <w:vAlign w:val="bottom"/>
          </w:tcPr>
          <w:p w14:paraId="6C5D3F7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Есть.</w:t>
            </w:r>
          </w:p>
        </w:tc>
        <w:tc>
          <w:tcPr>
            <w:tcW w:w="2530" w:type="dxa"/>
            <w:tcBorders>
              <w:top w:val="single" w:sz="4" w:space="0" w:color="auto"/>
              <w:left w:val="single" w:sz="4" w:space="0" w:color="auto"/>
              <w:right w:val="single" w:sz="4" w:space="0" w:color="auto"/>
            </w:tcBorders>
            <w:shd w:val="clear" w:color="auto" w:fill="FFFFFF"/>
            <w:vAlign w:val="bottom"/>
          </w:tcPr>
          <w:p w14:paraId="5058202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Есть.</w:t>
            </w:r>
          </w:p>
        </w:tc>
      </w:tr>
      <w:tr w:rsidR="00350396" w:rsidRPr="004E0FC4" w14:paraId="4C4FFD3F" w14:textId="77777777" w:rsidTr="006D7F71">
        <w:trPr>
          <w:trHeight w:hRule="exact" w:val="254"/>
          <w:jc w:val="center"/>
        </w:trPr>
        <w:tc>
          <w:tcPr>
            <w:tcW w:w="1205" w:type="dxa"/>
            <w:tcBorders>
              <w:left w:val="single" w:sz="4" w:space="0" w:color="auto"/>
            </w:tcBorders>
            <w:shd w:val="clear" w:color="auto" w:fill="FFFFFF"/>
          </w:tcPr>
          <w:p w14:paraId="6292AD11"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ность част-</w:t>
            </w:r>
          </w:p>
        </w:tc>
        <w:tc>
          <w:tcPr>
            <w:tcW w:w="2846" w:type="dxa"/>
            <w:tcBorders>
              <w:left w:val="single" w:sz="4" w:space="0" w:color="auto"/>
            </w:tcBorders>
            <w:shd w:val="clear" w:color="auto" w:fill="FFFFFF"/>
          </w:tcPr>
          <w:p w14:paraId="30065BA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Форма и требования к инициа-</w:t>
            </w:r>
          </w:p>
        </w:tc>
        <w:tc>
          <w:tcPr>
            <w:tcW w:w="2530" w:type="dxa"/>
            <w:tcBorders>
              <w:left w:val="single" w:sz="4" w:space="0" w:color="auto"/>
              <w:right w:val="single" w:sz="4" w:space="0" w:color="auto"/>
            </w:tcBorders>
            <w:shd w:val="clear" w:color="auto" w:fill="FFFFFF"/>
          </w:tcPr>
          <w:p w14:paraId="7EF65CB8"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Форма и требования</w:t>
            </w:r>
          </w:p>
        </w:tc>
      </w:tr>
      <w:tr w:rsidR="00350396" w:rsidRPr="004E0FC4" w14:paraId="08F97AEC" w14:textId="77777777" w:rsidTr="006D7F71">
        <w:trPr>
          <w:trHeight w:hRule="exact" w:val="216"/>
          <w:jc w:val="center"/>
        </w:trPr>
        <w:tc>
          <w:tcPr>
            <w:tcW w:w="1205" w:type="dxa"/>
            <w:tcBorders>
              <w:left w:val="single" w:sz="4" w:space="0" w:color="auto"/>
            </w:tcBorders>
            <w:shd w:val="clear" w:color="auto" w:fill="FFFFFF"/>
          </w:tcPr>
          <w:p w14:paraId="33B34436"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ной иници-</w:t>
            </w:r>
          </w:p>
        </w:tc>
        <w:tc>
          <w:tcPr>
            <w:tcW w:w="2846" w:type="dxa"/>
            <w:tcBorders>
              <w:left w:val="single" w:sz="4" w:space="0" w:color="auto"/>
            </w:tcBorders>
            <w:shd w:val="clear" w:color="auto" w:fill="FFFFFF"/>
          </w:tcPr>
          <w:p w14:paraId="7F4C9BC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тивному предложению утверж-</w:t>
            </w:r>
          </w:p>
        </w:tc>
        <w:tc>
          <w:tcPr>
            <w:tcW w:w="2530" w:type="dxa"/>
            <w:tcBorders>
              <w:left w:val="single" w:sz="4" w:space="0" w:color="auto"/>
              <w:right w:val="single" w:sz="4" w:space="0" w:color="auto"/>
            </w:tcBorders>
            <w:shd w:val="clear" w:color="auto" w:fill="FFFFFF"/>
          </w:tcPr>
          <w:p w14:paraId="39017BD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 инициативному предло-</w:t>
            </w:r>
          </w:p>
        </w:tc>
      </w:tr>
      <w:tr w:rsidR="00350396" w:rsidRPr="004E0FC4" w14:paraId="13B3441E" w14:textId="77777777" w:rsidTr="006D7F71">
        <w:trPr>
          <w:trHeight w:hRule="exact" w:val="197"/>
          <w:jc w:val="center"/>
        </w:trPr>
        <w:tc>
          <w:tcPr>
            <w:tcW w:w="1205" w:type="dxa"/>
            <w:tcBorders>
              <w:left w:val="single" w:sz="4" w:space="0" w:color="auto"/>
            </w:tcBorders>
            <w:shd w:val="clear" w:color="auto" w:fill="FFFFFF"/>
          </w:tcPr>
          <w:p w14:paraId="65ED549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ативы</w:t>
            </w:r>
          </w:p>
        </w:tc>
        <w:tc>
          <w:tcPr>
            <w:tcW w:w="2846" w:type="dxa"/>
            <w:tcBorders>
              <w:left w:val="single" w:sz="4" w:space="0" w:color="auto"/>
            </w:tcBorders>
            <w:shd w:val="clear" w:color="auto" w:fill="FFFFFF"/>
          </w:tcPr>
          <w:p w14:paraId="5CD35982"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дены постановлением Пра-</w:t>
            </w:r>
          </w:p>
        </w:tc>
        <w:tc>
          <w:tcPr>
            <w:tcW w:w="2530" w:type="dxa"/>
            <w:tcBorders>
              <w:left w:val="single" w:sz="4" w:space="0" w:color="auto"/>
              <w:right w:val="single" w:sz="4" w:space="0" w:color="auto"/>
            </w:tcBorders>
            <w:shd w:val="clear" w:color="auto" w:fill="FFFFFF"/>
          </w:tcPr>
          <w:p w14:paraId="331DA798"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жению утверждены поста-</w:t>
            </w:r>
          </w:p>
        </w:tc>
      </w:tr>
      <w:tr w:rsidR="00350396" w:rsidRPr="004E0FC4" w14:paraId="0C1642D5" w14:textId="77777777" w:rsidTr="006D7F71">
        <w:trPr>
          <w:trHeight w:hRule="exact" w:val="211"/>
          <w:jc w:val="center"/>
        </w:trPr>
        <w:tc>
          <w:tcPr>
            <w:tcW w:w="1205" w:type="dxa"/>
            <w:tcBorders>
              <w:left w:val="single" w:sz="4" w:space="0" w:color="auto"/>
            </w:tcBorders>
            <w:shd w:val="clear" w:color="auto" w:fill="FFFFFF"/>
          </w:tcPr>
          <w:p w14:paraId="5F48FAD4"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tcBorders>
            <w:shd w:val="clear" w:color="auto" w:fill="FFFFFF"/>
          </w:tcPr>
          <w:p w14:paraId="0DCB7F3F"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вительства РФ от 31.03.2015</w:t>
            </w:r>
          </w:p>
        </w:tc>
        <w:tc>
          <w:tcPr>
            <w:tcW w:w="2530" w:type="dxa"/>
            <w:tcBorders>
              <w:left w:val="single" w:sz="4" w:space="0" w:color="auto"/>
              <w:right w:val="single" w:sz="4" w:space="0" w:color="auto"/>
            </w:tcBorders>
            <w:shd w:val="clear" w:color="auto" w:fill="FFFFFF"/>
          </w:tcPr>
          <w:p w14:paraId="52DD3A66"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новлением Правительства</w:t>
            </w:r>
          </w:p>
        </w:tc>
      </w:tr>
      <w:tr w:rsidR="00350396" w:rsidRPr="004E0FC4" w14:paraId="45BA1B4A" w14:textId="77777777" w:rsidTr="006D7F71">
        <w:trPr>
          <w:trHeight w:hRule="exact" w:val="307"/>
          <w:jc w:val="center"/>
        </w:trPr>
        <w:tc>
          <w:tcPr>
            <w:tcW w:w="1205" w:type="dxa"/>
            <w:tcBorders>
              <w:left w:val="single" w:sz="4" w:space="0" w:color="auto"/>
              <w:bottom w:val="single" w:sz="4" w:space="0" w:color="auto"/>
            </w:tcBorders>
            <w:shd w:val="clear" w:color="auto" w:fill="FFFFFF"/>
          </w:tcPr>
          <w:p w14:paraId="4D0EAECF"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846" w:type="dxa"/>
            <w:tcBorders>
              <w:left w:val="single" w:sz="4" w:space="0" w:color="auto"/>
              <w:bottom w:val="single" w:sz="4" w:space="0" w:color="auto"/>
            </w:tcBorders>
            <w:shd w:val="clear" w:color="auto" w:fill="FFFFFF"/>
          </w:tcPr>
          <w:p w14:paraId="47551556"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300</w:t>
            </w:r>
          </w:p>
        </w:tc>
        <w:tc>
          <w:tcPr>
            <w:tcW w:w="2530" w:type="dxa"/>
            <w:tcBorders>
              <w:left w:val="single" w:sz="4" w:space="0" w:color="auto"/>
              <w:bottom w:val="single" w:sz="4" w:space="0" w:color="auto"/>
              <w:right w:val="single" w:sz="4" w:space="0" w:color="auto"/>
            </w:tcBorders>
            <w:shd w:val="clear" w:color="auto" w:fill="FFFFFF"/>
          </w:tcPr>
          <w:p w14:paraId="262071C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РФ от 19.12.2015 № 1386</w:t>
            </w:r>
          </w:p>
        </w:tc>
      </w:tr>
    </w:tbl>
    <w:p w14:paraId="0FB5B59C"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4904DF56" w14:textId="77777777" w:rsidR="00350396" w:rsidRPr="004E0FC4" w:rsidRDefault="00350396" w:rsidP="004E0FC4">
      <w:pPr>
        <w:widowControl w:val="0"/>
        <w:spacing w:line="240" w:lineRule="auto"/>
        <w:ind w:firstLine="0"/>
        <w:rPr>
          <w:rFonts w:ascii="Bookman Old Style" w:hAnsi="Bookman Old Style"/>
          <w:sz w:val="18"/>
          <w:szCs w:val="18"/>
        </w:rPr>
      </w:pPr>
    </w:p>
    <w:p w14:paraId="5AF8D2E3"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pgSz w:w="8789" w:h="13493"/>
          <w:pgMar w:top="874" w:right="1069" w:bottom="1071" w:left="106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5"/>
        <w:gridCol w:w="2846"/>
        <w:gridCol w:w="2530"/>
      </w:tblGrid>
      <w:tr w:rsidR="00350396" w:rsidRPr="004E0FC4" w14:paraId="223ECE1D" w14:textId="77777777" w:rsidTr="006D7F71">
        <w:trPr>
          <w:trHeight w:hRule="exact" w:val="547"/>
          <w:jc w:val="center"/>
        </w:trPr>
        <w:tc>
          <w:tcPr>
            <w:tcW w:w="1205" w:type="dxa"/>
            <w:tcBorders>
              <w:top w:val="single" w:sz="4" w:space="0" w:color="auto"/>
              <w:left w:val="single" w:sz="4" w:space="0" w:color="auto"/>
            </w:tcBorders>
            <w:shd w:val="clear" w:color="auto" w:fill="FFFFFF"/>
            <w:vAlign w:val="bottom"/>
          </w:tcPr>
          <w:p w14:paraId="16BF36D8" w14:textId="77777777" w:rsidR="00350396" w:rsidRPr="004E0FC4" w:rsidRDefault="00350396" w:rsidP="004E0FC4">
            <w:pPr>
              <w:framePr w:w="6581" w:wrap="notBeside" w:vAnchor="text" w:hAnchor="text" w:xAlign="center" w:y="1"/>
              <w:widowControl w:val="0"/>
              <w:spacing w:line="176" w:lineRule="exact"/>
              <w:ind w:left="16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Параметр</w:t>
            </w:r>
          </w:p>
          <w:p w14:paraId="40A7B0EB" w14:textId="77777777" w:rsidR="00350396" w:rsidRPr="004E0FC4" w:rsidRDefault="00350396" w:rsidP="004E0FC4">
            <w:pPr>
              <w:framePr w:w="6581" w:wrap="notBeside" w:vAnchor="text" w:hAnchor="text" w:xAlign="center" w:y="1"/>
              <w:widowControl w:val="0"/>
              <w:spacing w:line="176" w:lineRule="exact"/>
              <w:ind w:left="16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сравнения</w:t>
            </w:r>
          </w:p>
        </w:tc>
        <w:tc>
          <w:tcPr>
            <w:tcW w:w="2846" w:type="dxa"/>
            <w:tcBorders>
              <w:top w:val="single" w:sz="4" w:space="0" w:color="auto"/>
              <w:left w:val="single" w:sz="4" w:space="0" w:color="auto"/>
            </w:tcBorders>
            <w:shd w:val="clear" w:color="auto" w:fill="FFFFFF"/>
          </w:tcPr>
          <w:p w14:paraId="7C3B06E7"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Закон о концессиях (КС)</w:t>
            </w:r>
          </w:p>
        </w:tc>
        <w:tc>
          <w:tcPr>
            <w:tcW w:w="2530" w:type="dxa"/>
            <w:tcBorders>
              <w:top w:val="single" w:sz="4" w:space="0" w:color="auto"/>
              <w:left w:val="single" w:sz="4" w:space="0" w:color="auto"/>
              <w:right w:val="single" w:sz="4" w:space="0" w:color="auto"/>
            </w:tcBorders>
            <w:shd w:val="clear" w:color="auto" w:fill="FFFFFF"/>
          </w:tcPr>
          <w:p w14:paraId="7F84BC75"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Закон о ГЧП</w:t>
            </w:r>
          </w:p>
        </w:tc>
      </w:tr>
      <w:tr w:rsidR="00350396" w:rsidRPr="004E0FC4" w14:paraId="3FDB4751" w14:textId="77777777" w:rsidTr="006D7F71">
        <w:trPr>
          <w:trHeight w:hRule="exact" w:val="2174"/>
          <w:jc w:val="center"/>
        </w:trPr>
        <w:tc>
          <w:tcPr>
            <w:tcW w:w="1205" w:type="dxa"/>
            <w:tcBorders>
              <w:top w:val="single" w:sz="4" w:space="0" w:color="auto"/>
              <w:left w:val="single" w:sz="4" w:space="0" w:color="auto"/>
            </w:tcBorders>
            <w:shd w:val="clear" w:color="auto" w:fill="FFFFFF"/>
            <w:vAlign w:val="center"/>
          </w:tcPr>
          <w:p w14:paraId="5E7600E1"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Оценка эф</w:t>
            </w:r>
            <w:r w:rsidRPr="004E0FC4">
              <w:rPr>
                <w:rFonts w:ascii="Bookman Old Style" w:eastAsia="Bookman Old Style" w:hAnsi="Bookman Old Style" w:cs="Bookman Old Style"/>
                <w:color w:val="231F20"/>
                <w:sz w:val="18"/>
                <w:szCs w:val="18"/>
              </w:rPr>
              <w:softHyphen/>
              <w:t>фективно</w:t>
            </w:r>
            <w:r w:rsidRPr="004E0FC4">
              <w:rPr>
                <w:rFonts w:ascii="Bookman Old Style" w:eastAsia="Bookman Old Style" w:hAnsi="Bookman Old Style" w:cs="Bookman Old Style"/>
                <w:color w:val="231F20"/>
                <w:sz w:val="18"/>
                <w:szCs w:val="18"/>
              </w:rPr>
              <w:softHyphen/>
              <w:t>сти проекта</w:t>
            </w:r>
          </w:p>
          <w:p w14:paraId="700CA97A"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опреде</w:t>
            </w:r>
            <w:r w:rsidRPr="004E0FC4">
              <w:rPr>
                <w:rFonts w:ascii="Bookman Old Style" w:eastAsia="Bookman Old Style" w:hAnsi="Bookman Old Style" w:cs="Bookman Old Style"/>
                <w:color w:val="231F20"/>
                <w:sz w:val="18"/>
                <w:szCs w:val="18"/>
              </w:rPr>
              <w:softHyphen/>
              <w:t>ления его</w:t>
            </w:r>
          </w:p>
          <w:p w14:paraId="30CEA32F"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сравни</w:t>
            </w:r>
            <w:r w:rsidRPr="004E0FC4">
              <w:rPr>
                <w:rFonts w:ascii="Bookman Old Style" w:eastAsia="Bookman Old Style" w:hAnsi="Bookman Old Style" w:cs="Bookman Old Style"/>
                <w:color w:val="231F20"/>
                <w:sz w:val="18"/>
                <w:szCs w:val="18"/>
              </w:rPr>
              <w:softHyphen/>
            </w:r>
          </w:p>
          <w:p w14:paraId="02571147"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тельного</w:t>
            </w:r>
          </w:p>
          <w:p w14:paraId="613E840B"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преимуще</w:t>
            </w:r>
            <w:r w:rsidRPr="004E0FC4">
              <w:rPr>
                <w:rFonts w:ascii="Bookman Old Style" w:eastAsia="Bookman Old Style" w:hAnsi="Bookman Old Style" w:cs="Bookman Old Style"/>
                <w:color w:val="231F20"/>
                <w:sz w:val="18"/>
                <w:szCs w:val="18"/>
              </w:rPr>
              <w:softHyphen/>
            </w:r>
          </w:p>
          <w:p w14:paraId="365C7D21"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ства</w:t>
            </w:r>
          </w:p>
        </w:tc>
        <w:tc>
          <w:tcPr>
            <w:tcW w:w="2846" w:type="dxa"/>
            <w:tcBorders>
              <w:top w:val="single" w:sz="4" w:space="0" w:color="auto"/>
              <w:left w:val="single" w:sz="4" w:space="0" w:color="auto"/>
            </w:tcBorders>
            <w:shd w:val="clear" w:color="auto" w:fill="FFFFFF"/>
          </w:tcPr>
          <w:p w14:paraId="15393162"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Нет.</w:t>
            </w:r>
          </w:p>
          <w:p w14:paraId="4E2840A3"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 этом имеется возможность использования бесконкурсной процедуры заключения концес</w:t>
            </w:r>
            <w:r w:rsidRPr="004E0FC4">
              <w:rPr>
                <w:rFonts w:ascii="Bookman Old Style" w:eastAsia="Bookman Old Style" w:hAnsi="Bookman Old Style" w:cs="Bookman Old Style"/>
                <w:color w:val="231F20"/>
                <w:sz w:val="18"/>
                <w:szCs w:val="18"/>
              </w:rPr>
              <w:softHyphen/>
              <w:t>сионного соглашения</w:t>
            </w:r>
          </w:p>
        </w:tc>
        <w:tc>
          <w:tcPr>
            <w:tcW w:w="2530" w:type="dxa"/>
            <w:tcBorders>
              <w:top w:val="single" w:sz="4" w:space="0" w:color="auto"/>
              <w:left w:val="single" w:sz="4" w:space="0" w:color="auto"/>
              <w:right w:val="single" w:sz="4" w:space="0" w:color="auto"/>
            </w:tcBorders>
            <w:shd w:val="clear" w:color="auto" w:fill="FFFFFF"/>
          </w:tcPr>
          <w:p w14:paraId="7944845A"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Есть.</w:t>
            </w:r>
          </w:p>
          <w:p w14:paraId="54967A6A"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Порядок проведения такой оценки утвержден поста</w:t>
            </w:r>
            <w:r w:rsidRPr="004E0FC4">
              <w:rPr>
                <w:rFonts w:ascii="Bookman Old Style" w:eastAsia="Bookman Old Style" w:hAnsi="Bookman Old Style" w:cs="Bookman Old Style"/>
                <w:color w:val="231F20"/>
                <w:sz w:val="18"/>
                <w:szCs w:val="18"/>
              </w:rPr>
              <w:softHyphen/>
              <w:t>новлением Правительства</w:t>
            </w:r>
          </w:p>
          <w:p w14:paraId="2BE308F4"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РФ от 30.12.2015 № 1514</w:t>
            </w:r>
          </w:p>
        </w:tc>
      </w:tr>
      <w:tr w:rsidR="00350396" w:rsidRPr="004E0FC4" w14:paraId="05C240F5" w14:textId="77777777" w:rsidTr="006D7F71">
        <w:trPr>
          <w:trHeight w:hRule="exact" w:val="1512"/>
          <w:jc w:val="center"/>
        </w:trPr>
        <w:tc>
          <w:tcPr>
            <w:tcW w:w="1205" w:type="dxa"/>
            <w:tcBorders>
              <w:top w:val="single" w:sz="4" w:space="0" w:color="auto"/>
              <w:left w:val="single" w:sz="4" w:space="0" w:color="auto"/>
            </w:tcBorders>
            <w:shd w:val="clear" w:color="auto" w:fill="FFFFFF"/>
            <w:vAlign w:val="center"/>
          </w:tcPr>
          <w:p w14:paraId="5A4BBDA0"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Заключение</w:t>
            </w:r>
          </w:p>
          <w:p w14:paraId="26B67CBE"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с зарубеж</w:t>
            </w:r>
            <w:r w:rsidRPr="004E0FC4">
              <w:rPr>
                <w:rFonts w:ascii="Bookman Old Style" w:eastAsia="Bookman Old Style" w:hAnsi="Bookman Old Style" w:cs="Bookman Old Style"/>
                <w:color w:val="231F20"/>
                <w:sz w:val="18"/>
                <w:szCs w:val="18"/>
              </w:rPr>
              <w:softHyphen/>
              <w:t>ным юри</w:t>
            </w:r>
            <w:r w:rsidRPr="004E0FC4">
              <w:rPr>
                <w:rFonts w:ascii="Bookman Old Style" w:eastAsia="Bookman Old Style" w:hAnsi="Bookman Old Style" w:cs="Bookman Old Style"/>
                <w:color w:val="231F20"/>
                <w:sz w:val="18"/>
                <w:szCs w:val="18"/>
              </w:rPr>
              <w:softHyphen/>
              <w:t>дическим</w:t>
            </w:r>
          </w:p>
          <w:p w14:paraId="41DC41CA"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лицом</w:t>
            </w:r>
          </w:p>
        </w:tc>
        <w:tc>
          <w:tcPr>
            <w:tcW w:w="2846" w:type="dxa"/>
            <w:tcBorders>
              <w:top w:val="single" w:sz="4" w:space="0" w:color="auto"/>
              <w:left w:val="single" w:sz="4" w:space="0" w:color="auto"/>
            </w:tcBorders>
            <w:shd w:val="clear" w:color="auto" w:fill="FFFFFF"/>
          </w:tcPr>
          <w:p w14:paraId="39D4C82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Есть</w:t>
            </w:r>
          </w:p>
        </w:tc>
        <w:tc>
          <w:tcPr>
            <w:tcW w:w="2530" w:type="dxa"/>
            <w:tcBorders>
              <w:top w:val="single" w:sz="4" w:space="0" w:color="auto"/>
              <w:left w:val="single" w:sz="4" w:space="0" w:color="auto"/>
              <w:right w:val="single" w:sz="4" w:space="0" w:color="auto"/>
            </w:tcBorders>
            <w:shd w:val="clear" w:color="auto" w:fill="FFFFFF"/>
          </w:tcPr>
          <w:p w14:paraId="330EB3D1"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Нет.</w:t>
            </w:r>
          </w:p>
          <w:p w14:paraId="56152F3E"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Участие зарубежных ин</w:t>
            </w:r>
            <w:r w:rsidRPr="004E0FC4">
              <w:rPr>
                <w:rFonts w:ascii="Bookman Old Style" w:eastAsia="Bookman Old Style" w:hAnsi="Bookman Old Style" w:cs="Bookman Old Style"/>
                <w:color w:val="231F20"/>
                <w:sz w:val="18"/>
                <w:szCs w:val="18"/>
              </w:rPr>
              <w:softHyphen/>
              <w:t>весторов возможно через создание российских юри</w:t>
            </w:r>
            <w:r w:rsidRPr="004E0FC4">
              <w:rPr>
                <w:rFonts w:ascii="Bookman Old Style" w:eastAsia="Bookman Old Style" w:hAnsi="Bookman Old Style" w:cs="Bookman Old Style"/>
                <w:color w:val="231F20"/>
                <w:sz w:val="18"/>
                <w:szCs w:val="18"/>
              </w:rPr>
              <w:softHyphen/>
              <w:t>дических лиц</w:t>
            </w:r>
          </w:p>
        </w:tc>
      </w:tr>
      <w:tr w:rsidR="00350396" w:rsidRPr="004E0FC4" w14:paraId="44290197" w14:textId="77777777" w:rsidTr="006D7F71">
        <w:trPr>
          <w:trHeight w:hRule="exact" w:val="1066"/>
          <w:jc w:val="center"/>
        </w:trPr>
        <w:tc>
          <w:tcPr>
            <w:tcW w:w="1205" w:type="dxa"/>
            <w:tcBorders>
              <w:top w:val="single" w:sz="4" w:space="0" w:color="auto"/>
              <w:left w:val="single" w:sz="4" w:space="0" w:color="auto"/>
            </w:tcBorders>
            <w:shd w:val="clear" w:color="auto" w:fill="FFFFFF"/>
            <w:vAlign w:val="center"/>
          </w:tcPr>
          <w:p w14:paraId="0842ABE8"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Минималь</w:t>
            </w:r>
            <w:r w:rsidRPr="004E0FC4">
              <w:rPr>
                <w:rFonts w:ascii="Bookman Old Style" w:eastAsia="Bookman Old Style" w:hAnsi="Bookman Old Style" w:cs="Bookman Old Style"/>
                <w:color w:val="231F20"/>
                <w:sz w:val="18"/>
                <w:szCs w:val="18"/>
              </w:rPr>
              <w:softHyphen/>
              <w:t>ный срок действия</w:t>
            </w:r>
          </w:p>
          <w:p w14:paraId="00C99FE7"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w:t>
            </w:r>
          </w:p>
        </w:tc>
        <w:tc>
          <w:tcPr>
            <w:tcW w:w="2846" w:type="dxa"/>
            <w:tcBorders>
              <w:top w:val="single" w:sz="4" w:space="0" w:color="auto"/>
              <w:left w:val="single" w:sz="4" w:space="0" w:color="auto"/>
            </w:tcBorders>
            <w:shd w:val="clear" w:color="auto" w:fill="FFFFFF"/>
          </w:tcPr>
          <w:p w14:paraId="5208125F"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Нет</w:t>
            </w:r>
          </w:p>
        </w:tc>
        <w:tc>
          <w:tcPr>
            <w:tcW w:w="2530" w:type="dxa"/>
            <w:tcBorders>
              <w:top w:val="single" w:sz="4" w:space="0" w:color="auto"/>
              <w:left w:val="single" w:sz="4" w:space="0" w:color="auto"/>
              <w:right w:val="single" w:sz="4" w:space="0" w:color="auto"/>
            </w:tcBorders>
            <w:shd w:val="clear" w:color="auto" w:fill="FFFFFF"/>
          </w:tcPr>
          <w:p w14:paraId="1AB59BD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 года</w:t>
            </w:r>
          </w:p>
        </w:tc>
      </w:tr>
      <w:tr w:rsidR="00350396" w:rsidRPr="004E0FC4" w14:paraId="4C13E1C2" w14:textId="77777777" w:rsidTr="006D7F71">
        <w:trPr>
          <w:trHeight w:hRule="exact" w:val="1070"/>
          <w:jc w:val="center"/>
        </w:trPr>
        <w:tc>
          <w:tcPr>
            <w:tcW w:w="1205" w:type="dxa"/>
            <w:tcBorders>
              <w:top w:val="single" w:sz="4" w:space="0" w:color="auto"/>
              <w:left w:val="single" w:sz="4" w:space="0" w:color="auto"/>
              <w:bottom w:val="single" w:sz="4" w:space="0" w:color="auto"/>
            </w:tcBorders>
            <w:shd w:val="clear" w:color="auto" w:fill="FFFFFF"/>
            <w:vAlign w:val="center"/>
          </w:tcPr>
          <w:p w14:paraId="742EE04F"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w:t>
            </w:r>
            <w:r w:rsidRPr="004E0FC4">
              <w:rPr>
                <w:rFonts w:ascii="Bookman Old Style" w:eastAsia="Bookman Old Style" w:hAnsi="Bookman Old Style" w:cs="Bookman Old Style"/>
                <w:color w:val="231F20"/>
                <w:sz w:val="18"/>
                <w:szCs w:val="18"/>
              </w:rPr>
              <w:softHyphen/>
            </w:r>
          </w:p>
          <w:p w14:paraId="45602A77"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ственное</w:t>
            </w:r>
          </w:p>
          <w:p w14:paraId="1549E323"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финансиро</w:t>
            </w:r>
            <w:r w:rsidRPr="004E0FC4">
              <w:rPr>
                <w:rFonts w:ascii="Bookman Old Style" w:eastAsia="Bookman Old Style" w:hAnsi="Bookman Old Style" w:cs="Bookman Old Style"/>
                <w:color w:val="231F20"/>
                <w:sz w:val="18"/>
                <w:szCs w:val="18"/>
              </w:rPr>
              <w:softHyphen/>
            </w:r>
          </w:p>
          <w:p w14:paraId="4E9B6944"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вание</w:t>
            </w:r>
          </w:p>
        </w:tc>
        <w:tc>
          <w:tcPr>
            <w:tcW w:w="2846" w:type="dxa"/>
            <w:tcBorders>
              <w:top w:val="single" w:sz="4" w:space="0" w:color="auto"/>
              <w:left w:val="single" w:sz="4" w:space="0" w:color="auto"/>
              <w:bottom w:val="single" w:sz="4" w:space="0" w:color="auto"/>
            </w:tcBorders>
            <w:shd w:val="clear" w:color="auto" w:fill="FFFFFF"/>
            <w:vAlign w:val="center"/>
          </w:tcPr>
          <w:p w14:paraId="3B222E58"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Субсидирование; бюджетные инвестиции; капитальный грант; плата концедента (орга</w:t>
            </w:r>
            <w:r w:rsidRPr="004E0FC4">
              <w:rPr>
                <w:rFonts w:ascii="Bookman Old Style" w:eastAsia="Bookman Old Style" w:hAnsi="Bookman Old Style" w:cs="Bookman Old Style"/>
                <w:color w:val="231F20"/>
                <w:sz w:val="18"/>
                <w:szCs w:val="18"/>
              </w:rPr>
              <w:softHyphen/>
              <w:t>на государственной власти)</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14:paraId="2958BB3D"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Субсидирование; капитальный грант</w:t>
            </w:r>
          </w:p>
        </w:tc>
      </w:tr>
    </w:tbl>
    <w:p w14:paraId="31C8BE12"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7D309645" w14:textId="77777777" w:rsidR="00350396" w:rsidRPr="004E0FC4" w:rsidRDefault="00350396" w:rsidP="004E0FC4">
      <w:pPr>
        <w:widowControl w:val="0"/>
        <w:spacing w:line="240" w:lineRule="auto"/>
        <w:ind w:firstLine="0"/>
        <w:rPr>
          <w:rFonts w:ascii="Bookman Old Style" w:hAnsi="Bookman Old Style"/>
          <w:sz w:val="18"/>
          <w:szCs w:val="18"/>
        </w:rPr>
      </w:pPr>
    </w:p>
    <w:p w14:paraId="4C01DE2F" w14:textId="77777777" w:rsidR="00350396" w:rsidRPr="004E0FC4" w:rsidRDefault="00350396" w:rsidP="004E0FC4">
      <w:pPr>
        <w:widowControl w:val="0"/>
        <w:spacing w:before="104"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Закон о ГЧП расшир</w:t>
      </w:r>
      <w:r w:rsidRPr="004E0FC4">
        <w:rPr>
          <w:rFonts w:ascii="Bookman Old Style" w:eastAsia="Bookman Old Style" w:hAnsi="Bookman Old Style" w:cs="Bookman Old Style"/>
          <w:color w:val="231F20"/>
          <w:sz w:val="18"/>
          <w:szCs w:val="18"/>
          <w:highlight w:val="green"/>
        </w:rPr>
        <w:t>ил</w:t>
      </w:r>
      <w:r w:rsidRPr="004E0FC4">
        <w:rPr>
          <w:rFonts w:ascii="Bookman Old Style" w:eastAsia="Bookman Old Style" w:hAnsi="Bookman Old Style" w:cs="Bookman Old Style"/>
          <w:color w:val="231F20"/>
          <w:sz w:val="18"/>
          <w:szCs w:val="18"/>
          <w:highlight w:val="red"/>
        </w:rPr>
        <w:t>яет</w:t>
      </w:r>
      <w:r w:rsidRPr="004E0FC4">
        <w:rPr>
          <w:rFonts w:ascii="Bookman Old Style" w:eastAsia="Bookman Old Style" w:hAnsi="Bookman Old Style" w:cs="Bookman Old Style"/>
          <w:color w:val="231F20"/>
          <w:sz w:val="18"/>
          <w:szCs w:val="18"/>
        </w:rPr>
        <w:t xml:space="preserve"> возможности применения ГЧП в силу </w:t>
      </w:r>
      <w:r w:rsidRPr="004E0FC4">
        <w:rPr>
          <w:rFonts w:ascii="Bookman Old Style" w:eastAsia="Bookman Old Style" w:hAnsi="Bookman Old Style" w:cs="Bookman Old Style"/>
          <w:i/>
          <w:iCs/>
          <w:color w:val="231F20"/>
          <w:sz w:val="18"/>
          <w:szCs w:val="18"/>
        </w:rPr>
        <w:t>следующих нововведении</w:t>
      </w:r>
      <w:r w:rsidRPr="004E0FC4">
        <w:rPr>
          <w:rFonts w:ascii="Bookman Old Style" w:eastAsia="Bookman Old Style" w:hAnsi="Bookman Old Style" w:cs="Bookman Old Style"/>
          <w:i/>
          <w:iCs/>
          <w:color w:val="231F20"/>
          <w:sz w:val="18"/>
          <w:szCs w:val="18"/>
          <w:highlight w:val="red"/>
          <w:vertAlign w:val="superscript"/>
        </w:rPr>
        <w:footnoteReference w:id="90"/>
      </w:r>
      <w:r w:rsidRPr="004E0FC4">
        <w:rPr>
          <w:rFonts w:ascii="Bookman Old Style" w:eastAsia="Bookman Old Style" w:hAnsi="Bookman Old Style" w:cs="Bookman Old Style"/>
          <w:i/>
          <w:iCs/>
          <w:color w:val="231F20"/>
          <w:sz w:val="18"/>
          <w:szCs w:val="18"/>
          <w:highlight w:val="red"/>
        </w:rPr>
        <w:t>:</w:t>
      </w:r>
    </w:p>
    <w:p w14:paraId="7EB59A7F" w14:textId="77777777" w:rsidR="00350396" w:rsidRPr="004E0FC4" w:rsidRDefault="00350396" w:rsidP="004E0FC4">
      <w:pPr>
        <w:widowControl w:val="0"/>
        <w:numPr>
          <w:ilvl w:val="0"/>
          <w:numId w:val="59"/>
        </w:numPr>
        <w:tabs>
          <w:tab w:val="left" w:pos="63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возможности залога объекта ПЧП в целях финансирования проекта;</w:t>
      </w:r>
    </w:p>
    <w:p w14:paraId="17F4E9C8" w14:textId="77777777" w:rsidR="00350396" w:rsidRPr="004E0FC4" w:rsidRDefault="00350396" w:rsidP="004E0FC4">
      <w:pPr>
        <w:widowControl w:val="0"/>
        <w:numPr>
          <w:ilvl w:val="0"/>
          <w:numId w:val="59"/>
        </w:numPr>
        <w:tabs>
          <w:tab w:val="left" w:pos="63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отсутствия требований об обязательности типовых/при</w:t>
      </w:r>
      <w:r w:rsidRPr="004E0FC4">
        <w:rPr>
          <w:rFonts w:ascii="Bookman Old Style" w:eastAsia="Bookman Old Style" w:hAnsi="Bookman Old Style" w:cs="Bookman Old Style"/>
          <w:color w:val="231F20"/>
          <w:sz w:val="18"/>
          <w:szCs w:val="18"/>
        </w:rPr>
        <w:softHyphen/>
        <w:t>мерных соглашений, утвержденных постановлениями Правитель</w:t>
      </w:r>
      <w:r w:rsidRPr="004E0FC4">
        <w:rPr>
          <w:rFonts w:ascii="Bookman Old Style" w:eastAsia="Bookman Old Style" w:hAnsi="Bookman Old Style" w:cs="Bookman Old Style"/>
          <w:color w:val="231F20"/>
          <w:sz w:val="18"/>
          <w:szCs w:val="18"/>
        </w:rPr>
        <w:softHyphen/>
        <w:t>ства РФ (есть в Законе о концессиях);</w:t>
      </w:r>
    </w:p>
    <w:p w14:paraId="29B96A03" w14:textId="77777777" w:rsidR="00350396" w:rsidRPr="004E0FC4" w:rsidRDefault="00350396" w:rsidP="004E0FC4">
      <w:pPr>
        <w:widowControl w:val="0"/>
        <w:numPr>
          <w:ilvl w:val="0"/>
          <w:numId w:val="59"/>
        </w:numPr>
        <w:tabs>
          <w:tab w:val="left" w:pos="63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расширения положений заключения прямых соглашений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direct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agreements</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 финансирующими организациями (по сравне</w:t>
      </w:r>
      <w:r w:rsidRPr="004E0FC4">
        <w:rPr>
          <w:rFonts w:ascii="Bookman Old Style" w:eastAsia="Bookman Old Style" w:hAnsi="Bookman Old Style" w:cs="Bookman Old Style"/>
          <w:color w:val="231F20"/>
          <w:sz w:val="18"/>
          <w:szCs w:val="18"/>
        </w:rPr>
        <w:softHyphen/>
        <w:t>нию с Законом о концессиях). Данные три нововведения в совокуп</w:t>
      </w:r>
      <w:r w:rsidRPr="004E0FC4">
        <w:rPr>
          <w:rFonts w:ascii="Bookman Old Style" w:eastAsia="Bookman Old Style" w:hAnsi="Bookman Old Style" w:cs="Bookman Old Style"/>
          <w:color w:val="231F20"/>
          <w:sz w:val="18"/>
          <w:szCs w:val="18"/>
        </w:rPr>
        <w:softHyphen/>
        <w:t xml:space="preserve">ности повышают возможности участия банков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bank</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ability</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про</w:t>
      </w:r>
      <w:r w:rsidRPr="004E0FC4">
        <w:rPr>
          <w:rFonts w:ascii="Bookman Old Style" w:eastAsia="Bookman Old Style" w:hAnsi="Bookman Old Style" w:cs="Bookman Old Style"/>
          <w:color w:val="231F20"/>
          <w:sz w:val="18"/>
          <w:szCs w:val="18"/>
        </w:rPr>
        <w:softHyphen/>
        <w:t>ектах ПЧП в России;</w:t>
      </w:r>
    </w:p>
    <w:p w14:paraId="4924AC16" w14:textId="77777777" w:rsidR="00350396" w:rsidRPr="004E0FC4" w:rsidRDefault="00350396" w:rsidP="004E0FC4">
      <w:pPr>
        <w:widowControl w:val="0"/>
        <w:numPr>
          <w:ilvl w:val="0"/>
          <w:numId w:val="59"/>
        </w:numPr>
        <w:tabs>
          <w:tab w:val="left" w:pos="63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введения процедур инициирования проекта не только част</w:t>
      </w:r>
      <w:r w:rsidRPr="004E0FC4">
        <w:rPr>
          <w:rFonts w:ascii="Bookman Old Style" w:eastAsia="Bookman Old Style" w:hAnsi="Bookman Old Style" w:cs="Bookman Old Style"/>
          <w:color w:val="231F20"/>
          <w:sz w:val="18"/>
          <w:szCs w:val="18"/>
        </w:rPr>
        <w:softHyphen/>
        <w:t>ным, но и публичным партнером;</w:t>
      </w:r>
    </w:p>
    <w:p w14:paraId="1EEAAE46" w14:textId="77777777" w:rsidR="00350396" w:rsidRPr="004E0FC4" w:rsidRDefault="00350396" w:rsidP="004E0FC4">
      <w:pPr>
        <w:widowControl w:val="0"/>
        <w:numPr>
          <w:ilvl w:val="0"/>
          <w:numId w:val="59"/>
        </w:numPr>
        <w:tabs>
          <w:tab w:val="left" w:pos="63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создания уполномоченных органов в сфере ГЧП;</w:t>
      </w:r>
    </w:p>
    <w:p w14:paraId="2C2C6496" w14:textId="77777777" w:rsidR="00350396" w:rsidRPr="004E0FC4" w:rsidRDefault="00350396" w:rsidP="004E0FC4">
      <w:pPr>
        <w:widowControl w:val="0"/>
        <w:numPr>
          <w:ilvl w:val="0"/>
          <w:numId w:val="59"/>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появления возможности совместного проведения конкурсов несколькими публично-правовыми образованиями (однако пере</w:t>
      </w:r>
      <w:r w:rsidRPr="004E0FC4">
        <w:rPr>
          <w:rFonts w:ascii="Bookman Old Style" w:eastAsia="Bookman Old Style" w:hAnsi="Bookman Old Style" w:cs="Bookman Old Style"/>
          <w:color w:val="231F20"/>
          <w:sz w:val="18"/>
          <w:szCs w:val="18"/>
        </w:rPr>
        <w:softHyphen/>
        <w:t>чень случаев, когда на стороне публичного партнера могут высту</w:t>
      </w:r>
      <w:r w:rsidRPr="004E0FC4">
        <w:rPr>
          <w:rFonts w:ascii="Bookman Old Style" w:eastAsia="Bookman Old Style" w:hAnsi="Bookman Old Style" w:cs="Bookman Old Style"/>
          <w:color w:val="231F20"/>
          <w:sz w:val="18"/>
          <w:szCs w:val="18"/>
        </w:rPr>
        <w:softHyphen/>
        <w:t>пать несколько публичных субъектов, по мнению специалистов, узок);</w:t>
      </w:r>
    </w:p>
    <w:p w14:paraId="3E1B87F6" w14:textId="77777777" w:rsidR="00350396" w:rsidRPr="004E0FC4" w:rsidRDefault="00350396" w:rsidP="004E0FC4">
      <w:pPr>
        <w:widowControl w:val="0"/>
        <w:numPr>
          <w:ilvl w:val="0"/>
          <w:numId w:val="59"/>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установления порядка контроля публичного партнера за ис</w:t>
      </w:r>
      <w:r w:rsidRPr="004E0FC4">
        <w:rPr>
          <w:rFonts w:ascii="Bookman Old Style" w:eastAsia="Bookman Old Style" w:hAnsi="Bookman Old Style" w:cs="Bookman Old Style"/>
          <w:color w:val="231F20"/>
          <w:sz w:val="18"/>
          <w:szCs w:val="18"/>
        </w:rPr>
        <w:softHyphen/>
        <w:t>полнением частным партнером соглашения;</w:t>
      </w:r>
    </w:p>
    <w:p w14:paraId="413BCE6B" w14:textId="77777777" w:rsidR="00350396" w:rsidRPr="004E0FC4" w:rsidRDefault="00350396" w:rsidP="004E0FC4">
      <w:pPr>
        <w:widowControl w:val="0"/>
        <w:numPr>
          <w:ilvl w:val="0"/>
          <w:numId w:val="59"/>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выведения концессионных соглашений из-под регулирования Закона о ГЧП.</w:t>
      </w:r>
    </w:p>
    <w:p w14:paraId="2E6AC7D9"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то же время среди </w:t>
      </w:r>
      <w:r w:rsidRPr="004E0FC4">
        <w:rPr>
          <w:rFonts w:ascii="Bookman Old Style" w:eastAsia="Bookman Old Style" w:hAnsi="Bookman Old Style" w:cs="Bookman Old Style"/>
          <w:i/>
          <w:iCs/>
          <w:color w:val="231F20"/>
          <w:sz w:val="18"/>
          <w:szCs w:val="18"/>
        </w:rPr>
        <w:t>актуальных ограничений</w:t>
      </w:r>
      <w:r w:rsidRPr="004E0FC4">
        <w:rPr>
          <w:rFonts w:ascii="Bookman Old Style" w:eastAsia="Bookman Old Style" w:hAnsi="Bookman Old Style" w:cs="Bookman Old Style"/>
          <w:color w:val="231F20"/>
          <w:sz w:val="18"/>
          <w:szCs w:val="18"/>
        </w:rPr>
        <w:t xml:space="preserve"> Закона о ГЧП </w:t>
      </w:r>
      <w:r w:rsidRPr="004E0FC4">
        <w:rPr>
          <w:rFonts w:ascii="Bookman Old Style" w:eastAsia="Bookman Old Style" w:hAnsi="Bookman Old Style" w:cs="Bookman Old Style"/>
          <w:color w:val="231F20"/>
          <w:sz w:val="18"/>
          <w:szCs w:val="18"/>
          <w:highlight w:val="green"/>
        </w:rPr>
        <w:t>в разное время</w:t>
      </w:r>
      <w:r w:rsidRPr="004E0FC4">
        <w:rPr>
          <w:rFonts w:ascii="Bookman Old Style" w:eastAsia="Bookman Old Style" w:hAnsi="Bookman Old Style" w:cs="Bookman Old Style"/>
          <w:color w:val="231F20"/>
          <w:sz w:val="18"/>
          <w:szCs w:val="18"/>
        </w:rPr>
        <w:t xml:space="preserve"> от</w:t>
      </w:r>
      <w:r w:rsidRPr="004E0FC4">
        <w:rPr>
          <w:rFonts w:ascii="Bookman Old Style" w:eastAsia="Bookman Old Style" w:hAnsi="Bookman Old Style" w:cs="Bookman Old Style"/>
          <w:color w:val="231F20"/>
          <w:sz w:val="18"/>
          <w:szCs w:val="18"/>
        </w:rPr>
        <w:softHyphen/>
        <w:t>меча</w:t>
      </w:r>
      <w:r w:rsidRPr="004E0FC4">
        <w:rPr>
          <w:rFonts w:ascii="Bookman Old Style" w:eastAsia="Bookman Old Style" w:hAnsi="Bookman Old Style" w:cs="Bookman Old Style"/>
          <w:color w:val="231F20"/>
          <w:sz w:val="18"/>
          <w:szCs w:val="18"/>
          <w:highlight w:val="green"/>
        </w:rPr>
        <w:t>лись</w:t>
      </w:r>
      <w:r w:rsidRPr="004E0FC4">
        <w:rPr>
          <w:rFonts w:ascii="Bookman Old Style" w:eastAsia="Bookman Old Style" w:hAnsi="Bookman Old Style" w:cs="Bookman Old Style"/>
          <w:color w:val="231F20"/>
          <w:sz w:val="18"/>
          <w:szCs w:val="18"/>
        </w:rPr>
        <w:t xml:space="preserve"> следующие</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rPr>
        <w:t>.</w:t>
      </w:r>
    </w:p>
    <w:p w14:paraId="518195AA" w14:textId="77777777" w:rsidR="00350396" w:rsidRPr="004E0FC4" w:rsidRDefault="00350396" w:rsidP="004E0FC4">
      <w:pPr>
        <w:widowControl w:val="0"/>
        <w:numPr>
          <w:ilvl w:val="0"/>
          <w:numId w:val="60"/>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Ограниченный спектр механизмов (моделей) ПЧП, пред</w:t>
      </w:r>
      <w:r w:rsidRPr="004E0FC4">
        <w:rPr>
          <w:rFonts w:ascii="Bookman Old Style" w:eastAsia="Bookman Old Style" w:hAnsi="Bookman Old Style" w:cs="Bookman Old Style"/>
          <w:color w:val="231F20"/>
          <w:sz w:val="18"/>
          <w:szCs w:val="18"/>
        </w:rPr>
        <w:softHyphen/>
        <w:t>усмотренных данным Законом. Закон регулирует исключительно проекты ГЧП, которые предполагают возникновение частной соб</w:t>
      </w:r>
      <w:r w:rsidRPr="004E0FC4">
        <w:rPr>
          <w:rFonts w:ascii="Bookman Old Style" w:eastAsia="Bookman Old Style" w:hAnsi="Bookman Old Style" w:cs="Bookman Old Style"/>
          <w:color w:val="231F20"/>
          <w:sz w:val="18"/>
          <w:szCs w:val="18"/>
        </w:rPr>
        <w:softHyphen/>
        <w:t>ственности (подробнее об этом будет указано ниже). За рамками регулирования Закона о ГЧП остались проекты, которые не предпо</w:t>
      </w:r>
      <w:r w:rsidRPr="004E0FC4">
        <w:rPr>
          <w:rFonts w:ascii="Bookman Old Style" w:eastAsia="Bookman Old Style" w:hAnsi="Bookman Old Style" w:cs="Bookman Old Style"/>
          <w:color w:val="231F20"/>
          <w:sz w:val="18"/>
          <w:szCs w:val="18"/>
        </w:rPr>
        <w:softHyphen/>
        <w:t>лагают возникновения частной собственности на объект соглаше</w:t>
      </w:r>
      <w:r w:rsidRPr="004E0FC4">
        <w:rPr>
          <w:rFonts w:ascii="Bookman Old Style" w:eastAsia="Bookman Old Style" w:hAnsi="Bookman Old Style" w:cs="Bookman Old Style"/>
          <w:color w:val="231F20"/>
          <w:sz w:val="18"/>
          <w:szCs w:val="18"/>
        </w:rPr>
        <w:softHyphen/>
        <w:t xml:space="preserve">ния о ГЧП (например, механизм </w:t>
      </w:r>
      <w:r w:rsidRPr="004E0FC4">
        <w:rPr>
          <w:rFonts w:ascii="Bookman Old Style" w:eastAsia="Bookman Old Style" w:hAnsi="Bookman Old Style" w:cs="Bookman Old Style"/>
          <w:i/>
          <w:iCs/>
          <w:color w:val="231F20"/>
          <w:sz w:val="18"/>
          <w:szCs w:val="18"/>
          <w:lang w:val="en-US" w:eastAsia="en-US" w:bidi="en-US"/>
        </w:rPr>
        <w:t>LDO</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lease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develop</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transfer</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аренда с условием об оказании медицинской помощи в рамках системы обязательного медицинского страхования и др.).</w:t>
      </w:r>
    </w:p>
    <w:p w14:paraId="73577FAF" w14:textId="77777777" w:rsidR="00350396" w:rsidRPr="004E0FC4" w:rsidRDefault="00350396" w:rsidP="004E0FC4">
      <w:pPr>
        <w:widowControl w:val="0"/>
        <w:numPr>
          <w:ilvl w:val="0"/>
          <w:numId w:val="60"/>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Закон распространяется только на находящиеся в публич</w:t>
      </w:r>
      <w:r w:rsidRPr="004E0FC4">
        <w:rPr>
          <w:rFonts w:ascii="Bookman Old Style" w:eastAsia="Bookman Old Style" w:hAnsi="Bookman Old Style" w:cs="Bookman Old Style"/>
          <w:color w:val="231F20"/>
          <w:sz w:val="18"/>
          <w:szCs w:val="18"/>
        </w:rPr>
        <w:softHyphen/>
        <w:t>ной собственности объекты, что не позволяет заключать согла</w:t>
      </w:r>
      <w:r w:rsidRPr="004E0FC4">
        <w:rPr>
          <w:rFonts w:ascii="Bookman Old Style" w:eastAsia="Bookman Old Style" w:hAnsi="Bookman Old Style" w:cs="Bookman Old Style"/>
          <w:color w:val="231F20"/>
          <w:sz w:val="18"/>
          <w:szCs w:val="18"/>
        </w:rPr>
        <w:softHyphen/>
        <w:t>шения о ГЧП в отношении объектов, принадлежащих частному партнеру.</w:t>
      </w:r>
    </w:p>
    <w:p w14:paraId="7ECA501C" w14:textId="77777777" w:rsidR="00350396" w:rsidRPr="004E0FC4" w:rsidRDefault="00350396" w:rsidP="004E0FC4">
      <w:pPr>
        <w:widowControl w:val="0"/>
        <w:numPr>
          <w:ilvl w:val="0"/>
          <w:numId w:val="60"/>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Закон регулирует только проекты ГЧП, предполагающие новое строительство или реконструкцию. Остаются неурегулиро</w:t>
      </w:r>
      <w:r w:rsidRPr="004E0FC4">
        <w:rPr>
          <w:rFonts w:ascii="Bookman Old Style" w:eastAsia="Bookman Old Style" w:hAnsi="Bookman Old Style" w:cs="Bookman Old Style"/>
          <w:color w:val="231F20"/>
          <w:sz w:val="18"/>
          <w:szCs w:val="18"/>
        </w:rPr>
        <w:softHyphen/>
        <w:t>ванными отношения, не предполагающие нового строительства (реконструкции); например, в сфере здравоохранения актуаль</w:t>
      </w:r>
      <w:r w:rsidRPr="004E0FC4">
        <w:rPr>
          <w:rFonts w:ascii="Bookman Old Style" w:eastAsia="Bookman Old Style" w:hAnsi="Bookman Old Style" w:cs="Bookman Old Style"/>
          <w:color w:val="231F20"/>
          <w:sz w:val="18"/>
          <w:szCs w:val="18"/>
        </w:rPr>
        <w:softHyphen/>
        <w:t>ным является сотрудничество, при котором обязательства частного партнера в отношении объекта ограничиваются ремонтом и тех</w:t>
      </w:r>
      <w:r w:rsidRPr="004E0FC4">
        <w:rPr>
          <w:rFonts w:ascii="Bookman Old Style" w:eastAsia="Bookman Old Style" w:hAnsi="Bookman Old Style" w:cs="Bookman Old Style"/>
          <w:color w:val="231F20"/>
          <w:sz w:val="18"/>
          <w:szCs w:val="18"/>
        </w:rPr>
        <w:softHyphen/>
        <w:t>ническим оснащением; основная обязанность состоит в оказании медицинских услуг, в том числе в рамках системы обязательного медицинского страхования.</w:t>
      </w:r>
    </w:p>
    <w:p w14:paraId="327045F9" w14:textId="77777777" w:rsidR="00350396" w:rsidRPr="004E0FC4" w:rsidRDefault="00350396" w:rsidP="004E0FC4">
      <w:pPr>
        <w:widowControl w:val="0"/>
        <w:numPr>
          <w:ilvl w:val="0"/>
          <w:numId w:val="60"/>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Обязанность муниципалитетов согласовывать реализацию проектов ПЧП с властями субъекта РФ.</w:t>
      </w:r>
    </w:p>
    <w:p w14:paraId="1839286B" w14:textId="77777777" w:rsidR="00350396" w:rsidRPr="004E0FC4" w:rsidRDefault="00350396" w:rsidP="004E0FC4">
      <w:pPr>
        <w:widowControl w:val="0"/>
        <w:numPr>
          <w:ilvl w:val="0"/>
          <w:numId w:val="60"/>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Жесткие сроки заключения соглашений о ГЧП (с 01.01.2016 — 360 дней, с 01.01.2018 — 180 дней), которые при наличии сложных процедур разработки и согласования проектов могут привести к по</w:t>
      </w:r>
      <w:r w:rsidRPr="004E0FC4">
        <w:rPr>
          <w:rFonts w:ascii="Bookman Old Style" w:eastAsia="Bookman Old Style" w:hAnsi="Bookman Old Style" w:cs="Bookman Old Style"/>
          <w:color w:val="231F20"/>
          <w:sz w:val="18"/>
          <w:szCs w:val="18"/>
        </w:rPr>
        <w:softHyphen/>
        <w:t>вышенным финансовым издержкам.</w:t>
      </w:r>
    </w:p>
    <w:p w14:paraId="63D044DF" w14:textId="77777777" w:rsidR="00350396" w:rsidRPr="004E0FC4" w:rsidRDefault="00350396" w:rsidP="004E0FC4">
      <w:pPr>
        <w:widowControl w:val="0"/>
        <w:numPr>
          <w:ilvl w:val="0"/>
          <w:numId w:val="60"/>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Механизм частной инициативы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unsolicited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proposals</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опи</w:t>
      </w:r>
      <w:r w:rsidRPr="004E0FC4">
        <w:rPr>
          <w:rFonts w:ascii="Bookman Old Style" w:eastAsia="Bookman Old Style" w:hAnsi="Bookman Old Style" w:cs="Bookman Old Style"/>
          <w:color w:val="231F20"/>
          <w:sz w:val="18"/>
          <w:szCs w:val="18"/>
        </w:rPr>
        <w:softHyphen/>
        <w:t>санный в Законе, в реализации проектов ПЧП не предусматривает</w:t>
      </w:r>
      <w:r w:rsidRPr="004E0FC4">
        <w:rPr>
          <w:rFonts w:ascii="Bookman Old Style" w:eastAsia="Bookman Old Style" w:hAnsi="Bookman Old Style" w:cs="Bookman Old Style"/>
          <w:color w:val="231F20"/>
          <w:sz w:val="18"/>
          <w:szCs w:val="18"/>
          <w:vertAlign w:val="superscript"/>
        </w:rPr>
        <w:footnoteReference w:id="91"/>
      </w:r>
      <w:r w:rsidRPr="004E0FC4">
        <w:rPr>
          <w:rFonts w:ascii="Bookman Old Style" w:eastAsia="Bookman Old Style" w:hAnsi="Bookman Old Style" w:cs="Bookman Old Style"/>
          <w:color w:val="231F20"/>
          <w:sz w:val="18"/>
          <w:szCs w:val="18"/>
        </w:rPr>
        <w:t xml:space="preserve"> для </w:t>
      </w:r>
      <w:r w:rsidRPr="004E0FC4">
        <w:rPr>
          <w:rFonts w:ascii="Bookman Old Style" w:eastAsia="Bookman Old Style" w:hAnsi="Bookman Old Style" w:cs="Bookman Old Style"/>
          <w:color w:val="231F20"/>
          <w:sz w:val="18"/>
          <w:szCs w:val="18"/>
        </w:rPr>
        <w:lastRenderedPageBreak/>
        <w:t>частного партнера ни льгот в рамках конкурса за право заклю</w:t>
      </w:r>
      <w:r w:rsidRPr="004E0FC4">
        <w:rPr>
          <w:rFonts w:ascii="Bookman Old Style" w:eastAsia="Bookman Old Style" w:hAnsi="Bookman Old Style" w:cs="Bookman Old Style"/>
          <w:color w:val="231F20"/>
          <w:sz w:val="18"/>
          <w:szCs w:val="18"/>
        </w:rPr>
        <w:softHyphen/>
        <w:t>чения соглашения о ПЧП, ни возмещения расходов на подготовку проекта (предложения) в случае проигрыша в конкурсе.</w:t>
      </w:r>
    </w:p>
    <w:p w14:paraId="47EEFB19"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свою очередь, в международной практике механизм </w:t>
      </w:r>
      <w:r w:rsidRPr="004E0FC4">
        <w:rPr>
          <w:rFonts w:ascii="Bookman Old Style" w:eastAsia="Bookman Old Style" w:hAnsi="Bookman Old Style" w:cs="Bookman Old Style"/>
          <w:i/>
          <w:iCs/>
          <w:color w:val="231F20"/>
          <w:sz w:val="18"/>
          <w:szCs w:val="18"/>
          <w:lang w:val="en-US" w:eastAsia="en-US" w:bidi="en-US"/>
        </w:rPr>
        <w:t>unsolicited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proposals</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признается в качестве альтернативного способа выбора наилучшего частного партнера (концессионера), готового реали</w:t>
      </w:r>
      <w:r w:rsidRPr="004E0FC4">
        <w:rPr>
          <w:rFonts w:ascii="Bookman Old Style" w:eastAsia="Bookman Old Style" w:hAnsi="Bookman Old Style" w:cs="Bookman Old Style"/>
          <w:color w:val="231F20"/>
          <w:sz w:val="18"/>
          <w:szCs w:val="18"/>
        </w:rPr>
        <w:softHyphen/>
        <w:t>зовать проект на единственно возможных или максимально выгод</w:t>
      </w:r>
      <w:r w:rsidRPr="004E0FC4">
        <w:rPr>
          <w:rFonts w:ascii="Bookman Old Style" w:eastAsia="Bookman Old Style" w:hAnsi="Bookman Old Style" w:cs="Bookman Old Style"/>
          <w:color w:val="231F20"/>
          <w:sz w:val="18"/>
          <w:szCs w:val="18"/>
        </w:rPr>
        <w:softHyphen/>
        <w:t>ных условиях. В зарубежных странах основная идея этой концепции заключается в том, что частный инвестор предлагает государству уникальные и (или) наиболее выгодные условия реализации ин</w:t>
      </w:r>
      <w:r w:rsidRPr="004E0FC4">
        <w:rPr>
          <w:rFonts w:ascii="Bookman Old Style" w:eastAsia="Bookman Old Style" w:hAnsi="Bookman Old Style" w:cs="Bookman Old Style"/>
          <w:color w:val="231F20"/>
          <w:sz w:val="18"/>
          <w:szCs w:val="18"/>
        </w:rPr>
        <w:softHyphen/>
        <w:t>фраструктурного проекта. Государство рассматривает предложение инвестора и в случае принятия положительного решения заключа</w:t>
      </w:r>
      <w:r w:rsidRPr="004E0FC4">
        <w:rPr>
          <w:rFonts w:ascii="Bookman Old Style" w:eastAsia="Bookman Old Style" w:hAnsi="Bookman Old Style" w:cs="Bookman Old Style"/>
          <w:color w:val="231F20"/>
          <w:sz w:val="18"/>
          <w:szCs w:val="18"/>
        </w:rPr>
        <w:softHyphen/>
        <w:t>ет с ним соглашение без проведения конкурса или предоставляет инициатору конкурентное преимущество в случае проведения кон</w:t>
      </w:r>
      <w:r w:rsidRPr="004E0FC4">
        <w:rPr>
          <w:rFonts w:ascii="Bookman Old Style" w:eastAsia="Bookman Old Style" w:hAnsi="Bookman Old Style" w:cs="Bookman Old Style"/>
          <w:color w:val="231F20"/>
          <w:sz w:val="18"/>
          <w:szCs w:val="18"/>
        </w:rPr>
        <w:softHyphen/>
        <w:t>курса.</w:t>
      </w:r>
    </w:p>
    <w:p w14:paraId="3623D0FD"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Такой механизм сокращает сроки разработки проекта для госу</w:t>
      </w:r>
      <w:r w:rsidRPr="004E0FC4">
        <w:rPr>
          <w:rFonts w:ascii="Bookman Old Style" w:eastAsia="Bookman Old Style" w:hAnsi="Bookman Old Style" w:cs="Bookman Old Style"/>
          <w:color w:val="231F20"/>
          <w:sz w:val="18"/>
          <w:szCs w:val="18"/>
        </w:rPr>
        <w:softHyphen/>
        <w:t>дарственного партнера, сроки проведения конкурсных процедур и экономит бюджетные средства на подготовку конкурсной доку</w:t>
      </w:r>
      <w:r w:rsidRPr="004E0FC4">
        <w:rPr>
          <w:rFonts w:ascii="Bookman Old Style" w:eastAsia="Bookman Old Style" w:hAnsi="Bookman Old Style" w:cs="Bookman Old Style"/>
          <w:color w:val="231F20"/>
          <w:sz w:val="18"/>
          <w:szCs w:val="18"/>
        </w:rPr>
        <w:softHyphen/>
        <w:t>ментации и проведение конкурса.</w:t>
      </w:r>
    </w:p>
    <w:p w14:paraId="17154AC3" w14:textId="77777777" w:rsidR="00350396" w:rsidRPr="004E0FC4" w:rsidRDefault="00350396" w:rsidP="004E0FC4">
      <w:pPr>
        <w:widowControl w:val="0"/>
        <w:spacing w:line="254" w:lineRule="exact"/>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 xml:space="preserve">Как оценивают специалисты компании </w:t>
      </w:r>
      <w:r w:rsidRPr="004E0FC4">
        <w:rPr>
          <w:rFonts w:ascii="Bookman Old Style" w:eastAsia="Bookman Old Style" w:hAnsi="Bookman Old Style" w:cs="Bookman Old Style"/>
          <w:i/>
          <w:iCs/>
          <w:color w:val="231F20"/>
          <w:sz w:val="18"/>
          <w:szCs w:val="18"/>
          <w:highlight w:val="red"/>
          <w:lang w:val="en-US" w:eastAsia="en-US" w:bidi="en-US"/>
        </w:rPr>
        <w:t>Vegas</w:t>
      </w:r>
      <w:r w:rsidRPr="004E0FC4">
        <w:rPr>
          <w:rFonts w:ascii="Bookman Old Style" w:eastAsia="Bookman Old Style" w:hAnsi="Bookman Old Style" w:cs="Bookman Old Style"/>
          <w:i/>
          <w:iCs/>
          <w:color w:val="231F20"/>
          <w:sz w:val="18"/>
          <w:szCs w:val="18"/>
          <w:highlight w:val="red"/>
          <w:lang w:eastAsia="en-US" w:bidi="en-US"/>
        </w:rPr>
        <w:t xml:space="preserve"> </w:t>
      </w:r>
      <w:r w:rsidRPr="004E0FC4">
        <w:rPr>
          <w:rFonts w:ascii="Bookman Old Style" w:eastAsia="Bookman Old Style" w:hAnsi="Bookman Old Style" w:cs="Bookman Old Style"/>
          <w:i/>
          <w:iCs/>
          <w:color w:val="231F20"/>
          <w:sz w:val="18"/>
          <w:szCs w:val="18"/>
          <w:highlight w:val="red"/>
          <w:lang w:val="en-US" w:eastAsia="en-US" w:bidi="en-US"/>
        </w:rPr>
        <w:t>Lex</w:t>
      </w:r>
      <w:r w:rsidRPr="004E0FC4">
        <w:rPr>
          <w:rFonts w:ascii="Bookman Old Style" w:eastAsia="Bookman Old Style" w:hAnsi="Bookman Old Style" w:cs="Bookman Old Style"/>
          <w:i/>
          <w:iCs/>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eastAsia="en-US" w:bidi="en-US"/>
        </w:rPr>
        <w:t xml:space="preserve"> </w:t>
      </w:r>
      <w:r w:rsidRPr="004E0FC4">
        <w:rPr>
          <w:rFonts w:ascii="Bookman Old Style" w:eastAsia="Bookman Old Style" w:hAnsi="Bookman Old Style" w:cs="Bookman Old Style"/>
          <w:color w:val="231F20"/>
          <w:sz w:val="18"/>
          <w:szCs w:val="18"/>
          <w:highlight w:val="red"/>
        </w:rPr>
        <w:t>сопровождав</w:t>
      </w:r>
      <w:r w:rsidRPr="004E0FC4">
        <w:rPr>
          <w:rFonts w:ascii="Bookman Old Style" w:eastAsia="Bookman Old Style" w:hAnsi="Bookman Old Style" w:cs="Bookman Old Style"/>
          <w:color w:val="231F20"/>
          <w:sz w:val="18"/>
          <w:szCs w:val="18"/>
          <w:highlight w:val="red"/>
        </w:rPr>
        <w:softHyphen/>
        <w:t>шей большое число заключенных концессионных соглашений и со</w:t>
      </w:r>
      <w:r w:rsidRPr="004E0FC4">
        <w:rPr>
          <w:rFonts w:ascii="Bookman Old Style" w:eastAsia="Bookman Old Style" w:hAnsi="Bookman Old Style" w:cs="Bookman Old Style"/>
          <w:color w:val="231F20"/>
          <w:sz w:val="18"/>
          <w:szCs w:val="18"/>
          <w:highlight w:val="red"/>
        </w:rPr>
        <w:softHyphen/>
        <w:t>глашений о ГЧП в рамках регионального законодательства в 2005— 2015 гг., все ожидания основных заинтересованных субъектов закон одновременно выполнить не мог, но часть ожиданий были реализо</w:t>
      </w:r>
      <w:r w:rsidRPr="004E0FC4">
        <w:rPr>
          <w:rFonts w:ascii="Bookman Old Style" w:eastAsia="Bookman Old Style" w:hAnsi="Bookman Old Style" w:cs="Bookman Old Style"/>
          <w:color w:val="231F20"/>
          <w:sz w:val="18"/>
          <w:szCs w:val="18"/>
          <w:highlight w:val="red"/>
        </w:rPr>
        <w:softHyphen/>
        <w:t>ваны (табл. 4.7).</w:t>
      </w:r>
    </w:p>
    <w:p w14:paraId="26E1CDF1" w14:textId="77777777" w:rsidR="00350396" w:rsidRPr="004E0FC4" w:rsidRDefault="00350396" w:rsidP="004E0FC4">
      <w:pPr>
        <w:widowControl w:val="0"/>
        <w:spacing w:line="240" w:lineRule="auto"/>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Таблица 4.7</w:t>
      </w:r>
    </w:p>
    <w:p w14:paraId="3FA66BBF" w14:textId="77777777" w:rsidR="00350396" w:rsidRPr="004E0FC4" w:rsidRDefault="00350396" w:rsidP="004E0FC4">
      <w:pPr>
        <w:framePr w:w="6590" w:wrap="notBeside" w:vAnchor="text" w:hAnchor="text" w:xAlign="center" w:y="1"/>
        <w:widowControl w:val="0"/>
        <w:spacing w:line="240" w:lineRule="exact"/>
        <w:ind w:firstLine="0"/>
        <w:rPr>
          <w:rFonts w:ascii="Bookman Old Style" w:hAnsi="Bookman Old Style"/>
          <w:sz w:val="18"/>
          <w:szCs w:val="18"/>
          <w:highlight w:val="red"/>
        </w:rPr>
      </w:pPr>
      <w:r w:rsidRPr="004E0FC4">
        <w:rPr>
          <w:rFonts w:ascii="Bookman Old Style" w:eastAsia="Arial Narrow" w:hAnsi="Bookman Old Style" w:cs="Arial Narrow"/>
          <w:b/>
          <w:bCs/>
          <w:color w:val="231F20"/>
          <w:sz w:val="18"/>
          <w:szCs w:val="18"/>
          <w:highlight w:val="red"/>
        </w:rPr>
        <w:t>Выполненные и невыполненные ожидания основных субъектов ГЧП с введением в действие Федерального закона от 13.07.2015 № 224-ФЗ «О государственно-частном партнерстве...»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93"/>
        <w:gridCol w:w="3298"/>
      </w:tblGrid>
      <w:tr w:rsidR="00350396" w:rsidRPr="004E0FC4" w14:paraId="222C210F" w14:textId="77777777" w:rsidTr="006D7F71">
        <w:trPr>
          <w:trHeight w:hRule="exact" w:val="365"/>
          <w:jc w:val="center"/>
        </w:trPr>
        <w:tc>
          <w:tcPr>
            <w:tcW w:w="3293" w:type="dxa"/>
            <w:tcBorders>
              <w:top w:val="single" w:sz="4" w:space="0" w:color="auto"/>
              <w:left w:val="single" w:sz="4" w:space="0" w:color="auto"/>
            </w:tcBorders>
            <w:shd w:val="clear" w:color="auto" w:fill="FFFFFF"/>
            <w:vAlign w:val="center"/>
          </w:tcPr>
          <w:p w14:paraId="6E804604"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Выполненные ожидания</w:t>
            </w:r>
          </w:p>
        </w:tc>
        <w:tc>
          <w:tcPr>
            <w:tcW w:w="3298" w:type="dxa"/>
            <w:tcBorders>
              <w:top w:val="single" w:sz="4" w:space="0" w:color="auto"/>
              <w:left w:val="single" w:sz="4" w:space="0" w:color="auto"/>
              <w:right w:val="single" w:sz="4" w:space="0" w:color="auto"/>
            </w:tcBorders>
            <w:shd w:val="clear" w:color="auto" w:fill="FFFFFF"/>
            <w:vAlign w:val="center"/>
          </w:tcPr>
          <w:p w14:paraId="4A0AFA2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Невыполненные ожидания</w:t>
            </w:r>
          </w:p>
        </w:tc>
      </w:tr>
      <w:tr w:rsidR="00350396" w:rsidRPr="004E0FC4" w14:paraId="3275A746" w14:textId="77777777" w:rsidTr="006D7F71">
        <w:trPr>
          <w:trHeight w:hRule="exact" w:val="360"/>
          <w:jc w:val="center"/>
        </w:trPr>
        <w:tc>
          <w:tcPr>
            <w:tcW w:w="6591" w:type="dxa"/>
            <w:gridSpan w:val="2"/>
            <w:tcBorders>
              <w:top w:val="single" w:sz="4" w:space="0" w:color="auto"/>
              <w:left w:val="single" w:sz="4" w:space="0" w:color="auto"/>
              <w:right w:val="single" w:sz="4" w:space="0" w:color="auto"/>
            </w:tcBorders>
            <w:shd w:val="clear" w:color="auto" w:fill="FFFFFF"/>
            <w:vAlign w:val="bottom"/>
          </w:tcPr>
          <w:p w14:paraId="11FD0356"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Региональные администрации и муниципалитеты</w:t>
            </w:r>
          </w:p>
        </w:tc>
      </w:tr>
      <w:tr w:rsidR="00350396" w:rsidRPr="004E0FC4" w14:paraId="4443D055" w14:textId="77777777" w:rsidTr="006D7F71">
        <w:trPr>
          <w:trHeight w:hRule="exact" w:val="1675"/>
          <w:jc w:val="center"/>
        </w:trPr>
        <w:tc>
          <w:tcPr>
            <w:tcW w:w="3293" w:type="dxa"/>
            <w:tcBorders>
              <w:top w:val="single" w:sz="4" w:space="0" w:color="auto"/>
              <w:left w:val="single" w:sz="4" w:space="0" w:color="auto"/>
            </w:tcBorders>
            <w:shd w:val="clear" w:color="auto" w:fill="FFFFFF"/>
            <w:vAlign w:val="center"/>
          </w:tcPr>
          <w:p w14:paraId="669F08A3"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Определены полномочия субъек</w:t>
            </w:r>
            <w:r w:rsidRPr="004E0FC4">
              <w:rPr>
                <w:rFonts w:ascii="Bookman Old Style" w:eastAsia="Bookman Old Style" w:hAnsi="Bookman Old Style" w:cs="Bookman Old Style"/>
                <w:color w:val="231F20"/>
                <w:sz w:val="18"/>
                <w:szCs w:val="18"/>
                <w:highlight w:val="red"/>
              </w:rPr>
              <w:softHyphen/>
              <w:t>тов РФ и муниципалитетов в сфере ГЧП, в частности предоставлены возможности по отдельным тен</w:t>
            </w:r>
            <w:r w:rsidRPr="004E0FC4">
              <w:rPr>
                <w:rFonts w:ascii="Bookman Old Style" w:eastAsia="Bookman Old Style" w:hAnsi="Bookman Old Style" w:cs="Bookman Old Style"/>
                <w:color w:val="231F20"/>
                <w:sz w:val="18"/>
                <w:szCs w:val="18"/>
                <w:highlight w:val="red"/>
              </w:rPr>
              <w:softHyphen/>
              <w:t>дерным процедурам (не госзаказ) проводить конкурсы и заключать</w:t>
            </w:r>
          </w:p>
          <w:p w14:paraId="7E1B37BE"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ГЧП-соглашения</w:t>
            </w:r>
          </w:p>
        </w:tc>
        <w:tc>
          <w:tcPr>
            <w:tcW w:w="3298" w:type="dxa"/>
            <w:tcBorders>
              <w:top w:val="single" w:sz="4" w:space="0" w:color="auto"/>
              <w:left w:val="single" w:sz="4" w:space="0" w:color="auto"/>
              <w:right w:val="single" w:sz="4" w:space="0" w:color="auto"/>
            </w:tcBorders>
            <w:shd w:val="clear" w:color="auto" w:fill="FFFFFF"/>
            <w:vAlign w:val="center"/>
          </w:tcPr>
          <w:p w14:paraId="75366EC1"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Не описаны возможные формы ГЧП. Не позволено нескольким публично</w:t>
            </w:r>
            <w:r w:rsidRPr="004E0FC4">
              <w:rPr>
                <w:rFonts w:ascii="Bookman Old Style" w:eastAsia="Bookman Old Style" w:hAnsi="Bookman Old Style" w:cs="Bookman Old Style"/>
                <w:color w:val="231F20"/>
                <w:sz w:val="18"/>
                <w:szCs w:val="18"/>
                <w:highlight w:val="red"/>
              </w:rPr>
              <w:softHyphen/>
              <w:t>правовым образованиям проводить совместные конкурсы и заключать совместные соглашения. Каждый публичный партнер заключает от</w:t>
            </w:r>
            <w:r w:rsidRPr="004E0FC4">
              <w:rPr>
                <w:rFonts w:ascii="Bookman Old Style" w:eastAsia="Bookman Old Style" w:hAnsi="Bookman Old Style" w:cs="Bookman Old Style"/>
                <w:color w:val="231F20"/>
                <w:sz w:val="18"/>
                <w:szCs w:val="18"/>
                <w:highlight w:val="red"/>
              </w:rPr>
              <w:softHyphen/>
              <w:t>дельное оглашение с победителем</w:t>
            </w:r>
          </w:p>
        </w:tc>
      </w:tr>
      <w:tr w:rsidR="00350396" w:rsidRPr="004E0FC4" w14:paraId="5FCE288F" w14:textId="77777777" w:rsidTr="006D7F71">
        <w:trPr>
          <w:trHeight w:hRule="exact" w:val="1320"/>
          <w:jc w:val="center"/>
        </w:trPr>
        <w:tc>
          <w:tcPr>
            <w:tcW w:w="3293" w:type="dxa"/>
            <w:tcBorders>
              <w:top w:val="single" w:sz="4" w:space="0" w:color="auto"/>
              <w:left w:val="single" w:sz="4" w:space="0" w:color="auto"/>
              <w:bottom w:val="single" w:sz="4" w:space="0" w:color="auto"/>
            </w:tcBorders>
            <w:shd w:val="clear" w:color="auto" w:fill="FFFFFF"/>
            <w:vAlign w:val="center"/>
          </w:tcPr>
          <w:p w14:paraId="789C2E35"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Описаны права и обязанности публичного и частного партнеров (т. е. определено, какие положения должно включать в себя соглашение о ГЧП)</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14:paraId="1AA5A596"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Не предусмотрены механизмы финансирования (поддержки) региональных проектов Российской Федерацией и муниципальных про</w:t>
            </w:r>
            <w:r w:rsidRPr="004E0FC4">
              <w:rPr>
                <w:rFonts w:ascii="Bookman Old Style" w:eastAsia="Bookman Old Style" w:hAnsi="Bookman Old Style" w:cs="Bookman Old Style"/>
                <w:color w:val="231F20"/>
                <w:sz w:val="18"/>
                <w:szCs w:val="18"/>
                <w:highlight w:val="red"/>
              </w:rPr>
              <w:softHyphen/>
              <w:t>ектов субъектами РФ</w:t>
            </w:r>
          </w:p>
        </w:tc>
      </w:tr>
    </w:tbl>
    <w:p w14:paraId="02F6D137"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p w14:paraId="51C4E799" w14:textId="77777777" w:rsidR="00350396" w:rsidRPr="004E0FC4" w:rsidRDefault="00350396" w:rsidP="004E0FC4">
      <w:pPr>
        <w:widowControl w:val="0"/>
        <w:spacing w:line="240" w:lineRule="auto"/>
        <w:ind w:firstLine="0"/>
        <w:rPr>
          <w:rFonts w:ascii="Bookman Old Style" w:hAnsi="Bookman Old Style"/>
          <w:sz w:val="18"/>
          <w:szCs w:val="18"/>
          <w:highlight w:val="red"/>
        </w:rPr>
        <w:sectPr w:rsidR="00350396" w:rsidRPr="004E0FC4">
          <w:footerReference w:type="even" r:id="rId47"/>
          <w:footerReference w:type="default" r:id="rId48"/>
          <w:headerReference w:type="first" r:id="rId49"/>
          <w:footerReference w:type="first" r:id="rId50"/>
          <w:pgSz w:w="8789" w:h="13493"/>
          <w:pgMar w:top="1052" w:right="1070" w:bottom="1060" w:left="1066"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93"/>
        <w:gridCol w:w="3298"/>
      </w:tblGrid>
      <w:tr w:rsidR="00350396" w:rsidRPr="004E0FC4" w14:paraId="2910ACEC" w14:textId="77777777" w:rsidTr="006D7F71">
        <w:trPr>
          <w:trHeight w:hRule="exact" w:val="365"/>
          <w:jc w:val="center"/>
        </w:trPr>
        <w:tc>
          <w:tcPr>
            <w:tcW w:w="3293" w:type="dxa"/>
            <w:tcBorders>
              <w:top w:val="single" w:sz="4" w:space="0" w:color="auto"/>
              <w:left w:val="single" w:sz="4" w:space="0" w:color="auto"/>
            </w:tcBorders>
            <w:shd w:val="clear" w:color="auto" w:fill="FFFFFF"/>
            <w:vAlign w:val="center"/>
          </w:tcPr>
          <w:p w14:paraId="09F5B067"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lastRenderedPageBreak/>
              <w:t>Выполненные ожидания</w:t>
            </w:r>
          </w:p>
        </w:tc>
        <w:tc>
          <w:tcPr>
            <w:tcW w:w="3298" w:type="dxa"/>
            <w:tcBorders>
              <w:top w:val="single" w:sz="4" w:space="0" w:color="auto"/>
              <w:left w:val="single" w:sz="4" w:space="0" w:color="auto"/>
              <w:right w:val="single" w:sz="4" w:space="0" w:color="auto"/>
            </w:tcBorders>
            <w:shd w:val="clear" w:color="auto" w:fill="FFFFFF"/>
            <w:vAlign w:val="center"/>
          </w:tcPr>
          <w:p w14:paraId="317D2567"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Невыполненные ожидания</w:t>
            </w:r>
          </w:p>
        </w:tc>
      </w:tr>
      <w:tr w:rsidR="00350396" w:rsidRPr="004E0FC4" w14:paraId="01C1E429" w14:textId="77777777" w:rsidTr="006D7F71">
        <w:trPr>
          <w:trHeight w:hRule="exact" w:val="360"/>
          <w:jc w:val="center"/>
        </w:trPr>
        <w:tc>
          <w:tcPr>
            <w:tcW w:w="6591" w:type="dxa"/>
            <w:gridSpan w:val="2"/>
            <w:tcBorders>
              <w:top w:val="single" w:sz="4" w:space="0" w:color="auto"/>
              <w:left w:val="single" w:sz="4" w:space="0" w:color="auto"/>
              <w:right w:val="single" w:sz="4" w:space="0" w:color="auto"/>
            </w:tcBorders>
            <w:shd w:val="clear" w:color="auto" w:fill="FFFFFF"/>
            <w:vAlign w:val="bottom"/>
          </w:tcPr>
          <w:p w14:paraId="7FC69EAA"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Инвесторы-инициаторы ГЧП-проектов</w:t>
            </w:r>
          </w:p>
        </w:tc>
      </w:tr>
      <w:tr w:rsidR="00350396" w:rsidRPr="004E0FC4" w14:paraId="1465A9B0" w14:textId="77777777" w:rsidTr="006D7F71">
        <w:trPr>
          <w:trHeight w:hRule="exact" w:val="1488"/>
          <w:jc w:val="center"/>
        </w:trPr>
        <w:tc>
          <w:tcPr>
            <w:tcW w:w="3293" w:type="dxa"/>
            <w:tcBorders>
              <w:top w:val="single" w:sz="4" w:space="0" w:color="auto"/>
              <w:left w:val="single" w:sz="4" w:space="0" w:color="auto"/>
            </w:tcBorders>
            <w:shd w:val="clear" w:color="auto" w:fill="FFFFFF"/>
          </w:tcPr>
          <w:p w14:paraId="065AAAE0" w14:textId="77777777" w:rsidR="00350396" w:rsidRPr="004E0FC4" w:rsidRDefault="00350396" w:rsidP="004E0FC4">
            <w:pPr>
              <w:framePr w:w="6590" w:wrap="notBeside" w:vAnchor="text" w:hAnchor="text" w:xAlign="center" w:y="1"/>
              <w:widowControl w:val="0"/>
              <w:spacing w:line="22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Отрегулирована процедура, по кото</w:t>
            </w:r>
            <w:r w:rsidRPr="004E0FC4">
              <w:rPr>
                <w:rFonts w:ascii="Bookman Old Style" w:eastAsia="Bookman Old Style" w:hAnsi="Bookman Old Style" w:cs="Bookman Old Style"/>
                <w:color w:val="231F20"/>
                <w:sz w:val="18"/>
                <w:szCs w:val="18"/>
                <w:highlight w:val="red"/>
              </w:rPr>
              <w:softHyphen/>
              <w:t>рой инвестор может инициировать ГЧП-проект, в частности инвестор может в ряде случаев заключать ГЧП-соглашения без конкурса</w:t>
            </w:r>
          </w:p>
        </w:tc>
        <w:tc>
          <w:tcPr>
            <w:tcW w:w="3298" w:type="dxa"/>
            <w:tcBorders>
              <w:top w:val="single" w:sz="4" w:space="0" w:color="auto"/>
              <w:left w:val="single" w:sz="4" w:space="0" w:color="auto"/>
              <w:right w:val="single" w:sz="4" w:space="0" w:color="auto"/>
            </w:tcBorders>
            <w:shd w:val="clear" w:color="auto" w:fill="FFFFFF"/>
            <w:vAlign w:val="center"/>
          </w:tcPr>
          <w:p w14:paraId="5F5A0CC5" w14:textId="77777777" w:rsidR="00350396" w:rsidRPr="004E0FC4" w:rsidRDefault="00350396" w:rsidP="004E0FC4">
            <w:pPr>
              <w:framePr w:w="6590" w:wrap="notBeside" w:vAnchor="text" w:hAnchor="text" w:xAlign="center" w:y="1"/>
              <w:widowControl w:val="0"/>
              <w:spacing w:line="22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Правила заключения ГЧП- соглашений для банков, которые раньше отказывались финансиро</w:t>
            </w:r>
            <w:r w:rsidRPr="004E0FC4">
              <w:rPr>
                <w:rFonts w:ascii="Bookman Old Style" w:eastAsia="Bookman Old Style" w:hAnsi="Bookman Old Style" w:cs="Bookman Old Style"/>
                <w:color w:val="231F20"/>
                <w:sz w:val="18"/>
                <w:szCs w:val="18"/>
                <w:highlight w:val="red"/>
              </w:rPr>
              <w:softHyphen/>
              <w:t>вать ГЧП-проекты по региональному законодательству, не стали вполне</w:t>
            </w:r>
          </w:p>
          <w:p w14:paraId="1CA8D7A6" w14:textId="77777777" w:rsidR="00350396" w:rsidRPr="004E0FC4" w:rsidRDefault="00350396" w:rsidP="004E0FC4">
            <w:pPr>
              <w:framePr w:w="6590" w:wrap="notBeside" w:vAnchor="text" w:hAnchor="text" w:xAlign="center" w:y="1"/>
              <w:widowControl w:val="0"/>
              <w:spacing w:line="22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Понятными</w:t>
            </w:r>
          </w:p>
        </w:tc>
      </w:tr>
      <w:tr w:rsidR="00350396" w:rsidRPr="004E0FC4" w14:paraId="3B4897B8" w14:textId="77777777" w:rsidTr="006D7F71">
        <w:trPr>
          <w:trHeight w:hRule="exact" w:val="1267"/>
          <w:jc w:val="center"/>
        </w:trPr>
        <w:tc>
          <w:tcPr>
            <w:tcW w:w="3293" w:type="dxa"/>
            <w:tcBorders>
              <w:top w:val="single" w:sz="4" w:space="0" w:color="auto"/>
              <w:left w:val="single" w:sz="4" w:space="0" w:color="auto"/>
            </w:tcBorders>
            <w:shd w:val="clear" w:color="auto" w:fill="FFFFFF"/>
          </w:tcPr>
          <w:p w14:paraId="1B2B8920" w14:textId="77777777" w:rsidR="00350396" w:rsidRPr="004E0FC4" w:rsidRDefault="00350396" w:rsidP="004E0FC4">
            <w:pPr>
              <w:framePr w:w="6590" w:wrap="notBeside" w:vAnchor="text" w:hAnchor="text" w:xAlign="center" w:y="1"/>
              <w:widowControl w:val="0"/>
              <w:spacing w:line="22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Гарантии инвесторам расширены, в том числе в случае изменения за</w:t>
            </w:r>
            <w:r w:rsidRPr="004E0FC4">
              <w:rPr>
                <w:rFonts w:ascii="Bookman Old Style" w:eastAsia="Bookman Old Style" w:hAnsi="Bookman Old Style" w:cs="Bookman Old Style"/>
                <w:color w:val="231F20"/>
                <w:sz w:val="18"/>
                <w:szCs w:val="18"/>
                <w:highlight w:val="red"/>
              </w:rPr>
              <w:softHyphen/>
              <w:t>конодательств а</w:t>
            </w:r>
          </w:p>
        </w:tc>
        <w:tc>
          <w:tcPr>
            <w:tcW w:w="3298" w:type="dxa"/>
            <w:tcBorders>
              <w:top w:val="single" w:sz="4" w:space="0" w:color="auto"/>
              <w:left w:val="single" w:sz="4" w:space="0" w:color="auto"/>
              <w:right w:val="single" w:sz="4" w:space="0" w:color="auto"/>
            </w:tcBorders>
            <w:shd w:val="clear" w:color="auto" w:fill="FFFFFF"/>
            <w:vAlign w:val="bottom"/>
          </w:tcPr>
          <w:p w14:paraId="70384F56" w14:textId="77777777" w:rsidR="00350396" w:rsidRPr="004E0FC4" w:rsidRDefault="00350396" w:rsidP="004E0FC4">
            <w:pPr>
              <w:framePr w:w="6590" w:wrap="notBeside" w:vAnchor="text" w:hAnchor="text" w:xAlign="center" w:y="1"/>
              <w:widowControl w:val="0"/>
              <w:spacing w:line="22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Перечень объектов, в отношении которых можно заключить ГЧП- соглашение, не стал открытым (не стал и значительно более широ</w:t>
            </w:r>
            <w:r w:rsidRPr="004E0FC4">
              <w:rPr>
                <w:rFonts w:ascii="Bookman Old Style" w:eastAsia="Bookman Old Style" w:hAnsi="Bookman Old Style" w:cs="Bookman Old Style"/>
                <w:color w:val="231F20"/>
                <w:sz w:val="18"/>
                <w:szCs w:val="18"/>
                <w:highlight w:val="red"/>
              </w:rPr>
              <w:softHyphen/>
              <w:t>ким, чем по концессии)</w:t>
            </w:r>
          </w:p>
        </w:tc>
      </w:tr>
      <w:tr w:rsidR="00350396" w:rsidRPr="004E0FC4" w14:paraId="449FDE86" w14:textId="77777777" w:rsidTr="006D7F71">
        <w:trPr>
          <w:trHeight w:hRule="exact" w:val="360"/>
          <w:jc w:val="center"/>
        </w:trPr>
        <w:tc>
          <w:tcPr>
            <w:tcW w:w="6591" w:type="dxa"/>
            <w:gridSpan w:val="2"/>
            <w:tcBorders>
              <w:top w:val="single" w:sz="4" w:space="0" w:color="auto"/>
              <w:left w:val="single" w:sz="4" w:space="0" w:color="auto"/>
              <w:right w:val="single" w:sz="4" w:space="0" w:color="auto"/>
            </w:tcBorders>
            <w:shd w:val="clear" w:color="auto" w:fill="FFFFFF"/>
            <w:vAlign w:val="bottom"/>
          </w:tcPr>
          <w:p w14:paraId="6AF142E3"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Организации, финансирующие ГЧП-проекты</w:t>
            </w:r>
          </w:p>
        </w:tc>
      </w:tr>
      <w:tr w:rsidR="00350396" w:rsidRPr="004E0FC4" w14:paraId="6CDE39BB" w14:textId="77777777" w:rsidTr="006D7F71">
        <w:trPr>
          <w:trHeight w:hRule="exact" w:val="1046"/>
          <w:jc w:val="center"/>
        </w:trPr>
        <w:tc>
          <w:tcPr>
            <w:tcW w:w="3293" w:type="dxa"/>
            <w:tcBorders>
              <w:top w:val="single" w:sz="4" w:space="0" w:color="auto"/>
              <w:left w:val="single" w:sz="4" w:space="0" w:color="auto"/>
              <w:bottom w:val="single" w:sz="4" w:space="0" w:color="auto"/>
            </w:tcBorders>
            <w:shd w:val="clear" w:color="auto" w:fill="FFFFFF"/>
            <w:vAlign w:val="center"/>
          </w:tcPr>
          <w:p w14:paraId="44288F6C" w14:textId="77777777" w:rsidR="00350396" w:rsidRPr="004E0FC4" w:rsidRDefault="00350396" w:rsidP="004E0FC4">
            <w:pPr>
              <w:framePr w:w="6590" w:wrap="notBeside" w:vAnchor="text" w:hAnchor="text" w:xAlign="center" w:y="1"/>
              <w:widowControl w:val="0"/>
              <w:spacing w:line="22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Закреплены гарантии в отношении финансирующих организаций в объ</w:t>
            </w:r>
            <w:r w:rsidRPr="004E0FC4">
              <w:rPr>
                <w:rFonts w:ascii="Bookman Old Style" w:eastAsia="Bookman Old Style" w:hAnsi="Bookman Old Style" w:cs="Bookman Old Style"/>
                <w:color w:val="231F20"/>
                <w:sz w:val="18"/>
                <w:szCs w:val="18"/>
                <w:highlight w:val="red"/>
              </w:rPr>
              <w:softHyphen/>
              <w:t>еме, не меньшем, чем в концессион</w:t>
            </w:r>
            <w:r w:rsidRPr="004E0FC4">
              <w:rPr>
                <w:rFonts w:ascii="Bookman Old Style" w:eastAsia="Bookman Old Style" w:hAnsi="Bookman Old Style" w:cs="Bookman Old Style"/>
                <w:color w:val="231F20"/>
                <w:sz w:val="18"/>
                <w:szCs w:val="18"/>
                <w:highlight w:val="red"/>
              </w:rPr>
              <w:softHyphen/>
              <w:t>ном законе</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center"/>
          </w:tcPr>
          <w:p w14:paraId="63130CC8" w14:textId="77777777" w:rsidR="00350396" w:rsidRPr="004E0FC4" w:rsidRDefault="00350396" w:rsidP="004E0FC4">
            <w:pPr>
              <w:framePr w:w="6590"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Не создана единая терминологиче</w:t>
            </w:r>
            <w:r w:rsidRPr="004E0FC4">
              <w:rPr>
                <w:rFonts w:ascii="Bookman Old Style" w:eastAsia="Bookman Old Style" w:hAnsi="Bookman Old Style" w:cs="Bookman Old Style"/>
                <w:color w:val="231F20"/>
                <w:sz w:val="18"/>
                <w:szCs w:val="18"/>
                <w:highlight w:val="red"/>
              </w:rPr>
              <w:softHyphen/>
              <w:t>ская базу ГЧП с определением форм ГЧП, что повысило бы юридическую технику заключения ГЧП-соглашений</w:t>
            </w:r>
          </w:p>
        </w:tc>
      </w:tr>
    </w:tbl>
    <w:p w14:paraId="2459BC69"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p w14:paraId="219DDD31" w14:textId="77777777" w:rsidR="00350396" w:rsidRPr="004E0FC4" w:rsidRDefault="00350396" w:rsidP="004E0FC4">
      <w:pPr>
        <w:widowControl w:val="0"/>
        <w:spacing w:line="240" w:lineRule="auto"/>
        <w:ind w:firstLine="0"/>
        <w:rPr>
          <w:rFonts w:ascii="Bookman Old Style" w:hAnsi="Bookman Old Style"/>
          <w:sz w:val="18"/>
          <w:szCs w:val="18"/>
        </w:rPr>
      </w:pPr>
    </w:p>
    <w:p w14:paraId="403B5A7F" w14:textId="77777777" w:rsidR="00350396" w:rsidRPr="004E0FC4" w:rsidRDefault="00350396" w:rsidP="004E0FC4">
      <w:pPr>
        <w:widowControl w:val="0"/>
        <w:spacing w:before="149"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Фактически российское законодательство о ГЧП </w:t>
      </w:r>
      <w:r w:rsidRPr="004E0FC4">
        <w:rPr>
          <w:rFonts w:ascii="Bookman Old Style" w:eastAsia="Bookman Old Style" w:hAnsi="Bookman Old Style" w:cs="Bookman Old Style"/>
          <w:color w:val="231F20"/>
          <w:sz w:val="18"/>
          <w:szCs w:val="18"/>
          <w:highlight w:val="green"/>
        </w:rPr>
        <w:t>на протяжении двух десятилетий начала 20 века</w:t>
      </w:r>
      <w:r w:rsidRPr="004E0FC4">
        <w:rPr>
          <w:rFonts w:ascii="Bookman Old Style" w:eastAsia="Bookman Old Style" w:hAnsi="Bookman Old Style" w:cs="Bookman Old Style"/>
          <w:color w:val="231F20"/>
          <w:sz w:val="18"/>
          <w:szCs w:val="18"/>
        </w:rPr>
        <w:t xml:space="preserve"> развивается в трех основных направлениях: Закона о ГЧП, концессионного зако</w:t>
      </w:r>
      <w:r w:rsidRPr="004E0FC4">
        <w:rPr>
          <w:rFonts w:ascii="Bookman Old Style" w:eastAsia="Bookman Old Style" w:hAnsi="Bookman Old Style" w:cs="Bookman Old Style"/>
          <w:color w:val="231F20"/>
          <w:sz w:val="18"/>
          <w:szCs w:val="18"/>
        </w:rPr>
        <w:softHyphen/>
        <w:t>нодательства, регионального законодательства. Закон о концессиях и Закон о ГЧП, отчасти совпадая по составу объектов, сегодня в це</w:t>
      </w:r>
      <w:r w:rsidRPr="004E0FC4">
        <w:rPr>
          <w:rFonts w:ascii="Bookman Old Style" w:eastAsia="Bookman Old Style" w:hAnsi="Bookman Old Style" w:cs="Bookman Old Style"/>
          <w:color w:val="231F20"/>
          <w:sz w:val="18"/>
          <w:szCs w:val="18"/>
        </w:rPr>
        <w:softHyphen/>
        <w:t>лом разделяют всю возможною совокупность объектов ГЧП на две группы: для наиболее часто реализуемых типовых проектов более удобным остается Закон о концессиях, а для некоторых нестандарт</w:t>
      </w:r>
      <w:r w:rsidRPr="004E0FC4">
        <w:rPr>
          <w:rFonts w:ascii="Bookman Old Style" w:eastAsia="Bookman Old Style" w:hAnsi="Bookman Old Style" w:cs="Bookman Old Style"/>
          <w:color w:val="231F20"/>
          <w:sz w:val="18"/>
          <w:szCs w:val="18"/>
        </w:rPr>
        <w:softHyphen/>
        <w:t>ных проектов новые возможности открывает именно закон о ГЧП. Кроме того, Закон о концессиях применяют в отношении объектов, передача которых в частную собственность невозможна/нецелесоо</w:t>
      </w:r>
      <w:r w:rsidRPr="004E0FC4">
        <w:rPr>
          <w:rFonts w:ascii="Bookman Old Style" w:eastAsia="Bookman Old Style" w:hAnsi="Bookman Old Style" w:cs="Bookman Old Style"/>
          <w:color w:val="231F20"/>
          <w:sz w:val="18"/>
          <w:szCs w:val="18"/>
        </w:rPr>
        <w:softHyphen/>
        <w:t>бразна, в то время как Закон о ГЧП такую передачу разрешает.</w:t>
      </w:r>
    </w:p>
    <w:p w14:paraId="400B8EB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декабре 2018 г. Минэкономразвития России был разработан за</w:t>
      </w:r>
      <w:r w:rsidRPr="004E0FC4">
        <w:rPr>
          <w:rFonts w:ascii="Bookman Old Style" w:eastAsia="Bookman Old Style" w:hAnsi="Bookman Old Style" w:cs="Bookman Old Style"/>
          <w:color w:val="231F20"/>
          <w:sz w:val="18"/>
          <w:szCs w:val="18"/>
        </w:rPr>
        <w:softHyphen/>
        <w:t>конопроект, предусматривающий внесение комплекса поправок в за</w:t>
      </w:r>
      <w:r w:rsidRPr="004E0FC4">
        <w:rPr>
          <w:rFonts w:ascii="Bookman Old Style" w:eastAsia="Bookman Old Style" w:hAnsi="Bookman Old Style" w:cs="Bookman Old Style"/>
          <w:color w:val="231F20"/>
          <w:sz w:val="18"/>
          <w:szCs w:val="18"/>
        </w:rPr>
        <w:softHyphen/>
        <w:t>коны о концессиях и о ГЧП, которые «создают новые возможности для сторон концессионных соглашений и соглашений о ГЧП, МЧП:</w:t>
      </w:r>
    </w:p>
    <w:p w14:paraId="166F788C" w14:textId="77777777" w:rsidR="00350396" w:rsidRPr="004E0FC4" w:rsidRDefault="00350396" w:rsidP="004E0FC4">
      <w:pPr>
        <w:widowControl w:val="0"/>
        <w:numPr>
          <w:ilvl w:val="0"/>
          <w:numId w:val="61"/>
        </w:numPr>
        <w:tabs>
          <w:tab w:val="left" w:pos="63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будет прямо</w:t>
      </w:r>
      <w:r w:rsidRPr="004E0FC4">
        <w:rPr>
          <w:rFonts w:ascii="Bookman Old Style" w:eastAsia="Bookman Old Style" w:hAnsi="Bookman Old Style" w:cs="Bookman Old Style"/>
          <w:color w:val="231F20"/>
          <w:sz w:val="18"/>
          <w:szCs w:val="18"/>
        </w:rPr>
        <w:t xml:space="preserve"> определена возможность финансового участия концедента / публичного партнера в формах капитального гранта, платы концедента, обеспечения минимального дохода, предостав</w:t>
      </w:r>
      <w:r w:rsidRPr="004E0FC4">
        <w:rPr>
          <w:rFonts w:ascii="Bookman Old Style" w:eastAsia="Bookman Old Style" w:hAnsi="Bookman Old Style" w:cs="Bookman Old Style"/>
          <w:color w:val="231F20"/>
          <w:sz w:val="18"/>
          <w:szCs w:val="18"/>
        </w:rPr>
        <w:softHyphen/>
        <w:t>ления государственных или муниципальных гарантий в иных фор</w:t>
      </w:r>
      <w:r w:rsidRPr="004E0FC4">
        <w:rPr>
          <w:rFonts w:ascii="Bookman Old Style" w:eastAsia="Bookman Old Style" w:hAnsi="Bookman Old Style" w:cs="Bookman Old Style"/>
          <w:color w:val="231F20"/>
          <w:sz w:val="18"/>
          <w:szCs w:val="18"/>
        </w:rPr>
        <w:softHyphen/>
        <w:t>мах, включая выплаты сумм возмещения при прекращении концес</w:t>
      </w:r>
      <w:r w:rsidRPr="004E0FC4">
        <w:rPr>
          <w:rFonts w:ascii="Bookman Old Style" w:eastAsia="Bookman Old Style" w:hAnsi="Bookman Old Style" w:cs="Bookman Old Style"/>
          <w:color w:val="231F20"/>
          <w:sz w:val="18"/>
          <w:szCs w:val="18"/>
        </w:rPr>
        <w:softHyphen/>
        <w:t>сионного соглашения и др.;</w:t>
      </w:r>
    </w:p>
    <w:p w14:paraId="4D7059D1" w14:textId="77777777" w:rsidR="00350396" w:rsidRPr="004E0FC4" w:rsidRDefault="00350396" w:rsidP="004E0FC4">
      <w:pPr>
        <w:widowControl w:val="0"/>
        <w:numPr>
          <w:ilvl w:val="0"/>
          <w:numId w:val="61"/>
        </w:numPr>
        <w:tabs>
          <w:tab w:val="left" w:pos="63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появится</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появилась</w:t>
      </w:r>
      <w:r w:rsidRPr="004E0FC4">
        <w:rPr>
          <w:rFonts w:ascii="Bookman Old Style" w:eastAsia="Bookman Old Style" w:hAnsi="Bookman Old Style" w:cs="Bookman Old Style"/>
          <w:color w:val="231F20"/>
          <w:sz w:val="18"/>
          <w:szCs w:val="18"/>
        </w:rPr>
        <w:t xml:space="preserve"> возможность осуществлять только техническое об</w:t>
      </w:r>
      <w:r w:rsidRPr="004E0FC4">
        <w:rPr>
          <w:rFonts w:ascii="Bookman Old Style" w:eastAsia="Bookman Old Style" w:hAnsi="Bookman Old Style" w:cs="Bookman Old Style"/>
          <w:color w:val="231F20"/>
          <w:sz w:val="18"/>
          <w:szCs w:val="18"/>
        </w:rPr>
        <w:softHyphen/>
        <w:t>служивание в отношении объектов образования и здравоохранения в рамках концессионного соглашения;</w:t>
      </w:r>
    </w:p>
    <w:p w14:paraId="6A328149"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rPr>
      </w:pPr>
      <w:bookmarkStart w:id="59" w:name="bookmark55"/>
      <w:r w:rsidRPr="004E0FC4">
        <w:rPr>
          <w:rFonts w:ascii="Bookman Old Style" w:eastAsia="Bookman Old Style" w:hAnsi="Bookman Old Style" w:cs="Bookman Old Style"/>
          <w:color w:val="231F20"/>
          <w:sz w:val="18"/>
          <w:szCs w:val="18"/>
          <w:highlight w:val="red"/>
        </w:rPr>
        <w:t>станет возможным</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появилась</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возможность</w:t>
      </w:r>
      <w:r w:rsidRPr="004E0FC4">
        <w:rPr>
          <w:rFonts w:ascii="Bookman Old Style" w:eastAsia="Bookman Old Style" w:hAnsi="Bookman Old Style" w:cs="Bookman Old Style"/>
          <w:color w:val="231F20"/>
          <w:sz w:val="18"/>
          <w:szCs w:val="18"/>
        </w:rPr>
        <w:t xml:space="preserve"> не устанавливать </w:t>
      </w:r>
      <w:r w:rsidRPr="004E0FC4">
        <w:rPr>
          <w:rFonts w:ascii="Bookman Old Style" w:eastAsia="Bookman Old Style" w:hAnsi="Bookman Old Style" w:cs="Bookman Old Style"/>
          <w:color w:val="231F20"/>
          <w:sz w:val="18"/>
          <w:szCs w:val="18"/>
        </w:rPr>
        <w:lastRenderedPageBreak/>
        <w:t>концессионную плату в отношении объектов здравоохранения и образования;</w:t>
      </w:r>
      <w:bookmarkEnd w:id="59"/>
    </w:p>
    <w:p w14:paraId="2E96CFF9"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станет возможной</w:t>
      </w:r>
      <w:r w:rsidRPr="004E0FC4">
        <w:rPr>
          <w:rFonts w:ascii="Bookman Old Style" w:eastAsia="Bookman Old Style" w:hAnsi="Bookman Old Style" w:cs="Bookman Old Style"/>
          <w:color w:val="231F20"/>
          <w:sz w:val="18"/>
          <w:szCs w:val="18"/>
        </w:rPr>
        <w:t xml:space="preserve"> передача объекта незавершенного строи</w:t>
      </w:r>
      <w:r w:rsidRPr="004E0FC4">
        <w:rPr>
          <w:rFonts w:ascii="Bookman Old Style" w:eastAsia="Bookman Old Style" w:hAnsi="Bookman Old Style" w:cs="Bookman Old Style"/>
          <w:color w:val="231F20"/>
          <w:sz w:val="18"/>
          <w:szCs w:val="18"/>
        </w:rPr>
        <w:softHyphen/>
        <w:t>тельства;</w:t>
      </w:r>
    </w:p>
    <w:p w14:paraId="6AB53FFF"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объекты образования </w:t>
      </w:r>
      <w:r w:rsidRPr="004E0FC4">
        <w:rPr>
          <w:rFonts w:ascii="Bookman Old Style" w:eastAsia="Bookman Old Style" w:hAnsi="Bookman Old Style" w:cs="Bookman Old Style"/>
          <w:color w:val="231F20"/>
          <w:sz w:val="18"/>
          <w:szCs w:val="18"/>
          <w:highlight w:val="red"/>
        </w:rPr>
        <w:t>будут</w:t>
      </w:r>
      <w:r w:rsidRPr="004E0FC4">
        <w:rPr>
          <w:rFonts w:ascii="Bookman Old Style" w:eastAsia="Bookman Old Style" w:hAnsi="Bookman Old Style" w:cs="Bookman Old Style"/>
          <w:color w:val="231F20"/>
          <w:sz w:val="18"/>
          <w:szCs w:val="18"/>
        </w:rPr>
        <w:t xml:space="preserve"> дополнены объектами, предна</w:t>
      </w:r>
      <w:r w:rsidRPr="004E0FC4">
        <w:rPr>
          <w:rFonts w:ascii="Bookman Old Style" w:eastAsia="Bookman Old Style" w:hAnsi="Bookman Old Style" w:cs="Bookman Old Style"/>
          <w:color w:val="231F20"/>
          <w:sz w:val="18"/>
          <w:szCs w:val="18"/>
        </w:rPr>
        <w:softHyphen/>
        <w:t>значенными для проживания обучающихся;</w:t>
      </w:r>
    </w:p>
    <w:p w14:paraId="466510D9"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появится понятие «реконструкция», к которому будут отно</w:t>
      </w:r>
      <w:r w:rsidRPr="004E0FC4">
        <w:rPr>
          <w:rFonts w:ascii="Bookman Old Style" w:eastAsia="Bookman Old Style" w:hAnsi="Bookman Old Style" w:cs="Bookman Old Style"/>
          <w:color w:val="231F20"/>
          <w:sz w:val="18"/>
          <w:szCs w:val="18"/>
          <w:highlight w:val="red"/>
        </w:rPr>
        <w:softHyphen/>
        <w:t>ситься в том числе мероприятия по переустройству объекта согла</w:t>
      </w:r>
      <w:r w:rsidRPr="004E0FC4">
        <w:rPr>
          <w:rFonts w:ascii="Bookman Old Style" w:eastAsia="Bookman Old Style" w:hAnsi="Bookman Old Style" w:cs="Bookman Old Style"/>
          <w:color w:val="231F20"/>
          <w:sz w:val="18"/>
          <w:szCs w:val="18"/>
          <w:highlight w:val="red"/>
        </w:rPr>
        <w:softHyphen/>
        <w:t>шения о ГЧП/МЧП на основе внедрения новых технологий, меха</w:t>
      </w:r>
      <w:r w:rsidRPr="004E0FC4">
        <w:rPr>
          <w:rFonts w:ascii="Bookman Old Style" w:eastAsia="Bookman Old Style" w:hAnsi="Bookman Old Style" w:cs="Bookman Old Style"/>
          <w:color w:val="231F20"/>
          <w:sz w:val="18"/>
          <w:szCs w:val="18"/>
          <w:highlight w:val="red"/>
        </w:rPr>
        <w:softHyphen/>
        <w:t>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по изменению технологического или функционального назначения объекта согла</w:t>
      </w:r>
      <w:r w:rsidRPr="004E0FC4">
        <w:rPr>
          <w:rFonts w:ascii="Bookman Old Style" w:eastAsia="Bookman Old Style" w:hAnsi="Bookman Old Style" w:cs="Bookman Old Style"/>
          <w:color w:val="231F20"/>
          <w:sz w:val="18"/>
          <w:szCs w:val="18"/>
          <w:highlight w:val="red"/>
        </w:rPr>
        <w:softHyphen/>
        <w:t>шения или его отдельных частей, иные мероприятия по улучшению характеристик и эксплуатационных свойств объекта соглашения;</w:t>
      </w:r>
    </w:p>
    <w:p w14:paraId="2E442E4C"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появится</w:t>
      </w:r>
      <w:r w:rsidRPr="004E0FC4">
        <w:rPr>
          <w:rFonts w:ascii="Bookman Old Style" w:eastAsia="Bookman Old Style" w:hAnsi="Bookman Old Style" w:cs="Bookman Old Style"/>
          <w:color w:val="231F20"/>
          <w:sz w:val="18"/>
          <w:szCs w:val="18"/>
        </w:rPr>
        <w:t xml:space="preserve"> возможность установления концедентом требова</w:t>
      </w:r>
      <w:r w:rsidRPr="004E0FC4">
        <w:rPr>
          <w:rFonts w:ascii="Bookman Old Style" w:eastAsia="Bookman Old Style" w:hAnsi="Bookman Old Style" w:cs="Bookman Old Style"/>
          <w:color w:val="231F20"/>
          <w:sz w:val="18"/>
          <w:szCs w:val="18"/>
        </w:rPr>
        <w:softHyphen/>
        <w:t>ния к участникам конкурса о наличии опыта работы, связанного с предметом концессионного соглашения, включая опыт реализа</w:t>
      </w:r>
      <w:r w:rsidRPr="004E0FC4">
        <w:rPr>
          <w:rFonts w:ascii="Bookman Old Style" w:eastAsia="Bookman Old Style" w:hAnsi="Bookman Old Style" w:cs="Bookman Old Style"/>
          <w:color w:val="231F20"/>
          <w:sz w:val="18"/>
          <w:szCs w:val="18"/>
        </w:rPr>
        <w:softHyphen/>
        <w:t>ции сопоставимых инвестиционных проектов;</w:t>
      </w:r>
    </w:p>
    <w:p w14:paraId="08B0EECE" w14:textId="77777777" w:rsidR="00350396" w:rsidRPr="004E0FC4" w:rsidRDefault="00350396" w:rsidP="004E0FC4">
      <w:pPr>
        <w:widowControl w:val="0"/>
        <w:numPr>
          <w:ilvl w:val="0"/>
          <w:numId w:val="61"/>
        </w:numPr>
        <w:tabs>
          <w:tab w:val="left" w:pos="63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критерии конкурса </w:t>
      </w:r>
      <w:r w:rsidRPr="004E0FC4">
        <w:rPr>
          <w:rFonts w:ascii="Bookman Old Style" w:eastAsia="Bookman Old Style" w:hAnsi="Bookman Old Style" w:cs="Bookman Old Style"/>
          <w:color w:val="231F20"/>
          <w:sz w:val="18"/>
          <w:szCs w:val="18"/>
          <w:highlight w:val="green"/>
        </w:rPr>
        <w:t>разделены</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будут подразделяться</w:t>
      </w:r>
      <w:r w:rsidRPr="004E0FC4">
        <w:rPr>
          <w:rFonts w:ascii="Bookman Old Style" w:eastAsia="Bookman Old Style" w:hAnsi="Bookman Old Style" w:cs="Bookman Old Style"/>
          <w:color w:val="231F20"/>
          <w:sz w:val="18"/>
          <w:szCs w:val="18"/>
        </w:rPr>
        <w:t xml:space="preserve"> на три блока: техни</w:t>
      </w:r>
      <w:r w:rsidRPr="004E0FC4">
        <w:rPr>
          <w:rFonts w:ascii="Bookman Old Style" w:eastAsia="Bookman Old Style" w:hAnsi="Bookman Old Style" w:cs="Bookman Old Style"/>
          <w:color w:val="231F20"/>
          <w:sz w:val="18"/>
          <w:szCs w:val="18"/>
        </w:rPr>
        <w:softHyphen/>
        <w:t>ческие, финансово-экономические и юридические;</w:t>
      </w:r>
    </w:p>
    <w:p w14:paraId="06C61C79"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банковская гарантия </w:t>
      </w:r>
      <w:r w:rsidRPr="004E0FC4">
        <w:rPr>
          <w:rFonts w:ascii="Bookman Old Style" w:eastAsia="Bookman Old Style" w:hAnsi="Bookman Old Style" w:cs="Bookman Old Style"/>
          <w:color w:val="231F20"/>
          <w:sz w:val="18"/>
          <w:szCs w:val="18"/>
          <w:highlight w:val="green"/>
        </w:rPr>
        <w:t>принята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сможет выступать</w:t>
      </w:r>
      <w:r w:rsidRPr="004E0FC4">
        <w:rPr>
          <w:rFonts w:ascii="Bookman Old Style" w:eastAsia="Bookman Old Style" w:hAnsi="Bookman Old Style" w:cs="Bookman Old Style"/>
          <w:color w:val="231F20"/>
          <w:sz w:val="18"/>
          <w:szCs w:val="18"/>
        </w:rPr>
        <w:t xml:space="preserve"> в качестве обеспече</w:t>
      </w:r>
      <w:r w:rsidRPr="004E0FC4">
        <w:rPr>
          <w:rFonts w:ascii="Bookman Old Style" w:eastAsia="Bookman Old Style" w:hAnsi="Bookman Old Style" w:cs="Bookman Old Style"/>
          <w:color w:val="231F20"/>
          <w:sz w:val="18"/>
          <w:szCs w:val="18"/>
        </w:rPr>
        <w:softHyphen/>
        <w:t>ния исполнения обязательства по заключению концессионного со</w:t>
      </w:r>
      <w:r w:rsidRPr="004E0FC4">
        <w:rPr>
          <w:rFonts w:ascii="Bookman Old Style" w:eastAsia="Bookman Old Style" w:hAnsi="Bookman Old Style" w:cs="Bookman Old Style"/>
          <w:color w:val="231F20"/>
          <w:sz w:val="18"/>
          <w:szCs w:val="18"/>
        </w:rPr>
        <w:softHyphen/>
        <w:t>глашения;</w:t>
      </w:r>
    </w:p>
    <w:p w14:paraId="793EF3F1"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появится</w:t>
      </w:r>
      <w:r w:rsidRPr="004E0FC4">
        <w:rPr>
          <w:rFonts w:ascii="Bookman Old Style" w:eastAsia="Bookman Old Style" w:hAnsi="Bookman Old Style" w:cs="Bookman Old Style"/>
          <w:color w:val="231F20"/>
          <w:sz w:val="18"/>
          <w:szCs w:val="18"/>
        </w:rPr>
        <w:t xml:space="preserve"> возможность компенсации расходов на подготовку предложения в рамках частной концессионной инициативы;</w:t>
      </w:r>
    </w:p>
    <w:p w14:paraId="7F216845" w14:textId="77777777" w:rsidR="00350396" w:rsidRPr="004E0FC4" w:rsidRDefault="00350396" w:rsidP="004E0FC4">
      <w:pPr>
        <w:widowControl w:val="0"/>
        <w:numPr>
          <w:ilvl w:val="0"/>
          <w:numId w:val="61"/>
        </w:numPr>
        <w:tabs>
          <w:tab w:val="left" w:pos="627"/>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появится</w:t>
      </w:r>
      <w:r w:rsidRPr="004E0FC4">
        <w:rPr>
          <w:rFonts w:ascii="Bookman Old Style" w:eastAsia="Bookman Old Style" w:hAnsi="Bookman Old Style" w:cs="Bookman Old Style"/>
          <w:color w:val="231F20"/>
          <w:sz w:val="18"/>
          <w:szCs w:val="18"/>
        </w:rPr>
        <w:t xml:space="preserve"> возможность передачи земельного участка в рамках соглашения о ГЧП/МЧП не только по договору аренды</w:t>
      </w:r>
      <w:r w:rsidRPr="004E0FC4">
        <w:rPr>
          <w:rFonts w:ascii="Bookman Old Style" w:eastAsia="Bookman Old Style" w:hAnsi="Bookman Old Style" w:cs="Bookman Old Style"/>
          <w:color w:val="231F20"/>
          <w:sz w:val="18"/>
          <w:szCs w:val="18"/>
          <w:highlight w:val="green"/>
        </w:rPr>
        <w:t>, но и по другим договорам (например, - аренды на инвестиционных условиях)</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w:t>
      </w:r>
    </w:p>
    <w:p w14:paraId="3FAA2BDB" w14:textId="77777777" w:rsidR="00350396" w:rsidRPr="004E0FC4" w:rsidRDefault="00350396" w:rsidP="004E0FC4">
      <w:pPr>
        <w:widowControl w:val="0"/>
        <w:numPr>
          <w:ilvl w:val="0"/>
          <w:numId w:val="61"/>
        </w:numPr>
        <w:tabs>
          <w:tab w:val="left" w:pos="634"/>
        </w:tabs>
        <w:spacing w:after="351" w:line="240" w:lineRule="auto"/>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будет определен федеральный орган исполнительной власти, уполномоченный на функции по выработке государственной поли</w:t>
      </w:r>
      <w:r w:rsidRPr="004E0FC4">
        <w:rPr>
          <w:rFonts w:ascii="Bookman Old Style" w:eastAsia="Bookman Old Style" w:hAnsi="Bookman Old Style" w:cs="Bookman Old Style"/>
          <w:color w:val="231F20"/>
          <w:sz w:val="18"/>
          <w:szCs w:val="18"/>
          <w:highlight w:val="red"/>
        </w:rPr>
        <w:softHyphen/>
        <w:t>тики и нормативно-правовому регулированию сферы ГЧП, а также отдельно федеральный орган исполнительной власти в отношении объектов тепло-, водоснабжения, водоотведения»</w:t>
      </w:r>
      <w:r w:rsidRPr="004E0FC4">
        <w:rPr>
          <w:rFonts w:ascii="Bookman Old Style" w:eastAsia="Bookman Old Style" w:hAnsi="Bookman Old Style" w:cs="Bookman Old Style"/>
          <w:color w:val="231F20"/>
          <w:sz w:val="18"/>
          <w:szCs w:val="18"/>
          <w:highlight w:val="red"/>
          <w:vertAlign w:val="superscript"/>
        </w:rPr>
        <w:footnoteReference w:id="92"/>
      </w:r>
      <w:r w:rsidRPr="004E0FC4">
        <w:rPr>
          <w:rFonts w:ascii="Bookman Old Style" w:eastAsia="Bookman Old Style" w:hAnsi="Bookman Old Style" w:cs="Bookman Old Style"/>
          <w:color w:val="231F20"/>
          <w:sz w:val="18"/>
          <w:szCs w:val="18"/>
          <w:highlight w:val="red"/>
        </w:rPr>
        <w:t>.</w:t>
      </w:r>
    </w:p>
    <w:p w14:paraId="7E615615" w14:textId="77777777" w:rsidR="00350396" w:rsidRPr="004E0FC4" w:rsidRDefault="00350396" w:rsidP="004E0FC4">
      <w:pPr>
        <w:widowControl w:val="0"/>
        <w:tabs>
          <w:tab w:val="left" w:pos="634"/>
        </w:tabs>
        <w:spacing w:line="240" w:lineRule="auto"/>
        <w:ind w:firstLine="635"/>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Указанные изменения были внесены в закон о ГЧП в течение 2019-2021 годов. 2022-й стал годом новых вызовов для российского рынка ГЧП. Во многом устойчивость рынка ГЧП в этот период была обеспечена принятием комплекса мер федеральной поддержки и ряда нормативно-правовых актов, снижающих риски реализации проектов.</w:t>
      </w:r>
    </w:p>
    <w:p w14:paraId="7730688C" w14:textId="77777777" w:rsidR="00350396" w:rsidRPr="004E0FC4" w:rsidRDefault="00350396" w:rsidP="004E0FC4">
      <w:pPr>
        <w:widowControl w:val="0"/>
        <w:tabs>
          <w:tab w:val="left" w:pos="634"/>
        </w:tabs>
        <w:spacing w:line="240" w:lineRule="auto"/>
        <w:ind w:firstLine="635"/>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Меры государственной поддержки крайне разнообразны и охватывают ряд отраслей, в которых активно используются механизмы ГЧП. Это создание школ, университетских кампусов, спортивной инфраструктуры, учреждений социального обслуживания, автодорог, коммунально-энергетической инфраструктуры и объектов обращения с </w:t>
      </w:r>
      <w:r w:rsidRPr="004E0FC4">
        <w:rPr>
          <w:rFonts w:ascii="Bookman Old Style" w:eastAsia="Bookman Old Style" w:hAnsi="Bookman Old Style" w:cs="Bookman Old Style"/>
          <w:color w:val="231F20"/>
          <w:sz w:val="18"/>
          <w:szCs w:val="18"/>
          <w:highlight w:val="green"/>
        </w:rPr>
        <w:lastRenderedPageBreak/>
        <w:t xml:space="preserve">ТКО. Кроме того, для поддержки проектов, реализуемых на Дальнем Востоке, с 2021 года действует механизм дальневосточной концессии, который с 2023 года планируется дополнить аналогичным механизмом арктической концессии (см. раздел 4.9). </w:t>
      </w:r>
    </w:p>
    <w:p w14:paraId="1727CC0E" w14:textId="77777777" w:rsidR="00350396" w:rsidRPr="004E0FC4" w:rsidRDefault="00350396" w:rsidP="004E0FC4">
      <w:pPr>
        <w:widowControl w:val="0"/>
        <w:tabs>
          <w:tab w:val="left" w:pos="634"/>
        </w:tabs>
        <w:spacing w:line="240" w:lineRule="auto"/>
        <w:ind w:firstLine="635"/>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Также к 2022 году сформировался ряд механизмов финансирования инфраструктуры на возвратной основе. Значительная часть этих мер – например, </w:t>
      </w:r>
      <w:r w:rsidRPr="004E0FC4">
        <w:rPr>
          <w:rFonts w:ascii="Bookman Old Style" w:eastAsia="Bookman Old Style" w:hAnsi="Bookman Old Style" w:cs="Bookman Old Style"/>
          <w:i/>
          <w:color w:val="231F20"/>
          <w:sz w:val="18"/>
          <w:szCs w:val="18"/>
          <w:highlight w:val="green"/>
        </w:rPr>
        <w:t>инфраструктурные бюджетные кредиты и инфраструктурные облигации ДОМ.РФ</w:t>
      </w:r>
      <w:r w:rsidRPr="004E0FC4">
        <w:rPr>
          <w:rFonts w:ascii="Bookman Old Style" w:eastAsia="Bookman Old Style" w:hAnsi="Bookman Old Style" w:cs="Bookman Old Style"/>
          <w:color w:val="231F20"/>
          <w:sz w:val="18"/>
          <w:szCs w:val="18"/>
          <w:highlight w:val="green"/>
        </w:rPr>
        <w:t xml:space="preserve"> – направлена на финансирование широкого перечня сфер и отраслей инфраструктуры, хотя имеются и механизмы, нацеленные на отдельные отрасли, включая обращение с ТКО и коммунальную инфраструктуру. Значительная часть принятых в 2022 году законодательных изменений и заявленных инициатив связана с установлением «правил игры» и механизмов предоставления государственной поддержки в отдельных отраслях инфраструктуры. Среди принятых поправок следует отметить возможность изменения существенных условий в связи с увеличением в 2021 и 2022 годах цен на строительные ресурсы.</w:t>
      </w:r>
    </w:p>
    <w:p w14:paraId="6CCBFF0A" w14:textId="77777777" w:rsidR="00350396" w:rsidRPr="004E0FC4" w:rsidRDefault="00350396" w:rsidP="004E0FC4">
      <w:pPr>
        <w:widowControl w:val="0"/>
        <w:tabs>
          <w:tab w:val="left" w:pos="634"/>
        </w:tabs>
        <w:spacing w:line="240" w:lineRule="auto"/>
        <w:ind w:firstLine="635"/>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Для поддержки ГЧП-проектов на всех этапах жизненного цикла – от разработки концепции до введения объекта в эксплуатацию – Национальный Центр ГЧП в рамках платформы «Росинфра» запустил ряд цифровых решений, в их числе: </w:t>
      </w:r>
    </w:p>
    <w:p w14:paraId="6904072F" w14:textId="77777777" w:rsidR="00350396" w:rsidRPr="004E0FC4" w:rsidRDefault="00350396" w:rsidP="004E0FC4">
      <w:pPr>
        <w:widowControl w:val="0"/>
        <w:tabs>
          <w:tab w:val="left" w:pos="634"/>
        </w:tabs>
        <w:spacing w:line="240" w:lineRule="auto"/>
        <w:ind w:firstLine="635"/>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 цифровой проектный офис, позволяющий эффективно управлять проектом и обеспечивающий коммуникацию членов проектной команды; </w:t>
      </w:r>
    </w:p>
    <w:p w14:paraId="5A948D49" w14:textId="77777777" w:rsidR="00350396" w:rsidRPr="004E0FC4" w:rsidRDefault="00350396" w:rsidP="004E0FC4">
      <w:pPr>
        <w:widowControl w:val="0"/>
        <w:tabs>
          <w:tab w:val="left" w:pos="634"/>
        </w:tabs>
        <w:spacing w:line="240" w:lineRule="auto"/>
        <w:ind w:firstLine="635"/>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 онлайн-модуль IRIIS, с помощью которого возможно пройти сертификацию проекта; </w:t>
      </w:r>
    </w:p>
    <w:p w14:paraId="0FFD02FD" w14:textId="77777777" w:rsidR="00350396" w:rsidRPr="004E0FC4" w:rsidRDefault="00350396" w:rsidP="004E0FC4">
      <w:pPr>
        <w:widowControl w:val="0"/>
        <w:tabs>
          <w:tab w:val="left" w:pos="634"/>
        </w:tabs>
        <w:spacing w:line="240" w:lineRule="auto"/>
        <w:ind w:firstLine="635"/>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 ГЧП-Академия, в рамках которой предлагаются различные программы обучения, направленные на повышение компетенций в сфере ГЧП.</w:t>
      </w:r>
    </w:p>
    <w:p w14:paraId="786852BD" w14:textId="77777777" w:rsidR="00350396" w:rsidRPr="004E0FC4" w:rsidRDefault="00350396" w:rsidP="004E0FC4">
      <w:pPr>
        <w:widowControl w:val="0"/>
        <w:tabs>
          <w:tab w:val="left" w:pos="634"/>
        </w:tabs>
        <w:spacing w:line="240" w:lineRule="auto"/>
        <w:ind w:firstLine="635"/>
        <w:rPr>
          <w:rFonts w:ascii="Bookman Old Style" w:eastAsia="Bookman Old Style" w:hAnsi="Bookman Old Style" w:cs="Bookman Old Style"/>
          <w:color w:val="231F20"/>
          <w:sz w:val="18"/>
          <w:szCs w:val="18"/>
        </w:rPr>
      </w:pPr>
    </w:p>
    <w:p w14:paraId="553B0AA7"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60" w:name="bookmark56"/>
      <w:bookmarkStart w:id="61" w:name="_Toc118131267"/>
      <w:r w:rsidRPr="004E0FC4">
        <w:rPr>
          <w:rFonts w:ascii="Bookman Old Style" w:eastAsia="Arial Narrow" w:hAnsi="Bookman Old Style" w:cs="Arial Narrow"/>
          <w:i/>
          <w:iCs/>
          <w:color w:val="231F20"/>
          <w:sz w:val="18"/>
          <w:szCs w:val="18"/>
        </w:rPr>
        <w:t xml:space="preserve">4.5. </w:t>
      </w:r>
      <w:r w:rsidRPr="004E0FC4">
        <w:rPr>
          <w:rFonts w:ascii="Bookman Old Style" w:eastAsia="Arial Narrow" w:hAnsi="Bookman Old Style" w:cs="Arial Narrow"/>
          <w:b/>
          <w:bCs/>
          <w:i/>
          <w:iCs/>
          <w:color w:val="231F20"/>
          <w:sz w:val="18"/>
          <w:szCs w:val="18"/>
        </w:rPr>
        <w:t>Оценка эффективности заключения соглашения о государственно-частном партнерстве</w:t>
      </w:r>
      <w:bookmarkEnd w:id="60"/>
      <w:bookmarkEnd w:id="61"/>
    </w:p>
    <w:p w14:paraId="55149B6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Одним из важных </w:t>
      </w:r>
      <w:r w:rsidRPr="004E0FC4">
        <w:rPr>
          <w:rFonts w:ascii="Bookman Old Style" w:eastAsia="Bookman Old Style" w:hAnsi="Bookman Old Style" w:cs="Bookman Old Style"/>
          <w:i/>
          <w:iCs/>
          <w:color w:val="231F20"/>
          <w:sz w:val="18"/>
          <w:szCs w:val="18"/>
        </w:rPr>
        <w:t>принципов</w:t>
      </w:r>
      <w:r w:rsidRPr="004E0FC4">
        <w:rPr>
          <w:rFonts w:ascii="Bookman Old Style" w:eastAsia="Bookman Old Style" w:hAnsi="Bookman Old Style" w:cs="Bookman Old Style"/>
          <w:color w:val="231F20"/>
          <w:sz w:val="18"/>
          <w:szCs w:val="18"/>
        </w:rPr>
        <w:t xml:space="preserve"> ГЧП является взаимная заинтере</w:t>
      </w:r>
      <w:r w:rsidRPr="004E0FC4">
        <w:rPr>
          <w:rFonts w:ascii="Bookman Old Style" w:eastAsia="Bookman Old Style" w:hAnsi="Bookman Old Style" w:cs="Bookman Old Style"/>
          <w:color w:val="231F20"/>
          <w:sz w:val="18"/>
          <w:szCs w:val="18"/>
        </w:rPr>
        <w:softHyphen/>
        <w:t>сованность: каждый добровольно вступающий в сделку участник должен быть уверен, что наилучшим способом выполнения проек</w:t>
      </w:r>
      <w:r w:rsidRPr="004E0FC4">
        <w:rPr>
          <w:rFonts w:ascii="Bookman Old Style" w:eastAsia="Bookman Old Style" w:hAnsi="Bookman Old Style" w:cs="Bookman Old Style"/>
          <w:color w:val="231F20"/>
          <w:sz w:val="18"/>
          <w:szCs w:val="18"/>
        </w:rPr>
        <w:softHyphen/>
        <w:t>та является партнерство с другой (другими) стороной (сторонами). Для публичного партнера (исполнительных органов государствен</w:t>
      </w:r>
      <w:r w:rsidRPr="004E0FC4">
        <w:rPr>
          <w:rFonts w:ascii="Bookman Old Style" w:eastAsia="Bookman Old Style" w:hAnsi="Bookman Old Style" w:cs="Bookman Old Style"/>
          <w:color w:val="231F20"/>
          <w:sz w:val="18"/>
          <w:szCs w:val="18"/>
        </w:rPr>
        <w:softHyphen/>
        <w:t>ной власти), который рассматривает проект ГЧП, это означает, что необходимо предварительно оценить бюджетную эффективность выполнения проекта в форме ГЧП (с привлечением частного пар</w:t>
      </w:r>
      <w:r w:rsidRPr="004E0FC4">
        <w:rPr>
          <w:rFonts w:ascii="Bookman Old Style" w:eastAsia="Bookman Old Style" w:hAnsi="Bookman Old Style" w:cs="Bookman Old Style"/>
          <w:color w:val="231F20"/>
          <w:sz w:val="18"/>
          <w:szCs w:val="18"/>
        </w:rPr>
        <w:softHyphen/>
        <w:t>тнера) и в форме государственного (муниципального) контракта.</w:t>
      </w:r>
    </w:p>
    <w:p w14:paraId="1299DBF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Во многих случаях выполнение проектов в форме ГЧП может приводить к снижению расходов в текущем периоде, но к их увели</w:t>
      </w:r>
      <w:r w:rsidRPr="004E0FC4">
        <w:rPr>
          <w:rFonts w:ascii="Bookman Old Style" w:eastAsia="Bookman Old Style" w:hAnsi="Bookman Old Style" w:cs="Bookman Old Style"/>
          <w:color w:val="231F20"/>
          <w:sz w:val="18"/>
          <w:szCs w:val="18"/>
        </w:rPr>
        <w:softHyphen/>
        <w:t>чению в будущих периодах. Примеры неэффективных проектов ГЧП из-за просчетов со стороны государства стали нередки, вследствие чего во многих странах, в том числе в России, обоснование бюджет</w:t>
      </w:r>
      <w:r w:rsidRPr="004E0FC4">
        <w:rPr>
          <w:rFonts w:ascii="Bookman Old Style" w:eastAsia="Bookman Old Style" w:hAnsi="Bookman Old Style" w:cs="Bookman Old Style"/>
          <w:color w:val="231F20"/>
          <w:sz w:val="18"/>
          <w:szCs w:val="18"/>
        </w:rPr>
        <w:softHyphen/>
        <w:t>ной эффективности проекта стало обязательной практикой. Когда бюджетные расходы, связанные с компенсацией частному инвесто</w:t>
      </w:r>
      <w:r w:rsidRPr="004E0FC4">
        <w:rPr>
          <w:rFonts w:ascii="Bookman Old Style" w:eastAsia="Bookman Old Style" w:hAnsi="Bookman Old Style" w:cs="Bookman Old Style"/>
          <w:color w:val="231F20"/>
          <w:sz w:val="18"/>
          <w:szCs w:val="18"/>
        </w:rPr>
        <w:softHyphen/>
        <w:t>ру затрат, с платой за управление объектом, переносятся на буду</w:t>
      </w:r>
      <w:r w:rsidRPr="004E0FC4">
        <w:rPr>
          <w:rFonts w:ascii="Bookman Old Style" w:eastAsia="Bookman Old Style" w:hAnsi="Bookman Old Style" w:cs="Bookman Old Style"/>
          <w:color w:val="231F20"/>
          <w:sz w:val="18"/>
          <w:szCs w:val="18"/>
        </w:rPr>
        <w:softHyphen/>
        <w:t>щие годы, величина этих расходов возрастает в силу экономическо</w:t>
      </w:r>
      <w:r w:rsidRPr="004E0FC4">
        <w:rPr>
          <w:rFonts w:ascii="Bookman Old Style" w:eastAsia="Bookman Old Style" w:hAnsi="Bookman Old Style" w:cs="Bookman Old Style"/>
          <w:color w:val="231F20"/>
          <w:sz w:val="18"/>
          <w:szCs w:val="18"/>
        </w:rPr>
        <w:softHyphen/>
        <w:t>го правила «роста стоимости денег во времени». Риски перенесения бремени бюджетных расходов на будущее просчитываются при при</w:t>
      </w:r>
      <w:r w:rsidRPr="004E0FC4">
        <w:rPr>
          <w:rFonts w:ascii="Bookman Old Style" w:eastAsia="Bookman Old Style" w:hAnsi="Bookman Old Style" w:cs="Bookman Old Style"/>
          <w:color w:val="231F20"/>
          <w:sz w:val="18"/>
          <w:szCs w:val="18"/>
        </w:rPr>
        <w:softHyphen/>
        <w:t>нятии решений о заключении ГЧП-соглашений.</w:t>
      </w:r>
    </w:p>
    <w:p w14:paraId="339852A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Для повышения эффективности решения публичных задач Феде</w:t>
      </w:r>
      <w:r w:rsidRPr="004E0FC4">
        <w:rPr>
          <w:rFonts w:ascii="Bookman Old Style" w:eastAsia="Bookman Old Style" w:hAnsi="Bookman Old Style" w:cs="Bookman Old Style"/>
          <w:color w:val="231F20"/>
          <w:sz w:val="18"/>
          <w:szCs w:val="18"/>
        </w:rPr>
        <w:softHyphen/>
        <w:t>ральным законом от 13.07.2015 № 224-ФЗ «О государственно-част</w:t>
      </w:r>
      <w:r w:rsidRPr="004E0FC4">
        <w:rPr>
          <w:rFonts w:ascii="Bookman Old Style" w:eastAsia="Bookman Old Style" w:hAnsi="Bookman Old Style" w:cs="Bookman Old Style"/>
          <w:color w:val="231F20"/>
          <w:sz w:val="18"/>
          <w:szCs w:val="18"/>
        </w:rPr>
        <w:softHyphen/>
        <w:t>ном партнерстве, муниципально-частном партнерстве в Российской Федерации и внесении изменений в отдельные законодательные акты Российской Федерации» в России введено обязательное проведение оценки эффективности проекта (финансовой эффективности и со</w:t>
      </w:r>
      <w:r w:rsidRPr="004E0FC4">
        <w:rPr>
          <w:rFonts w:ascii="Bookman Old Style" w:eastAsia="Bookman Old Style" w:hAnsi="Bookman Old Style" w:cs="Bookman Old Style"/>
          <w:color w:val="231F20"/>
          <w:sz w:val="18"/>
          <w:szCs w:val="18"/>
        </w:rPr>
        <w:softHyphen/>
        <w:t>циально-экономического эффекта) для выявления наличия «сравни</w:t>
      </w:r>
      <w:r w:rsidRPr="004E0FC4">
        <w:rPr>
          <w:rFonts w:ascii="Bookman Old Style" w:eastAsia="Bookman Old Style" w:hAnsi="Bookman Old Style" w:cs="Bookman Old Style"/>
          <w:color w:val="231F20"/>
          <w:sz w:val="18"/>
          <w:szCs w:val="18"/>
        </w:rPr>
        <w:softHyphen/>
        <w:t>тельного преимущества» перед реализацией проекта в альтернатив</w:t>
      </w:r>
      <w:r w:rsidRPr="004E0FC4">
        <w:rPr>
          <w:rFonts w:ascii="Bookman Old Style" w:eastAsia="Bookman Old Style" w:hAnsi="Bookman Old Style" w:cs="Bookman Old Style"/>
          <w:color w:val="231F20"/>
          <w:sz w:val="18"/>
          <w:szCs w:val="18"/>
        </w:rPr>
        <w:softHyphen/>
        <w:t>ных ГЧП-формах — в рамках государственного и муниципального контракта (п. 8 ст. 3). Методика оценки эффективности и определе</w:t>
      </w:r>
      <w:r w:rsidRPr="004E0FC4">
        <w:rPr>
          <w:rFonts w:ascii="Bookman Old Style" w:eastAsia="Bookman Old Style" w:hAnsi="Bookman Old Style" w:cs="Bookman Old Style"/>
          <w:color w:val="231F20"/>
          <w:sz w:val="18"/>
          <w:szCs w:val="18"/>
        </w:rPr>
        <w:softHyphen/>
        <w:t>ния сравнительного преимущества утверждена в конце 2015 г</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highlight w:val="green"/>
          <w:vertAlign w:val="superscript"/>
        </w:rPr>
        <w:footnoteReference w:id="93"/>
      </w:r>
    </w:p>
    <w:p w14:paraId="75A75B7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 xml:space="preserve">Оценка общественной значимости (социально-экономического эффекта), экономической эффективности и рисков проекта ГЧП </w:t>
      </w:r>
      <w:r w:rsidRPr="004E0FC4">
        <w:rPr>
          <w:rFonts w:ascii="Bookman Old Style" w:eastAsia="Bookman Old Style" w:hAnsi="Bookman Old Style" w:cs="Bookman Old Style"/>
          <w:color w:val="231F20"/>
          <w:sz w:val="18"/>
          <w:szCs w:val="18"/>
        </w:rPr>
        <w:t>является частью этапа стратегического планирования и определяет возможность реализации тех или иных проектов государственно</w:t>
      </w:r>
      <w:r w:rsidRPr="004E0FC4">
        <w:rPr>
          <w:rFonts w:ascii="Bookman Old Style" w:eastAsia="Bookman Old Style" w:hAnsi="Bookman Old Style" w:cs="Bookman Old Style"/>
          <w:color w:val="231F20"/>
          <w:sz w:val="18"/>
          <w:szCs w:val="18"/>
        </w:rPr>
        <w:softHyphen/>
        <w:t xml:space="preserve">частного партнерства с использованием различных инструментов, включая компаратор публичного сектора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PSC</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 ключевые показа</w:t>
      </w:r>
      <w:r w:rsidRPr="004E0FC4">
        <w:rPr>
          <w:rFonts w:ascii="Bookman Old Style" w:eastAsia="Bookman Old Style" w:hAnsi="Bookman Old Style" w:cs="Bookman Old Style"/>
          <w:color w:val="231F20"/>
          <w:sz w:val="18"/>
          <w:szCs w:val="18"/>
        </w:rPr>
        <w:softHyphen/>
        <w:t>тели эффективности (КПЭ).</w:t>
      </w:r>
    </w:p>
    <w:p w14:paraId="306C775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Пример оценки вариантов и эффективности реализации проекта с помощью государственно-частного партнерства на региональном уровне представлен на рис. 4.5.</w:t>
      </w:r>
    </w:p>
    <w:p w14:paraId="4C2B045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Со своей стороны, риски и выгоды от партнерства аналогичным образом анализируют и предпринимательские структуры. Оценка эффективности различна для участников, как различными могут быть и интересы сторон, которые часто ставят перед собой противо</w:t>
      </w:r>
      <w:r w:rsidRPr="004E0FC4">
        <w:rPr>
          <w:rFonts w:ascii="Bookman Old Style" w:eastAsia="Bookman Old Style" w:hAnsi="Bookman Old Style" w:cs="Bookman Old Style"/>
          <w:color w:val="231F20"/>
          <w:sz w:val="18"/>
          <w:szCs w:val="18"/>
        </w:rPr>
        <w:softHyphen/>
        <w:t>положные цели. Аргументы для заключения партнерских соглаше</w:t>
      </w:r>
      <w:r w:rsidRPr="004E0FC4">
        <w:rPr>
          <w:rFonts w:ascii="Bookman Old Style" w:eastAsia="Bookman Old Style" w:hAnsi="Bookman Old Style" w:cs="Bookman Old Style"/>
          <w:color w:val="231F20"/>
          <w:sz w:val="18"/>
          <w:szCs w:val="18"/>
        </w:rPr>
        <w:softHyphen/>
        <w:t>ний, согласование показателей конкретных проектов часто являют</w:t>
      </w:r>
      <w:r w:rsidRPr="004E0FC4">
        <w:rPr>
          <w:rFonts w:ascii="Bookman Old Style" w:eastAsia="Bookman Old Style" w:hAnsi="Bookman Old Style" w:cs="Bookman Old Style"/>
          <w:color w:val="231F20"/>
          <w:sz w:val="18"/>
          <w:szCs w:val="18"/>
        </w:rPr>
        <w:softHyphen/>
        <w:t>ся результатами длительного переговорного процесса.</w:t>
      </w:r>
    </w:p>
    <w:p w14:paraId="29537A18" w14:textId="77777777" w:rsidR="00350396" w:rsidRPr="004E0FC4" w:rsidRDefault="00350396" w:rsidP="004E0FC4">
      <w:pPr>
        <w:framePr w:h="8443"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hAnsi="Bookman Old Style"/>
          <w:noProof/>
          <w:sz w:val="18"/>
          <w:szCs w:val="18"/>
          <w:lang w:bidi="ar-SA"/>
        </w:rPr>
        <w:lastRenderedPageBreak/>
        <w:drawing>
          <wp:inline distT="0" distB="0" distL="0" distR="0" wp14:anchorId="35D82E99" wp14:editId="41808237">
            <wp:extent cx="4182110" cy="5359400"/>
            <wp:effectExtent l="19050" t="0" r="8890" b="0"/>
            <wp:docPr id="52" name="Рисунок 52" descr="C:\Users\A2D98~1.SHI\AppData\Local\Temp\433\ABBYY\PDFTransform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D98~1.SHI\AppData\Local\Temp\433\ABBYY\PDFTransformer\12.00\media\image15.jpeg"/>
                    <pic:cNvPicPr>
                      <a:picLocks noChangeAspect="1" noChangeArrowheads="1"/>
                    </pic:cNvPicPr>
                  </pic:nvPicPr>
                  <pic:blipFill>
                    <a:blip r:embed="rId51" cstate="print"/>
                    <a:srcRect/>
                    <a:stretch>
                      <a:fillRect/>
                    </a:stretch>
                  </pic:blipFill>
                  <pic:spPr bwMode="auto">
                    <a:xfrm>
                      <a:off x="0" y="0"/>
                      <a:ext cx="4182110" cy="5359400"/>
                    </a:xfrm>
                    <a:prstGeom prst="rect">
                      <a:avLst/>
                    </a:prstGeom>
                    <a:noFill/>
                    <a:ln w="9525">
                      <a:noFill/>
                      <a:miter lim="800000"/>
                      <a:headEnd/>
                      <a:tailEnd/>
                    </a:ln>
                  </pic:spPr>
                </pic:pic>
              </a:graphicData>
            </a:graphic>
          </wp:inline>
        </w:drawing>
      </w:r>
    </w:p>
    <w:p w14:paraId="027FAC6F" w14:textId="77777777" w:rsidR="00350396" w:rsidRPr="004E0FC4" w:rsidRDefault="00350396" w:rsidP="004E0FC4">
      <w:pPr>
        <w:framePr w:h="8443" w:wrap="notBeside" w:vAnchor="text" w:hAnchor="text" w:xAlign="center" w:y="1"/>
        <w:widowControl w:val="0"/>
        <w:spacing w:line="240" w:lineRule="exact"/>
        <w:ind w:firstLine="0"/>
        <w:rPr>
          <w:rFonts w:ascii="Bookman Old Style" w:hAnsi="Bookman Old Style"/>
          <w:sz w:val="18"/>
          <w:szCs w:val="18"/>
        </w:rPr>
      </w:pPr>
      <w:r w:rsidRPr="004E0FC4">
        <w:rPr>
          <w:rFonts w:ascii="Bookman Old Style" w:eastAsia="Arial Narrow" w:hAnsi="Bookman Old Style" w:cs="Arial Narrow"/>
          <w:b/>
          <w:bCs/>
          <w:i/>
          <w:iCs/>
          <w:color w:val="231F20"/>
          <w:sz w:val="18"/>
          <w:szCs w:val="18"/>
        </w:rPr>
        <w:t>Рис. 4.5.</w:t>
      </w:r>
      <w:r w:rsidRPr="004E0FC4">
        <w:rPr>
          <w:rFonts w:ascii="Bookman Old Style" w:eastAsia="Arial Narrow" w:hAnsi="Bookman Old Style" w:cs="Arial Narrow"/>
          <w:color w:val="231F20"/>
          <w:sz w:val="18"/>
          <w:szCs w:val="18"/>
        </w:rPr>
        <w:t xml:space="preserve"> Модель принятия решения и реализации проекта государственно-частного партнерства на региональном уровне</w:t>
      </w:r>
      <w:r w:rsidRPr="004E0FC4">
        <w:rPr>
          <w:rFonts w:ascii="Bookman Old Style" w:eastAsia="Arial Narrow" w:hAnsi="Bookman Old Style" w:cs="Arial Narrow"/>
          <w:color w:val="231F20"/>
          <w:sz w:val="18"/>
          <w:szCs w:val="18"/>
          <w:vertAlign w:val="superscript"/>
        </w:rPr>
        <w:t>1</w:t>
      </w:r>
      <w:r w:rsidRPr="004E0FC4">
        <w:rPr>
          <w:rFonts w:ascii="Bookman Old Style" w:eastAsia="Arial Narrow" w:hAnsi="Bookman Old Style" w:cs="Arial Narrow"/>
          <w:color w:val="231F20"/>
          <w:sz w:val="18"/>
          <w:szCs w:val="18"/>
        </w:rPr>
        <w:t>:</w:t>
      </w:r>
    </w:p>
    <w:p w14:paraId="7706DD43" w14:textId="77777777" w:rsidR="00350396" w:rsidRPr="004E0FC4" w:rsidRDefault="00350396" w:rsidP="004E0FC4">
      <w:pPr>
        <w:framePr w:h="8443"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PSC</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public</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sector</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comparator</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компаратор публичного сектора) — инструмент количественного анализа, позволяющий проводить сравнения между традиционной моделью организации проекта и моделью ГЧП. </w:t>
      </w:r>
      <w:r w:rsidRPr="004E0FC4">
        <w:rPr>
          <w:rFonts w:ascii="Bookman Old Style" w:eastAsia="Bookman Old Style" w:hAnsi="Bookman Old Style" w:cs="Bookman Old Style"/>
          <w:i/>
          <w:iCs/>
          <w:color w:val="231F20"/>
          <w:sz w:val="18"/>
          <w:szCs w:val="18"/>
          <w:lang w:val="en-US" w:eastAsia="en-US" w:bidi="en-US"/>
        </w:rPr>
        <w:t>PSC</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дает возможность наряду с качественным анализом определять затраты (включая условные обязательства) и выгоды, связанные с участием частного сектора. КПЭ — ключевые показатели эффективности</w:t>
      </w:r>
    </w:p>
    <w:p w14:paraId="5D63435C" w14:textId="77777777" w:rsidR="00350396" w:rsidRPr="004E0FC4" w:rsidRDefault="00350396" w:rsidP="004E0FC4">
      <w:pPr>
        <w:widowControl w:val="0"/>
        <w:spacing w:line="240" w:lineRule="auto"/>
        <w:ind w:firstLine="0"/>
        <w:rPr>
          <w:rFonts w:ascii="Bookman Old Style" w:hAnsi="Bookman Old Style"/>
          <w:sz w:val="18"/>
          <w:szCs w:val="18"/>
        </w:rPr>
      </w:pPr>
    </w:p>
    <w:p w14:paraId="441C001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Следующие цели частных и государственных партнеров часто противоречат друг другу:</w:t>
      </w:r>
    </w:p>
    <w:p w14:paraId="013CE3EE" w14:textId="77777777" w:rsidR="00350396" w:rsidRPr="004E0FC4" w:rsidRDefault="00350396" w:rsidP="004E0FC4">
      <w:pPr>
        <w:widowControl w:val="0"/>
        <w:numPr>
          <w:ilvl w:val="0"/>
          <w:numId w:val="61"/>
        </w:numPr>
        <w:tabs>
          <w:tab w:val="left" w:pos="657"/>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получение дополнительного дохода или максимальной при</w:t>
      </w:r>
      <w:r w:rsidRPr="004E0FC4">
        <w:rPr>
          <w:rFonts w:ascii="Bookman Old Style" w:eastAsia="Bookman Old Style" w:hAnsi="Bookman Old Style" w:cs="Bookman Old Style"/>
          <w:color w:val="231F20"/>
          <w:sz w:val="18"/>
          <w:szCs w:val="18"/>
        </w:rPr>
        <w:softHyphen/>
        <w:t>были на вложенный капитал;</w:t>
      </w:r>
    </w:p>
    <w:p w14:paraId="1800C5F4" w14:textId="77777777" w:rsidR="00350396" w:rsidRPr="004E0FC4" w:rsidRDefault="00350396" w:rsidP="004E0FC4">
      <w:pPr>
        <w:widowControl w:val="0"/>
        <w:numPr>
          <w:ilvl w:val="0"/>
          <w:numId w:val="61"/>
        </w:numPr>
        <w:tabs>
          <w:tab w:val="left" w:pos="677"/>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сохранение ноу-хау;</w:t>
      </w:r>
    </w:p>
    <w:p w14:paraId="70B6E6B9" w14:textId="77777777" w:rsidR="00350396" w:rsidRPr="004E0FC4" w:rsidRDefault="00350396" w:rsidP="004E0FC4">
      <w:pPr>
        <w:widowControl w:val="0"/>
        <w:numPr>
          <w:ilvl w:val="0"/>
          <w:numId w:val="61"/>
        </w:numPr>
        <w:tabs>
          <w:tab w:val="left" w:pos="677"/>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повышение качества оказываемых услуг населению;</w:t>
      </w:r>
    </w:p>
    <w:p w14:paraId="33BE3EAE" w14:textId="77777777" w:rsidR="00350396" w:rsidRPr="004E0FC4" w:rsidRDefault="00350396" w:rsidP="004E0FC4">
      <w:pPr>
        <w:widowControl w:val="0"/>
        <w:numPr>
          <w:ilvl w:val="0"/>
          <w:numId w:val="61"/>
        </w:numPr>
        <w:tabs>
          <w:tab w:val="left" w:pos="677"/>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обеспечение открытости информации;</w:t>
      </w:r>
    </w:p>
    <w:p w14:paraId="247777FF" w14:textId="77777777" w:rsidR="00350396" w:rsidRPr="004E0FC4" w:rsidRDefault="00350396" w:rsidP="004E0FC4">
      <w:pPr>
        <w:widowControl w:val="0"/>
        <w:numPr>
          <w:ilvl w:val="0"/>
          <w:numId w:val="61"/>
        </w:numPr>
        <w:tabs>
          <w:tab w:val="left" w:pos="677"/>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 поступления в бюджет.</w:t>
      </w:r>
    </w:p>
    <w:p w14:paraId="164342DD" w14:textId="77777777" w:rsidR="00350396" w:rsidRPr="004E0FC4" w:rsidRDefault="00350396" w:rsidP="004E0FC4">
      <w:pPr>
        <w:widowControl w:val="0"/>
        <w:spacing w:after="365"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При анализе эффективности реализации проекта с помощью </w:t>
      </w:r>
      <w:r w:rsidRPr="004E0FC4">
        <w:rPr>
          <w:rFonts w:ascii="Bookman Old Style" w:eastAsia="Bookman Old Style" w:hAnsi="Bookman Old Style" w:cs="Bookman Old Style"/>
          <w:i/>
          <w:iCs/>
          <w:color w:val="231F20"/>
          <w:sz w:val="18"/>
          <w:szCs w:val="18"/>
          <w:lang w:val="en-US" w:eastAsia="en-US" w:bidi="en-US"/>
        </w:rPr>
        <w:t>PSC</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количественно учитывают ряд нематериальных (качественных) выгод ГЧП для его участников. К таким выгодам можно отнести (табл. 4.8).</w:t>
      </w:r>
    </w:p>
    <w:p w14:paraId="2D68C7DE" w14:textId="77777777" w:rsidR="00350396" w:rsidRPr="004E0FC4" w:rsidRDefault="00350396" w:rsidP="004E0FC4">
      <w:pPr>
        <w:widowControl w:val="0"/>
        <w:spacing w:line="194" w:lineRule="exact"/>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Выгоды государственно-частного партнерства для его участников</w:t>
      </w:r>
      <w:r w:rsidRPr="004E0FC4">
        <w:rPr>
          <w:rFonts w:ascii="Bookman Old Style" w:eastAsia="Arial Narrow" w:hAnsi="Bookman Old Style" w:cs="Arial Narrow"/>
          <w:b/>
          <w:bCs/>
          <w:color w:val="231F20"/>
          <w:sz w:val="18"/>
          <w:szCs w:val="18"/>
          <w:highlight w:val="red"/>
          <w:vertAlign w:val="superscript"/>
        </w:rPr>
        <w:footnoteReference w:id="94"/>
      </w:r>
    </w:p>
    <w:p w14:paraId="27C8503D"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Таблица 4.8</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5"/>
        <w:gridCol w:w="5376"/>
      </w:tblGrid>
      <w:tr w:rsidR="00350396" w:rsidRPr="004E0FC4" w14:paraId="29C83567" w14:textId="77777777" w:rsidTr="006D7F71">
        <w:trPr>
          <w:trHeight w:hRule="exact" w:val="552"/>
          <w:jc w:val="center"/>
        </w:trPr>
        <w:tc>
          <w:tcPr>
            <w:tcW w:w="1205" w:type="dxa"/>
            <w:tcBorders>
              <w:top w:val="single" w:sz="4" w:space="0" w:color="auto"/>
              <w:left w:val="single" w:sz="4" w:space="0" w:color="auto"/>
            </w:tcBorders>
            <w:shd w:val="clear" w:color="auto" w:fill="FFFFFF"/>
            <w:vAlign w:val="center"/>
          </w:tcPr>
          <w:p w14:paraId="4ABAFDAA"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Участники</w:t>
            </w:r>
          </w:p>
          <w:p w14:paraId="02A243DE"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ГЧП</w:t>
            </w:r>
          </w:p>
        </w:tc>
        <w:tc>
          <w:tcPr>
            <w:tcW w:w="5376" w:type="dxa"/>
            <w:tcBorders>
              <w:top w:val="single" w:sz="4" w:space="0" w:color="auto"/>
              <w:left w:val="single" w:sz="4" w:space="0" w:color="auto"/>
              <w:right w:val="single" w:sz="4" w:space="0" w:color="auto"/>
            </w:tcBorders>
            <w:shd w:val="clear" w:color="auto" w:fill="FFFFFF"/>
            <w:vAlign w:val="center"/>
          </w:tcPr>
          <w:p w14:paraId="26125EB6"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Выгоды</w:t>
            </w:r>
          </w:p>
        </w:tc>
      </w:tr>
      <w:tr w:rsidR="00350396" w:rsidRPr="004E0FC4" w14:paraId="3DC54BE2" w14:textId="77777777" w:rsidTr="006D7F71">
        <w:trPr>
          <w:trHeight w:hRule="exact" w:val="1646"/>
          <w:jc w:val="center"/>
        </w:trPr>
        <w:tc>
          <w:tcPr>
            <w:tcW w:w="1205" w:type="dxa"/>
            <w:tcBorders>
              <w:top w:val="single" w:sz="4" w:space="0" w:color="auto"/>
              <w:left w:val="single" w:sz="4" w:space="0" w:color="auto"/>
            </w:tcBorders>
            <w:shd w:val="clear" w:color="auto" w:fill="FFFFFF"/>
          </w:tcPr>
          <w:p w14:paraId="00B56D44"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Органы вла</w:t>
            </w:r>
            <w:r w:rsidRPr="004E0FC4">
              <w:rPr>
                <w:rFonts w:ascii="Bookman Old Style" w:eastAsia="Bookman Old Style" w:hAnsi="Bookman Old Style" w:cs="Bookman Old Style"/>
                <w:color w:val="231F20"/>
                <w:sz w:val="18"/>
                <w:szCs w:val="18"/>
              </w:rPr>
              <w:softHyphen/>
              <w:t>сти государ</w:t>
            </w:r>
            <w:r w:rsidRPr="004E0FC4">
              <w:rPr>
                <w:rFonts w:ascii="Bookman Old Style" w:eastAsia="Bookman Old Style" w:hAnsi="Bookman Old Style" w:cs="Bookman Old Style"/>
                <w:color w:val="231F20"/>
                <w:sz w:val="18"/>
                <w:szCs w:val="18"/>
              </w:rPr>
              <w:softHyphen/>
              <w:t>ства</w:t>
            </w:r>
          </w:p>
        </w:tc>
        <w:tc>
          <w:tcPr>
            <w:tcW w:w="5376" w:type="dxa"/>
            <w:tcBorders>
              <w:top w:val="single" w:sz="4" w:space="0" w:color="auto"/>
              <w:left w:val="single" w:sz="4" w:space="0" w:color="auto"/>
              <w:right w:val="single" w:sz="4" w:space="0" w:color="auto"/>
            </w:tcBorders>
            <w:shd w:val="clear" w:color="auto" w:fill="FFFFFF"/>
            <w:vAlign w:val="bottom"/>
          </w:tcPr>
          <w:p w14:paraId="4B2D69B2"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Минимизация капитальных и эксплуатационных затрат на объекты инфраструктуры, перераспределение бремени рисков, возникающих в процессе эксплуатации, расширение</w:t>
            </w:r>
          </w:p>
          <w:p w14:paraId="283CC103"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спектра реализуемых одновременно проектов, доступ го</w:t>
            </w:r>
            <w:r w:rsidRPr="004E0FC4">
              <w:rPr>
                <w:rFonts w:ascii="Bookman Old Style" w:eastAsia="Bookman Old Style" w:hAnsi="Bookman Old Style" w:cs="Bookman Old Style"/>
                <w:color w:val="231F20"/>
                <w:sz w:val="18"/>
                <w:szCs w:val="18"/>
              </w:rPr>
              <w:softHyphen/>
              <w:t>сударства к компетенциям, технологиям и бизнес-моделям управления с последующей возможностью их адаптации в государственном и муниципальном управлении</w:t>
            </w:r>
          </w:p>
        </w:tc>
      </w:tr>
      <w:tr w:rsidR="00350396" w:rsidRPr="004E0FC4" w14:paraId="0C7F00DC" w14:textId="77777777" w:rsidTr="006D7F71">
        <w:trPr>
          <w:trHeight w:hRule="exact" w:val="1862"/>
          <w:jc w:val="center"/>
        </w:trPr>
        <w:tc>
          <w:tcPr>
            <w:tcW w:w="1205" w:type="dxa"/>
            <w:tcBorders>
              <w:top w:val="single" w:sz="4" w:space="0" w:color="auto"/>
              <w:left w:val="single" w:sz="4" w:space="0" w:color="auto"/>
            </w:tcBorders>
            <w:shd w:val="clear" w:color="auto" w:fill="FFFFFF"/>
          </w:tcPr>
          <w:p w14:paraId="54FCF4FE"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Предприни</w:t>
            </w:r>
            <w:r w:rsidRPr="004E0FC4">
              <w:rPr>
                <w:rFonts w:ascii="Bookman Old Style" w:eastAsia="Bookman Old Style" w:hAnsi="Bookman Old Style" w:cs="Bookman Old Style"/>
                <w:color w:val="231F20"/>
                <w:sz w:val="18"/>
                <w:szCs w:val="18"/>
              </w:rPr>
              <w:softHyphen/>
            </w:r>
          </w:p>
          <w:p w14:paraId="074F9097"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мательские</w:t>
            </w:r>
          </w:p>
          <w:p w14:paraId="126A9BF1"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структуры</w:t>
            </w:r>
          </w:p>
        </w:tc>
        <w:tc>
          <w:tcPr>
            <w:tcW w:w="5376" w:type="dxa"/>
            <w:tcBorders>
              <w:top w:val="single" w:sz="4" w:space="0" w:color="auto"/>
              <w:left w:val="single" w:sz="4" w:space="0" w:color="auto"/>
              <w:right w:val="single" w:sz="4" w:space="0" w:color="auto"/>
            </w:tcBorders>
            <w:shd w:val="clear" w:color="auto" w:fill="FFFFFF"/>
            <w:vAlign w:val="center"/>
          </w:tcPr>
          <w:p w14:paraId="1EED310A"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Доступ к ряду публичных активов, традиционно являющихся закрытыми или участие в которых негосударственных струк</w:t>
            </w:r>
            <w:r w:rsidRPr="004E0FC4">
              <w:rPr>
                <w:rFonts w:ascii="Bookman Old Style" w:eastAsia="Bookman Old Style" w:hAnsi="Bookman Old Style" w:cs="Bookman Old Style"/>
                <w:color w:val="231F20"/>
                <w:sz w:val="18"/>
                <w:szCs w:val="18"/>
              </w:rPr>
              <w:softHyphen/>
              <w:t>тур ограничено; гарантированный и долгосрочно оплачива</w:t>
            </w:r>
            <w:r w:rsidRPr="004E0FC4">
              <w:rPr>
                <w:rFonts w:ascii="Bookman Old Style" w:eastAsia="Bookman Old Style" w:hAnsi="Bookman Old Style" w:cs="Bookman Old Style"/>
                <w:color w:val="231F20"/>
                <w:sz w:val="18"/>
                <w:szCs w:val="18"/>
              </w:rPr>
              <w:softHyphen/>
              <w:t>емый заказ государства на обслуживание и эксплуатацию объекта соглашения о партнерстве; выгоды в сопряженных сферах в виде льгот и преференций, в том числе при разме</w:t>
            </w:r>
            <w:r w:rsidRPr="004E0FC4">
              <w:rPr>
                <w:rFonts w:ascii="Bookman Old Style" w:eastAsia="Bookman Old Style" w:hAnsi="Bookman Old Style" w:cs="Bookman Old Style"/>
                <w:color w:val="231F20"/>
                <w:sz w:val="18"/>
                <w:szCs w:val="18"/>
              </w:rPr>
              <w:softHyphen/>
              <w:t>щении государственного/муниципального заказа за рамками соглашения о ГЧП</w:t>
            </w:r>
          </w:p>
        </w:tc>
      </w:tr>
      <w:tr w:rsidR="00350396" w:rsidRPr="004E0FC4" w14:paraId="54CD3E40" w14:textId="77777777" w:rsidTr="006D7F71">
        <w:trPr>
          <w:trHeight w:hRule="exact" w:val="1656"/>
          <w:jc w:val="center"/>
        </w:trPr>
        <w:tc>
          <w:tcPr>
            <w:tcW w:w="1205" w:type="dxa"/>
            <w:tcBorders>
              <w:top w:val="single" w:sz="4" w:space="0" w:color="auto"/>
              <w:left w:val="single" w:sz="4" w:space="0" w:color="auto"/>
              <w:bottom w:val="single" w:sz="4" w:space="0" w:color="auto"/>
            </w:tcBorders>
            <w:shd w:val="clear" w:color="auto" w:fill="FFFFFF"/>
          </w:tcPr>
          <w:p w14:paraId="7F50C28C"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Экономиче</w:t>
            </w:r>
            <w:r w:rsidRPr="004E0FC4">
              <w:rPr>
                <w:rFonts w:ascii="Bookman Old Style" w:eastAsia="Bookman Old Style" w:hAnsi="Bookman Old Style" w:cs="Bookman Old Style"/>
                <w:color w:val="231F20"/>
                <w:sz w:val="18"/>
                <w:szCs w:val="18"/>
              </w:rPr>
              <w:softHyphen/>
              <w:t>ская систе</w:t>
            </w:r>
            <w:r w:rsidRPr="004E0FC4">
              <w:rPr>
                <w:rFonts w:ascii="Bookman Old Style" w:eastAsia="Bookman Old Style" w:hAnsi="Bookman Old Style" w:cs="Bookman Old Style"/>
                <w:color w:val="231F20"/>
                <w:sz w:val="18"/>
                <w:szCs w:val="18"/>
              </w:rPr>
              <w:softHyphen/>
              <w:t>ма в целом</w:t>
            </w:r>
          </w:p>
        </w:tc>
        <w:tc>
          <w:tcPr>
            <w:tcW w:w="5376" w:type="dxa"/>
            <w:tcBorders>
              <w:top w:val="single" w:sz="4" w:space="0" w:color="auto"/>
              <w:left w:val="single" w:sz="4" w:space="0" w:color="auto"/>
              <w:bottom w:val="single" w:sz="4" w:space="0" w:color="auto"/>
              <w:right w:val="single" w:sz="4" w:space="0" w:color="auto"/>
            </w:tcBorders>
            <w:shd w:val="clear" w:color="auto" w:fill="FFFFFF"/>
            <w:vAlign w:val="bottom"/>
          </w:tcPr>
          <w:p w14:paraId="584471C4"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Кратное ускорение темпов роста и модернизации инфра</w:t>
            </w:r>
            <w:r w:rsidRPr="004E0FC4">
              <w:rPr>
                <w:rFonts w:ascii="Bookman Old Style" w:eastAsia="Bookman Old Style" w:hAnsi="Bookman Old Style" w:cs="Bookman Old Style"/>
                <w:color w:val="231F20"/>
                <w:sz w:val="18"/>
                <w:szCs w:val="18"/>
              </w:rPr>
              <w:softHyphen/>
              <w:t>структуры, синергетические эффекты от объединения финансового, реального и социального капитала бизнеса и государства, рост качества продукции и услуг, совершен</w:t>
            </w:r>
            <w:r w:rsidRPr="004E0FC4">
              <w:rPr>
                <w:rFonts w:ascii="Bookman Old Style" w:eastAsia="Bookman Old Style" w:hAnsi="Bookman Old Style" w:cs="Bookman Old Style"/>
                <w:color w:val="231F20"/>
                <w:sz w:val="18"/>
                <w:szCs w:val="18"/>
              </w:rPr>
              <w:softHyphen/>
              <w:t>ствование конкурентной ситуации на рынке и либерализация целого ряда сфер деятельности, а также сокращение нагрузки на бюджетную систему</w:t>
            </w:r>
          </w:p>
        </w:tc>
      </w:tr>
    </w:tbl>
    <w:p w14:paraId="60D9F31E"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2450A5E2" w14:textId="77777777" w:rsidR="00350396" w:rsidRPr="004E0FC4" w:rsidRDefault="00350396" w:rsidP="004E0FC4">
      <w:pPr>
        <w:widowControl w:val="0"/>
        <w:spacing w:line="240" w:lineRule="auto"/>
        <w:ind w:firstLine="0"/>
        <w:rPr>
          <w:rFonts w:ascii="Bookman Old Style" w:hAnsi="Bookman Old Style"/>
          <w:sz w:val="18"/>
          <w:szCs w:val="18"/>
        </w:rPr>
      </w:pPr>
    </w:p>
    <w:p w14:paraId="44F89CBA" w14:textId="77777777" w:rsidR="00350396" w:rsidRPr="004E0FC4" w:rsidRDefault="00350396" w:rsidP="004E0FC4">
      <w:pPr>
        <w:widowControl w:val="0"/>
        <w:spacing w:before="99"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Лишь при согласовании или удовлетворительном сочетании це</w:t>
      </w:r>
      <w:r w:rsidRPr="004E0FC4">
        <w:rPr>
          <w:rFonts w:ascii="Bookman Old Style" w:eastAsia="Bookman Old Style" w:hAnsi="Bookman Old Style" w:cs="Bookman Old Style"/>
          <w:color w:val="231F20"/>
          <w:sz w:val="18"/>
          <w:szCs w:val="18"/>
        </w:rPr>
        <w:softHyphen/>
        <w:t>лей и выгод различных сторон можно говорить об адекватности решения при помощи ГЧП стоящей перед тем или иным государ</w:t>
      </w:r>
      <w:r w:rsidRPr="004E0FC4">
        <w:rPr>
          <w:rFonts w:ascii="Bookman Old Style" w:eastAsia="Bookman Old Style" w:hAnsi="Bookman Old Style" w:cs="Bookman Old Style"/>
          <w:color w:val="231F20"/>
          <w:sz w:val="18"/>
          <w:szCs w:val="18"/>
        </w:rPr>
        <w:softHyphen/>
        <w:t xml:space="preserve">ственным органом задачи. </w:t>
      </w:r>
      <w:r w:rsidRPr="004E0FC4">
        <w:rPr>
          <w:rFonts w:ascii="Bookman Old Style" w:eastAsia="Bookman Old Style" w:hAnsi="Bookman Old Style" w:cs="Bookman Old Style"/>
          <w:color w:val="231F20"/>
          <w:sz w:val="18"/>
          <w:szCs w:val="18"/>
          <w:vertAlign w:val="superscript"/>
        </w:rPr>
        <w:footnoteReference w:id="95"/>
      </w:r>
    </w:p>
    <w:p w14:paraId="10A16C4E"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Необходимость оценки эффективности проектов, реализуемых в формате государственно-частного партнерства, после вступления </w:t>
      </w:r>
      <w:r w:rsidRPr="004E0FC4">
        <w:rPr>
          <w:rFonts w:ascii="Bookman Old Style" w:eastAsia="Bookman Old Style" w:hAnsi="Bookman Old Style" w:cs="Bookman Old Style"/>
          <w:color w:val="231F20"/>
          <w:sz w:val="18"/>
          <w:szCs w:val="18"/>
        </w:rPr>
        <w:lastRenderedPageBreak/>
        <w:t>Закона о ГЧП в силу является частью организационной схемы рас</w:t>
      </w:r>
      <w:r w:rsidRPr="004E0FC4">
        <w:rPr>
          <w:rFonts w:ascii="Bookman Old Style" w:eastAsia="Bookman Old Style" w:hAnsi="Bookman Old Style" w:cs="Bookman Old Style"/>
          <w:color w:val="231F20"/>
          <w:sz w:val="18"/>
          <w:szCs w:val="18"/>
        </w:rPr>
        <w:softHyphen/>
        <w:t>смотрения и анализа проекта представителями уполномоченных органов власти. Актуальной считается дальнейшая разработка ряда аспектов методики оценки эффективности проектов, которая в це</w:t>
      </w:r>
      <w:r w:rsidRPr="004E0FC4">
        <w:rPr>
          <w:rFonts w:ascii="Bookman Old Style" w:eastAsia="Bookman Old Style" w:hAnsi="Bookman Old Style" w:cs="Bookman Old Style"/>
          <w:color w:val="231F20"/>
          <w:sz w:val="18"/>
          <w:szCs w:val="18"/>
        </w:rPr>
        <w:softHyphen/>
        <w:t>лях всесторонней оценки проектов является зоной ответственности участников ГЧП, принимающих решение.</w:t>
      </w:r>
    </w:p>
    <w:p w14:paraId="1BC4B2EC"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Можно сказать, что типовая модель проектного управления (или Жизненный цикл) любого ГЧП-проекта включает три ключевых этапа: </w:t>
      </w:r>
    </w:p>
    <w:p w14:paraId="6410BF41" w14:textId="77777777" w:rsidR="00350396" w:rsidRPr="004E0FC4" w:rsidRDefault="00350396" w:rsidP="004E0FC4">
      <w:pPr>
        <w:widowControl w:val="0"/>
        <w:numPr>
          <w:ilvl w:val="0"/>
          <w:numId w:val="180"/>
        </w:numPr>
        <w:spacing w:line="240" w:lineRule="auto"/>
        <w:contextualSpacing/>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Подготовка – инициирование и структурирование. </w:t>
      </w:r>
    </w:p>
    <w:p w14:paraId="7186114D" w14:textId="77777777" w:rsidR="00350396" w:rsidRPr="004E0FC4" w:rsidRDefault="00350396" w:rsidP="004E0FC4">
      <w:pPr>
        <w:widowControl w:val="0"/>
        <w:numPr>
          <w:ilvl w:val="0"/>
          <w:numId w:val="180"/>
        </w:numPr>
        <w:spacing w:line="240" w:lineRule="auto"/>
        <w:contextualSpacing/>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Запуск – организация и проведение конкурса, прохождение коммерческого и финансового закрытий. </w:t>
      </w:r>
    </w:p>
    <w:p w14:paraId="3F52BE5E" w14:textId="77777777" w:rsidR="00350396" w:rsidRPr="004E0FC4" w:rsidRDefault="00350396" w:rsidP="004E0FC4">
      <w:pPr>
        <w:widowControl w:val="0"/>
        <w:numPr>
          <w:ilvl w:val="0"/>
          <w:numId w:val="180"/>
        </w:numPr>
        <w:spacing w:line="240" w:lineRule="auto"/>
        <w:contextualSpacing/>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Реализация – предынвестиционные и инвестиционные мероприятия, эксплуатация. </w:t>
      </w:r>
    </w:p>
    <w:p w14:paraId="645DFEAD"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На </w:t>
      </w:r>
      <w:r w:rsidRPr="004E0FC4">
        <w:rPr>
          <w:rFonts w:ascii="Bookman Old Style" w:eastAsia="Bookman Old Style" w:hAnsi="Bookman Old Style" w:cs="Bookman Old Style"/>
          <w:b/>
          <w:color w:val="231F20"/>
          <w:sz w:val="18"/>
          <w:szCs w:val="18"/>
          <w:highlight w:val="green"/>
        </w:rPr>
        <w:t>этапе подготовки</w:t>
      </w:r>
      <w:r w:rsidRPr="004E0FC4">
        <w:rPr>
          <w:rFonts w:ascii="Bookman Old Style" w:eastAsia="Bookman Old Style" w:hAnsi="Bookman Old Style" w:cs="Bookman Old Style"/>
          <w:color w:val="231F20"/>
          <w:sz w:val="18"/>
          <w:szCs w:val="18"/>
          <w:highlight w:val="green"/>
        </w:rPr>
        <w:t xml:space="preserve"> - при инициировании и структурировании проекта необходимо (на примере концессии (рис. 4.6): </w:t>
      </w:r>
    </w:p>
    <w:p w14:paraId="05002D96"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1. Определить цели и обосновать актуальность реализации. Актуальность проекта оценивается на основе данных об износе объекта ГЧП и обеспеченности населения качественными услугами. Также определяется, какие земельные участки находятся под площадными объектами и под сетями. </w:t>
      </w:r>
    </w:p>
    <w:p w14:paraId="72E174D5"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2. Определить уровень реализации, способ инициирования и орган, выступающий от лица концедента. </w:t>
      </w:r>
    </w:p>
    <w:p w14:paraId="4E4C0910"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3. Проанализировать нормативную правовую базу потенциального концедента на предмет наличия полномочий по рассмотрению и заключению концессионных соглашений, при необходимости – утвердить и скорректировать отдельные НПА. </w:t>
      </w:r>
    </w:p>
    <w:p w14:paraId="5604840D"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4. При наличии потенциального концессионера подключить его представителей к проверке соответствия проекта документам стратегического планирования и отраслевым схемам, сбору иной информации, которая понадобится в дальнейшем при согласовании условий проекта. </w:t>
      </w:r>
    </w:p>
    <w:p w14:paraId="064ACD61"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5. Разработать концепцию проекта, включающую описание его целей, информацию об используемых земельных участках, передаваемом и создаваемом имуществе, объеме и структуре финансирования. </w:t>
      </w:r>
    </w:p>
    <w:p w14:paraId="7EB5AFDE"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6. Закрепить концепцию проекта актом либо резолюцией руководителя региона или муниципального образования, а также актом об утверждении рабочей группы. </w:t>
      </w:r>
    </w:p>
    <w:p w14:paraId="1B28C93E"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7. Принять решение о статусе эксплуатирующей организации после заключения соглашения и передачи имущества концессионеру.</w:t>
      </w:r>
    </w:p>
    <w:p w14:paraId="06BD1117"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8. Принять или скорректировать отраслевую схему, если она не предусматривает объект соглашения.</w:t>
      </w:r>
    </w:p>
    <w:p w14:paraId="1E45505C"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noProof/>
          <w:color w:val="231F20"/>
          <w:sz w:val="18"/>
          <w:szCs w:val="18"/>
          <w:lang w:bidi="ar-SA"/>
        </w:rPr>
        <w:lastRenderedPageBreak/>
        <w:drawing>
          <wp:inline distT="0" distB="0" distL="0" distR="0" wp14:anchorId="7A1061A0" wp14:editId="617E3BAC">
            <wp:extent cx="4218995" cy="6718852"/>
            <wp:effectExtent l="19050" t="0" r="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b="705"/>
                    <a:stretch>
                      <a:fillRect/>
                    </a:stretch>
                  </pic:blipFill>
                  <pic:spPr bwMode="auto">
                    <a:xfrm>
                      <a:off x="0" y="0"/>
                      <a:ext cx="4218995" cy="6718852"/>
                    </a:xfrm>
                    <a:prstGeom prst="rect">
                      <a:avLst/>
                    </a:prstGeom>
                    <a:noFill/>
                    <a:ln w="9525">
                      <a:noFill/>
                      <a:miter lim="800000"/>
                      <a:headEnd/>
                      <a:tailEnd/>
                    </a:ln>
                  </pic:spPr>
                </pic:pic>
              </a:graphicData>
            </a:graphic>
          </wp:inline>
        </w:drawing>
      </w:r>
    </w:p>
    <w:p w14:paraId="6428AB51"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Arial Narrow" w:hAnsi="Bookman Old Style" w:cs="Arial Narrow"/>
          <w:b/>
          <w:bCs/>
          <w:i/>
          <w:iCs/>
          <w:color w:val="231F20"/>
          <w:sz w:val="18"/>
          <w:szCs w:val="18"/>
          <w:highlight w:val="green"/>
        </w:rPr>
        <w:t>Рис. 4.6.</w:t>
      </w:r>
      <w:r w:rsidRPr="004E0FC4">
        <w:rPr>
          <w:rFonts w:ascii="Bookman Old Style" w:eastAsia="Arial Narrow" w:hAnsi="Bookman Old Style" w:cs="Arial Narrow"/>
          <w:color w:val="231F20"/>
          <w:sz w:val="18"/>
          <w:szCs w:val="18"/>
          <w:highlight w:val="green"/>
        </w:rPr>
        <w:t xml:space="preserve"> </w:t>
      </w:r>
      <w:r w:rsidRPr="004E0FC4">
        <w:rPr>
          <w:rFonts w:ascii="Bookman Old Style" w:eastAsia="Bookman Old Style" w:hAnsi="Bookman Old Style" w:cs="Bookman Old Style"/>
          <w:color w:val="231F20"/>
          <w:sz w:val="18"/>
          <w:szCs w:val="18"/>
          <w:highlight w:val="green"/>
        </w:rPr>
        <w:t>Типовая схема подготовки ГЧП-проекта: инициирование и структурирование. Источник: составлено Национальным Центром ГЧП.</w:t>
      </w:r>
    </w:p>
    <w:p w14:paraId="074130B9"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p>
    <w:p w14:paraId="6AF6EB11"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b/>
          <w:color w:val="231F20"/>
          <w:sz w:val="18"/>
          <w:szCs w:val="18"/>
          <w:highlight w:val="green"/>
        </w:rPr>
        <w:t>Этап запуска</w:t>
      </w:r>
      <w:r w:rsidRPr="004E0FC4">
        <w:rPr>
          <w:rFonts w:ascii="Bookman Old Style" w:eastAsia="Bookman Old Style" w:hAnsi="Bookman Old Style" w:cs="Bookman Old Style"/>
          <w:color w:val="231F20"/>
          <w:sz w:val="18"/>
          <w:szCs w:val="18"/>
          <w:highlight w:val="green"/>
        </w:rPr>
        <w:t xml:space="preserve"> включает в себя (рис. 4.7): </w:t>
      </w:r>
    </w:p>
    <w:p w14:paraId="1DA4DE6B"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lastRenderedPageBreak/>
        <w:t xml:space="preserve">• рассмотрение инициативы; </w:t>
      </w:r>
    </w:p>
    <w:p w14:paraId="58F5706F"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 принятие решения уполномоченного органа о возможности заключения соглашения на предложенных или иных условиях либо об отказе в заключении соглашения; </w:t>
      </w:r>
    </w:p>
    <w:p w14:paraId="5AE729B0"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 публикацию инициативы; </w:t>
      </w:r>
    </w:p>
    <w:p w14:paraId="71373D32"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 проведение конкурса при поступлении заявок от иных лиц; </w:t>
      </w:r>
    </w:p>
    <w:p w14:paraId="6F339575"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заключение концессионного соглашения</w:t>
      </w:r>
    </w:p>
    <w:p w14:paraId="28F991BB"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Перед подписанием соглашения о реализации проекта необходимо: </w:t>
      </w:r>
    </w:p>
    <w:p w14:paraId="09587FE3"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1. Принять или скорректировать документы стратегического и территориального планирования. Инициировать процесс изменения рекомендуется на этапе принятия решения о реализации проекта.</w:t>
      </w:r>
    </w:p>
    <w:p w14:paraId="232EEFD9"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2. Принять решение о заключении концессионного соглашения на срок свыше действия утвержденных лимитов бюджетных обязательств. Это позволит корректно доводить бюджетные средства до концессионера, а концеденту – исполнять свои финансовые обязательства. </w:t>
      </w:r>
    </w:p>
    <w:p w14:paraId="5AB41D24"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noProof/>
          <w:color w:val="231F20"/>
          <w:sz w:val="18"/>
          <w:szCs w:val="18"/>
          <w:lang w:bidi="ar-SA"/>
        </w:rPr>
        <w:lastRenderedPageBreak/>
        <w:drawing>
          <wp:inline distT="0" distB="0" distL="0" distR="0" wp14:anchorId="42C41BC3" wp14:editId="7869DF5A">
            <wp:extent cx="4218940" cy="5240323"/>
            <wp:effectExtent l="1905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4218940" cy="5240323"/>
                    </a:xfrm>
                    <a:prstGeom prst="rect">
                      <a:avLst/>
                    </a:prstGeom>
                    <a:noFill/>
                    <a:ln w="9525">
                      <a:noFill/>
                      <a:miter lim="800000"/>
                      <a:headEnd/>
                      <a:tailEnd/>
                    </a:ln>
                  </pic:spPr>
                </pic:pic>
              </a:graphicData>
            </a:graphic>
          </wp:inline>
        </w:drawing>
      </w:r>
    </w:p>
    <w:p w14:paraId="4ACEC897"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Arial Narrow" w:hAnsi="Bookman Old Style" w:cs="Arial Narrow"/>
          <w:b/>
          <w:bCs/>
          <w:i/>
          <w:iCs/>
          <w:color w:val="231F20"/>
          <w:sz w:val="18"/>
          <w:szCs w:val="18"/>
          <w:highlight w:val="green"/>
        </w:rPr>
        <w:t>Рис. 4.7</w:t>
      </w:r>
      <w:r w:rsidRPr="004E0FC4">
        <w:rPr>
          <w:rFonts w:ascii="Bookman Old Style" w:eastAsia="Arial Narrow" w:hAnsi="Bookman Old Style" w:cs="Arial Narrow"/>
          <w:color w:val="231F20"/>
          <w:sz w:val="18"/>
          <w:szCs w:val="18"/>
          <w:highlight w:val="green"/>
        </w:rPr>
        <w:t xml:space="preserve"> </w:t>
      </w:r>
      <w:r w:rsidRPr="004E0FC4">
        <w:rPr>
          <w:rFonts w:ascii="Bookman Old Style" w:eastAsia="Bookman Old Style" w:hAnsi="Bookman Old Style" w:cs="Bookman Old Style"/>
          <w:color w:val="231F20"/>
          <w:sz w:val="18"/>
          <w:szCs w:val="18"/>
          <w:highlight w:val="green"/>
        </w:rPr>
        <w:t>Типовая схема запуска ГЧП-проекта. Источник: АНО «Национальный Центр ГЧП». Развитие коммунальной инфраструктуры городов: партнерство государства и бизнеса. М.: 2022, с. 16.</w:t>
      </w:r>
    </w:p>
    <w:p w14:paraId="79F232E0"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p>
    <w:p w14:paraId="5B96BC66"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В </w:t>
      </w:r>
      <w:r w:rsidRPr="004E0FC4">
        <w:rPr>
          <w:rFonts w:ascii="Bookman Old Style" w:eastAsia="Bookman Old Style" w:hAnsi="Bookman Old Style" w:cs="Bookman Old Style"/>
          <w:b/>
          <w:color w:val="231F20"/>
          <w:sz w:val="18"/>
          <w:szCs w:val="18"/>
          <w:highlight w:val="green"/>
        </w:rPr>
        <w:t xml:space="preserve">реализации </w:t>
      </w:r>
      <w:r w:rsidRPr="004E0FC4">
        <w:rPr>
          <w:rFonts w:ascii="Bookman Old Style" w:eastAsia="Bookman Old Style" w:hAnsi="Bookman Old Style" w:cs="Bookman Old Style"/>
          <w:color w:val="231F20"/>
          <w:sz w:val="18"/>
          <w:szCs w:val="18"/>
          <w:highlight w:val="green"/>
        </w:rPr>
        <w:t xml:space="preserve">ГЧП-проекта принимают участие все стороны, связанные финансовыми и правовыми отношениями. Реализация проекта включает три основных подэтапа (рис. 4.8): </w:t>
      </w:r>
    </w:p>
    <w:p w14:paraId="40C68D2A"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 предынвестиционный – подготовка земельного участка и иные подготовительные мероприятия; </w:t>
      </w:r>
    </w:p>
    <w:p w14:paraId="1C22649E"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 инвестиционный – мероприятия по строительству или реконструкции объекта; </w:t>
      </w:r>
    </w:p>
    <w:p w14:paraId="6E7ACB80"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эксплуатацию, в том числе мероприятия по техническому обслуживанию объекта</w:t>
      </w:r>
    </w:p>
    <w:p w14:paraId="77DDDFFD"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noProof/>
          <w:color w:val="231F20"/>
          <w:sz w:val="18"/>
          <w:szCs w:val="18"/>
          <w:lang w:bidi="ar-SA"/>
        </w:rPr>
        <w:lastRenderedPageBreak/>
        <w:drawing>
          <wp:inline distT="0" distB="0" distL="0" distR="0" wp14:anchorId="10AA85E5" wp14:editId="78DF61F4">
            <wp:extent cx="4218995" cy="2433100"/>
            <wp:effectExtent l="19050" t="0" r="0" b="0"/>
            <wp:docPr id="2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t="4375"/>
                    <a:stretch>
                      <a:fillRect/>
                    </a:stretch>
                  </pic:blipFill>
                  <pic:spPr bwMode="auto">
                    <a:xfrm>
                      <a:off x="0" y="0"/>
                      <a:ext cx="4218995" cy="2433100"/>
                    </a:xfrm>
                    <a:prstGeom prst="rect">
                      <a:avLst/>
                    </a:prstGeom>
                    <a:noFill/>
                    <a:ln w="9525">
                      <a:noFill/>
                      <a:miter lim="800000"/>
                      <a:headEnd/>
                      <a:tailEnd/>
                    </a:ln>
                  </pic:spPr>
                </pic:pic>
              </a:graphicData>
            </a:graphic>
          </wp:inline>
        </w:drawing>
      </w:r>
    </w:p>
    <w:p w14:paraId="15E6DBBB"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Arial Narrow" w:hAnsi="Bookman Old Style" w:cs="Arial Narrow"/>
          <w:b/>
          <w:bCs/>
          <w:i/>
          <w:iCs/>
          <w:color w:val="231F20"/>
          <w:sz w:val="18"/>
          <w:szCs w:val="18"/>
          <w:highlight w:val="green"/>
        </w:rPr>
        <w:t>Рис. 4.8</w:t>
      </w:r>
      <w:r w:rsidRPr="004E0FC4">
        <w:rPr>
          <w:rFonts w:ascii="Bookman Old Style" w:eastAsia="Arial Narrow" w:hAnsi="Bookman Old Style" w:cs="Arial Narrow"/>
          <w:color w:val="231F20"/>
          <w:sz w:val="18"/>
          <w:szCs w:val="18"/>
          <w:highlight w:val="green"/>
        </w:rPr>
        <w:t xml:space="preserve"> </w:t>
      </w:r>
      <w:r w:rsidRPr="004E0FC4">
        <w:rPr>
          <w:rFonts w:ascii="Bookman Old Style" w:eastAsia="Bookman Old Style" w:hAnsi="Bookman Old Style" w:cs="Bookman Old Style"/>
          <w:color w:val="231F20"/>
          <w:sz w:val="18"/>
          <w:szCs w:val="18"/>
          <w:highlight w:val="green"/>
        </w:rPr>
        <w:t>Типовая схема реализации ГЧП-проекта. Источник: АНО «Национальный Центр ГЧП». Развитие коммунальной инфраструктуры городов: партнерство государства и бизнеса. М.: 2022, с. 18.</w:t>
      </w:r>
    </w:p>
    <w:p w14:paraId="54886149"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p>
    <w:p w14:paraId="0F090AE2"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b/>
          <w:color w:val="231F20"/>
          <w:sz w:val="18"/>
          <w:szCs w:val="18"/>
          <w:highlight w:val="green"/>
        </w:rPr>
        <w:t>Финансовая модель проекта</w:t>
      </w:r>
      <w:r w:rsidRPr="004E0FC4">
        <w:rPr>
          <w:rFonts w:ascii="Bookman Old Style" w:eastAsia="Bookman Old Style" w:hAnsi="Bookman Old Style" w:cs="Bookman Old Style"/>
          <w:color w:val="231F20"/>
          <w:sz w:val="18"/>
          <w:szCs w:val="18"/>
          <w:highlight w:val="green"/>
        </w:rPr>
        <w:t xml:space="preserve"> должна содержать данные о размере, источниках, сроках финансирования, операционных расходах и доходах концессионера. Поскольку окупаемость проекта обычно складывается из тарифной выручки и платы концедента (если предусмотрена), выбор оптимальной договорной формы может занимать длительное время. Количество итераций согласования зависит от готовности концедента финансировать проект и изменять тарифы для населения. </w:t>
      </w:r>
    </w:p>
    <w:p w14:paraId="68F34003"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Современные методы оценки рисков, выгод и эффектов для раз</w:t>
      </w:r>
      <w:r w:rsidRPr="004E0FC4">
        <w:rPr>
          <w:rFonts w:ascii="Bookman Old Style" w:eastAsia="Bookman Old Style" w:hAnsi="Bookman Old Style" w:cs="Bookman Old Style"/>
          <w:color w:val="231F20"/>
          <w:sz w:val="18"/>
          <w:szCs w:val="18"/>
        </w:rPr>
        <w:softHyphen/>
        <w:t>ных стейкхолдеров проектов, реализуемых в форме ГЧП, предла- гается</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рассматривать и оценивать с точки зрения трех аспектов: организационного, методологического и управленческого (стейк- холдерского). </w:t>
      </w:r>
      <w:r w:rsidRPr="004E0FC4">
        <w:rPr>
          <w:rFonts w:ascii="Bookman Old Style" w:eastAsia="Bookman Old Style" w:hAnsi="Bookman Old Style" w:cs="Bookman Old Style"/>
          <w:i/>
          <w:iCs/>
          <w:color w:val="231F20"/>
          <w:sz w:val="18"/>
          <w:szCs w:val="18"/>
        </w:rPr>
        <w:t>Организационный</w:t>
      </w:r>
      <w:r w:rsidRPr="004E0FC4">
        <w:rPr>
          <w:rFonts w:ascii="Bookman Old Style" w:eastAsia="Bookman Old Style" w:hAnsi="Bookman Old Style" w:cs="Bookman Old Style"/>
          <w:color w:val="231F20"/>
          <w:sz w:val="18"/>
          <w:szCs w:val="18"/>
        </w:rPr>
        <w:t xml:space="preserve"> аспект подразумевает необходи</w:t>
      </w:r>
      <w:r w:rsidRPr="004E0FC4">
        <w:rPr>
          <w:rFonts w:ascii="Bookman Old Style" w:eastAsia="Bookman Old Style" w:hAnsi="Bookman Old Style" w:cs="Bookman Old Style"/>
          <w:color w:val="231F20"/>
          <w:sz w:val="18"/>
          <w:szCs w:val="18"/>
        </w:rPr>
        <w:softHyphen/>
        <w:t>мость оценки выгод проекта с точки зрения информации, доступ</w:t>
      </w:r>
      <w:r w:rsidRPr="004E0FC4">
        <w:rPr>
          <w:rFonts w:ascii="Bookman Old Style" w:eastAsia="Bookman Old Style" w:hAnsi="Bookman Old Style" w:cs="Bookman Old Style"/>
          <w:color w:val="231F20"/>
          <w:sz w:val="18"/>
          <w:szCs w:val="18"/>
        </w:rPr>
        <w:softHyphen/>
        <w:t xml:space="preserve">ной на всех уровнях функционирования экономических субъектов, участвующих в проекте, </w:t>
      </w:r>
      <w:r w:rsidRPr="004E0FC4">
        <w:rPr>
          <w:rFonts w:ascii="Bookman Old Style" w:eastAsia="Bookman Old Style" w:hAnsi="Bookman Old Style" w:cs="Bookman Old Style"/>
          <w:i/>
          <w:iCs/>
          <w:color w:val="231F20"/>
          <w:sz w:val="18"/>
          <w:szCs w:val="18"/>
        </w:rPr>
        <w:t>методологический</w:t>
      </w:r>
      <w:r w:rsidRPr="004E0FC4">
        <w:rPr>
          <w:rFonts w:ascii="Bookman Old Style" w:eastAsia="Bookman Old Style" w:hAnsi="Bookman Old Style" w:cs="Bookman Old Style"/>
          <w:color w:val="231F20"/>
          <w:sz w:val="18"/>
          <w:szCs w:val="18"/>
        </w:rPr>
        <w:t xml:space="preserve"> — использование сово</w:t>
      </w:r>
      <w:r w:rsidRPr="004E0FC4">
        <w:rPr>
          <w:rFonts w:ascii="Bookman Old Style" w:eastAsia="Bookman Old Style" w:hAnsi="Bookman Old Style" w:cs="Bookman Old Style"/>
          <w:color w:val="231F20"/>
          <w:sz w:val="18"/>
          <w:szCs w:val="18"/>
        </w:rPr>
        <w:softHyphen/>
        <w:t xml:space="preserve">купности существующих методик, которые можно адаптировать для использования в процессе оценки эффективности проектов ГЧП, </w:t>
      </w:r>
      <w:r w:rsidRPr="004E0FC4">
        <w:rPr>
          <w:rFonts w:ascii="Bookman Old Style" w:eastAsia="Bookman Old Style" w:hAnsi="Bookman Old Style" w:cs="Bookman Old Style"/>
          <w:i/>
          <w:iCs/>
          <w:color w:val="231F20"/>
          <w:sz w:val="18"/>
          <w:szCs w:val="18"/>
        </w:rPr>
        <w:t>управленческий</w:t>
      </w:r>
      <w:r w:rsidRPr="004E0FC4">
        <w:rPr>
          <w:rFonts w:ascii="Bookman Old Style" w:eastAsia="Bookman Old Style" w:hAnsi="Bookman Old Style" w:cs="Bookman Old Style"/>
          <w:color w:val="231F20"/>
          <w:sz w:val="18"/>
          <w:szCs w:val="18"/>
        </w:rPr>
        <w:t xml:space="preserve"> означает, что с точки зрения теории проектного управления в проектах, реализуемых в формате государственно</w:t>
      </w:r>
      <w:r w:rsidRPr="004E0FC4">
        <w:rPr>
          <w:rFonts w:ascii="Bookman Old Style" w:eastAsia="Bookman Old Style" w:hAnsi="Bookman Old Style" w:cs="Bookman Old Style"/>
          <w:color w:val="231F20"/>
          <w:sz w:val="18"/>
          <w:szCs w:val="18"/>
        </w:rPr>
        <w:softHyphen/>
        <w:t>частного партнерства, имеются минимум три группы стейкхолде</w:t>
      </w:r>
      <w:r w:rsidRPr="004E0FC4">
        <w:rPr>
          <w:rFonts w:ascii="Bookman Old Style" w:eastAsia="Bookman Old Style" w:hAnsi="Bookman Old Style" w:cs="Bookman Old Style"/>
          <w:color w:val="231F20"/>
          <w:sz w:val="18"/>
          <w:szCs w:val="18"/>
        </w:rPr>
        <w:softHyphen/>
        <w:t>ров: государство, бизнес, общество. Под стейкхолдерами понима</w:t>
      </w:r>
      <w:r w:rsidRPr="004E0FC4">
        <w:rPr>
          <w:rFonts w:ascii="Bookman Old Style" w:eastAsia="Bookman Old Style" w:hAnsi="Bookman Old Style" w:cs="Bookman Old Style"/>
          <w:color w:val="231F20"/>
          <w:sz w:val="18"/>
          <w:szCs w:val="18"/>
        </w:rPr>
        <w:softHyphen/>
        <w:t>ются физические и (или) юридические лица, которые прямо или косвенно заинтересованы в результатах проекта.</w:t>
      </w:r>
    </w:p>
    <w:p w14:paraId="56EBB0F8"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каждого стейкхолдера можно выделить эффекты, оценку ко</w:t>
      </w:r>
      <w:r w:rsidRPr="004E0FC4">
        <w:rPr>
          <w:rFonts w:ascii="Bookman Old Style" w:eastAsia="Bookman Old Style" w:hAnsi="Bookman Old Style" w:cs="Bookman Old Style"/>
          <w:color w:val="231F20"/>
          <w:sz w:val="18"/>
          <w:szCs w:val="18"/>
        </w:rPr>
        <w:softHyphen/>
        <w:t>торых они могут осуществлять в процессе анализа проектов, реа</w:t>
      </w:r>
      <w:r w:rsidRPr="004E0FC4">
        <w:rPr>
          <w:rFonts w:ascii="Bookman Old Style" w:eastAsia="Bookman Old Style" w:hAnsi="Bookman Old Style" w:cs="Bookman Old Style"/>
          <w:color w:val="231F20"/>
          <w:sz w:val="18"/>
          <w:szCs w:val="18"/>
        </w:rPr>
        <w:softHyphen/>
        <w:t>лизуемых в формате государственно-частного партнерства. Эффек</w:t>
      </w:r>
      <w:r w:rsidRPr="004E0FC4">
        <w:rPr>
          <w:rFonts w:ascii="Bookman Old Style" w:eastAsia="Bookman Old Style" w:hAnsi="Bookman Old Style" w:cs="Bookman Old Style"/>
          <w:color w:val="231F20"/>
          <w:sz w:val="18"/>
          <w:szCs w:val="18"/>
        </w:rPr>
        <w:softHyphen/>
        <w:t>ты — количественные и качественные результаты проекта, которые можно идентифицировать и, как правило, измерить.</w:t>
      </w:r>
    </w:p>
    <w:p w14:paraId="2AF0F9EE"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Методические основы оценки проектов, реализуемых в форма</w:t>
      </w:r>
      <w:r w:rsidRPr="004E0FC4">
        <w:rPr>
          <w:rFonts w:ascii="Bookman Old Style" w:eastAsia="Bookman Old Style" w:hAnsi="Bookman Old Style" w:cs="Bookman Old Style"/>
          <w:color w:val="231F20"/>
          <w:sz w:val="18"/>
          <w:szCs w:val="18"/>
        </w:rPr>
        <w:softHyphen/>
        <w:t>те ГЧП, изложены в ряде нормативных актов. Методические ре</w:t>
      </w:r>
      <w:r w:rsidRPr="004E0FC4">
        <w:rPr>
          <w:rFonts w:ascii="Bookman Old Style" w:eastAsia="Bookman Old Style" w:hAnsi="Bookman Old Style" w:cs="Bookman Old Style"/>
          <w:color w:val="231F20"/>
          <w:sz w:val="18"/>
          <w:szCs w:val="18"/>
        </w:rPr>
        <w:softHyphen/>
        <w:t xml:space="preserve">комендации по оценке эффективности инвестиционных проектов (утв. </w:t>
      </w:r>
      <w:r w:rsidRPr="004E0FC4">
        <w:rPr>
          <w:rFonts w:ascii="Bookman Old Style" w:eastAsia="Bookman Old Style" w:hAnsi="Bookman Old Style" w:cs="Bookman Old Style"/>
          <w:color w:val="231F20"/>
          <w:sz w:val="18"/>
          <w:szCs w:val="18"/>
        </w:rPr>
        <w:lastRenderedPageBreak/>
        <w:t>Минэкономики России, Минфином России и Госстроем Рос</w:t>
      </w:r>
      <w:r w:rsidRPr="004E0FC4">
        <w:rPr>
          <w:rFonts w:ascii="Bookman Old Style" w:eastAsia="Bookman Old Style" w:hAnsi="Bookman Old Style" w:cs="Bookman Old Style"/>
          <w:color w:val="231F20"/>
          <w:sz w:val="18"/>
          <w:szCs w:val="18"/>
        </w:rPr>
        <w:softHyphen/>
        <w:t>сии от 21.06.1999 № ВК 477) описывают подходы к оценке различ</w:t>
      </w:r>
      <w:r w:rsidRPr="004E0FC4">
        <w:rPr>
          <w:rFonts w:ascii="Bookman Old Style" w:eastAsia="Bookman Old Style" w:hAnsi="Bookman Old Style" w:cs="Bookman Old Style"/>
          <w:color w:val="231F20"/>
          <w:sz w:val="18"/>
          <w:szCs w:val="18"/>
        </w:rPr>
        <w:softHyphen/>
        <w:t>ных видов эффективности инвестиционных проектов: эффектив</w:t>
      </w:r>
      <w:r w:rsidRPr="004E0FC4">
        <w:rPr>
          <w:rFonts w:ascii="Bookman Old Style" w:eastAsia="Bookman Old Style" w:hAnsi="Bookman Old Style" w:cs="Bookman Old Style"/>
          <w:color w:val="231F20"/>
          <w:sz w:val="18"/>
          <w:szCs w:val="18"/>
        </w:rPr>
        <w:softHyphen/>
        <w:t>ность для инициаторов проектов, для акционеров, региональную и отраслевую эффективность, а также бюджетную эффективность. В рекомендациях изложены подходы к прогнозированию денежных потоков и к расчету показателей экономической эффективности инвестиционных проектов: чистый дисконтированный доход, вну</w:t>
      </w:r>
      <w:r w:rsidRPr="004E0FC4">
        <w:rPr>
          <w:rFonts w:ascii="Bookman Old Style" w:eastAsia="Bookman Old Style" w:hAnsi="Bookman Old Style" w:cs="Bookman Old Style"/>
          <w:color w:val="231F20"/>
          <w:sz w:val="18"/>
          <w:szCs w:val="18"/>
        </w:rPr>
        <w:softHyphen/>
        <w:t xml:space="preserve">тренняя норма доходности, срок окупаемости, индекс доходности инвестиций. </w:t>
      </w:r>
      <w:r w:rsidRPr="004E0FC4">
        <w:rPr>
          <w:rFonts w:ascii="Bookman Old Style" w:eastAsia="Bookman Old Style" w:hAnsi="Bookman Old Style" w:cs="Bookman Old Style"/>
          <w:color w:val="231F20"/>
          <w:sz w:val="18"/>
          <w:szCs w:val="18"/>
          <w:vertAlign w:val="superscript"/>
        </w:rPr>
        <w:footnoteReference w:id="96"/>
      </w:r>
    </w:p>
    <w:p w14:paraId="79B0DF26"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некоторых случаях существует необходимость дополнитель</w:t>
      </w:r>
      <w:r w:rsidRPr="004E0FC4">
        <w:rPr>
          <w:rFonts w:ascii="Bookman Old Style" w:eastAsia="Bookman Old Style" w:hAnsi="Bookman Old Style" w:cs="Bookman Old Style"/>
          <w:color w:val="231F20"/>
          <w:sz w:val="18"/>
          <w:szCs w:val="18"/>
        </w:rPr>
        <w:softHyphen/>
        <w:t>ного регулирования тарифов, которые необходимо учитывать при формировании финансовой модели, а именно (Закон о ГЧП, ст. 12, п. 6), если в соответствии с соглашением предусматриваются про</w:t>
      </w:r>
      <w:r w:rsidRPr="004E0FC4">
        <w:rPr>
          <w:rFonts w:ascii="Bookman Old Style" w:eastAsia="Bookman Old Style" w:hAnsi="Bookman Old Style" w:cs="Bookman Old Style"/>
          <w:color w:val="231F20"/>
          <w:sz w:val="18"/>
          <w:szCs w:val="18"/>
        </w:rPr>
        <w:softHyphen/>
        <w:t>изводство товаров, выполнение работ, оказание услуг, которые осу</w:t>
      </w:r>
      <w:r w:rsidRPr="004E0FC4">
        <w:rPr>
          <w:rFonts w:ascii="Bookman Old Style" w:eastAsia="Bookman Old Style" w:hAnsi="Bookman Old Style" w:cs="Bookman Old Style"/>
          <w:color w:val="231F20"/>
          <w:sz w:val="18"/>
          <w:szCs w:val="18"/>
        </w:rPr>
        <w:softHyphen/>
        <w:t>ществляются по регулируемым ценам (тарифам) и (или) с учетом установленных надбавок к ценам (тарифам), порядок и условия установления и изменения цен (тарифов) на производимые това</w:t>
      </w:r>
      <w:r w:rsidRPr="004E0FC4">
        <w:rPr>
          <w:rFonts w:ascii="Bookman Old Style" w:eastAsia="Bookman Old Style" w:hAnsi="Bookman Old Style" w:cs="Bookman Old Style"/>
          <w:color w:val="231F20"/>
          <w:sz w:val="18"/>
          <w:szCs w:val="18"/>
        </w:rPr>
        <w:softHyphen/>
        <w:t>ры, выполняемые работы, оказываемые услуги, надбавок к ценам (тарифам), долгосрочные параметры регулирования деятельности частного партнера подлежат согласованию в соответствии с зако</w:t>
      </w:r>
      <w:r w:rsidRPr="004E0FC4">
        <w:rPr>
          <w:rFonts w:ascii="Bookman Old Style" w:eastAsia="Bookman Old Style" w:hAnsi="Bookman Old Style" w:cs="Bookman Old Style"/>
          <w:color w:val="231F20"/>
          <w:sz w:val="18"/>
          <w:szCs w:val="18"/>
        </w:rPr>
        <w:softHyphen/>
        <w:t>нодательством Российской Федерации в сфере регулирования цен (тарифов).</w:t>
      </w:r>
    </w:p>
    <w:p w14:paraId="116D9DC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Кроме того (Закон о ГЧП, ст. 12, п. 9), соглашением может быть предусмотрена плата, осуществляемая частным партнером пу</w:t>
      </w:r>
      <w:r w:rsidRPr="004E0FC4">
        <w:rPr>
          <w:rFonts w:ascii="Bookman Old Style" w:eastAsia="Bookman Old Style" w:hAnsi="Bookman Old Style" w:cs="Bookman Old Style"/>
          <w:color w:val="231F20"/>
          <w:sz w:val="18"/>
          <w:szCs w:val="18"/>
        </w:rPr>
        <w:softHyphen/>
        <w:t>бличному партнеру в период эксплуатации и (или) технического обслуживания объекта соглашения. Внесение такой платы может предусматриваться как в течение всего срока эксплуатации и (или) технического обслуживания объекта соглашения, так и в течение отдельных периодов его эксплуатации и (или) технического обслу</w:t>
      </w:r>
      <w:r w:rsidRPr="004E0FC4">
        <w:rPr>
          <w:rFonts w:ascii="Bookman Old Style" w:eastAsia="Bookman Old Style" w:hAnsi="Bookman Old Style" w:cs="Bookman Old Style"/>
          <w:color w:val="231F20"/>
          <w:sz w:val="18"/>
          <w:szCs w:val="18"/>
        </w:rPr>
        <w:softHyphen/>
        <w:t>живания. Размер такой платы, а также ее форма, порядок и сроки внесения устанавливаются соглашением о ГЧП.</w:t>
      </w:r>
    </w:p>
    <w:p w14:paraId="354AC79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 построении финансовой модели проекта необходимо произ</w:t>
      </w:r>
      <w:r w:rsidRPr="004E0FC4">
        <w:rPr>
          <w:rFonts w:ascii="Bookman Old Style" w:eastAsia="Bookman Old Style" w:hAnsi="Bookman Old Style" w:cs="Bookman Old Style"/>
          <w:color w:val="231F20"/>
          <w:sz w:val="18"/>
          <w:szCs w:val="18"/>
        </w:rPr>
        <w:softHyphen/>
        <w:t>вести ряд действий, которые позволят сформировать модель более корректно. Предлагается следующая схема построения финансовой модели.</w:t>
      </w:r>
    </w:p>
    <w:p w14:paraId="10D6CB36" w14:textId="77777777" w:rsidR="00350396" w:rsidRPr="004E0FC4" w:rsidRDefault="00350396" w:rsidP="004E0FC4">
      <w:pPr>
        <w:widowControl w:val="0"/>
        <w:numPr>
          <w:ilvl w:val="0"/>
          <w:numId w:val="63"/>
        </w:numPr>
        <w:tabs>
          <w:tab w:val="left" w:pos="636"/>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Формирование общей модели проекта (включая различные производственные и базовые финансовые показатели).</w:t>
      </w:r>
    </w:p>
    <w:p w14:paraId="1B3E9FAD" w14:textId="77777777" w:rsidR="00350396" w:rsidRPr="004E0FC4" w:rsidRDefault="00350396" w:rsidP="004E0FC4">
      <w:pPr>
        <w:widowControl w:val="0"/>
        <w:numPr>
          <w:ilvl w:val="0"/>
          <w:numId w:val="63"/>
        </w:numPr>
        <w:tabs>
          <w:tab w:val="left" w:pos="636"/>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Построение прогнозной отчетности (включая баланс, отчет о финансовых результатах, отчет о движении денежных средств).</w:t>
      </w:r>
    </w:p>
    <w:p w14:paraId="4C806725" w14:textId="77777777" w:rsidR="00350396" w:rsidRPr="004E0FC4" w:rsidRDefault="00350396" w:rsidP="004E0FC4">
      <w:pPr>
        <w:widowControl w:val="0"/>
        <w:numPr>
          <w:ilvl w:val="0"/>
          <w:numId w:val="63"/>
        </w:numPr>
        <w:tabs>
          <w:tab w:val="left" w:pos="636"/>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Расчет чистого дисконтированного денежного потока.</w:t>
      </w:r>
    </w:p>
    <w:p w14:paraId="7501D23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рамках построения финансовой модели по этой схеме необ</w:t>
      </w:r>
      <w:r w:rsidRPr="004E0FC4">
        <w:rPr>
          <w:rFonts w:ascii="Bookman Old Style" w:eastAsia="Bookman Old Style" w:hAnsi="Bookman Old Style" w:cs="Bookman Old Style"/>
          <w:color w:val="231F20"/>
          <w:sz w:val="18"/>
          <w:szCs w:val="18"/>
        </w:rPr>
        <w:softHyphen/>
        <w:t>ходимо учитывать, что участие государства в сделке, как правило, определяется размером нормы прибыли, а также сумм амортиза</w:t>
      </w:r>
      <w:r w:rsidRPr="004E0FC4">
        <w:rPr>
          <w:rFonts w:ascii="Bookman Old Style" w:eastAsia="Bookman Old Style" w:hAnsi="Bookman Old Style" w:cs="Bookman Old Style"/>
          <w:color w:val="231F20"/>
          <w:sz w:val="18"/>
          <w:szCs w:val="18"/>
        </w:rPr>
        <w:softHyphen/>
        <w:t>ции при отсутствии заемного финансирования. При наличии заем</w:t>
      </w:r>
      <w:r w:rsidRPr="004E0FC4">
        <w:rPr>
          <w:rFonts w:ascii="Bookman Old Style" w:eastAsia="Bookman Old Style" w:hAnsi="Bookman Old Style" w:cs="Bookman Old Style"/>
          <w:color w:val="231F20"/>
          <w:sz w:val="18"/>
          <w:szCs w:val="18"/>
        </w:rPr>
        <w:softHyphen/>
        <w:t>ного финансирования также компенсируется процент, уплаченный за пользование заемными средствами.</w:t>
      </w:r>
    </w:p>
    <w:p w14:paraId="61EAE87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того чтобы определить сумму, необходимую к выплате, в рам</w:t>
      </w:r>
      <w:r w:rsidRPr="004E0FC4">
        <w:rPr>
          <w:rFonts w:ascii="Bookman Old Style" w:eastAsia="Bookman Old Style" w:hAnsi="Bookman Old Style" w:cs="Bookman Old Style"/>
          <w:color w:val="231F20"/>
          <w:sz w:val="18"/>
          <w:szCs w:val="18"/>
        </w:rPr>
        <w:softHyphen/>
        <w:t>ках проекта готовится финансовая модель проекта. Формирование финансовой модели реализации проекта государственно-частного партнерства происходит с учетом использования собственных и за</w:t>
      </w:r>
      <w:r w:rsidRPr="004E0FC4">
        <w:rPr>
          <w:rFonts w:ascii="Bookman Old Style" w:eastAsia="Bookman Old Style" w:hAnsi="Bookman Old Style" w:cs="Bookman Old Style"/>
          <w:color w:val="231F20"/>
          <w:sz w:val="18"/>
          <w:szCs w:val="18"/>
        </w:rPr>
        <w:softHyphen/>
        <w:t>емных средств.</w:t>
      </w:r>
    </w:p>
    <w:p w14:paraId="0BE4FE9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рамках формирования финансовой модели осуществляется расчет </w:t>
      </w:r>
      <w:r w:rsidRPr="004E0FC4">
        <w:rPr>
          <w:rFonts w:ascii="Bookman Old Style" w:eastAsia="Bookman Old Style" w:hAnsi="Bookman Old Style" w:cs="Bookman Old Style"/>
          <w:color w:val="231F20"/>
          <w:sz w:val="18"/>
          <w:szCs w:val="18"/>
        </w:rPr>
        <w:lastRenderedPageBreak/>
        <w:t>суммы, которую должен получить частный партнер от реа</w:t>
      </w:r>
      <w:r w:rsidRPr="004E0FC4">
        <w:rPr>
          <w:rFonts w:ascii="Bookman Old Style" w:eastAsia="Bookman Old Style" w:hAnsi="Bookman Old Style" w:cs="Bookman Old Style"/>
          <w:color w:val="231F20"/>
          <w:sz w:val="18"/>
          <w:szCs w:val="18"/>
        </w:rPr>
        <w:softHyphen/>
        <w:t>лизации проекта на покрытие своих расходов. Расчет суммы прово</w:t>
      </w:r>
      <w:r w:rsidRPr="004E0FC4">
        <w:rPr>
          <w:rFonts w:ascii="Bookman Old Style" w:eastAsia="Bookman Old Style" w:hAnsi="Bookman Old Style" w:cs="Bookman Old Style"/>
          <w:color w:val="231F20"/>
          <w:sz w:val="18"/>
          <w:szCs w:val="18"/>
        </w:rPr>
        <w:softHyphen/>
        <w:t>дится за каждый год предоставления услуг / реализации продукции на следующих условиях.</w:t>
      </w:r>
    </w:p>
    <w:p w14:paraId="6B06B247" w14:textId="77777777" w:rsidR="00350396" w:rsidRPr="004E0FC4" w:rsidRDefault="00350396" w:rsidP="004E0FC4">
      <w:pPr>
        <w:widowControl w:val="0"/>
        <w:numPr>
          <w:ilvl w:val="0"/>
          <w:numId w:val="59"/>
        </w:numPr>
        <w:tabs>
          <w:tab w:val="left" w:pos="629"/>
        </w:tabs>
        <w:spacing w:after="242"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Ожидаемая сумма, которую должен получить частный пар</w:t>
      </w:r>
      <w:r w:rsidRPr="004E0FC4">
        <w:rPr>
          <w:rFonts w:ascii="Bookman Old Style" w:eastAsia="Bookman Old Style" w:hAnsi="Bookman Old Style" w:cs="Bookman Old Style"/>
          <w:color w:val="231F20"/>
          <w:sz w:val="18"/>
          <w:szCs w:val="18"/>
        </w:rPr>
        <w:softHyphen/>
        <w:t>тнер за каждый календарный год предоставления услуг / реализа</w:t>
      </w:r>
      <w:r w:rsidRPr="004E0FC4">
        <w:rPr>
          <w:rFonts w:ascii="Bookman Old Style" w:eastAsia="Bookman Old Style" w:hAnsi="Bookman Old Style" w:cs="Bookman Old Style"/>
          <w:color w:val="231F20"/>
          <w:sz w:val="18"/>
          <w:szCs w:val="18"/>
        </w:rPr>
        <w:softHyphen/>
        <w:t>ции продукции, рассчитывается по формуле:</w:t>
      </w:r>
    </w:p>
    <w:p w14:paraId="7AF23112" w14:textId="77777777" w:rsidR="00350396" w:rsidRPr="004E0FC4" w:rsidRDefault="00350396" w:rsidP="004E0FC4">
      <w:pPr>
        <w:widowControl w:val="0"/>
        <w:tabs>
          <w:tab w:val="left" w:pos="6100"/>
        </w:tabs>
        <w:spacing w:after="158" w:line="202" w:lineRule="exact"/>
        <w:ind w:left="2100" w:firstLine="0"/>
        <w:rPr>
          <w:rFonts w:ascii="Bookman Old Style" w:hAnsi="Bookman Old Style"/>
          <w:sz w:val="18"/>
          <w:szCs w:val="18"/>
          <w:lang w:val="en-US"/>
        </w:rPr>
      </w:pPr>
      <w:r w:rsidRPr="004E0FC4">
        <w:rPr>
          <w:rFonts w:ascii="Bookman Old Style" w:hAnsi="Bookman Old Style"/>
          <w:sz w:val="18"/>
          <w:szCs w:val="18"/>
          <w:lang w:val="en-US" w:eastAsia="en-US" w:bidi="en-US"/>
        </w:rPr>
        <w:t xml:space="preserve">Pt </w:t>
      </w:r>
      <w:r w:rsidRPr="004E0FC4">
        <w:rPr>
          <w:rFonts w:ascii="Bookman Old Style" w:hAnsi="Bookman Old Style"/>
          <w:sz w:val="18"/>
          <w:szCs w:val="18"/>
          <w:lang w:val="en-US"/>
        </w:rPr>
        <w:t xml:space="preserve">= </w:t>
      </w:r>
      <w:r w:rsidRPr="004E0FC4">
        <w:rPr>
          <w:rFonts w:ascii="Bookman Old Style" w:hAnsi="Bookman Old Style"/>
          <w:sz w:val="18"/>
          <w:szCs w:val="18"/>
          <w:lang w:val="en-US" w:eastAsia="en-US" w:bidi="en-US"/>
        </w:rPr>
        <w:t>P(It</w:t>
      </w:r>
      <w:r w:rsidRPr="004E0FC4">
        <w:rPr>
          <w:rFonts w:ascii="Bookman Old Style" w:eastAsia="Bookman Old Style" w:hAnsi="Bookman Old Style" w:cs="Bookman Old Style"/>
          <w:i/>
          <w:iCs/>
          <w:sz w:val="18"/>
          <w:szCs w:val="18"/>
          <w:lang w:val="en-US"/>
        </w:rPr>
        <w:t xml:space="preserve">) + </w:t>
      </w:r>
      <w:r w:rsidRPr="004E0FC4">
        <w:rPr>
          <w:rFonts w:ascii="Bookman Old Style" w:hAnsi="Bookman Old Style"/>
          <w:sz w:val="18"/>
          <w:szCs w:val="18"/>
          <w:lang w:val="en-US" w:eastAsia="en-US" w:bidi="en-US"/>
        </w:rPr>
        <w:t>P(FC</w:t>
      </w:r>
      <w:r w:rsidRPr="004E0FC4">
        <w:rPr>
          <w:rFonts w:ascii="Bookman Old Style" w:eastAsia="Bookman Old Style" w:hAnsi="Bookman Old Style" w:cs="Bookman Old Style"/>
          <w:i/>
          <w:iCs/>
          <w:sz w:val="18"/>
          <w:szCs w:val="18"/>
          <w:lang w:val="en-US"/>
        </w:rPr>
        <w:t xml:space="preserve">) + </w:t>
      </w:r>
      <w:r w:rsidRPr="004E0FC4">
        <w:rPr>
          <w:rFonts w:ascii="Bookman Old Style" w:hAnsi="Bookman Old Style"/>
          <w:sz w:val="18"/>
          <w:szCs w:val="18"/>
          <w:lang w:val="en-US" w:eastAsia="en-US" w:bidi="en-US"/>
        </w:rPr>
        <w:t>P(VC</w:t>
      </w:r>
      <w:r w:rsidRPr="004E0FC4">
        <w:rPr>
          <w:rFonts w:ascii="Bookman Old Style" w:hAnsi="Bookman Old Style"/>
          <w:sz w:val="18"/>
          <w:szCs w:val="18"/>
          <w:vertAlign w:val="subscript"/>
          <w:lang w:val="en-US" w:eastAsia="en-US" w:bidi="en-US"/>
        </w:rPr>
        <w:t>t</w:t>
      </w:r>
      <w:r w:rsidRPr="004E0FC4">
        <w:rPr>
          <w:rFonts w:ascii="Bookman Old Style" w:eastAsia="Bookman Old Style" w:hAnsi="Bookman Old Style" w:cs="Bookman Old Style"/>
          <w:i/>
          <w:iCs/>
          <w:sz w:val="18"/>
          <w:szCs w:val="18"/>
          <w:lang w:val="en-US" w:eastAsia="en-US" w:bidi="en-US"/>
        </w:rPr>
        <w:t>)</w:t>
      </w:r>
      <w:r w:rsidRPr="004E0FC4">
        <w:rPr>
          <w:rFonts w:ascii="Bookman Old Style" w:eastAsia="Bookman Old Style" w:hAnsi="Bookman Old Style" w:cs="Bookman Old Style"/>
          <w:i/>
          <w:iCs/>
          <w:sz w:val="18"/>
          <w:szCs w:val="18"/>
          <w:lang w:val="en-US"/>
        </w:rPr>
        <w:t>,</w:t>
      </w:r>
      <w:r w:rsidRPr="004E0FC4">
        <w:rPr>
          <w:rFonts w:ascii="Bookman Old Style" w:eastAsia="Bookman Old Style" w:hAnsi="Bookman Old Style" w:cs="Bookman Old Style"/>
          <w:i/>
          <w:iCs/>
          <w:sz w:val="18"/>
          <w:szCs w:val="18"/>
          <w:lang w:val="en-US"/>
        </w:rPr>
        <w:tab/>
        <w:t>(4.1)</w:t>
      </w:r>
    </w:p>
    <w:p w14:paraId="3851734E" w14:textId="77777777" w:rsidR="00350396" w:rsidRPr="004E0FC4" w:rsidRDefault="00350396" w:rsidP="004E0FC4">
      <w:pPr>
        <w:widowControl w:val="0"/>
        <w:spacing w:line="254"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где </w:t>
      </w:r>
      <w:r w:rsidRPr="004E0FC4">
        <w:rPr>
          <w:rFonts w:ascii="Bookman Old Style" w:eastAsia="Bookman Old Style" w:hAnsi="Bookman Old Style" w:cs="Bookman Old Style"/>
          <w:i/>
          <w:iCs/>
          <w:color w:val="231F20"/>
          <w:sz w:val="18"/>
          <w:szCs w:val="18"/>
          <w:lang w:val="en-US" w:eastAsia="en-US" w:bidi="en-US"/>
        </w:rPr>
        <w:t>P</w:t>
      </w:r>
      <w:r w:rsidRPr="004E0FC4">
        <w:rPr>
          <w:rFonts w:ascii="Bookman Old Style" w:eastAsia="Bookman Old Style" w:hAnsi="Bookman Old Style" w:cs="Bookman Old Style"/>
          <w:i/>
          <w:iCs/>
          <w:color w:val="231F20"/>
          <w:sz w:val="18"/>
          <w:szCs w:val="18"/>
          <w:vertAlign w:val="subscript"/>
          <w:lang w:val="en-US" w:eastAsia="en-US" w:bidi="en-US"/>
        </w:rPr>
        <w:t>t</w:t>
      </w:r>
      <w:r w:rsidRPr="004E0FC4">
        <w:rPr>
          <w:rFonts w:ascii="Bookman Old Style" w:eastAsia="Bookman Old Style" w:hAnsi="Bookman Old Style" w:cs="Bookman Old Style"/>
          <w:color w:val="231F20"/>
          <w:sz w:val="18"/>
          <w:szCs w:val="18"/>
          <w:lang w:eastAsia="en-US" w:bidi="en-US"/>
        </w:rPr>
        <w:t xml:space="preserve"> — </w:t>
      </w:r>
      <w:r w:rsidRPr="004E0FC4">
        <w:rPr>
          <w:rFonts w:ascii="Bookman Old Style" w:eastAsia="Bookman Old Style" w:hAnsi="Bookman Old Style" w:cs="Bookman Old Style"/>
          <w:color w:val="231F20"/>
          <w:sz w:val="18"/>
          <w:szCs w:val="18"/>
        </w:rPr>
        <w:t xml:space="preserve">ожидаемая величина в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 xml:space="preserve">-м году; </w:t>
      </w:r>
      <w:r w:rsidRPr="004E0FC4">
        <w:rPr>
          <w:rFonts w:ascii="Bookman Old Style" w:eastAsia="Bookman Old Style" w:hAnsi="Bookman Old Style" w:cs="Bookman Old Style"/>
          <w:i/>
          <w:iCs/>
          <w:color w:val="231F20"/>
          <w:sz w:val="18"/>
          <w:szCs w:val="18"/>
          <w:lang w:val="en-US" w:eastAsia="en-US" w:bidi="en-US"/>
        </w:rPr>
        <w:t>P</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I</w:t>
      </w:r>
      <w:r w:rsidRPr="004E0FC4">
        <w:rPr>
          <w:rFonts w:ascii="Bookman Old Style" w:eastAsia="Bookman Old Style" w:hAnsi="Bookman Old Style" w:cs="Bookman Old Style"/>
          <w:i/>
          <w:iCs/>
          <w:color w:val="231F20"/>
          <w:sz w:val="18"/>
          <w:szCs w:val="18"/>
          <w:vertAlign w:val="subscript"/>
          <w:lang w:val="en-US" w:eastAsia="en-US" w:bidi="en-US"/>
        </w:rPr>
        <w:t>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ожидаемая величина инвестиционной части за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 xml:space="preserve">-й год предоставления услуг вида </w:t>
      </w:r>
      <w:r w:rsidRPr="004E0FC4">
        <w:rPr>
          <w:rFonts w:ascii="Bookman Old Style" w:eastAsia="Bookman Old Style" w:hAnsi="Bookman Old Style" w:cs="Bookman Old Style"/>
          <w:i/>
          <w:iCs/>
          <w:color w:val="231F20"/>
          <w:sz w:val="18"/>
          <w:szCs w:val="18"/>
          <w:lang w:val="en-US" w:eastAsia="en-US" w:bidi="en-US"/>
        </w:rPr>
        <w:t>i</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но</w:t>
      </w:r>
      <w:r w:rsidRPr="004E0FC4">
        <w:rPr>
          <w:rFonts w:ascii="Bookman Old Style" w:eastAsia="Bookman Old Style" w:hAnsi="Bookman Old Style" w:cs="Bookman Old Style"/>
          <w:color w:val="231F20"/>
          <w:sz w:val="18"/>
          <w:szCs w:val="18"/>
        </w:rPr>
        <w:softHyphen/>
        <w:t xml:space="preserve">минальном выражении); </w:t>
      </w:r>
      <w:r w:rsidRPr="004E0FC4">
        <w:rPr>
          <w:rFonts w:ascii="Bookman Old Style" w:eastAsia="Bookman Old Style" w:hAnsi="Bookman Old Style" w:cs="Bookman Old Style"/>
          <w:i/>
          <w:iCs/>
          <w:color w:val="231F20"/>
          <w:sz w:val="18"/>
          <w:szCs w:val="18"/>
          <w:lang w:val="en-US" w:eastAsia="en-US" w:bidi="en-US"/>
        </w:rPr>
        <w:t>P</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FC</w:t>
      </w:r>
      <w:r w:rsidRPr="004E0FC4">
        <w:rPr>
          <w:rFonts w:ascii="Bookman Old Style" w:eastAsia="Bookman Old Style" w:hAnsi="Bookman Old Style" w:cs="Bookman Old Style"/>
          <w:i/>
          <w:iCs/>
          <w:color w:val="231F20"/>
          <w:sz w:val="18"/>
          <w:szCs w:val="18"/>
          <w:vertAlign w:val="subscript"/>
          <w:lang w:val="en-US" w:eastAsia="en-US" w:bidi="en-US"/>
        </w:rPr>
        <w:t>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ожидаемые постоянные затраты в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 xml:space="preserve">-м году; </w:t>
      </w:r>
      <w:r w:rsidRPr="004E0FC4">
        <w:rPr>
          <w:rFonts w:ascii="Bookman Old Style" w:eastAsia="Bookman Old Style" w:hAnsi="Bookman Old Style" w:cs="Bookman Old Style"/>
          <w:i/>
          <w:iCs/>
          <w:color w:val="231F20"/>
          <w:sz w:val="18"/>
          <w:szCs w:val="18"/>
          <w:lang w:val="en-US" w:eastAsia="en-US" w:bidi="en-US"/>
        </w:rPr>
        <w:t>P</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VC</w:t>
      </w:r>
      <w:r w:rsidRPr="004E0FC4">
        <w:rPr>
          <w:rFonts w:ascii="Bookman Old Style" w:eastAsia="Bookman Old Style" w:hAnsi="Bookman Old Style" w:cs="Bookman Old Style"/>
          <w:i/>
          <w:iCs/>
          <w:color w:val="231F20"/>
          <w:sz w:val="18"/>
          <w:szCs w:val="18"/>
          <w:vertAlign w:val="subscript"/>
          <w:lang w:val="en-US" w:eastAsia="en-US" w:bidi="en-US"/>
        </w:rPr>
        <w:t>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ожидаемые переменные затраты в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-м году.</w:t>
      </w:r>
    </w:p>
    <w:p w14:paraId="27C1433D" w14:textId="77777777" w:rsidR="00350396" w:rsidRPr="004E0FC4" w:rsidRDefault="00350396" w:rsidP="004E0FC4">
      <w:pPr>
        <w:widowControl w:val="0"/>
        <w:numPr>
          <w:ilvl w:val="0"/>
          <w:numId w:val="59"/>
        </w:numPr>
        <w:tabs>
          <w:tab w:val="left" w:pos="629"/>
        </w:tabs>
        <w:spacing w:after="362"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Ожидаемая величина постоянной операционной части в фор</w:t>
      </w:r>
      <w:r w:rsidRPr="004E0FC4">
        <w:rPr>
          <w:rFonts w:ascii="Bookman Old Style" w:eastAsia="Bookman Old Style" w:hAnsi="Bookman Old Style" w:cs="Bookman Old Style"/>
          <w:color w:val="231F20"/>
          <w:sz w:val="18"/>
          <w:szCs w:val="18"/>
        </w:rPr>
        <w:softHyphen/>
        <w:t xml:space="preserve">муле (4.1) для каждого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-го года предоставления услуг / реализации продукции рассчитывается по следующей формуле:</w:t>
      </w:r>
    </w:p>
    <w:p w14:paraId="3C3D5513" w14:textId="77777777" w:rsidR="00350396" w:rsidRPr="004E0FC4" w:rsidRDefault="00350396" w:rsidP="004E0FC4">
      <w:pPr>
        <w:widowControl w:val="0"/>
        <w:tabs>
          <w:tab w:val="left" w:pos="6100"/>
        </w:tabs>
        <w:spacing w:line="202" w:lineRule="exact"/>
        <w:ind w:left="2340" w:firstLine="0"/>
        <w:rPr>
          <w:rFonts w:ascii="Bookman Old Style" w:hAnsi="Bookman Old Style"/>
          <w:sz w:val="18"/>
          <w:szCs w:val="18"/>
          <w:lang w:val="en-US"/>
        </w:rPr>
      </w:pPr>
      <w:r w:rsidRPr="004E0FC4">
        <w:rPr>
          <w:rFonts w:ascii="Bookman Old Style" w:hAnsi="Bookman Old Style"/>
          <w:sz w:val="18"/>
          <w:szCs w:val="18"/>
          <w:lang w:val="en-US" w:eastAsia="en-US" w:bidi="en-US"/>
        </w:rPr>
        <w:t xml:space="preserve">P( </w:t>
      </w:r>
      <w:r w:rsidRPr="004E0FC4">
        <w:rPr>
          <w:rFonts w:ascii="Bookman Old Style" w:eastAsia="Bookman Old Style" w:hAnsi="Bookman Old Style" w:cs="Bookman Old Style"/>
          <w:i/>
          <w:iCs/>
          <w:color w:val="231F20"/>
          <w:sz w:val="18"/>
          <w:szCs w:val="18"/>
          <w:lang w:val="en-US"/>
        </w:rPr>
        <w:t>FCt</w:t>
      </w:r>
      <w:r w:rsidRPr="004E0FC4">
        <w:rPr>
          <w:rFonts w:ascii="Bookman Old Style" w:hAnsi="Bookman Old Style"/>
          <w:sz w:val="18"/>
          <w:szCs w:val="18"/>
          <w:lang w:val="en-US"/>
        </w:rPr>
        <w:t xml:space="preserve">) =£ </w:t>
      </w:r>
      <w:r w:rsidRPr="004E0FC4">
        <w:rPr>
          <w:rFonts w:ascii="Bookman Old Style" w:eastAsia="Bookman Old Style" w:hAnsi="Bookman Old Style" w:cs="Bookman Old Style"/>
          <w:i/>
          <w:iCs/>
          <w:color w:val="231F20"/>
          <w:sz w:val="18"/>
          <w:szCs w:val="18"/>
          <w:lang w:val="en-US"/>
        </w:rPr>
        <w:t>FCjInd(t)</w:t>
      </w:r>
      <w:r w:rsidRPr="004E0FC4">
        <w:rPr>
          <w:rFonts w:ascii="Bookman Old Style" w:eastAsia="Bookman Old Style" w:hAnsi="Bookman Old Style" w:cs="Bookman Old Style"/>
          <w:i/>
          <w:iCs/>
          <w:color w:val="231F20"/>
          <w:sz w:val="18"/>
          <w:szCs w:val="18"/>
          <w:lang w:val="en-US" w:eastAsia="en-US" w:bidi="en-US"/>
        </w:rPr>
        <w:t>,</w:t>
      </w:r>
      <w:r w:rsidRPr="004E0FC4">
        <w:rPr>
          <w:rFonts w:ascii="Bookman Old Style" w:eastAsia="Bookman Old Style" w:hAnsi="Bookman Old Style" w:cs="Bookman Old Style"/>
          <w:color w:val="231F20"/>
          <w:sz w:val="18"/>
          <w:szCs w:val="18"/>
          <w:lang w:val="en-US" w:eastAsia="en-US" w:bidi="en-US"/>
        </w:rPr>
        <w:tab/>
      </w:r>
      <w:r w:rsidRPr="004E0FC4">
        <w:rPr>
          <w:rFonts w:ascii="Bookman Old Style" w:eastAsia="Bookman Old Style" w:hAnsi="Bookman Old Style" w:cs="Bookman Old Style"/>
          <w:color w:val="231F20"/>
          <w:sz w:val="18"/>
          <w:szCs w:val="18"/>
          <w:lang w:val="en-US"/>
        </w:rPr>
        <w:t>(4.2)</w:t>
      </w:r>
    </w:p>
    <w:p w14:paraId="17F5928C" w14:textId="77777777" w:rsidR="00350396" w:rsidRPr="004E0FC4" w:rsidRDefault="00350396" w:rsidP="004E0FC4">
      <w:pPr>
        <w:widowControl w:val="0"/>
        <w:spacing w:after="70" w:line="192" w:lineRule="exact"/>
        <w:ind w:left="200" w:firstLine="0"/>
        <w:rPr>
          <w:rFonts w:ascii="Bookman Old Style" w:hAnsi="Bookman Old Style"/>
          <w:sz w:val="18"/>
          <w:szCs w:val="18"/>
          <w:lang w:val="en-US"/>
        </w:rPr>
      </w:pPr>
      <w:r w:rsidRPr="004E0FC4">
        <w:rPr>
          <w:rFonts w:ascii="Bookman Old Style" w:hAnsi="Bookman Old Style"/>
          <w:sz w:val="18"/>
          <w:szCs w:val="18"/>
          <w:lang w:val="en-US" w:eastAsia="en-US" w:bidi="en-US"/>
        </w:rPr>
        <w:t>j=i</w:t>
      </w:r>
    </w:p>
    <w:p w14:paraId="4303B3C4" w14:textId="77777777" w:rsidR="00350396" w:rsidRPr="004E0FC4" w:rsidRDefault="00350396" w:rsidP="004E0FC4">
      <w:pPr>
        <w:widowControl w:val="0"/>
        <w:spacing w:line="254"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где </w:t>
      </w:r>
      <w:r w:rsidRPr="004E0FC4">
        <w:rPr>
          <w:rFonts w:ascii="Bookman Old Style" w:eastAsia="Bookman Old Style" w:hAnsi="Bookman Old Style" w:cs="Bookman Old Style"/>
          <w:i/>
          <w:iCs/>
          <w:color w:val="231F20"/>
          <w:sz w:val="18"/>
          <w:szCs w:val="18"/>
          <w:lang w:val="en-US" w:eastAsia="en-US" w:bidi="en-US"/>
        </w:rPr>
        <w:t>FC</w:t>
      </w:r>
      <w:r w:rsidRPr="004E0FC4">
        <w:rPr>
          <w:rFonts w:ascii="Bookman Old Style" w:eastAsia="Bookman Old Style" w:hAnsi="Bookman Old Style" w:cs="Bookman Old Style"/>
          <w:i/>
          <w:iCs/>
          <w:color w:val="231F20"/>
          <w:sz w:val="18"/>
          <w:szCs w:val="18"/>
          <w:vertAlign w:val="subscript"/>
          <w:lang w:val="en-US" w:eastAsia="en-US" w:bidi="en-US"/>
        </w:rPr>
        <w:t>t</w:t>
      </w:r>
      <w:r w:rsidRPr="004E0FC4">
        <w:rPr>
          <w:rFonts w:ascii="Bookman Old Style" w:eastAsia="Bookman Old Style" w:hAnsi="Bookman Old Style" w:cs="Bookman Old Style"/>
          <w:i/>
          <w:iCs/>
          <w:color w:val="231F20"/>
          <w:sz w:val="18"/>
          <w:szCs w:val="18"/>
          <w:lang w:val="en-US" w:eastAsia="en-US" w:bidi="en-US"/>
        </w:rPr>
        <w:t>j</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компенсация </w:t>
      </w:r>
      <w:r w:rsidRPr="004E0FC4">
        <w:rPr>
          <w:rFonts w:ascii="Bookman Old Style" w:eastAsia="Bookman Old Style" w:hAnsi="Bookman Old Style" w:cs="Bookman Old Style"/>
          <w:color w:val="231F20"/>
          <w:sz w:val="18"/>
          <w:szCs w:val="18"/>
          <w:lang w:val="en-US" w:eastAsia="en-US" w:bidi="en-US"/>
        </w:rPr>
        <w:t>j</w:t>
      </w:r>
      <w:r w:rsidRPr="004E0FC4">
        <w:rPr>
          <w:rFonts w:ascii="Bookman Old Style" w:eastAsia="Bookman Old Style" w:hAnsi="Bookman Old Style" w:cs="Bookman Old Style"/>
          <w:color w:val="231F20"/>
          <w:sz w:val="18"/>
          <w:szCs w:val="18"/>
        </w:rPr>
        <w:t xml:space="preserve">-го вида затрат за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 xml:space="preserve">-й год; </w:t>
      </w:r>
      <w:r w:rsidRPr="004E0FC4">
        <w:rPr>
          <w:rFonts w:ascii="Bookman Old Style" w:eastAsia="Bookman Old Style" w:hAnsi="Bookman Old Style" w:cs="Bookman Old Style"/>
          <w:i/>
          <w:iCs/>
          <w:color w:val="231F20"/>
          <w:sz w:val="18"/>
          <w:szCs w:val="18"/>
          <w:lang w:val="en-US" w:eastAsia="en-US" w:bidi="en-US"/>
        </w:rPr>
        <w:t>Ind</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прогноз</w:t>
      </w:r>
      <w:r w:rsidRPr="004E0FC4">
        <w:rPr>
          <w:rFonts w:ascii="Bookman Old Style" w:eastAsia="Bookman Old Style" w:hAnsi="Bookman Old Style" w:cs="Bookman Old Style"/>
          <w:color w:val="231F20"/>
          <w:sz w:val="18"/>
          <w:szCs w:val="18"/>
        </w:rPr>
        <w:softHyphen/>
        <w:t xml:space="preserve">ный индекс в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-м году.</w:t>
      </w:r>
    </w:p>
    <w:p w14:paraId="001434CF" w14:textId="77777777" w:rsidR="00350396" w:rsidRPr="004E0FC4" w:rsidRDefault="00350396" w:rsidP="004E0FC4">
      <w:pPr>
        <w:widowControl w:val="0"/>
        <w:spacing w:after="164"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Ожидаемая величина переменной операционной части в форму</w:t>
      </w:r>
      <w:r w:rsidRPr="004E0FC4">
        <w:rPr>
          <w:rFonts w:ascii="Bookman Old Style" w:eastAsia="Bookman Old Style" w:hAnsi="Bookman Old Style" w:cs="Bookman Old Style"/>
          <w:color w:val="231F20"/>
          <w:sz w:val="18"/>
          <w:szCs w:val="18"/>
        </w:rPr>
        <w:softHyphen/>
        <w:t xml:space="preserve">ле (4.1) для каждого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-го года предоставления услуг рассчитывается по следующей формуле:</w:t>
      </w:r>
    </w:p>
    <w:p w14:paraId="223A8B12" w14:textId="77777777" w:rsidR="00350396" w:rsidRPr="004E0FC4" w:rsidRDefault="00350396" w:rsidP="004E0FC4">
      <w:pPr>
        <w:widowControl w:val="0"/>
        <w:tabs>
          <w:tab w:val="left" w:pos="3385"/>
        </w:tabs>
        <w:spacing w:line="200" w:lineRule="exact"/>
        <w:ind w:left="2840" w:firstLine="0"/>
        <w:rPr>
          <w:rFonts w:ascii="Bookman Old Style" w:eastAsia="Bookman Old Style" w:hAnsi="Bookman Old Style" w:cs="Bookman Old Style"/>
          <w:i/>
          <w:iCs/>
          <w:color w:val="auto"/>
          <w:sz w:val="18"/>
          <w:szCs w:val="18"/>
          <w:lang w:val="en-US" w:eastAsia="en-US" w:bidi="en-US"/>
        </w:rPr>
      </w:pPr>
      <w:r w:rsidRPr="004E0FC4">
        <w:rPr>
          <w:rFonts w:ascii="Bookman Old Style" w:eastAsia="Bookman Old Style" w:hAnsi="Bookman Old Style" w:cs="Bookman Old Style"/>
          <w:i/>
          <w:iCs/>
          <w:color w:val="auto"/>
          <w:sz w:val="18"/>
          <w:szCs w:val="18"/>
          <w:lang w:val="en-US" w:eastAsia="en-US" w:bidi="en-US"/>
        </w:rPr>
        <w:fldChar w:fldCharType="begin"/>
      </w:r>
      <w:r w:rsidRPr="004E0FC4">
        <w:rPr>
          <w:rFonts w:ascii="Bookman Old Style" w:eastAsia="Bookman Old Style" w:hAnsi="Bookman Old Style" w:cs="Bookman Old Style"/>
          <w:i/>
          <w:iCs/>
          <w:color w:val="auto"/>
          <w:sz w:val="18"/>
          <w:szCs w:val="18"/>
          <w:lang w:val="en-US" w:eastAsia="en-US" w:bidi="en-US"/>
        </w:rPr>
        <w:instrText xml:space="preserve"> TOC \o "1-5" \h \z </w:instrText>
      </w:r>
      <w:r w:rsidRPr="004E0FC4">
        <w:rPr>
          <w:rFonts w:ascii="Bookman Old Style" w:eastAsia="Bookman Old Style" w:hAnsi="Bookman Old Style" w:cs="Bookman Old Style"/>
          <w:i/>
          <w:iCs/>
          <w:color w:val="auto"/>
          <w:sz w:val="18"/>
          <w:szCs w:val="18"/>
          <w:lang w:val="en-US" w:eastAsia="en-US" w:bidi="en-US"/>
        </w:rPr>
        <w:fldChar w:fldCharType="separate"/>
      </w:r>
      <w:r w:rsidRPr="004E0FC4">
        <w:rPr>
          <w:rFonts w:ascii="Bookman Old Style" w:eastAsia="Bookman Old Style" w:hAnsi="Bookman Old Style" w:cs="Bookman Old Style"/>
          <w:i/>
          <w:iCs/>
          <w:color w:val="auto"/>
          <w:sz w:val="18"/>
          <w:szCs w:val="18"/>
          <w:lang w:val="en-US" w:eastAsia="en-US" w:bidi="en-US"/>
        </w:rPr>
        <w:t>n</w:t>
      </w:r>
      <w:r w:rsidRPr="004E0FC4">
        <w:rPr>
          <w:rFonts w:ascii="Bookman Old Style" w:eastAsia="Bookman Old Style" w:hAnsi="Bookman Old Style" w:cs="Bookman Old Style"/>
          <w:i/>
          <w:iCs/>
          <w:color w:val="auto"/>
          <w:sz w:val="18"/>
          <w:szCs w:val="18"/>
          <w:lang w:val="en-US" w:eastAsia="en-US" w:bidi="en-US"/>
        </w:rPr>
        <w:tab/>
        <w:t>m</w:t>
      </w:r>
    </w:p>
    <w:p w14:paraId="3AF5E8EA" w14:textId="77777777" w:rsidR="00350396" w:rsidRPr="004E0FC4" w:rsidRDefault="00350396" w:rsidP="004E0FC4">
      <w:pPr>
        <w:widowControl w:val="0"/>
        <w:tabs>
          <w:tab w:val="left" w:pos="6100"/>
        </w:tabs>
        <w:spacing w:line="202" w:lineRule="exact"/>
        <w:ind w:left="2000" w:firstLine="0"/>
        <w:rPr>
          <w:rFonts w:ascii="Bookman Old Style" w:eastAsia="Bookman Old Style" w:hAnsi="Bookman Old Style" w:cs="Bookman Old Style"/>
          <w:color w:val="auto"/>
          <w:sz w:val="18"/>
          <w:szCs w:val="18"/>
          <w:lang w:val="en-US" w:eastAsia="en-US" w:bidi="ar-SA"/>
        </w:rPr>
      </w:pPr>
      <w:r w:rsidRPr="004E0FC4">
        <w:rPr>
          <w:rFonts w:ascii="Bookman Old Style" w:eastAsia="Bookman Old Style" w:hAnsi="Bookman Old Style" w:cs="Bookman Old Style"/>
          <w:i/>
          <w:iCs/>
          <w:sz w:val="18"/>
          <w:szCs w:val="18"/>
          <w:shd w:val="clear" w:color="auto" w:fill="FFFFFF"/>
          <w:lang w:val="en-US" w:eastAsia="en-US" w:bidi="en-US"/>
        </w:rPr>
        <w:t>P(VCt</w:t>
      </w:r>
      <w:r w:rsidRPr="004E0FC4">
        <w:rPr>
          <w:rFonts w:ascii="Bookman Old Style" w:eastAsia="Bookman Old Style" w:hAnsi="Bookman Old Style" w:cs="Bookman Old Style"/>
          <w:color w:val="auto"/>
          <w:sz w:val="18"/>
          <w:szCs w:val="18"/>
          <w:lang w:val="en-US" w:eastAsia="en-US" w:bidi="ar-SA"/>
        </w:rPr>
        <w:t xml:space="preserve">) = </w:t>
      </w:r>
      <w:r w:rsidRPr="004E0FC4">
        <w:rPr>
          <w:rFonts w:ascii="Bookman Old Style" w:eastAsia="Bookman Old Style" w:hAnsi="Bookman Old Style" w:cs="Bookman Old Style"/>
          <w:color w:val="auto"/>
          <w:sz w:val="18"/>
          <w:szCs w:val="18"/>
          <w:lang w:val="en-US" w:eastAsia="en-US" w:bidi="en-US"/>
        </w:rPr>
        <w:t xml:space="preserve">I </w:t>
      </w:r>
      <w:r w:rsidRPr="004E0FC4">
        <w:rPr>
          <w:rFonts w:ascii="Bookman Old Style" w:eastAsia="Bookman Old Style" w:hAnsi="Bookman Old Style" w:cs="Bookman Old Style"/>
          <w:i/>
          <w:iCs/>
          <w:sz w:val="18"/>
          <w:szCs w:val="18"/>
          <w:shd w:val="clear" w:color="auto" w:fill="FFFFFF"/>
          <w:lang w:val="en-US" w:eastAsia="en-US" w:bidi="en-US"/>
        </w:rPr>
        <w:t>V</w:t>
      </w:r>
      <w:r w:rsidRPr="004E0FC4">
        <w:rPr>
          <w:rFonts w:ascii="Bookman Old Style" w:eastAsia="Bookman Old Style" w:hAnsi="Bookman Old Style" w:cs="Bookman Old Style"/>
          <w:i/>
          <w:iCs/>
          <w:sz w:val="18"/>
          <w:szCs w:val="18"/>
          <w:shd w:val="clear" w:color="auto" w:fill="FFFFFF"/>
          <w:vertAlign w:val="subscript"/>
          <w:lang w:val="en-US" w:eastAsia="en-US" w:bidi="en-US"/>
        </w:rPr>
        <w:t>t</w:t>
      </w:r>
      <w:r w:rsidRPr="004E0FC4">
        <w:rPr>
          <w:rFonts w:ascii="Bookman Old Style" w:eastAsia="Bookman Old Style" w:hAnsi="Bookman Old Style" w:cs="Bookman Old Style"/>
          <w:i/>
          <w:iCs/>
          <w:sz w:val="18"/>
          <w:szCs w:val="18"/>
          <w:shd w:val="clear" w:color="auto" w:fill="FFFFFF"/>
          <w:lang w:val="en-US" w:eastAsia="en-US" w:bidi="en-US"/>
        </w:rPr>
        <w:t xml:space="preserve"> (i)</w:t>
      </w:r>
      <w:r w:rsidRPr="004E0FC4">
        <w:rPr>
          <w:rFonts w:ascii="Bookman Old Style" w:eastAsia="Bookman Old Style" w:hAnsi="Bookman Old Style" w:cs="Bookman Old Style"/>
          <w:color w:val="auto"/>
          <w:sz w:val="18"/>
          <w:szCs w:val="18"/>
          <w:lang w:val="en-US" w:eastAsia="en-US" w:bidi="en-US"/>
        </w:rPr>
        <w:t xml:space="preserve"> I </w:t>
      </w:r>
      <w:r w:rsidRPr="004E0FC4">
        <w:rPr>
          <w:rFonts w:ascii="Bookman Old Style" w:eastAsia="Bookman Old Style" w:hAnsi="Bookman Old Style" w:cs="Bookman Old Style"/>
          <w:i/>
          <w:iCs/>
          <w:sz w:val="18"/>
          <w:szCs w:val="18"/>
          <w:shd w:val="clear" w:color="auto" w:fill="FFFFFF"/>
          <w:lang w:val="en-US" w:eastAsia="en-US" w:bidi="en-US"/>
        </w:rPr>
        <w:t>VCtjIndj</w:t>
      </w:r>
      <w:r w:rsidRPr="004E0FC4">
        <w:rPr>
          <w:rFonts w:ascii="Bookman Old Style" w:eastAsia="Bookman Old Style" w:hAnsi="Bookman Old Style" w:cs="Bookman Old Style"/>
          <w:color w:val="auto"/>
          <w:sz w:val="18"/>
          <w:szCs w:val="18"/>
          <w:lang w:val="en-US" w:eastAsia="en-US" w:bidi="en-US"/>
        </w:rPr>
        <w:t xml:space="preserve"> (t)</w:t>
      </w:r>
      <w:r w:rsidRPr="004E0FC4">
        <w:rPr>
          <w:rFonts w:ascii="Bookman Old Style" w:eastAsia="Bookman Old Style" w:hAnsi="Bookman Old Style" w:cs="Bookman Old Style"/>
          <w:color w:val="231F20"/>
          <w:sz w:val="18"/>
          <w:szCs w:val="18"/>
          <w:shd w:val="clear" w:color="auto" w:fill="FFFFFF"/>
          <w:lang w:val="en-US" w:bidi="en-US"/>
        </w:rPr>
        <w:t>,</w:t>
      </w:r>
      <w:r w:rsidRPr="004E0FC4">
        <w:rPr>
          <w:rFonts w:ascii="Bookman Old Style" w:eastAsia="Bookman Old Style" w:hAnsi="Bookman Old Style" w:cs="Bookman Old Style"/>
          <w:color w:val="231F20"/>
          <w:sz w:val="18"/>
          <w:szCs w:val="18"/>
          <w:shd w:val="clear" w:color="auto" w:fill="FFFFFF"/>
          <w:lang w:val="en-US" w:bidi="en-US"/>
        </w:rPr>
        <w:tab/>
        <w:t>(4.3)</w:t>
      </w:r>
    </w:p>
    <w:p w14:paraId="06F5230A" w14:textId="77777777" w:rsidR="00350396" w:rsidRPr="004E0FC4" w:rsidRDefault="00350396" w:rsidP="004E0FC4">
      <w:pPr>
        <w:widowControl w:val="0"/>
        <w:tabs>
          <w:tab w:val="left" w:pos="3385"/>
        </w:tabs>
        <w:spacing w:after="70" w:line="192" w:lineRule="exact"/>
        <w:ind w:left="2840" w:firstLine="0"/>
        <w:rPr>
          <w:rFonts w:ascii="Bookman Old Style" w:hAnsi="Bookman Old Style"/>
          <w:sz w:val="18"/>
          <w:szCs w:val="18"/>
        </w:rPr>
      </w:pPr>
      <w:r w:rsidRPr="004E0FC4">
        <w:rPr>
          <w:rFonts w:ascii="Bookman Old Style" w:hAnsi="Bookman Old Style"/>
          <w:sz w:val="18"/>
          <w:szCs w:val="18"/>
          <w:lang w:val="en-US" w:eastAsia="en-US" w:bidi="en-US"/>
        </w:rPr>
        <w:t>i</w:t>
      </w:r>
      <w:r w:rsidRPr="004E0FC4">
        <w:rPr>
          <w:rFonts w:ascii="Bookman Old Style" w:hAnsi="Bookman Old Style"/>
          <w:sz w:val="18"/>
          <w:szCs w:val="18"/>
          <w:lang w:eastAsia="en-US" w:bidi="en-US"/>
        </w:rPr>
        <w:t>=</w:t>
      </w:r>
      <w:r w:rsidRPr="004E0FC4">
        <w:rPr>
          <w:rFonts w:ascii="Bookman Old Style" w:hAnsi="Bookman Old Style"/>
          <w:sz w:val="18"/>
          <w:szCs w:val="18"/>
          <w:lang w:val="en-US" w:eastAsia="en-US" w:bidi="en-US"/>
        </w:rPr>
        <w:t>i</w:t>
      </w:r>
      <w:r w:rsidRPr="004E0FC4">
        <w:rPr>
          <w:rFonts w:ascii="Bookman Old Style" w:hAnsi="Bookman Old Style"/>
          <w:sz w:val="18"/>
          <w:szCs w:val="18"/>
          <w:lang w:eastAsia="en-US" w:bidi="en-US"/>
        </w:rPr>
        <w:tab/>
      </w:r>
      <w:r w:rsidRPr="004E0FC4">
        <w:rPr>
          <w:rFonts w:ascii="Bookman Old Style" w:hAnsi="Bookman Old Style"/>
          <w:sz w:val="18"/>
          <w:szCs w:val="18"/>
          <w:lang w:val="en-US" w:eastAsia="en-US" w:bidi="en-US"/>
        </w:rPr>
        <w:t>j</w:t>
      </w:r>
      <w:r w:rsidRPr="004E0FC4">
        <w:rPr>
          <w:rFonts w:ascii="Bookman Old Style" w:hAnsi="Bookman Old Style"/>
          <w:sz w:val="18"/>
          <w:szCs w:val="18"/>
          <w:lang w:eastAsia="en-US" w:bidi="en-US"/>
        </w:rPr>
        <w:t>=</w:t>
      </w:r>
      <w:r w:rsidRPr="004E0FC4">
        <w:rPr>
          <w:rFonts w:ascii="Bookman Old Style" w:hAnsi="Bookman Old Style"/>
          <w:sz w:val="18"/>
          <w:szCs w:val="18"/>
          <w:lang w:val="en-US" w:eastAsia="en-US" w:bidi="en-US"/>
        </w:rPr>
        <w:t>i</w:t>
      </w:r>
      <w:r w:rsidRPr="004E0FC4">
        <w:rPr>
          <w:rFonts w:ascii="Bookman Old Style" w:hAnsi="Bookman Old Style"/>
          <w:sz w:val="18"/>
          <w:szCs w:val="18"/>
        </w:rPr>
        <w:fldChar w:fldCharType="end"/>
      </w:r>
    </w:p>
    <w:p w14:paraId="054DFBCC" w14:textId="77777777" w:rsidR="00350396" w:rsidRPr="004E0FC4" w:rsidRDefault="00350396" w:rsidP="004E0FC4">
      <w:pPr>
        <w:widowControl w:val="0"/>
        <w:spacing w:line="254"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где </w:t>
      </w:r>
      <w:r w:rsidRPr="004E0FC4">
        <w:rPr>
          <w:rFonts w:ascii="Bookman Old Style" w:eastAsia="Bookman Old Style" w:hAnsi="Bookman Old Style" w:cs="Bookman Old Style"/>
          <w:color w:val="231F20"/>
          <w:sz w:val="18"/>
          <w:szCs w:val="18"/>
          <w:lang w:val="en-US" w:eastAsia="en-US" w:bidi="en-US"/>
        </w:rPr>
        <w:t>V</w:t>
      </w:r>
      <w:r w:rsidRPr="004E0FC4">
        <w:rPr>
          <w:rFonts w:ascii="Bookman Old Style" w:eastAsia="Bookman Old Style" w:hAnsi="Bookman Old Style" w:cs="Bookman Old Style"/>
          <w:color w:val="231F20"/>
          <w:sz w:val="18"/>
          <w:szCs w:val="18"/>
          <w:vertAlign w:val="subscript"/>
          <w:lang w:val="en-US" w:eastAsia="en-US" w:bidi="en-US"/>
        </w:rPr>
        <w:t>t</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i</w:t>
      </w:r>
      <w:r w:rsidRPr="004E0FC4">
        <w:rPr>
          <w:rFonts w:ascii="Bookman Old Style" w:eastAsia="Bookman Old Style" w:hAnsi="Bookman Old Style" w:cs="Bookman Old Style"/>
          <w:color w:val="231F20"/>
          <w:sz w:val="18"/>
          <w:szCs w:val="18"/>
          <w:lang w:eastAsia="en-US" w:bidi="en-US"/>
        </w:rPr>
        <w:t xml:space="preserve">) — </w:t>
      </w:r>
      <w:r w:rsidRPr="004E0FC4">
        <w:rPr>
          <w:rFonts w:ascii="Bookman Old Style" w:eastAsia="Bookman Old Style" w:hAnsi="Bookman Old Style" w:cs="Bookman Old Style"/>
          <w:color w:val="231F20"/>
          <w:sz w:val="18"/>
          <w:szCs w:val="18"/>
        </w:rPr>
        <w:t xml:space="preserve">ожидаемый объем </w:t>
      </w:r>
      <w:r w:rsidRPr="004E0FC4">
        <w:rPr>
          <w:rFonts w:ascii="Bookman Old Style" w:eastAsia="Bookman Old Style" w:hAnsi="Bookman Old Style" w:cs="Bookman Old Style"/>
          <w:color w:val="231F20"/>
          <w:sz w:val="18"/>
          <w:szCs w:val="18"/>
          <w:lang w:val="en-US" w:eastAsia="en-US" w:bidi="en-US"/>
        </w:rPr>
        <w:t>i</w:t>
      </w:r>
      <w:r w:rsidRPr="004E0FC4">
        <w:rPr>
          <w:rFonts w:ascii="Bookman Old Style" w:eastAsia="Bookman Old Style" w:hAnsi="Bookman Old Style" w:cs="Bookman Old Style"/>
          <w:color w:val="231F20"/>
          <w:sz w:val="18"/>
          <w:szCs w:val="18"/>
        </w:rPr>
        <w:t xml:space="preserve">-го вида услуги/товара в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 xml:space="preserve">-м году; </w:t>
      </w:r>
      <w:r w:rsidRPr="004E0FC4">
        <w:rPr>
          <w:rFonts w:ascii="Bookman Old Style" w:eastAsia="Bookman Old Style" w:hAnsi="Bookman Old Style" w:cs="Bookman Old Style"/>
          <w:i/>
          <w:iCs/>
          <w:color w:val="231F20"/>
          <w:sz w:val="18"/>
          <w:szCs w:val="18"/>
          <w:lang w:val="en-US" w:eastAsia="en-US" w:bidi="en-US"/>
        </w:rPr>
        <w:t>VC</w:t>
      </w:r>
      <w:r w:rsidRPr="004E0FC4">
        <w:rPr>
          <w:rFonts w:ascii="Bookman Old Style" w:eastAsia="Bookman Old Style" w:hAnsi="Bookman Old Style" w:cs="Bookman Old Style"/>
          <w:i/>
          <w:iCs/>
          <w:color w:val="231F20"/>
          <w:sz w:val="18"/>
          <w:szCs w:val="18"/>
          <w:vertAlign w:val="subscript"/>
          <w:lang w:val="en-US" w:eastAsia="en-US" w:bidi="en-US"/>
        </w:rPr>
        <w:t>t</w:t>
      </w:r>
      <w:r w:rsidRPr="004E0FC4">
        <w:rPr>
          <w:rFonts w:ascii="Bookman Old Style" w:eastAsia="Bookman Old Style" w:hAnsi="Bookman Old Style" w:cs="Bookman Old Style"/>
          <w:i/>
          <w:iCs/>
          <w:color w:val="231F20"/>
          <w:sz w:val="18"/>
          <w:szCs w:val="18"/>
          <w:lang w:val="en-US" w:eastAsia="en-US" w:bidi="en-US"/>
        </w:rPr>
        <w:t>j</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компенсация затрат на </w:t>
      </w:r>
      <w:r w:rsidRPr="004E0FC4">
        <w:rPr>
          <w:rFonts w:ascii="Bookman Old Style" w:eastAsia="Bookman Old Style" w:hAnsi="Bookman Old Style" w:cs="Bookman Old Style"/>
          <w:color w:val="231F20"/>
          <w:sz w:val="18"/>
          <w:szCs w:val="18"/>
          <w:lang w:val="en-US" w:eastAsia="en-US" w:bidi="en-US"/>
        </w:rPr>
        <w:t>j</w:t>
      </w:r>
      <w:r w:rsidRPr="004E0FC4">
        <w:rPr>
          <w:rFonts w:ascii="Bookman Old Style" w:eastAsia="Bookman Old Style" w:hAnsi="Bookman Old Style" w:cs="Bookman Old Style"/>
          <w:color w:val="231F20"/>
          <w:sz w:val="18"/>
          <w:szCs w:val="18"/>
        </w:rPr>
        <w:t xml:space="preserve">-й вид за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 xml:space="preserve">-й год; </w:t>
      </w:r>
      <w:r w:rsidRPr="004E0FC4">
        <w:rPr>
          <w:rFonts w:ascii="Bookman Old Style" w:eastAsia="Bookman Old Style" w:hAnsi="Bookman Old Style" w:cs="Bookman Old Style"/>
          <w:i/>
          <w:iCs/>
          <w:color w:val="231F20"/>
          <w:sz w:val="18"/>
          <w:szCs w:val="18"/>
          <w:lang w:val="en-US" w:eastAsia="en-US" w:bidi="en-US"/>
        </w:rPr>
        <w:t>Ind</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прогноз</w:t>
      </w:r>
      <w:r w:rsidRPr="004E0FC4">
        <w:rPr>
          <w:rFonts w:ascii="Bookman Old Style" w:eastAsia="Bookman Old Style" w:hAnsi="Bookman Old Style" w:cs="Bookman Old Style"/>
          <w:color w:val="231F20"/>
          <w:sz w:val="18"/>
          <w:szCs w:val="18"/>
        </w:rPr>
        <w:softHyphen/>
        <w:t xml:space="preserve">ный индекс </w:t>
      </w:r>
      <w:r w:rsidRPr="004E0FC4">
        <w:rPr>
          <w:rFonts w:ascii="Bookman Old Style" w:eastAsia="Bookman Old Style" w:hAnsi="Bookman Old Style" w:cs="Bookman Old Style"/>
          <w:color w:val="231F20"/>
          <w:sz w:val="18"/>
          <w:szCs w:val="18"/>
          <w:lang w:val="en-US" w:eastAsia="en-US" w:bidi="en-US"/>
        </w:rPr>
        <w:t>j</w:t>
      </w:r>
      <w:r w:rsidRPr="004E0FC4">
        <w:rPr>
          <w:rFonts w:ascii="Bookman Old Style" w:eastAsia="Bookman Old Style" w:hAnsi="Bookman Old Style" w:cs="Bookman Old Style"/>
          <w:color w:val="231F20"/>
          <w:sz w:val="18"/>
          <w:szCs w:val="18"/>
        </w:rPr>
        <w:t xml:space="preserve">-го вида в </w:t>
      </w:r>
      <w:r w:rsidRPr="004E0FC4">
        <w:rPr>
          <w:rFonts w:ascii="Bookman Old Style" w:eastAsia="Bookman Old Style" w:hAnsi="Bookman Old Style" w:cs="Bookman Old Style"/>
          <w:color w:val="231F20"/>
          <w:sz w:val="18"/>
          <w:szCs w:val="18"/>
          <w:lang w:val="en-US" w:eastAsia="en-US" w:bidi="en-US"/>
        </w:rPr>
        <w:t>t</w:t>
      </w:r>
      <w:r w:rsidRPr="004E0FC4">
        <w:rPr>
          <w:rFonts w:ascii="Bookman Old Style" w:eastAsia="Bookman Old Style" w:hAnsi="Bookman Old Style" w:cs="Bookman Old Style"/>
          <w:color w:val="231F20"/>
          <w:sz w:val="18"/>
          <w:szCs w:val="18"/>
        </w:rPr>
        <w:t>-м году.</w:t>
      </w:r>
    </w:p>
    <w:p w14:paraId="1BC16753"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 формировании финансовой модели государственно-частно</w:t>
      </w:r>
      <w:r w:rsidRPr="004E0FC4">
        <w:rPr>
          <w:rFonts w:ascii="Bookman Old Style" w:eastAsia="Bookman Old Style" w:hAnsi="Bookman Old Style" w:cs="Bookman Old Style"/>
          <w:color w:val="231F20"/>
          <w:sz w:val="18"/>
          <w:szCs w:val="18"/>
        </w:rPr>
        <w:softHyphen/>
        <w:t>го партнерства необходимо в обязательном порядке учитывать, что величина суммы, необходимой частному партнеру на реализацию проекта, должна быть не менее полученной суммы (4.1).</w:t>
      </w:r>
    </w:p>
    <w:p w14:paraId="65A5A70D"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Таким образом, если мы производим расчет по финансовой мо</w:t>
      </w:r>
      <w:r w:rsidRPr="004E0FC4">
        <w:rPr>
          <w:rFonts w:ascii="Bookman Old Style" w:eastAsia="Bookman Old Style" w:hAnsi="Bookman Old Style" w:cs="Bookman Old Style"/>
          <w:color w:val="231F20"/>
          <w:sz w:val="18"/>
          <w:szCs w:val="18"/>
        </w:rPr>
        <w:softHyphen/>
        <w:t>дели проекта, реализуемого по схеме государственно-частного пар</w:t>
      </w:r>
      <w:r w:rsidRPr="004E0FC4">
        <w:rPr>
          <w:rFonts w:ascii="Bookman Old Style" w:eastAsia="Bookman Old Style" w:hAnsi="Bookman Old Style" w:cs="Bookman Old Style"/>
          <w:color w:val="231F20"/>
          <w:sz w:val="18"/>
          <w:szCs w:val="18"/>
        </w:rPr>
        <w:softHyphen/>
        <w:t>тнерства, то суммы полученных субсидий должны быть рассчитаны с учетом ограничений, полученных по формулам (4.1)—(4.3).</w:t>
      </w:r>
    </w:p>
    <w:p w14:paraId="1F069E01"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Кроме того, в стадии реализации проекта в формуле также могут учитываться доходы инвестора от реализации проекта, т. е. часть суммы </w:t>
      </w:r>
      <w:r w:rsidRPr="004E0FC4">
        <w:rPr>
          <w:rFonts w:ascii="Bookman Old Style" w:eastAsia="Bookman Old Style" w:hAnsi="Bookman Old Style" w:cs="Bookman Old Style"/>
          <w:i/>
          <w:iCs/>
          <w:color w:val="231F20"/>
          <w:sz w:val="18"/>
          <w:szCs w:val="18"/>
          <w:lang w:val="en-US" w:eastAsia="en-US" w:bidi="en-US"/>
        </w:rPr>
        <w:t>P</w:t>
      </w:r>
      <w:r w:rsidRPr="004E0FC4">
        <w:rPr>
          <w:rFonts w:ascii="Bookman Old Style" w:eastAsia="Bookman Old Style" w:hAnsi="Bookman Old Style" w:cs="Bookman Old Style"/>
          <w:i/>
          <w:iCs/>
          <w:color w:val="231F20"/>
          <w:sz w:val="18"/>
          <w:szCs w:val="18"/>
          <w:vertAlign w:val="subscript"/>
          <w:lang w:val="en-US" w:eastAsia="en-US" w:bidi="en-US"/>
        </w:rPr>
        <w:t>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на стадии функционирования проекта может быть покры</w:t>
      </w:r>
      <w:r w:rsidRPr="004E0FC4">
        <w:rPr>
          <w:rFonts w:ascii="Bookman Old Style" w:eastAsia="Bookman Old Style" w:hAnsi="Bookman Old Style" w:cs="Bookman Old Style"/>
          <w:color w:val="231F20"/>
          <w:sz w:val="18"/>
          <w:szCs w:val="18"/>
        </w:rPr>
        <w:softHyphen/>
        <w:t>та за счет доходов от реализации самого проекта.</w:t>
      </w:r>
    </w:p>
    <w:p w14:paraId="5BE83EA4"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Большинство проектов, реализуемых в формате государственно</w:t>
      </w:r>
      <w:r w:rsidRPr="004E0FC4">
        <w:rPr>
          <w:rFonts w:ascii="Bookman Old Style" w:eastAsia="Bookman Old Style" w:hAnsi="Bookman Old Style" w:cs="Bookman Old Style"/>
          <w:color w:val="231F20"/>
          <w:sz w:val="18"/>
          <w:szCs w:val="18"/>
        </w:rPr>
        <w:softHyphen/>
        <w:t>частного партнерства, предполагает постепенное покрытие расхо</w:t>
      </w:r>
      <w:r w:rsidRPr="004E0FC4">
        <w:rPr>
          <w:rFonts w:ascii="Bookman Old Style" w:eastAsia="Bookman Old Style" w:hAnsi="Bookman Old Style" w:cs="Bookman Old Style"/>
          <w:color w:val="231F20"/>
          <w:sz w:val="18"/>
          <w:szCs w:val="18"/>
        </w:rPr>
        <w:softHyphen/>
        <w:t xml:space="preserve">дов инвестора на реализацию проекта за счет доходов, полученных от его </w:t>
      </w:r>
      <w:r w:rsidRPr="004E0FC4">
        <w:rPr>
          <w:rFonts w:ascii="Bookman Old Style" w:eastAsia="Bookman Old Style" w:hAnsi="Bookman Old Style" w:cs="Bookman Old Style"/>
          <w:color w:val="231F20"/>
          <w:sz w:val="18"/>
          <w:szCs w:val="18"/>
        </w:rPr>
        <w:lastRenderedPageBreak/>
        <w:t>реализации. Однако необходимо также учитывать, что инве</w:t>
      </w:r>
      <w:r w:rsidRPr="004E0FC4">
        <w:rPr>
          <w:rFonts w:ascii="Bookman Old Style" w:eastAsia="Bookman Old Style" w:hAnsi="Bookman Old Style" w:cs="Bookman Old Style"/>
          <w:color w:val="231F20"/>
          <w:sz w:val="18"/>
          <w:szCs w:val="18"/>
        </w:rPr>
        <w:softHyphen/>
        <w:t>стор обращает внимание не только на валовый доход, но и на рас</w:t>
      </w:r>
      <w:r w:rsidRPr="004E0FC4">
        <w:rPr>
          <w:rFonts w:ascii="Bookman Old Style" w:eastAsia="Bookman Old Style" w:hAnsi="Bookman Old Style" w:cs="Bookman Old Style"/>
          <w:color w:val="231F20"/>
          <w:sz w:val="18"/>
          <w:szCs w:val="18"/>
        </w:rPr>
        <w:softHyphen/>
        <w:t>пределение денежных средств во времени.</w:t>
      </w:r>
    </w:p>
    <w:p w14:paraId="77B7EED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Еще одним важным аспектом оценки эффективности проекта ГЧП следует считать оценку эффекта от привлечени</w:t>
      </w:r>
      <w:r w:rsidRPr="004E0FC4">
        <w:rPr>
          <w:rFonts w:ascii="Bookman Old Style" w:eastAsia="Bookman Old Style" w:hAnsi="Bookman Old Style" w:cs="Bookman Old Style"/>
          <w:color w:val="231F20"/>
          <w:sz w:val="18"/>
          <w:szCs w:val="18"/>
          <w:highlight w:val="green"/>
        </w:rPr>
        <w:t>я</w:t>
      </w:r>
      <w:r w:rsidRPr="004E0FC4">
        <w:rPr>
          <w:rFonts w:ascii="Bookman Old Style" w:eastAsia="Bookman Old Style" w:hAnsi="Bookman Old Style" w:cs="Bookman Old Style"/>
          <w:color w:val="231F20"/>
          <w:sz w:val="18"/>
          <w:szCs w:val="18"/>
        </w:rPr>
        <w:t xml:space="preserve"> иностранных партнеров для совместной инновационной деятельности. В этом случае целесообразно измерять </w:t>
      </w:r>
      <w:r w:rsidRPr="004E0FC4">
        <w:rPr>
          <w:rFonts w:ascii="Bookman Old Style" w:eastAsia="Bookman Old Style" w:hAnsi="Bookman Old Style" w:cs="Bookman Old Style"/>
          <w:i/>
          <w:iCs/>
          <w:color w:val="231F20"/>
          <w:sz w:val="18"/>
          <w:szCs w:val="18"/>
        </w:rPr>
        <w:t>интегральный экономический эф</w:t>
      </w:r>
      <w:r w:rsidRPr="004E0FC4">
        <w:rPr>
          <w:rFonts w:ascii="Bookman Old Style" w:eastAsia="Bookman Old Style" w:hAnsi="Bookman Old Style" w:cs="Bookman Old Style"/>
          <w:i/>
          <w:iCs/>
          <w:color w:val="231F20"/>
          <w:sz w:val="18"/>
          <w:szCs w:val="18"/>
        </w:rPr>
        <w:softHyphen/>
        <w:t>фект</w:t>
      </w:r>
      <w:r w:rsidRPr="004E0FC4">
        <w:rPr>
          <w:rFonts w:ascii="Bookman Old Style" w:eastAsia="Bookman Old Style" w:hAnsi="Bookman Old Style" w:cs="Bookman Old Style"/>
          <w:color w:val="231F20"/>
          <w:sz w:val="18"/>
          <w:szCs w:val="18"/>
        </w:rPr>
        <w:t xml:space="preserve"> от взаимодействия с иностранными партнерами по созданию инновационного продукта в рамках ГЧП.</w:t>
      </w:r>
    </w:p>
    <w:p w14:paraId="6652C96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Следует понимать, что измерение данного эффекта в актуальных условиях, когда опыт вовлечения иностранных партнеров в догово</w:t>
      </w:r>
      <w:r w:rsidRPr="004E0FC4">
        <w:rPr>
          <w:rFonts w:ascii="Bookman Old Style" w:eastAsia="Bookman Old Style" w:hAnsi="Bookman Old Style" w:cs="Bookman Old Style"/>
          <w:color w:val="231F20"/>
          <w:sz w:val="18"/>
          <w:szCs w:val="18"/>
        </w:rPr>
        <w:softHyphen/>
        <w:t>ры ГЧП в России ограничивается единичными проектами, носит оценочный характер. Подобное измерение базируется на попыт</w:t>
      </w:r>
      <w:r w:rsidRPr="004E0FC4">
        <w:rPr>
          <w:rFonts w:ascii="Bookman Old Style" w:eastAsia="Bookman Old Style" w:hAnsi="Bookman Old Style" w:cs="Bookman Old Style"/>
          <w:color w:val="231F20"/>
          <w:sz w:val="18"/>
          <w:szCs w:val="18"/>
        </w:rPr>
        <w:softHyphen/>
        <w:t xml:space="preserve">ке количественного определения ряда качественных показателей, включая </w:t>
      </w:r>
      <w:r w:rsidRPr="004E0FC4">
        <w:rPr>
          <w:rFonts w:ascii="Bookman Old Style" w:eastAsia="Bookman Old Style" w:hAnsi="Bookman Old Style" w:cs="Bookman Old Style"/>
          <w:i/>
          <w:iCs/>
          <w:color w:val="231F20"/>
          <w:sz w:val="18"/>
          <w:szCs w:val="18"/>
        </w:rPr>
        <w:t>репутационный</w:t>
      </w:r>
      <w:r w:rsidRPr="004E0FC4">
        <w:rPr>
          <w:rFonts w:ascii="Bookman Old Style" w:eastAsia="Bookman Old Style" w:hAnsi="Bookman Old Style" w:cs="Bookman Old Style"/>
          <w:color w:val="231F20"/>
          <w:sz w:val="18"/>
          <w:szCs w:val="18"/>
        </w:rPr>
        <w:t xml:space="preserve"> эффект, которые будут отражать резуль</w:t>
      </w:r>
      <w:r w:rsidRPr="004E0FC4">
        <w:rPr>
          <w:rFonts w:ascii="Bookman Old Style" w:eastAsia="Bookman Old Style" w:hAnsi="Bookman Old Style" w:cs="Bookman Old Style"/>
          <w:color w:val="231F20"/>
          <w:sz w:val="18"/>
          <w:szCs w:val="18"/>
        </w:rPr>
        <w:softHyphen/>
        <w:t>таты привлечения к сотрудничеству данной зарубежной (междуна</w:t>
      </w:r>
      <w:r w:rsidRPr="004E0FC4">
        <w:rPr>
          <w:rFonts w:ascii="Bookman Old Style" w:eastAsia="Bookman Old Style" w:hAnsi="Bookman Old Style" w:cs="Bookman Old Style"/>
          <w:color w:val="231F20"/>
          <w:sz w:val="18"/>
          <w:szCs w:val="18"/>
        </w:rPr>
        <w:softHyphen/>
        <w:t>родной) компании по сравнению с задействованием отечественных партнеров или других зарубежных (международных) компаний, участвующих в конкурсе на реализацию проектов ГЧП, связанных с созданием инновационной продукции.</w:t>
      </w:r>
    </w:p>
    <w:p w14:paraId="11066FA2" w14:textId="77777777" w:rsidR="00350396" w:rsidRPr="004E0FC4" w:rsidRDefault="00350396" w:rsidP="004E0FC4">
      <w:pPr>
        <w:widowControl w:val="0"/>
        <w:spacing w:after="218"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подобных сравнений важно обладать обоснованными рас</w:t>
      </w:r>
      <w:r w:rsidRPr="004E0FC4">
        <w:rPr>
          <w:rFonts w:ascii="Bookman Old Style" w:eastAsia="Bookman Old Style" w:hAnsi="Bookman Old Style" w:cs="Bookman Old Style"/>
          <w:color w:val="231F20"/>
          <w:sz w:val="18"/>
          <w:szCs w:val="18"/>
        </w:rPr>
        <w:softHyphen/>
        <w:t>четными данными о финансовых результатах от реализации проек</w:t>
      </w:r>
      <w:r w:rsidRPr="004E0FC4">
        <w:rPr>
          <w:rFonts w:ascii="Bookman Old Style" w:eastAsia="Bookman Old Style" w:hAnsi="Bookman Old Style" w:cs="Bookman Old Style"/>
          <w:color w:val="231F20"/>
          <w:sz w:val="18"/>
          <w:szCs w:val="18"/>
        </w:rPr>
        <w:softHyphen/>
        <w:t>та в разных условиях. Если подобные данные получены или имеет</w:t>
      </w:r>
      <w:r w:rsidRPr="004E0FC4">
        <w:rPr>
          <w:rFonts w:ascii="Bookman Old Style" w:eastAsia="Bookman Old Style" w:hAnsi="Bookman Old Style" w:cs="Bookman Old Style"/>
          <w:color w:val="231F20"/>
          <w:sz w:val="18"/>
          <w:szCs w:val="18"/>
        </w:rPr>
        <w:softHyphen/>
        <w:t xml:space="preserve">ся достаточно надежный алгоритм их расчета, то для определения </w:t>
      </w:r>
      <w:r w:rsidRPr="004E0FC4">
        <w:rPr>
          <w:rFonts w:ascii="Bookman Old Style" w:eastAsia="Bookman Old Style" w:hAnsi="Bookman Old Style" w:cs="Bookman Old Style"/>
          <w:i/>
          <w:iCs/>
          <w:color w:val="231F20"/>
          <w:sz w:val="18"/>
          <w:szCs w:val="18"/>
        </w:rPr>
        <w:t>интегрального экономического эффекта</w:t>
      </w:r>
      <w:r w:rsidRPr="004E0FC4">
        <w:rPr>
          <w:rFonts w:ascii="Bookman Old Style" w:eastAsia="Bookman Old Style" w:hAnsi="Bookman Old Style" w:cs="Bookman Old Style"/>
          <w:color w:val="231F20"/>
          <w:sz w:val="18"/>
          <w:szCs w:val="18"/>
        </w:rPr>
        <w:t xml:space="preserve"> от взаимодействия с ино</w:t>
      </w:r>
      <w:r w:rsidRPr="004E0FC4">
        <w:rPr>
          <w:rFonts w:ascii="Bookman Old Style" w:eastAsia="Bookman Old Style" w:hAnsi="Bookman Old Style" w:cs="Bookman Old Style"/>
          <w:color w:val="231F20"/>
          <w:sz w:val="18"/>
          <w:szCs w:val="18"/>
        </w:rPr>
        <w:softHyphen/>
        <w:t>странными партнерами по созданию инновационного продукта в рамках ГЧП можно использовать следующую базовую формулу:</w:t>
      </w:r>
    </w:p>
    <w:p w14:paraId="3EF55831" w14:textId="77777777" w:rsidR="00350396" w:rsidRPr="004E0FC4" w:rsidRDefault="00350396" w:rsidP="004E0FC4">
      <w:pPr>
        <w:widowControl w:val="0"/>
        <w:tabs>
          <w:tab w:val="left" w:pos="6124"/>
        </w:tabs>
        <w:spacing w:after="142" w:line="202" w:lineRule="exact"/>
        <w:ind w:left="2140" w:firstLine="0"/>
        <w:rPr>
          <w:rFonts w:ascii="Bookman Old Style" w:hAnsi="Bookman Old Style"/>
          <w:sz w:val="18"/>
          <w:szCs w:val="18"/>
        </w:rPr>
      </w:pPr>
      <w:r w:rsidRPr="004E0FC4">
        <w:rPr>
          <w:rFonts w:ascii="Bookman Old Style" w:hAnsi="Bookman Old Style"/>
          <w:sz w:val="18"/>
          <w:szCs w:val="18"/>
        </w:rPr>
        <w:t xml:space="preserve">Эу </w:t>
      </w:r>
      <w:r w:rsidRPr="004E0FC4">
        <w:rPr>
          <w:rFonts w:ascii="Bookman Old Style" w:eastAsia="Bookman Old Style" w:hAnsi="Bookman Old Style" w:cs="Bookman Old Style"/>
          <w:i/>
          <w:iCs/>
          <w:color w:val="231F20"/>
          <w:sz w:val="18"/>
          <w:szCs w:val="18"/>
        </w:rPr>
        <w:t>=</w:t>
      </w:r>
      <w:r w:rsidRPr="004E0FC4">
        <w:rPr>
          <w:rFonts w:ascii="Bookman Old Style" w:hAnsi="Bookman Old Style"/>
          <w:sz w:val="18"/>
          <w:szCs w:val="18"/>
        </w:rPr>
        <w:t xml:space="preserve"> ФР</w:t>
      </w:r>
      <w:r w:rsidRPr="004E0FC4">
        <w:rPr>
          <w:rFonts w:ascii="Bookman Old Style" w:eastAsia="Bookman Old Style" w:hAnsi="Bookman Old Style" w:cs="Bookman Old Style"/>
          <w:i/>
          <w:iCs/>
          <w:color w:val="231F20"/>
          <w:sz w:val="18"/>
          <w:szCs w:val="18"/>
        </w:rPr>
        <w:t>f • k •</w:t>
      </w:r>
      <w:r w:rsidRPr="004E0FC4">
        <w:rPr>
          <w:rFonts w:ascii="Bookman Old Style" w:hAnsi="Bookman Old Style"/>
          <w:sz w:val="18"/>
          <w:szCs w:val="18"/>
        </w:rPr>
        <w:t xml:space="preserve"> </w:t>
      </w:r>
      <w:r w:rsidRPr="004E0FC4">
        <w:rPr>
          <w:rFonts w:ascii="Bookman Old Style" w:hAnsi="Bookman Old Style"/>
          <w:sz w:val="18"/>
          <w:szCs w:val="18"/>
          <w:lang w:val="en-US" w:eastAsia="en-US" w:bidi="en-US"/>
        </w:rPr>
        <w:t>k</w:t>
      </w:r>
      <w:r w:rsidRPr="004E0FC4">
        <w:rPr>
          <w:rFonts w:ascii="Bookman Old Style" w:hAnsi="Bookman Old Style"/>
          <w:sz w:val="18"/>
          <w:szCs w:val="18"/>
          <w:vertAlign w:val="subscript"/>
          <w:lang w:eastAsia="en-US" w:bidi="en-US"/>
        </w:rPr>
        <w:t>2</w:t>
      </w:r>
      <w:r w:rsidRPr="004E0FC4">
        <w:rPr>
          <w:rFonts w:ascii="Bookman Old Style" w:hAnsi="Bookman Old Style"/>
          <w:sz w:val="18"/>
          <w:szCs w:val="18"/>
          <w:lang w:eastAsia="en-US" w:bidi="en-US"/>
        </w:rPr>
        <w:t xml:space="preserve"> </w:t>
      </w:r>
      <w:r w:rsidRPr="004E0FC4">
        <w:rPr>
          <w:rFonts w:ascii="Bookman Old Style" w:hAnsi="Bookman Old Style"/>
          <w:sz w:val="18"/>
          <w:szCs w:val="18"/>
        </w:rPr>
        <w:t xml:space="preserve">• </w:t>
      </w:r>
      <w:r w:rsidRPr="004E0FC4">
        <w:rPr>
          <w:rFonts w:ascii="Bookman Old Style" w:hAnsi="Bookman Old Style"/>
          <w:sz w:val="18"/>
          <w:szCs w:val="18"/>
          <w:lang w:val="en-US" w:eastAsia="en-US" w:bidi="en-US"/>
        </w:rPr>
        <w:t>k</w:t>
      </w:r>
      <w:r w:rsidRPr="004E0FC4">
        <w:rPr>
          <w:rFonts w:ascii="Bookman Old Style" w:hAnsi="Bookman Old Style"/>
          <w:sz w:val="18"/>
          <w:szCs w:val="18"/>
        </w:rPr>
        <w:t>з- ФР^</w:t>
      </w:r>
      <w:r w:rsidRPr="004E0FC4">
        <w:rPr>
          <w:rFonts w:ascii="Bookman Old Style" w:eastAsia="Bookman Old Style" w:hAnsi="Bookman Old Style" w:cs="Bookman Old Style"/>
          <w:color w:val="231F20"/>
          <w:sz w:val="18"/>
          <w:szCs w:val="18"/>
        </w:rPr>
        <w:t>,</w:t>
      </w:r>
      <w:r w:rsidRPr="004E0FC4">
        <w:rPr>
          <w:rFonts w:ascii="Bookman Old Style" w:eastAsia="Bookman Old Style" w:hAnsi="Bookman Old Style" w:cs="Bookman Old Style"/>
          <w:color w:val="231F20"/>
          <w:sz w:val="18"/>
          <w:szCs w:val="18"/>
        </w:rPr>
        <w:tab/>
      </w:r>
      <w:r w:rsidRPr="004E0FC4">
        <w:rPr>
          <w:rFonts w:ascii="Bookman Old Style" w:eastAsia="Bookman Old Style" w:hAnsi="Bookman Old Style" w:cs="Bookman Old Style"/>
          <w:color w:val="231F20"/>
          <w:sz w:val="18"/>
          <w:szCs w:val="18"/>
          <w:lang w:eastAsia="en-US" w:bidi="en-US"/>
        </w:rPr>
        <w:t>(4.4)</w:t>
      </w:r>
    </w:p>
    <w:p w14:paraId="65452E6F"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где ФРу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NPVf</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ожидаемый финансовый результат от реализа</w:t>
      </w:r>
      <w:r w:rsidRPr="004E0FC4">
        <w:rPr>
          <w:rFonts w:ascii="Bookman Old Style" w:eastAsia="Bookman Old Style" w:hAnsi="Bookman Old Style" w:cs="Bookman Old Style"/>
          <w:color w:val="231F20"/>
          <w:sz w:val="18"/>
          <w:szCs w:val="18"/>
        </w:rPr>
        <w:softHyphen/>
        <w:t>ции проекта по созданию инновационного продукта в рамках ГЧП с привлечением данной зарубежной (международной) ком</w:t>
      </w:r>
      <w:r w:rsidRPr="004E0FC4">
        <w:rPr>
          <w:rFonts w:ascii="Bookman Old Style" w:eastAsia="Bookman Old Style" w:hAnsi="Bookman Old Style" w:cs="Bookman Old Style"/>
          <w:color w:val="231F20"/>
          <w:sz w:val="18"/>
          <w:szCs w:val="18"/>
        </w:rPr>
        <w:softHyphen/>
        <w:t xml:space="preserve">пании; </w:t>
      </w:r>
      <w:r w:rsidRPr="004E0FC4">
        <w:rPr>
          <w:rFonts w:ascii="Bookman Old Style" w:eastAsia="Bookman Old Style" w:hAnsi="Bookman Old Style" w:cs="Bookman Old Style"/>
          <w:i/>
          <w:iCs/>
          <w:color w:val="231F20"/>
          <w:sz w:val="18"/>
          <w:szCs w:val="18"/>
          <w:lang w:val="en-US" w:eastAsia="en-US" w:bidi="en-US"/>
        </w:rPr>
        <w:t>k</w:t>
      </w:r>
      <w:r w:rsidRPr="004E0FC4">
        <w:rPr>
          <w:rFonts w:ascii="Bookman Old Style" w:eastAsia="Bookman Old Style" w:hAnsi="Bookman Old Style" w:cs="Bookman Old Style"/>
          <w:i/>
          <w:iCs/>
          <w:color w:val="231F20"/>
          <w:sz w:val="18"/>
          <w:szCs w:val="18"/>
          <w:vertAlign w:val="subscript"/>
          <w:lang w:eastAsia="en-US" w:bidi="en-US"/>
        </w:rPr>
        <w:t>1</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коэффициент, определяющий масштаб проекта в диа</w:t>
      </w:r>
      <w:r w:rsidRPr="004E0FC4">
        <w:rPr>
          <w:rFonts w:ascii="Bookman Old Style" w:eastAsia="Bookman Old Style" w:hAnsi="Bookman Old Style" w:cs="Bookman Old Style"/>
          <w:color w:val="231F20"/>
          <w:sz w:val="18"/>
          <w:szCs w:val="18"/>
        </w:rPr>
        <w:softHyphen/>
        <w:t xml:space="preserve">пазоне [0,8:1,2] (0,8 — проект муниципальный общей стоимостью до 100 млн руб., 1 — проект региональный стоимостью от 100 млн до 500 млн руб., 1,1 — проект региональный или межрегиональный стоимостью от 500 млн до 5 млрд руб., 1,2 — проект федеральный стоимостью свыше 5 млрд руб.); </w:t>
      </w:r>
      <w:r w:rsidRPr="004E0FC4">
        <w:rPr>
          <w:rFonts w:ascii="Bookman Old Style" w:eastAsia="Bookman Old Style" w:hAnsi="Bookman Old Style" w:cs="Bookman Old Style"/>
          <w:color w:val="231F20"/>
          <w:sz w:val="18"/>
          <w:szCs w:val="18"/>
          <w:lang w:val="en-US" w:eastAsia="en-US" w:bidi="en-US"/>
        </w:rPr>
        <w:t>k</w:t>
      </w:r>
      <w:r w:rsidRPr="004E0FC4">
        <w:rPr>
          <w:rFonts w:ascii="Bookman Old Style" w:eastAsia="Bookman Old Style" w:hAnsi="Bookman Old Style" w:cs="Bookman Old Style"/>
          <w:color w:val="231F20"/>
          <w:sz w:val="18"/>
          <w:szCs w:val="18"/>
          <w:vertAlign w:val="subscript"/>
          <w:lang w:eastAsia="en-US" w:bidi="en-US"/>
        </w:rPr>
        <w:t>2</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коэффициент, определяю</w:t>
      </w:r>
      <w:r w:rsidRPr="004E0FC4">
        <w:rPr>
          <w:rFonts w:ascii="Bookman Old Style" w:eastAsia="Bookman Old Style" w:hAnsi="Bookman Old Style" w:cs="Bookman Old Style"/>
          <w:color w:val="231F20"/>
          <w:sz w:val="18"/>
          <w:szCs w:val="18"/>
        </w:rPr>
        <w:softHyphen/>
        <w:t>щий уровень деловой репутации (известности) данной зарубежной (международной) компании, привлекаемой к сотрудничеству в ре</w:t>
      </w:r>
      <w:r w:rsidRPr="004E0FC4">
        <w:rPr>
          <w:rFonts w:ascii="Bookman Old Style" w:eastAsia="Bookman Old Style" w:hAnsi="Bookman Old Style" w:cs="Bookman Old Style"/>
          <w:color w:val="231F20"/>
          <w:sz w:val="18"/>
          <w:szCs w:val="18"/>
        </w:rPr>
        <w:softHyphen/>
        <w:t>ализации проекта по созданию инновационного продукта в рамках ГЧП в диапазоне [1:1,5] (1 — компания известна в своей стране, 1,5 — компания является мировым лидером, сотрудничество с ко</w:t>
      </w:r>
      <w:r w:rsidRPr="004E0FC4">
        <w:rPr>
          <w:rFonts w:ascii="Bookman Old Style" w:eastAsia="Bookman Old Style" w:hAnsi="Bookman Old Style" w:cs="Bookman Old Style"/>
          <w:color w:val="231F20"/>
          <w:sz w:val="18"/>
          <w:szCs w:val="18"/>
        </w:rPr>
        <w:softHyphen/>
        <w:t xml:space="preserve">торым имеет наивысший репутационный эффект); </w:t>
      </w:r>
      <w:r w:rsidRPr="004E0FC4">
        <w:rPr>
          <w:rFonts w:ascii="Bookman Old Style" w:eastAsia="Bookman Old Style" w:hAnsi="Bookman Old Style" w:cs="Bookman Old Style"/>
          <w:color w:val="231F20"/>
          <w:sz w:val="18"/>
          <w:szCs w:val="18"/>
          <w:lang w:val="en-US" w:eastAsia="en-US" w:bidi="en-US"/>
        </w:rPr>
        <w:t>k</w:t>
      </w:r>
      <w:r w:rsidRPr="004E0FC4">
        <w:rPr>
          <w:rFonts w:ascii="Bookman Old Style" w:eastAsia="Bookman Old Style" w:hAnsi="Bookman Old Style" w:cs="Bookman Old Style"/>
          <w:color w:val="231F20"/>
          <w:sz w:val="18"/>
          <w:szCs w:val="18"/>
          <w:vertAlign w:val="subscript"/>
          <w:lang w:eastAsia="en-US" w:bidi="en-US"/>
        </w:rPr>
        <w:t>3</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коэффици</w:t>
      </w:r>
      <w:r w:rsidRPr="004E0FC4">
        <w:rPr>
          <w:rFonts w:ascii="Bookman Old Style" w:eastAsia="Bookman Old Style" w:hAnsi="Bookman Old Style" w:cs="Bookman Old Style"/>
          <w:color w:val="231F20"/>
          <w:sz w:val="18"/>
          <w:szCs w:val="18"/>
        </w:rPr>
        <w:softHyphen/>
        <w:t>ент доли частного капитала в проекте по созданию инновационного продукта в рамках ГЧП с привлечением данной зарубежной (меж</w:t>
      </w:r>
      <w:r w:rsidRPr="004E0FC4">
        <w:rPr>
          <w:rFonts w:ascii="Bookman Old Style" w:eastAsia="Bookman Old Style" w:hAnsi="Bookman Old Style" w:cs="Bookman Old Style"/>
          <w:color w:val="231F20"/>
          <w:sz w:val="18"/>
          <w:szCs w:val="18"/>
        </w:rPr>
        <w:softHyphen/>
        <w:t>дународной) компании по сравнению с взаимодействием с отече</w:t>
      </w:r>
      <w:r w:rsidRPr="004E0FC4">
        <w:rPr>
          <w:rFonts w:ascii="Bookman Old Style" w:eastAsia="Bookman Old Style" w:hAnsi="Bookman Old Style" w:cs="Bookman Old Style"/>
          <w:color w:val="231F20"/>
          <w:sz w:val="18"/>
          <w:szCs w:val="18"/>
        </w:rPr>
        <w:softHyphen/>
        <w:t>ственными партнерами или другими зарубежными (международ</w:t>
      </w:r>
      <w:r w:rsidRPr="004E0FC4">
        <w:rPr>
          <w:rFonts w:ascii="Bookman Old Style" w:eastAsia="Bookman Old Style" w:hAnsi="Bookman Old Style" w:cs="Bookman Old Style"/>
          <w:color w:val="231F20"/>
          <w:sz w:val="18"/>
          <w:szCs w:val="18"/>
        </w:rPr>
        <w:softHyphen/>
        <w:t xml:space="preserve">ными) компаниями, которые участвуют в конкурсе, коэффициент определяется частным соответствующих долей; ФР^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NPV</w:t>
      </w:r>
      <w:r w:rsidRPr="004E0FC4">
        <w:rPr>
          <w:rFonts w:ascii="Bookman Old Style" w:eastAsia="Bookman Old Style" w:hAnsi="Bookman Old Style" w:cs="Bookman Old Style"/>
          <w:i/>
          <w:iCs/>
          <w:color w:val="231F20"/>
          <w:sz w:val="18"/>
          <w:szCs w:val="18"/>
          <w:vertAlign w:val="subscript"/>
          <w:lang w:val="en-US" w:eastAsia="en-US" w:bidi="en-US"/>
        </w:rPr>
        <w:t>d</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ожи</w:t>
      </w:r>
      <w:r w:rsidRPr="004E0FC4">
        <w:rPr>
          <w:rFonts w:ascii="Bookman Old Style" w:eastAsia="Bookman Old Style" w:hAnsi="Bookman Old Style" w:cs="Bookman Old Style"/>
          <w:color w:val="231F20"/>
          <w:sz w:val="18"/>
          <w:szCs w:val="18"/>
        </w:rPr>
        <w:softHyphen/>
        <w:t>даемый финансовый результат от реализации проекта по созданию инновационного продукта в рамках ГЧП с привлечением отече</w:t>
      </w:r>
      <w:r w:rsidRPr="004E0FC4">
        <w:rPr>
          <w:rFonts w:ascii="Bookman Old Style" w:eastAsia="Bookman Old Style" w:hAnsi="Bookman Old Style" w:cs="Bookman Old Style"/>
          <w:color w:val="231F20"/>
          <w:sz w:val="18"/>
          <w:szCs w:val="18"/>
        </w:rPr>
        <w:softHyphen/>
        <w:t>ственной или зарубежной компании, который принимается в каче</w:t>
      </w:r>
      <w:r w:rsidRPr="004E0FC4">
        <w:rPr>
          <w:rFonts w:ascii="Bookman Old Style" w:eastAsia="Bookman Old Style" w:hAnsi="Bookman Old Style" w:cs="Bookman Old Style"/>
          <w:color w:val="231F20"/>
          <w:sz w:val="18"/>
          <w:szCs w:val="18"/>
        </w:rPr>
        <w:softHyphen/>
        <w:t>стве базового варианта.</w:t>
      </w:r>
    </w:p>
    <w:p w14:paraId="2A1341F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Развитие представленной базовой формулы возможно за счет ввода дополнительных коэффициентов (показателей), отражающих ряд незатронутых в базовой формуле характеристик инновационно</w:t>
      </w:r>
      <w:r w:rsidRPr="004E0FC4">
        <w:rPr>
          <w:rFonts w:ascii="Bookman Old Style" w:eastAsia="Bookman Old Style" w:hAnsi="Bookman Old Style" w:cs="Bookman Old Style"/>
          <w:color w:val="231F20"/>
          <w:sz w:val="18"/>
          <w:szCs w:val="18"/>
        </w:rPr>
        <w:softHyphen/>
        <w:t>го проекта, в частности:</w:t>
      </w:r>
    </w:p>
    <w:p w14:paraId="3FD6CBA4" w14:textId="77777777" w:rsidR="00350396" w:rsidRPr="004E0FC4" w:rsidRDefault="00350396" w:rsidP="004E0FC4">
      <w:pPr>
        <w:widowControl w:val="0"/>
        <w:tabs>
          <w:tab w:val="left" w:pos="642"/>
        </w:tabs>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а)</w:t>
      </w:r>
      <w:r w:rsidRPr="004E0FC4">
        <w:rPr>
          <w:rFonts w:ascii="Bookman Old Style" w:eastAsia="Bookman Old Style" w:hAnsi="Bookman Old Style" w:cs="Bookman Old Style"/>
          <w:color w:val="231F20"/>
          <w:sz w:val="18"/>
          <w:szCs w:val="18"/>
        </w:rPr>
        <w:tab/>
        <w:t>отрасль, к которой относится проект (насколько она является приоритетной для инновационного развития в целом);</w:t>
      </w:r>
    </w:p>
    <w:p w14:paraId="2E4F38C8" w14:textId="77777777" w:rsidR="00350396" w:rsidRPr="004E0FC4" w:rsidRDefault="00350396" w:rsidP="004E0FC4">
      <w:pPr>
        <w:widowControl w:val="0"/>
        <w:tabs>
          <w:tab w:val="left" w:pos="642"/>
        </w:tabs>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б)</w:t>
      </w:r>
      <w:r w:rsidRPr="004E0FC4">
        <w:rPr>
          <w:rFonts w:ascii="Bookman Old Style" w:eastAsia="Bookman Old Style" w:hAnsi="Bookman Old Style" w:cs="Bookman Old Style"/>
          <w:color w:val="231F20"/>
          <w:sz w:val="18"/>
          <w:szCs w:val="18"/>
        </w:rPr>
        <w:tab/>
        <w:t>количество дополнительно созданных рабочих мест;</w:t>
      </w:r>
    </w:p>
    <w:p w14:paraId="30422135" w14:textId="77777777" w:rsidR="00350396" w:rsidRPr="004E0FC4" w:rsidRDefault="00350396" w:rsidP="004E0FC4">
      <w:pPr>
        <w:widowControl w:val="0"/>
        <w:tabs>
          <w:tab w:val="left" w:pos="642"/>
        </w:tabs>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w:t>
      </w:r>
      <w:r w:rsidRPr="004E0FC4">
        <w:rPr>
          <w:rFonts w:ascii="Bookman Old Style" w:eastAsia="Bookman Old Style" w:hAnsi="Bookman Old Style" w:cs="Bookman Old Style"/>
          <w:color w:val="231F20"/>
          <w:sz w:val="18"/>
          <w:szCs w:val="18"/>
        </w:rPr>
        <w:tab/>
        <w:t>права на результаты реализации инновационного проекта;</w:t>
      </w:r>
    </w:p>
    <w:p w14:paraId="7400ABD8" w14:textId="77777777" w:rsidR="00350396" w:rsidRPr="004E0FC4" w:rsidRDefault="00350396" w:rsidP="004E0FC4">
      <w:pPr>
        <w:widowControl w:val="0"/>
        <w:tabs>
          <w:tab w:val="left" w:pos="642"/>
        </w:tabs>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г)</w:t>
      </w:r>
      <w:r w:rsidRPr="004E0FC4">
        <w:rPr>
          <w:rFonts w:ascii="Bookman Old Style" w:eastAsia="Bookman Old Style" w:hAnsi="Bookman Old Style" w:cs="Bookman Old Style"/>
          <w:color w:val="231F20"/>
          <w:sz w:val="18"/>
          <w:szCs w:val="18"/>
        </w:rPr>
        <w:tab/>
        <w:t>возможность использования полученных результатов реали</w:t>
      </w:r>
      <w:r w:rsidRPr="004E0FC4">
        <w:rPr>
          <w:rFonts w:ascii="Bookman Old Style" w:eastAsia="Bookman Old Style" w:hAnsi="Bookman Old Style" w:cs="Bookman Old Style"/>
          <w:color w:val="231F20"/>
          <w:sz w:val="18"/>
          <w:szCs w:val="18"/>
        </w:rPr>
        <w:softHyphen/>
        <w:t>зации инновационного проекта в других проектах и отраслях вну</w:t>
      </w:r>
      <w:r w:rsidRPr="004E0FC4">
        <w:rPr>
          <w:rFonts w:ascii="Bookman Old Style" w:eastAsia="Bookman Old Style" w:hAnsi="Bookman Old Style" w:cs="Bookman Old Style"/>
          <w:color w:val="231F20"/>
          <w:sz w:val="18"/>
          <w:szCs w:val="18"/>
        </w:rPr>
        <w:softHyphen/>
        <w:t>три страны и за рубежом и др.</w:t>
      </w:r>
    </w:p>
    <w:p w14:paraId="58CD632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 определении интегрального экономического эффекта от привлечения иностранных партнеров в проекты ГЧП, связанные с созданием инновационной продукции, важно определить состав статистически значимых факторов (показателей), которые влияют или способны повлиять на итоговый результат, а также вес каждого из этих показателей.</w:t>
      </w:r>
    </w:p>
    <w:p w14:paraId="5A616F03"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Если состав дополнительных статистически значимых факторов (показателей) определен, возможно к трем упомянутым в базовой формуле ввести дополнительный коэффициент к</w:t>
      </w:r>
      <w:r w:rsidRPr="004E0FC4">
        <w:rPr>
          <w:rFonts w:ascii="Bookman Old Style" w:eastAsia="Bookman Old Style" w:hAnsi="Bookman Old Style" w:cs="Bookman Old Style"/>
          <w:color w:val="231F20"/>
          <w:sz w:val="18"/>
          <w:szCs w:val="18"/>
          <w:vertAlign w:val="subscript"/>
        </w:rPr>
        <w:t>доп</w:t>
      </w:r>
      <w:r w:rsidRPr="004E0FC4">
        <w:rPr>
          <w:rFonts w:ascii="Bookman Old Style" w:eastAsia="Bookman Old Style" w:hAnsi="Bookman Old Style" w:cs="Bookman Old Style"/>
          <w:color w:val="231F20"/>
          <w:sz w:val="18"/>
          <w:szCs w:val="18"/>
        </w:rPr>
        <w:t>, учитывающий влияние дополнительных факторов по взвешенной силе их воздей- ствия.Однако более целесообразно рассматривать интегральный коэффициент, учитывающий взвешенное влияние на интеграль</w:t>
      </w:r>
      <w:r w:rsidRPr="004E0FC4">
        <w:rPr>
          <w:rFonts w:ascii="Bookman Old Style" w:eastAsia="Bookman Old Style" w:hAnsi="Bookman Old Style" w:cs="Bookman Old Style"/>
          <w:color w:val="231F20"/>
          <w:sz w:val="18"/>
          <w:szCs w:val="18"/>
        </w:rPr>
        <w:softHyphen/>
        <w:t>ный экономический эффект от вовлечения иностранного партнера в совместную деятельность по созданию инновационного продук</w:t>
      </w:r>
      <w:r w:rsidRPr="004E0FC4">
        <w:rPr>
          <w:rFonts w:ascii="Bookman Old Style" w:eastAsia="Bookman Old Style" w:hAnsi="Bookman Old Style" w:cs="Bookman Old Style"/>
          <w:color w:val="231F20"/>
          <w:sz w:val="18"/>
          <w:szCs w:val="18"/>
        </w:rPr>
        <w:softHyphen/>
        <w:t xml:space="preserve">та в рамках ГЧП всех факторов, включая те, которые были учтены в коэффициентах </w:t>
      </w:r>
      <w:r w:rsidRPr="004E0FC4">
        <w:rPr>
          <w:rFonts w:ascii="Bookman Old Style" w:eastAsia="Bookman Old Style" w:hAnsi="Bookman Old Style" w:cs="Bookman Old Style"/>
          <w:i/>
          <w:iCs/>
          <w:color w:val="231F20"/>
          <w:sz w:val="18"/>
          <w:szCs w:val="18"/>
        </w:rPr>
        <w:t>к</w:t>
      </w:r>
      <w:r w:rsidRPr="004E0FC4">
        <w:rPr>
          <w:rFonts w:ascii="Bookman Old Style" w:eastAsia="Bookman Old Style" w:hAnsi="Bookman Old Style" w:cs="Bookman Old Style"/>
          <w:i/>
          <w:iCs/>
          <w:color w:val="231F20"/>
          <w:sz w:val="18"/>
          <w:szCs w:val="18"/>
          <w:vertAlign w:val="subscript"/>
        </w:rPr>
        <w:t>1</w:t>
      </w:r>
      <w:r w:rsidRPr="004E0FC4">
        <w:rPr>
          <w:rFonts w:ascii="Bookman Old Style" w:eastAsia="Bookman Old Style" w:hAnsi="Bookman Old Style" w:cs="Bookman Old Style"/>
          <w:color w:val="231F20"/>
          <w:sz w:val="18"/>
          <w:szCs w:val="18"/>
        </w:rPr>
        <w:t>—</w:t>
      </w:r>
      <w:r w:rsidRPr="004E0FC4">
        <w:rPr>
          <w:rFonts w:ascii="Bookman Old Style" w:eastAsia="Bookman Old Style" w:hAnsi="Bookman Old Style" w:cs="Bookman Old Style"/>
          <w:i/>
          <w:iCs/>
          <w:color w:val="231F20"/>
          <w:sz w:val="18"/>
          <w:szCs w:val="18"/>
          <w:lang w:val="en-US" w:eastAsia="en-US" w:bidi="en-US"/>
        </w:rPr>
        <w:t>k</w:t>
      </w:r>
      <w:r w:rsidRPr="004E0FC4">
        <w:rPr>
          <w:rFonts w:ascii="Bookman Old Style" w:eastAsia="Bookman Old Style" w:hAnsi="Bookman Old Style" w:cs="Bookman Old Style"/>
          <w:i/>
          <w:iCs/>
          <w:color w:val="231F20"/>
          <w:sz w:val="18"/>
          <w:szCs w:val="18"/>
          <w:vertAlign w:val="subscript"/>
          <w:lang w:eastAsia="en-US" w:bidi="en-US"/>
        </w:rPr>
        <w:t>3</w:t>
      </w:r>
      <w:r w:rsidRPr="004E0FC4">
        <w:rPr>
          <w:rFonts w:ascii="Bookman Old Style" w:eastAsia="Bookman Old Style" w:hAnsi="Bookman Old Style" w:cs="Bookman Old Style"/>
          <w:i/>
          <w:iCs/>
          <w:color w:val="231F20"/>
          <w:sz w:val="18"/>
          <w:szCs w:val="18"/>
          <w:lang w:eastAsia="en-US" w:bidi="en-US"/>
        </w:rPr>
        <w:t>.</w:t>
      </w:r>
    </w:p>
    <w:p w14:paraId="66ECA77F" w14:textId="77777777" w:rsidR="00350396" w:rsidRPr="004E0FC4" w:rsidRDefault="00350396" w:rsidP="004E0FC4">
      <w:pPr>
        <w:widowControl w:val="0"/>
        <w:spacing w:after="298"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этом случае формула (4.4) примет вид</w:t>
      </w:r>
    </w:p>
    <w:p w14:paraId="1FE29213" w14:textId="77777777" w:rsidR="00350396" w:rsidRPr="004E0FC4" w:rsidRDefault="00350396" w:rsidP="004E0FC4">
      <w:pPr>
        <w:widowControl w:val="0"/>
        <w:tabs>
          <w:tab w:val="left" w:pos="6090"/>
        </w:tabs>
        <w:spacing w:after="222" w:line="202" w:lineRule="exact"/>
        <w:ind w:left="2360" w:firstLine="0"/>
        <w:rPr>
          <w:rFonts w:ascii="Bookman Old Style" w:hAnsi="Bookman Old Style"/>
          <w:sz w:val="18"/>
          <w:szCs w:val="18"/>
        </w:rPr>
      </w:pPr>
      <w:r w:rsidRPr="004E0FC4">
        <w:rPr>
          <w:rFonts w:ascii="Bookman Old Style" w:hAnsi="Bookman Old Style"/>
          <w:sz w:val="18"/>
          <w:szCs w:val="18"/>
          <w:lang w:eastAsia="en-US" w:bidi="en-US"/>
        </w:rPr>
        <w:t>3</w:t>
      </w:r>
      <w:r w:rsidRPr="004E0FC4">
        <w:rPr>
          <w:rFonts w:ascii="Bookman Old Style" w:hAnsi="Bookman Old Style"/>
          <w:sz w:val="18"/>
          <w:szCs w:val="18"/>
          <w:vertAlign w:val="subscript"/>
          <w:lang w:val="en-US" w:eastAsia="en-US" w:bidi="en-US"/>
        </w:rPr>
        <w:t>ie</w:t>
      </w:r>
      <w:r w:rsidRPr="004E0FC4">
        <w:rPr>
          <w:rFonts w:ascii="Bookman Old Style" w:hAnsi="Bookman Old Style"/>
          <w:sz w:val="18"/>
          <w:szCs w:val="18"/>
          <w:lang w:val="en-US" w:eastAsia="en-US" w:bidi="en-US"/>
        </w:rPr>
        <w:t>f</w:t>
      </w:r>
      <w:r w:rsidRPr="004E0FC4">
        <w:rPr>
          <w:rFonts w:ascii="Bookman Old Style" w:hAnsi="Bookman Old Style"/>
          <w:sz w:val="18"/>
          <w:szCs w:val="18"/>
          <w:lang w:eastAsia="en-US" w:bidi="en-US"/>
        </w:rPr>
        <w:t xml:space="preserve"> </w:t>
      </w:r>
      <w:r w:rsidRPr="004E0FC4">
        <w:rPr>
          <w:rFonts w:ascii="Bookman Old Style" w:hAnsi="Bookman Old Style"/>
          <w:sz w:val="18"/>
          <w:szCs w:val="18"/>
        </w:rPr>
        <w:t>=</w:t>
      </w:r>
      <w:r w:rsidRPr="004E0FC4">
        <w:rPr>
          <w:rFonts w:ascii="Bookman Old Style" w:eastAsia="Bookman Old Style" w:hAnsi="Bookman Old Style" w:cs="Bookman Old Style"/>
          <w:i/>
          <w:iCs/>
          <w:sz w:val="18"/>
          <w:szCs w:val="18"/>
        </w:rPr>
        <w:t xml:space="preserve"> ФР</w:t>
      </w:r>
      <w:r w:rsidRPr="004E0FC4">
        <w:rPr>
          <w:rFonts w:ascii="Bookman Old Style" w:hAnsi="Bookman Old Style"/>
          <w:sz w:val="18"/>
          <w:szCs w:val="18"/>
          <w:lang w:val="en-US" w:eastAsia="en-US" w:bidi="en-US"/>
        </w:rPr>
        <w:t>f</w:t>
      </w:r>
      <w:r w:rsidRPr="004E0FC4">
        <w:rPr>
          <w:rFonts w:ascii="Bookman Old Style" w:hAnsi="Bookman Old Style"/>
          <w:sz w:val="18"/>
          <w:szCs w:val="18"/>
          <w:lang w:eastAsia="en-US" w:bidi="en-US"/>
        </w:rPr>
        <w:t xml:space="preserve"> </w:t>
      </w:r>
      <w:r w:rsidRPr="004E0FC4">
        <w:rPr>
          <w:rFonts w:ascii="Bookman Old Style" w:hAnsi="Bookman Old Style"/>
          <w:sz w:val="18"/>
          <w:szCs w:val="18"/>
        </w:rPr>
        <w:t xml:space="preserve">■ </w:t>
      </w:r>
      <w:r w:rsidRPr="004E0FC4">
        <w:rPr>
          <w:rFonts w:ascii="Bookman Old Style" w:hAnsi="Bookman Old Style"/>
          <w:sz w:val="18"/>
          <w:szCs w:val="18"/>
          <w:lang w:val="en-US" w:eastAsia="en-US" w:bidi="en-US"/>
        </w:rPr>
        <w:t>k</w:t>
      </w:r>
      <w:r w:rsidRPr="004E0FC4">
        <w:rPr>
          <w:rFonts w:ascii="Bookman Old Style" w:hAnsi="Bookman Old Style"/>
          <w:sz w:val="18"/>
          <w:szCs w:val="18"/>
          <w:vertAlign w:val="subscript"/>
          <w:lang w:val="en-US" w:eastAsia="en-US" w:bidi="en-US"/>
        </w:rPr>
        <w:t>int</w:t>
      </w:r>
      <w:r w:rsidRPr="004E0FC4">
        <w:rPr>
          <w:rFonts w:ascii="Bookman Old Style" w:hAnsi="Bookman Old Style"/>
          <w:sz w:val="18"/>
          <w:szCs w:val="18"/>
          <w:lang w:eastAsia="en-US" w:bidi="en-US"/>
        </w:rPr>
        <w:t xml:space="preserve"> </w:t>
      </w:r>
      <w:r w:rsidRPr="004E0FC4">
        <w:rPr>
          <w:rFonts w:ascii="Bookman Old Style" w:hAnsi="Bookman Old Style"/>
          <w:sz w:val="18"/>
          <w:szCs w:val="18"/>
        </w:rPr>
        <w:t>-</w:t>
      </w:r>
      <w:r w:rsidRPr="004E0FC4">
        <w:rPr>
          <w:rFonts w:ascii="Bookman Old Style" w:eastAsia="Bookman Old Style" w:hAnsi="Bookman Old Style" w:cs="Bookman Old Style"/>
          <w:i/>
          <w:iCs/>
          <w:sz w:val="18"/>
          <w:szCs w:val="18"/>
        </w:rPr>
        <w:t xml:space="preserve"> ФР^,</w:t>
      </w:r>
      <w:r w:rsidRPr="004E0FC4">
        <w:rPr>
          <w:rFonts w:ascii="Bookman Old Style" w:eastAsia="Bookman Old Style" w:hAnsi="Bookman Old Style" w:cs="Bookman Old Style"/>
          <w:i/>
          <w:iCs/>
          <w:sz w:val="18"/>
          <w:szCs w:val="18"/>
        </w:rPr>
        <w:tab/>
        <w:t>(4.5)</w:t>
      </w:r>
    </w:p>
    <w:p w14:paraId="520A9BB2"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где </w:t>
      </w:r>
      <w:r w:rsidRPr="004E0FC4">
        <w:rPr>
          <w:rFonts w:ascii="Bookman Old Style" w:eastAsia="Bookman Old Style" w:hAnsi="Bookman Old Style" w:cs="Bookman Old Style"/>
          <w:i/>
          <w:iCs/>
          <w:color w:val="231F20"/>
          <w:sz w:val="18"/>
          <w:szCs w:val="18"/>
          <w:lang w:val="en-US" w:eastAsia="en-US" w:bidi="en-US"/>
        </w:rPr>
        <w:t>k</w:t>
      </w:r>
      <w:r w:rsidRPr="004E0FC4">
        <w:rPr>
          <w:rFonts w:ascii="Bookman Old Style" w:eastAsia="Bookman Old Style" w:hAnsi="Bookman Old Style" w:cs="Bookman Old Style"/>
          <w:i/>
          <w:iCs/>
          <w:color w:val="231F20"/>
          <w:sz w:val="18"/>
          <w:szCs w:val="18"/>
          <w:vertAlign w:val="subscript"/>
          <w:lang w:val="en-US" w:eastAsia="en-US" w:bidi="en-US"/>
        </w:rPr>
        <w:t>int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интегральный коэффициент, учитывающий взвешенное влияние на интегральный экономический эффект от вовлечения иностранного партнера в совместную деятельность по созданию инновационного продукта в рамках ГЧП расширенного набора фак</w:t>
      </w:r>
      <w:r w:rsidRPr="004E0FC4">
        <w:rPr>
          <w:rFonts w:ascii="Bookman Old Style" w:eastAsia="Bookman Old Style" w:hAnsi="Bookman Old Style" w:cs="Bookman Old Style"/>
          <w:color w:val="231F20"/>
          <w:sz w:val="18"/>
          <w:szCs w:val="18"/>
        </w:rPr>
        <w:softHyphen/>
        <w:t xml:space="preserve">торов. </w:t>
      </w:r>
    </w:p>
    <w:p w14:paraId="7C03EFBA" w14:textId="77777777" w:rsidR="00350396" w:rsidRPr="004E0FC4" w:rsidRDefault="00350396" w:rsidP="004E0FC4">
      <w:pPr>
        <w:widowControl w:val="0"/>
        <w:spacing w:after="160" w:line="149" w:lineRule="exact"/>
        <w:ind w:right="40" w:firstLine="0"/>
        <w:rPr>
          <w:rFonts w:ascii="Bookman Old Style" w:hAnsi="Bookman Old Style"/>
          <w:sz w:val="18"/>
          <w:szCs w:val="18"/>
        </w:rPr>
      </w:pPr>
      <w:r w:rsidRPr="004E0FC4">
        <w:rPr>
          <w:rFonts w:ascii="Bookman Old Style" w:hAnsi="Bookman Old Style"/>
          <w:sz w:val="18"/>
          <w:szCs w:val="18"/>
          <w:vertAlign w:val="superscript"/>
          <w:lang w:val="en-US" w:eastAsia="en-US" w:bidi="en-US"/>
        </w:rPr>
        <w:t>k</w:t>
      </w:r>
      <w:r w:rsidRPr="004E0FC4">
        <w:rPr>
          <w:rFonts w:ascii="Bookman Old Style" w:hAnsi="Bookman Old Style"/>
          <w:sz w:val="18"/>
          <w:szCs w:val="18"/>
          <w:lang w:val="en-US" w:eastAsia="en-US" w:bidi="en-US"/>
        </w:rPr>
        <w:t>int</w:t>
      </w:r>
      <w:r w:rsidRPr="004E0FC4">
        <w:rPr>
          <w:rFonts w:ascii="Bookman Old Style" w:eastAsia="Bookman Old Style" w:hAnsi="Bookman Old Style" w:cs="Bookman Old Style"/>
          <w:i/>
          <w:iCs/>
          <w:sz w:val="18"/>
          <w:szCs w:val="18"/>
          <w:lang w:eastAsia="en-US" w:bidi="en-US"/>
        </w:rPr>
        <w:t xml:space="preserve"> </w:t>
      </w:r>
      <w:r w:rsidRPr="004E0FC4">
        <w:rPr>
          <w:rFonts w:ascii="Bookman Old Style" w:eastAsia="Bookman Old Style" w:hAnsi="Bookman Old Style" w:cs="Bookman Old Style"/>
          <w:i/>
          <w:iCs/>
          <w:sz w:val="18"/>
          <w:szCs w:val="18"/>
          <w:lang w:val="en-US" w:eastAsia="en-US" w:bidi="en-US"/>
        </w:rPr>
        <w:t>X</w:t>
      </w:r>
      <w:r w:rsidRPr="004E0FC4">
        <w:rPr>
          <w:rFonts w:ascii="Bookman Old Style" w:eastAsia="Bookman Old Style" w:hAnsi="Bookman Old Style" w:cs="Bookman Old Style"/>
          <w:i/>
          <w:iCs/>
          <w:sz w:val="18"/>
          <w:szCs w:val="18"/>
          <w:lang w:eastAsia="en-US" w:bidi="en-US"/>
        </w:rPr>
        <w:t xml:space="preserve"> </w:t>
      </w:r>
      <w:r w:rsidRPr="004E0FC4">
        <w:rPr>
          <w:rFonts w:ascii="Bookman Old Style" w:hAnsi="Bookman Old Style"/>
          <w:sz w:val="18"/>
          <w:szCs w:val="18"/>
          <w:vertAlign w:val="superscript"/>
          <w:lang w:val="en-US" w:eastAsia="en-US" w:bidi="en-US"/>
        </w:rPr>
        <w:t>a</w:t>
      </w:r>
      <w:r w:rsidRPr="004E0FC4">
        <w:rPr>
          <w:rFonts w:ascii="Bookman Old Style" w:hAnsi="Bookman Old Style"/>
          <w:sz w:val="18"/>
          <w:szCs w:val="18"/>
          <w:lang w:val="en-US" w:eastAsia="en-US" w:bidi="en-US"/>
        </w:rPr>
        <w:t>i</w:t>
      </w:r>
      <w:r w:rsidRPr="004E0FC4">
        <w:rPr>
          <w:rFonts w:ascii="Bookman Old Style" w:hAnsi="Bookman Old Style"/>
          <w:sz w:val="18"/>
          <w:szCs w:val="18"/>
          <w:vertAlign w:val="superscript"/>
          <w:lang w:val="en-US" w:eastAsia="en-US" w:bidi="en-US"/>
        </w:rPr>
        <w:t>b</w:t>
      </w:r>
      <w:r w:rsidRPr="004E0FC4">
        <w:rPr>
          <w:rFonts w:ascii="Bookman Old Style" w:hAnsi="Bookman Old Style"/>
          <w:sz w:val="18"/>
          <w:szCs w:val="18"/>
          <w:lang w:val="en-US" w:eastAsia="en-US" w:bidi="en-US"/>
        </w:rPr>
        <w:t>i</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br/>
      </w:r>
      <w:r w:rsidRPr="004E0FC4">
        <w:rPr>
          <w:rFonts w:ascii="Bookman Old Style" w:eastAsia="Bookman Old Style" w:hAnsi="Bookman Old Style" w:cs="Bookman Old Style"/>
          <w:i/>
          <w:iCs/>
          <w:sz w:val="18"/>
          <w:szCs w:val="18"/>
          <w:lang w:val="en-US" w:eastAsia="en-US" w:bidi="en-US"/>
        </w:rPr>
        <w:t>i</w:t>
      </w:r>
      <w:r w:rsidRPr="004E0FC4">
        <w:rPr>
          <w:rFonts w:ascii="Bookman Old Style" w:eastAsia="Bookman Old Style" w:hAnsi="Bookman Old Style" w:cs="Bookman Old Style"/>
          <w:i/>
          <w:iCs/>
          <w:sz w:val="18"/>
          <w:szCs w:val="18"/>
          <w:lang w:eastAsia="en-US" w:bidi="en-US"/>
        </w:rPr>
        <w:t>=1</w:t>
      </w:r>
    </w:p>
    <w:p w14:paraId="3E109A46" w14:textId="63A6897D"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hAnsi="Bookman Old Style"/>
          <w:noProof/>
          <w:sz w:val="18"/>
          <w:szCs w:val="18"/>
          <w:lang w:bidi="ar-SA"/>
        </w:rPr>
        <mc:AlternateContent>
          <mc:Choice Requires="wps">
            <w:drawing>
              <wp:anchor distT="3810" distB="78105" distL="1459865" distR="63500" simplePos="0" relativeHeight="377531198" behindDoc="1" locked="0" layoutInCell="1" allowOverlap="1" wp14:anchorId="49DD2830" wp14:editId="3859AF4A">
                <wp:simplePos x="0" y="0"/>
                <wp:positionH relativeFrom="margin">
                  <wp:posOffset>3916680</wp:posOffset>
                </wp:positionH>
                <wp:positionV relativeFrom="paragraph">
                  <wp:posOffset>-394970</wp:posOffset>
                </wp:positionV>
                <wp:extent cx="307975" cy="128270"/>
                <wp:effectExtent l="0" t="0" r="1270" b="0"/>
                <wp:wrapSquare wrapText="left"/>
                <wp:docPr id="276" name="Надпись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1A09" w14:textId="77777777" w:rsidR="00350396" w:rsidRDefault="00350396" w:rsidP="00350396">
                            <w:pPr>
                              <w:spacing w:line="202" w:lineRule="exact"/>
                            </w:pPr>
                            <w:r>
                              <w:rPr>
                                <w:rStyle w:val="2Exact3"/>
                              </w:rPr>
                              <w:t>(4.6)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DD2830" id="Надпись 276" o:spid="_x0000_s1053" type="#_x0000_t202" style="position:absolute;left:0;text-align:left;margin-left:308.4pt;margin-top:-31.1pt;width:24.25pt;height:10.1pt;z-index:-125785282;visibility:visible;mso-wrap-style:square;mso-width-percent:0;mso-height-percent:0;mso-wrap-distance-left:114.95pt;mso-wrap-distance-top:.3pt;mso-wrap-distance-right: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" filled="f" stroked="f">
                <v:textbox style="mso-fit-shape-to-text:t" inset="0,0,0,0">
                  <w:txbxContent>
                    <w:p w14:paraId="09E41A09" w14:textId="77777777" w:rsidR="00350396" w:rsidRDefault="00350396" w:rsidP="00350396">
                      <w:pPr>
                        <w:spacing w:line="202" w:lineRule="exact"/>
                      </w:pPr>
                      <w:r>
                        <w:rPr>
                          <w:rStyle w:val="2Exact3"/>
                        </w:rPr>
                        <w:t>(4.6)</w:t>
                      </w:r>
                    </w:p>
                  </w:txbxContent>
                </v:textbox>
                <w10:wrap type="square" side="left" anchorx="margin"/>
              </v:shape>
            </w:pict>
          </mc:Fallback>
        </mc:AlternateContent>
      </w:r>
      <w:r w:rsidRPr="004E0FC4">
        <w:rPr>
          <w:rFonts w:ascii="Bookman Old Style" w:eastAsia="Bookman Old Style" w:hAnsi="Bookman Old Style" w:cs="Bookman Old Style"/>
          <w:color w:val="231F20"/>
          <w:sz w:val="18"/>
          <w:szCs w:val="18"/>
        </w:rPr>
        <w:t xml:space="preserve">где </w:t>
      </w:r>
      <w:r w:rsidRPr="004E0FC4">
        <w:rPr>
          <w:rFonts w:ascii="Bookman Old Style" w:eastAsia="Bookman Old Style" w:hAnsi="Bookman Old Style" w:cs="Bookman Old Style"/>
          <w:i/>
          <w:iCs/>
          <w:color w:val="231F20"/>
          <w:sz w:val="18"/>
          <w:szCs w:val="18"/>
          <w:lang w:val="en-US" w:eastAsia="en-US" w:bidi="en-US"/>
        </w:rPr>
        <w:t>a</w:t>
      </w:r>
      <w:r w:rsidRPr="004E0FC4">
        <w:rPr>
          <w:rFonts w:ascii="Bookman Old Style" w:eastAsia="Bookman Old Style" w:hAnsi="Bookman Old Style" w:cs="Bookman Old Style"/>
          <w:color w:val="231F20"/>
          <w:sz w:val="18"/>
          <w:szCs w:val="18"/>
          <w:lang w:eastAsia="en-US" w:bidi="en-US"/>
        </w:rPr>
        <w:t xml:space="preserve"> — </w:t>
      </w:r>
      <w:r w:rsidRPr="004E0FC4">
        <w:rPr>
          <w:rFonts w:ascii="Bookman Old Style" w:eastAsia="Bookman Old Style" w:hAnsi="Bookman Old Style" w:cs="Bookman Old Style"/>
          <w:color w:val="231F20"/>
          <w:sz w:val="18"/>
          <w:szCs w:val="18"/>
        </w:rPr>
        <w:t xml:space="preserve">вес </w:t>
      </w:r>
      <w:r w:rsidRPr="004E0FC4">
        <w:rPr>
          <w:rFonts w:ascii="Bookman Old Style" w:eastAsia="Bookman Old Style" w:hAnsi="Bookman Old Style" w:cs="Bookman Old Style"/>
          <w:color w:val="231F20"/>
          <w:sz w:val="18"/>
          <w:szCs w:val="18"/>
          <w:lang w:val="en-US" w:eastAsia="en-US" w:bidi="en-US"/>
        </w:rPr>
        <w:t>i</w:t>
      </w:r>
      <w:r w:rsidRPr="004E0FC4">
        <w:rPr>
          <w:rFonts w:ascii="Bookman Old Style" w:eastAsia="Bookman Old Style" w:hAnsi="Bookman Old Style" w:cs="Bookman Old Style"/>
          <w:color w:val="231F20"/>
          <w:sz w:val="18"/>
          <w:szCs w:val="18"/>
        </w:rPr>
        <w:t>-й характеристики (показателя, фактора влияния);</w:t>
      </w:r>
      <w:r w:rsidRPr="004E0FC4">
        <w:rPr>
          <w:rFonts w:ascii="Bookman Old Style" w:eastAsia="Bookman Old Style" w:hAnsi="Bookman Old Style" w:cs="Bookman Old Style"/>
          <w:color w:val="231F20"/>
          <w:sz w:val="18"/>
          <w:szCs w:val="18"/>
        </w:rPr>
        <w:br/>
      </w:r>
      <w:r w:rsidRPr="004E0FC4">
        <w:rPr>
          <w:rFonts w:ascii="Bookman Old Style" w:eastAsia="Bookman Old Style" w:hAnsi="Bookman Old Style" w:cs="Bookman Old Style"/>
          <w:i/>
          <w:iCs/>
          <w:color w:val="231F20"/>
          <w:sz w:val="18"/>
          <w:szCs w:val="18"/>
          <w:lang w:val="en-US" w:eastAsia="en-US" w:bidi="en-US"/>
        </w:rPr>
        <w:t>b</w:t>
      </w:r>
      <w:r w:rsidRPr="004E0FC4">
        <w:rPr>
          <w:rFonts w:ascii="Bookman Old Style" w:eastAsia="Bookman Old Style" w:hAnsi="Bookman Old Style" w:cs="Bookman Old Style"/>
          <w:i/>
          <w:iCs/>
          <w:color w:val="231F20"/>
          <w:sz w:val="18"/>
          <w:szCs w:val="18"/>
          <w:vertAlign w:val="subscript"/>
          <w:lang w:val="en-US" w:eastAsia="en-US" w:bidi="en-US"/>
        </w:rPr>
        <w:t>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значение </w:t>
      </w:r>
      <w:r w:rsidRPr="004E0FC4">
        <w:rPr>
          <w:rFonts w:ascii="Bookman Old Style" w:eastAsia="Bookman Old Style" w:hAnsi="Bookman Old Style" w:cs="Bookman Old Style"/>
          <w:color w:val="231F20"/>
          <w:sz w:val="18"/>
          <w:szCs w:val="18"/>
          <w:lang w:val="en-US" w:eastAsia="en-US" w:bidi="en-US"/>
        </w:rPr>
        <w:t>i</w:t>
      </w:r>
      <w:r w:rsidRPr="004E0FC4">
        <w:rPr>
          <w:rFonts w:ascii="Bookman Old Style" w:eastAsia="Bookman Old Style" w:hAnsi="Bookman Old Style" w:cs="Bookman Old Style"/>
          <w:color w:val="231F20"/>
          <w:sz w:val="18"/>
          <w:szCs w:val="18"/>
        </w:rPr>
        <w:t>-й характеристики (показателя, фактора влияния).</w:t>
      </w:r>
    </w:p>
    <w:p w14:paraId="1DFB31E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 этом оценка силы влияния и веса различных факторов (ха</w:t>
      </w:r>
      <w:r w:rsidRPr="004E0FC4">
        <w:rPr>
          <w:rFonts w:ascii="Bookman Old Style" w:eastAsia="Bookman Old Style" w:hAnsi="Bookman Old Style" w:cs="Bookman Old Style"/>
          <w:color w:val="231F20"/>
          <w:sz w:val="18"/>
          <w:szCs w:val="18"/>
        </w:rPr>
        <w:softHyphen/>
        <w:t>рактеристик) участия в проекте ГЧП потенциальных партнеров на интегральный коэффициент проводится экспертным путем. Допустим для трех потенциальных партнеров в проекте ГЧП, свя</w:t>
      </w:r>
      <w:r w:rsidRPr="004E0FC4">
        <w:rPr>
          <w:rFonts w:ascii="Bookman Old Style" w:eastAsia="Bookman Old Style" w:hAnsi="Bookman Old Style" w:cs="Bookman Old Style"/>
          <w:color w:val="231F20"/>
          <w:sz w:val="18"/>
          <w:szCs w:val="18"/>
        </w:rPr>
        <w:softHyphen/>
        <w:t>занном с созданием инновационной продукции, определен состав статистически значимых факторов (показателей), оказывающих влияние на интегральный экономический эффект, а также получе</w:t>
      </w:r>
      <w:r w:rsidRPr="004E0FC4">
        <w:rPr>
          <w:rFonts w:ascii="Bookman Old Style" w:eastAsia="Bookman Old Style" w:hAnsi="Bookman Old Style" w:cs="Bookman Old Style"/>
          <w:color w:val="231F20"/>
          <w:sz w:val="18"/>
          <w:szCs w:val="18"/>
        </w:rPr>
        <w:softHyphen/>
        <w:t>ны их веса и значения, приведенные в качестве примера в табл. 4.7.</w:t>
      </w:r>
    </w:p>
    <w:p w14:paraId="48B5D616" w14:textId="6109E24D" w:rsidR="00787383"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Данный числовой пример используем для расчета интегрально</w:t>
      </w:r>
      <w:r w:rsidRPr="004E0FC4">
        <w:rPr>
          <w:rFonts w:ascii="Bookman Old Style" w:eastAsia="Bookman Old Style" w:hAnsi="Bookman Old Style" w:cs="Bookman Old Style"/>
          <w:color w:val="231F20"/>
          <w:sz w:val="18"/>
          <w:szCs w:val="18"/>
        </w:rPr>
        <w:softHyphen/>
        <w:t>го коэффициента и определения интегрального экономического эффекта от вовлечения потенциальных иностранных партнеров в совместную деятельность по созданию инновационного продукта в рамках ГЧП (табл. 4.9).</w:t>
      </w:r>
    </w:p>
    <w:p w14:paraId="533B91D1" w14:textId="77777777" w:rsidR="00787383" w:rsidRDefault="00787383">
      <w:pPr>
        <w:rPr>
          <w:rFonts w:ascii="Bookman Old Style" w:eastAsia="Bookman Old Style" w:hAnsi="Bookman Old Style" w:cs="Bookman Old Style"/>
          <w:color w:val="231F20"/>
          <w:sz w:val="18"/>
          <w:szCs w:val="18"/>
        </w:rPr>
      </w:pPr>
      <w:r>
        <w:rPr>
          <w:rFonts w:ascii="Bookman Old Style" w:eastAsia="Bookman Old Style" w:hAnsi="Bookman Old Style" w:cs="Bookman Old Style"/>
          <w:color w:val="231F20"/>
          <w:sz w:val="18"/>
          <w:szCs w:val="18"/>
        </w:rPr>
        <w:br w:type="page"/>
      </w:r>
    </w:p>
    <w:p w14:paraId="42C6D5EE" w14:textId="77777777" w:rsidR="00350396" w:rsidRPr="004E0FC4" w:rsidRDefault="00350396" w:rsidP="004E0FC4">
      <w:pPr>
        <w:widowControl w:val="0"/>
        <w:spacing w:line="240" w:lineRule="auto"/>
        <w:ind w:firstLine="320"/>
        <w:rPr>
          <w:rFonts w:ascii="Bookman Old Style" w:hAnsi="Bookman Old Style"/>
          <w:sz w:val="18"/>
          <w:szCs w:val="18"/>
        </w:rPr>
      </w:pPr>
    </w:p>
    <w:p w14:paraId="02E2F72B" w14:textId="77777777" w:rsidR="00350396" w:rsidRPr="004E0FC4" w:rsidRDefault="00350396" w:rsidP="004E0FC4">
      <w:pPr>
        <w:widowControl w:val="0"/>
        <w:spacing w:after="86" w:line="240" w:lineRule="auto"/>
        <w:ind w:firstLine="0"/>
        <w:rPr>
          <w:rFonts w:ascii="Bookman Old Style" w:hAnsi="Bookman Old Style"/>
          <w:sz w:val="18"/>
          <w:szCs w:val="18"/>
        </w:rPr>
      </w:pPr>
      <w:r w:rsidRPr="004E0FC4">
        <w:rPr>
          <w:rFonts w:ascii="Bookman Old Style" w:eastAsia="Arial Narrow" w:hAnsi="Bookman Old Style" w:cs="Arial Narrow"/>
          <w:i/>
          <w:iCs/>
          <w:color w:val="231F20"/>
          <w:sz w:val="18"/>
          <w:szCs w:val="18"/>
        </w:rPr>
        <w:t>Таблица 4.9</w:t>
      </w:r>
    </w:p>
    <w:p w14:paraId="5830D2AF" w14:textId="77777777" w:rsidR="00350396" w:rsidRPr="004E0FC4" w:rsidRDefault="00350396" w:rsidP="004E0FC4">
      <w:pPr>
        <w:widowControl w:val="0"/>
        <w:spacing w:line="235" w:lineRule="exact"/>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Пример определения интегрального коэффициента, учитывающего влияние</w:t>
      </w:r>
      <w:r w:rsidRPr="004E0FC4">
        <w:rPr>
          <w:rFonts w:ascii="Bookman Old Style" w:eastAsia="Arial Narrow" w:hAnsi="Bookman Old Style" w:cs="Arial Narrow"/>
          <w:b/>
          <w:bCs/>
          <w:color w:val="231F20"/>
          <w:sz w:val="18"/>
          <w:szCs w:val="18"/>
        </w:rPr>
        <w:br/>
        <w:t>расширенного состава факторов привлечения иностранных партнеров в проекты ГЧП,</w:t>
      </w:r>
      <w:r w:rsidRPr="004E0FC4">
        <w:rPr>
          <w:rFonts w:ascii="Bookman Old Style" w:eastAsia="Arial Narrow" w:hAnsi="Bookman Old Style" w:cs="Arial Narrow"/>
          <w:b/>
          <w:bCs/>
          <w:color w:val="231F20"/>
          <w:sz w:val="18"/>
          <w:szCs w:val="18"/>
        </w:rPr>
        <w:br/>
        <w:t>связанные с созданием инновационной продукции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62"/>
        <w:gridCol w:w="792"/>
        <w:gridCol w:w="682"/>
        <w:gridCol w:w="682"/>
        <w:gridCol w:w="859"/>
      </w:tblGrid>
      <w:tr w:rsidR="00350396" w:rsidRPr="004E0FC4" w14:paraId="3B0A2552" w14:textId="77777777" w:rsidTr="006D7F71">
        <w:trPr>
          <w:trHeight w:hRule="exact" w:val="768"/>
          <w:jc w:val="center"/>
        </w:trPr>
        <w:tc>
          <w:tcPr>
            <w:tcW w:w="3562" w:type="dxa"/>
            <w:vMerge w:val="restart"/>
            <w:tcBorders>
              <w:top w:val="single" w:sz="4" w:space="0" w:color="auto"/>
              <w:left w:val="single" w:sz="4" w:space="0" w:color="auto"/>
            </w:tcBorders>
            <w:shd w:val="clear" w:color="auto" w:fill="FFFFFF"/>
            <w:vAlign w:val="center"/>
          </w:tcPr>
          <w:p w14:paraId="640F67E7"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Показатели (факторы) инноваци</w:t>
            </w:r>
            <w:r w:rsidRPr="004E0FC4">
              <w:rPr>
                <w:rFonts w:ascii="Bookman Old Style" w:eastAsia="Bookman Old Style" w:hAnsi="Bookman Old Style" w:cs="Bookman Old Style"/>
                <w:b/>
                <w:bCs/>
                <w:color w:val="231F20"/>
                <w:sz w:val="18"/>
                <w:szCs w:val="18"/>
              </w:rPr>
              <w:softHyphen/>
              <w:t>онного проекта ГЧП, оказывающие влияние на интегральный экономиче</w:t>
            </w:r>
            <w:r w:rsidRPr="004E0FC4">
              <w:rPr>
                <w:rFonts w:ascii="Bookman Old Style" w:eastAsia="Bookman Old Style" w:hAnsi="Bookman Old Style" w:cs="Bookman Old Style"/>
                <w:b/>
                <w:bCs/>
                <w:color w:val="231F20"/>
                <w:sz w:val="18"/>
                <w:szCs w:val="18"/>
              </w:rPr>
              <w:softHyphen/>
              <w:t>ский эффект</w:t>
            </w:r>
          </w:p>
        </w:tc>
        <w:tc>
          <w:tcPr>
            <w:tcW w:w="792" w:type="dxa"/>
            <w:vMerge w:val="restart"/>
            <w:tcBorders>
              <w:top w:val="single" w:sz="4" w:space="0" w:color="auto"/>
              <w:left w:val="single" w:sz="4" w:space="0" w:color="auto"/>
            </w:tcBorders>
            <w:shd w:val="clear" w:color="auto" w:fill="FFFFFF"/>
            <w:vAlign w:val="center"/>
          </w:tcPr>
          <w:p w14:paraId="3E120214" w14:textId="77777777" w:rsidR="00350396" w:rsidRPr="004E0FC4" w:rsidRDefault="00350396" w:rsidP="004E0FC4">
            <w:pPr>
              <w:framePr w:w="6576" w:wrap="notBeside" w:vAnchor="text" w:hAnchor="text" w:xAlign="center" w:y="1"/>
              <w:widowControl w:val="0"/>
              <w:spacing w:line="216" w:lineRule="exact"/>
              <w:ind w:left="24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Важ</w:t>
            </w:r>
            <w:r w:rsidRPr="004E0FC4">
              <w:rPr>
                <w:rFonts w:ascii="Bookman Old Style" w:eastAsia="Bookman Old Style" w:hAnsi="Bookman Old Style" w:cs="Bookman Old Style"/>
                <w:b/>
                <w:bCs/>
                <w:color w:val="231F20"/>
                <w:sz w:val="18"/>
                <w:szCs w:val="18"/>
              </w:rPr>
              <w:softHyphen/>
            </w:r>
          </w:p>
          <w:p w14:paraId="53E68817" w14:textId="77777777" w:rsidR="00350396" w:rsidRPr="004E0FC4" w:rsidRDefault="00350396" w:rsidP="004E0FC4">
            <w:pPr>
              <w:framePr w:w="6576" w:wrap="notBeside" w:vAnchor="text" w:hAnchor="text" w:xAlign="center" w:y="1"/>
              <w:widowControl w:val="0"/>
              <w:spacing w:line="216" w:lineRule="exact"/>
              <w:ind w:left="18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ность</w:t>
            </w:r>
          </w:p>
          <w:p w14:paraId="4DFFB77E"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показа</w:t>
            </w:r>
            <w:r w:rsidRPr="004E0FC4">
              <w:rPr>
                <w:rFonts w:ascii="Bookman Old Style" w:eastAsia="Bookman Old Style" w:hAnsi="Bookman Old Style" w:cs="Bookman Old Style"/>
                <w:b/>
                <w:bCs/>
                <w:color w:val="231F20"/>
                <w:sz w:val="18"/>
                <w:szCs w:val="18"/>
              </w:rPr>
              <w:softHyphen/>
              <w:t>теля, %</w:t>
            </w:r>
          </w:p>
        </w:tc>
        <w:tc>
          <w:tcPr>
            <w:tcW w:w="2223" w:type="dxa"/>
            <w:gridSpan w:val="3"/>
            <w:tcBorders>
              <w:top w:val="single" w:sz="4" w:space="0" w:color="auto"/>
              <w:left w:val="single" w:sz="4" w:space="0" w:color="auto"/>
              <w:right w:val="single" w:sz="4" w:space="0" w:color="auto"/>
            </w:tcBorders>
            <w:shd w:val="clear" w:color="auto" w:fill="FFFFFF"/>
            <w:vAlign w:val="bottom"/>
          </w:tcPr>
          <w:p w14:paraId="662F2E25"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Оценка значения фак</w:t>
            </w:r>
            <w:r w:rsidRPr="004E0FC4">
              <w:rPr>
                <w:rFonts w:ascii="Bookman Old Style" w:eastAsia="Bookman Old Style" w:hAnsi="Bookman Old Style" w:cs="Bookman Old Style"/>
                <w:b/>
                <w:bCs/>
                <w:color w:val="231F20"/>
                <w:sz w:val="18"/>
                <w:szCs w:val="18"/>
              </w:rPr>
              <w:softHyphen/>
              <w:t>тора для потенциаль</w:t>
            </w:r>
            <w:r w:rsidRPr="004E0FC4">
              <w:rPr>
                <w:rFonts w:ascii="Bookman Old Style" w:eastAsia="Bookman Old Style" w:hAnsi="Bookman Old Style" w:cs="Bookman Old Style"/>
                <w:b/>
                <w:bCs/>
                <w:color w:val="231F20"/>
                <w:sz w:val="18"/>
                <w:szCs w:val="18"/>
              </w:rPr>
              <w:softHyphen/>
              <w:t>ного партнера</w:t>
            </w:r>
          </w:p>
        </w:tc>
      </w:tr>
      <w:tr w:rsidR="00350396" w:rsidRPr="004E0FC4" w14:paraId="1F41A6D9" w14:textId="77777777" w:rsidTr="006D7F71">
        <w:trPr>
          <w:trHeight w:hRule="exact" w:val="326"/>
          <w:jc w:val="center"/>
        </w:trPr>
        <w:tc>
          <w:tcPr>
            <w:tcW w:w="3562" w:type="dxa"/>
            <w:vMerge/>
            <w:tcBorders>
              <w:left w:val="single" w:sz="4" w:space="0" w:color="auto"/>
            </w:tcBorders>
            <w:shd w:val="clear" w:color="auto" w:fill="FFFFFF"/>
            <w:vAlign w:val="center"/>
          </w:tcPr>
          <w:p w14:paraId="0F469980"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792" w:type="dxa"/>
            <w:vMerge/>
            <w:tcBorders>
              <w:left w:val="single" w:sz="4" w:space="0" w:color="auto"/>
            </w:tcBorders>
            <w:shd w:val="clear" w:color="auto" w:fill="FFFFFF"/>
            <w:vAlign w:val="center"/>
          </w:tcPr>
          <w:p w14:paraId="227B8DC2"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682" w:type="dxa"/>
            <w:tcBorders>
              <w:top w:val="single" w:sz="4" w:space="0" w:color="auto"/>
              <w:left w:val="single" w:sz="4" w:space="0" w:color="auto"/>
            </w:tcBorders>
            <w:shd w:val="clear" w:color="auto" w:fill="FFFFFF"/>
            <w:vAlign w:val="bottom"/>
          </w:tcPr>
          <w:p w14:paraId="78F9FF2D"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1</w:t>
            </w:r>
          </w:p>
        </w:tc>
        <w:tc>
          <w:tcPr>
            <w:tcW w:w="682" w:type="dxa"/>
            <w:tcBorders>
              <w:top w:val="single" w:sz="4" w:space="0" w:color="auto"/>
              <w:left w:val="single" w:sz="4" w:space="0" w:color="auto"/>
            </w:tcBorders>
            <w:shd w:val="clear" w:color="auto" w:fill="FFFFFF"/>
            <w:vAlign w:val="bottom"/>
          </w:tcPr>
          <w:p w14:paraId="29BF47ED"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2</w:t>
            </w:r>
          </w:p>
        </w:tc>
        <w:tc>
          <w:tcPr>
            <w:tcW w:w="859" w:type="dxa"/>
            <w:tcBorders>
              <w:top w:val="single" w:sz="4" w:space="0" w:color="auto"/>
              <w:left w:val="single" w:sz="4" w:space="0" w:color="auto"/>
              <w:right w:val="single" w:sz="4" w:space="0" w:color="auto"/>
            </w:tcBorders>
            <w:shd w:val="clear" w:color="auto" w:fill="FFFFFF"/>
            <w:vAlign w:val="center"/>
          </w:tcPr>
          <w:p w14:paraId="2A371C33"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3</w:t>
            </w:r>
          </w:p>
        </w:tc>
      </w:tr>
      <w:tr w:rsidR="00350396" w:rsidRPr="004E0FC4" w14:paraId="65AFC42A" w14:textId="77777777" w:rsidTr="006D7F71">
        <w:trPr>
          <w:trHeight w:hRule="exact" w:val="739"/>
          <w:jc w:val="center"/>
        </w:trPr>
        <w:tc>
          <w:tcPr>
            <w:tcW w:w="3562" w:type="dxa"/>
            <w:tcBorders>
              <w:top w:val="single" w:sz="4" w:space="0" w:color="auto"/>
              <w:left w:val="single" w:sz="4" w:space="0" w:color="auto"/>
            </w:tcBorders>
            <w:shd w:val="clear" w:color="auto" w:fill="FFFFFF"/>
            <w:vAlign w:val="center"/>
          </w:tcPr>
          <w:p w14:paraId="34AA8FE6"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Уровень деловой репутации зарубежной или отечественной компании, привлека</w:t>
            </w:r>
            <w:r w:rsidRPr="004E0FC4">
              <w:rPr>
                <w:rFonts w:ascii="Bookman Old Style" w:eastAsia="Bookman Old Style" w:hAnsi="Bookman Old Style" w:cs="Bookman Old Style"/>
                <w:color w:val="231F20"/>
                <w:sz w:val="18"/>
                <w:szCs w:val="18"/>
              </w:rPr>
              <w:softHyphen/>
              <w:t>емой к сотрудничеству</w:t>
            </w:r>
          </w:p>
        </w:tc>
        <w:tc>
          <w:tcPr>
            <w:tcW w:w="792" w:type="dxa"/>
            <w:tcBorders>
              <w:top w:val="single" w:sz="4" w:space="0" w:color="auto"/>
              <w:left w:val="single" w:sz="4" w:space="0" w:color="auto"/>
            </w:tcBorders>
            <w:shd w:val="clear" w:color="auto" w:fill="FFFFFF"/>
          </w:tcPr>
          <w:p w14:paraId="0E5F45D2"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w:t>
            </w:r>
          </w:p>
        </w:tc>
        <w:tc>
          <w:tcPr>
            <w:tcW w:w="682" w:type="dxa"/>
            <w:tcBorders>
              <w:top w:val="single" w:sz="4" w:space="0" w:color="auto"/>
              <w:left w:val="single" w:sz="4" w:space="0" w:color="auto"/>
            </w:tcBorders>
            <w:shd w:val="clear" w:color="auto" w:fill="FFFFFF"/>
          </w:tcPr>
          <w:p w14:paraId="780645E7"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682" w:type="dxa"/>
            <w:tcBorders>
              <w:top w:val="single" w:sz="4" w:space="0" w:color="auto"/>
              <w:left w:val="single" w:sz="4" w:space="0" w:color="auto"/>
            </w:tcBorders>
            <w:shd w:val="clear" w:color="auto" w:fill="FFFFFF"/>
          </w:tcPr>
          <w:p w14:paraId="23B4AD19" w14:textId="77777777" w:rsidR="00350396" w:rsidRPr="004E0FC4" w:rsidRDefault="00350396" w:rsidP="004E0FC4">
            <w:pPr>
              <w:framePr w:w="6576" w:wrap="notBeside" w:vAnchor="text" w:hAnchor="text" w:xAlign="center" w:y="1"/>
              <w:widowControl w:val="0"/>
              <w:spacing w:line="168" w:lineRule="exact"/>
              <w:ind w:left="1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0,90</w:t>
            </w:r>
          </w:p>
        </w:tc>
        <w:tc>
          <w:tcPr>
            <w:tcW w:w="859" w:type="dxa"/>
            <w:tcBorders>
              <w:top w:val="single" w:sz="4" w:space="0" w:color="auto"/>
              <w:left w:val="single" w:sz="4" w:space="0" w:color="auto"/>
              <w:right w:val="single" w:sz="4" w:space="0" w:color="auto"/>
            </w:tcBorders>
            <w:shd w:val="clear" w:color="auto" w:fill="FFFFFF"/>
          </w:tcPr>
          <w:p w14:paraId="65616D6C"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w:t>
            </w:r>
          </w:p>
        </w:tc>
      </w:tr>
      <w:tr w:rsidR="00350396" w:rsidRPr="004E0FC4" w14:paraId="61B8ADFA" w14:textId="77777777" w:rsidTr="006D7F71">
        <w:trPr>
          <w:trHeight w:hRule="exact" w:val="739"/>
          <w:jc w:val="center"/>
        </w:trPr>
        <w:tc>
          <w:tcPr>
            <w:tcW w:w="3562" w:type="dxa"/>
            <w:tcBorders>
              <w:top w:val="single" w:sz="4" w:space="0" w:color="auto"/>
              <w:left w:val="single" w:sz="4" w:space="0" w:color="auto"/>
            </w:tcBorders>
            <w:shd w:val="clear" w:color="auto" w:fill="FFFFFF"/>
            <w:vAlign w:val="bottom"/>
          </w:tcPr>
          <w:p w14:paraId="230569B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Доля частного капитала в проекте по созданию инновационного продукта в рамках ГЧП</w:t>
            </w:r>
          </w:p>
        </w:tc>
        <w:tc>
          <w:tcPr>
            <w:tcW w:w="792" w:type="dxa"/>
            <w:tcBorders>
              <w:top w:val="single" w:sz="4" w:space="0" w:color="auto"/>
              <w:left w:val="single" w:sz="4" w:space="0" w:color="auto"/>
            </w:tcBorders>
            <w:shd w:val="clear" w:color="auto" w:fill="FFFFFF"/>
          </w:tcPr>
          <w:p w14:paraId="21B6090C"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15</w:t>
            </w:r>
          </w:p>
        </w:tc>
        <w:tc>
          <w:tcPr>
            <w:tcW w:w="682" w:type="dxa"/>
            <w:tcBorders>
              <w:top w:val="single" w:sz="4" w:space="0" w:color="auto"/>
              <w:left w:val="single" w:sz="4" w:space="0" w:color="auto"/>
            </w:tcBorders>
            <w:shd w:val="clear" w:color="auto" w:fill="FFFFFF"/>
            <w:vAlign w:val="center"/>
          </w:tcPr>
          <w:p w14:paraId="5F85CA3A" w14:textId="77777777" w:rsidR="00350396" w:rsidRPr="004E0FC4" w:rsidRDefault="00350396" w:rsidP="004E0FC4">
            <w:pPr>
              <w:framePr w:w="6576" w:wrap="notBeside" w:vAnchor="text" w:hAnchor="text" w:xAlign="center" w:y="1"/>
              <w:widowControl w:val="0"/>
              <w:spacing w:line="168" w:lineRule="exact"/>
              <w:ind w:left="2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w:t>
            </w:r>
          </w:p>
          <w:p w14:paraId="2AAC0E1B"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(60 %)</w:t>
            </w:r>
          </w:p>
        </w:tc>
        <w:tc>
          <w:tcPr>
            <w:tcW w:w="682" w:type="dxa"/>
            <w:tcBorders>
              <w:top w:val="single" w:sz="4" w:space="0" w:color="auto"/>
              <w:left w:val="single" w:sz="4" w:space="0" w:color="auto"/>
            </w:tcBorders>
            <w:shd w:val="clear" w:color="auto" w:fill="FFFFFF"/>
            <w:vAlign w:val="center"/>
          </w:tcPr>
          <w:p w14:paraId="25A5DF07"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1,10 (65 %)</w:t>
            </w:r>
          </w:p>
        </w:tc>
        <w:tc>
          <w:tcPr>
            <w:tcW w:w="859" w:type="dxa"/>
            <w:tcBorders>
              <w:top w:val="single" w:sz="4" w:space="0" w:color="auto"/>
              <w:left w:val="single" w:sz="4" w:space="0" w:color="auto"/>
              <w:right w:val="single" w:sz="4" w:space="0" w:color="auto"/>
            </w:tcBorders>
            <w:shd w:val="clear" w:color="auto" w:fill="FFFFFF"/>
            <w:vAlign w:val="center"/>
          </w:tcPr>
          <w:p w14:paraId="6769D26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0,925 (57,5 %)</w:t>
            </w:r>
          </w:p>
        </w:tc>
      </w:tr>
      <w:tr w:rsidR="00350396" w:rsidRPr="004E0FC4" w14:paraId="63D9310D" w14:textId="77777777" w:rsidTr="006D7F71">
        <w:trPr>
          <w:trHeight w:hRule="exact" w:val="528"/>
          <w:jc w:val="center"/>
        </w:trPr>
        <w:tc>
          <w:tcPr>
            <w:tcW w:w="3562" w:type="dxa"/>
            <w:tcBorders>
              <w:top w:val="single" w:sz="4" w:space="0" w:color="auto"/>
              <w:left w:val="single" w:sz="4" w:space="0" w:color="auto"/>
            </w:tcBorders>
            <w:shd w:val="clear" w:color="auto" w:fill="FFFFFF"/>
            <w:vAlign w:val="bottom"/>
          </w:tcPr>
          <w:p w14:paraId="04F72864"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Количество дополнительно созданных рабочих мест</w:t>
            </w:r>
          </w:p>
        </w:tc>
        <w:tc>
          <w:tcPr>
            <w:tcW w:w="792" w:type="dxa"/>
            <w:tcBorders>
              <w:top w:val="single" w:sz="4" w:space="0" w:color="auto"/>
              <w:left w:val="single" w:sz="4" w:space="0" w:color="auto"/>
            </w:tcBorders>
            <w:shd w:val="clear" w:color="auto" w:fill="FFFFFF"/>
          </w:tcPr>
          <w:p w14:paraId="18D52C45" w14:textId="77777777" w:rsidR="00350396" w:rsidRPr="004E0FC4" w:rsidRDefault="00350396" w:rsidP="004E0FC4">
            <w:pPr>
              <w:framePr w:w="6576" w:wrap="notBeside" w:vAnchor="text" w:hAnchor="text" w:xAlign="center" w:y="1"/>
              <w:widowControl w:val="0"/>
              <w:spacing w:line="168" w:lineRule="exact"/>
              <w:ind w:left="2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12,5</w:t>
            </w:r>
          </w:p>
        </w:tc>
        <w:tc>
          <w:tcPr>
            <w:tcW w:w="682" w:type="dxa"/>
            <w:tcBorders>
              <w:top w:val="single" w:sz="4" w:space="0" w:color="auto"/>
              <w:left w:val="single" w:sz="4" w:space="0" w:color="auto"/>
            </w:tcBorders>
            <w:shd w:val="clear" w:color="auto" w:fill="FFFFFF"/>
            <w:vAlign w:val="center"/>
          </w:tcPr>
          <w:p w14:paraId="450FFF6D"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682" w:type="dxa"/>
            <w:tcBorders>
              <w:top w:val="single" w:sz="4" w:space="0" w:color="auto"/>
              <w:left w:val="single" w:sz="4" w:space="0" w:color="auto"/>
            </w:tcBorders>
            <w:shd w:val="clear" w:color="auto" w:fill="FFFFFF"/>
          </w:tcPr>
          <w:p w14:paraId="11C6C075" w14:textId="77777777" w:rsidR="00350396" w:rsidRPr="004E0FC4" w:rsidRDefault="00350396" w:rsidP="004E0FC4">
            <w:pPr>
              <w:framePr w:w="6576" w:wrap="notBeside" w:vAnchor="text" w:hAnchor="text" w:xAlign="center" w:y="1"/>
              <w:widowControl w:val="0"/>
              <w:spacing w:line="168" w:lineRule="exact"/>
              <w:ind w:left="1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0,95</w:t>
            </w:r>
          </w:p>
        </w:tc>
        <w:tc>
          <w:tcPr>
            <w:tcW w:w="859" w:type="dxa"/>
            <w:tcBorders>
              <w:top w:val="single" w:sz="4" w:space="0" w:color="auto"/>
              <w:left w:val="single" w:sz="4" w:space="0" w:color="auto"/>
              <w:right w:val="single" w:sz="4" w:space="0" w:color="auto"/>
            </w:tcBorders>
            <w:shd w:val="clear" w:color="auto" w:fill="FFFFFF"/>
          </w:tcPr>
          <w:p w14:paraId="10D20367"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1,15</w:t>
            </w:r>
          </w:p>
        </w:tc>
      </w:tr>
      <w:tr w:rsidR="00350396" w:rsidRPr="004E0FC4" w14:paraId="1C0BE10A" w14:textId="77777777" w:rsidTr="006D7F71">
        <w:trPr>
          <w:trHeight w:hRule="exact" w:val="523"/>
          <w:jc w:val="center"/>
        </w:trPr>
        <w:tc>
          <w:tcPr>
            <w:tcW w:w="3562" w:type="dxa"/>
            <w:tcBorders>
              <w:top w:val="single" w:sz="4" w:space="0" w:color="auto"/>
              <w:left w:val="single" w:sz="4" w:space="0" w:color="auto"/>
            </w:tcBorders>
            <w:shd w:val="clear" w:color="auto" w:fill="FFFFFF"/>
            <w:vAlign w:val="bottom"/>
          </w:tcPr>
          <w:p w14:paraId="1E3BA720"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Права на результаты реализации инно</w:t>
            </w:r>
            <w:r w:rsidRPr="004E0FC4">
              <w:rPr>
                <w:rFonts w:ascii="Bookman Old Style" w:eastAsia="Bookman Old Style" w:hAnsi="Bookman Old Style" w:cs="Bookman Old Style"/>
                <w:color w:val="231F20"/>
                <w:sz w:val="18"/>
                <w:szCs w:val="18"/>
              </w:rPr>
              <w:softHyphen/>
              <w:t>вационного проекта</w:t>
            </w:r>
          </w:p>
        </w:tc>
        <w:tc>
          <w:tcPr>
            <w:tcW w:w="792" w:type="dxa"/>
            <w:tcBorders>
              <w:top w:val="single" w:sz="4" w:space="0" w:color="auto"/>
              <w:left w:val="single" w:sz="4" w:space="0" w:color="auto"/>
            </w:tcBorders>
            <w:shd w:val="clear" w:color="auto" w:fill="FFFFFF"/>
          </w:tcPr>
          <w:p w14:paraId="71874393" w14:textId="77777777" w:rsidR="00350396" w:rsidRPr="004E0FC4" w:rsidRDefault="00350396" w:rsidP="004E0FC4">
            <w:pPr>
              <w:framePr w:w="6576" w:wrap="notBeside" w:vAnchor="text" w:hAnchor="text" w:xAlign="center" w:y="1"/>
              <w:widowControl w:val="0"/>
              <w:spacing w:line="168" w:lineRule="exact"/>
              <w:ind w:left="2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12,5</w:t>
            </w:r>
          </w:p>
        </w:tc>
        <w:tc>
          <w:tcPr>
            <w:tcW w:w="682" w:type="dxa"/>
            <w:tcBorders>
              <w:top w:val="single" w:sz="4" w:space="0" w:color="auto"/>
              <w:left w:val="single" w:sz="4" w:space="0" w:color="auto"/>
            </w:tcBorders>
            <w:shd w:val="clear" w:color="auto" w:fill="FFFFFF"/>
            <w:vAlign w:val="center"/>
          </w:tcPr>
          <w:p w14:paraId="6D384D25"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682" w:type="dxa"/>
            <w:tcBorders>
              <w:top w:val="single" w:sz="4" w:space="0" w:color="auto"/>
              <w:left w:val="single" w:sz="4" w:space="0" w:color="auto"/>
            </w:tcBorders>
            <w:shd w:val="clear" w:color="auto" w:fill="FFFFFF"/>
          </w:tcPr>
          <w:p w14:paraId="23F47044" w14:textId="77777777" w:rsidR="00350396" w:rsidRPr="004E0FC4" w:rsidRDefault="00350396" w:rsidP="004E0FC4">
            <w:pPr>
              <w:framePr w:w="6576" w:wrap="notBeside" w:vAnchor="text" w:hAnchor="text" w:xAlign="center" w:y="1"/>
              <w:widowControl w:val="0"/>
              <w:spacing w:line="168" w:lineRule="exact"/>
              <w:ind w:left="1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0,85</w:t>
            </w:r>
          </w:p>
        </w:tc>
        <w:tc>
          <w:tcPr>
            <w:tcW w:w="859" w:type="dxa"/>
            <w:tcBorders>
              <w:top w:val="single" w:sz="4" w:space="0" w:color="auto"/>
              <w:left w:val="single" w:sz="4" w:space="0" w:color="auto"/>
              <w:right w:val="single" w:sz="4" w:space="0" w:color="auto"/>
            </w:tcBorders>
            <w:shd w:val="clear" w:color="auto" w:fill="FFFFFF"/>
          </w:tcPr>
          <w:p w14:paraId="7383A2DD"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0,85</w:t>
            </w:r>
          </w:p>
        </w:tc>
      </w:tr>
      <w:tr w:rsidR="00350396" w:rsidRPr="004E0FC4" w14:paraId="6C4271EB" w14:textId="77777777" w:rsidTr="006D7F71">
        <w:trPr>
          <w:trHeight w:hRule="exact" w:val="955"/>
          <w:jc w:val="center"/>
        </w:trPr>
        <w:tc>
          <w:tcPr>
            <w:tcW w:w="3562" w:type="dxa"/>
            <w:tcBorders>
              <w:top w:val="single" w:sz="4" w:space="0" w:color="auto"/>
              <w:left w:val="single" w:sz="4" w:space="0" w:color="auto"/>
            </w:tcBorders>
            <w:shd w:val="clear" w:color="auto" w:fill="FFFFFF"/>
            <w:vAlign w:val="bottom"/>
          </w:tcPr>
          <w:p w14:paraId="0EC4EDB7"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Возможность использования полученных результатов реализации инновационно</w:t>
            </w:r>
            <w:r w:rsidRPr="004E0FC4">
              <w:rPr>
                <w:rFonts w:ascii="Bookman Old Style" w:eastAsia="Bookman Old Style" w:hAnsi="Bookman Old Style" w:cs="Bookman Old Style"/>
                <w:color w:val="231F20"/>
                <w:sz w:val="18"/>
                <w:szCs w:val="18"/>
              </w:rPr>
              <w:softHyphen/>
              <w:t>го проекта в других проектах и отраслях внутри страны</w:t>
            </w:r>
          </w:p>
        </w:tc>
        <w:tc>
          <w:tcPr>
            <w:tcW w:w="792" w:type="dxa"/>
            <w:tcBorders>
              <w:top w:val="single" w:sz="4" w:space="0" w:color="auto"/>
              <w:left w:val="single" w:sz="4" w:space="0" w:color="auto"/>
            </w:tcBorders>
            <w:shd w:val="clear" w:color="auto" w:fill="FFFFFF"/>
          </w:tcPr>
          <w:p w14:paraId="33E037FC" w14:textId="77777777" w:rsidR="00350396" w:rsidRPr="004E0FC4" w:rsidRDefault="00350396" w:rsidP="004E0FC4">
            <w:pPr>
              <w:framePr w:w="6576" w:wrap="notBeside" w:vAnchor="text" w:hAnchor="text" w:xAlign="center" w:y="1"/>
              <w:widowControl w:val="0"/>
              <w:spacing w:line="168" w:lineRule="exact"/>
              <w:ind w:left="2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12,5</w:t>
            </w:r>
          </w:p>
        </w:tc>
        <w:tc>
          <w:tcPr>
            <w:tcW w:w="682" w:type="dxa"/>
            <w:tcBorders>
              <w:top w:val="single" w:sz="4" w:space="0" w:color="auto"/>
              <w:left w:val="single" w:sz="4" w:space="0" w:color="auto"/>
            </w:tcBorders>
            <w:shd w:val="clear" w:color="auto" w:fill="FFFFFF"/>
          </w:tcPr>
          <w:p w14:paraId="3BD0825C"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682" w:type="dxa"/>
            <w:tcBorders>
              <w:top w:val="single" w:sz="4" w:space="0" w:color="auto"/>
              <w:left w:val="single" w:sz="4" w:space="0" w:color="auto"/>
            </w:tcBorders>
            <w:shd w:val="clear" w:color="auto" w:fill="FFFFFF"/>
          </w:tcPr>
          <w:p w14:paraId="4925C5A9" w14:textId="77777777" w:rsidR="00350396" w:rsidRPr="004E0FC4" w:rsidRDefault="00350396" w:rsidP="004E0FC4">
            <w:pPr>
              <w:framePr w:w="6576" w:wrap="notBeside" w:vAnchor="text" w:hAnchor="text" w:xAlign="center" w:y="1"/>
              <w:widowControl w:val="0"/>
              <w:spacing w:line="168" w:lineRule="exact"/>
              <w:ind w:left="1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0,90</w:t>
            </w:r>
          </w:p>
        </w:tc>
        <w:tc>
          <w:tcPr>
            <w:tcW w:w="859" w:type="dxa"/>
            <w:tcBorders>
              <w:top w:val="single" w:sz="4" w:space="0" w:color="auto"/>
              <w:left w:val="single" w:sz="4" w:space="0" w:color="auto"/>
              <w:right w:val="single" w:sz="4" w:space="0" w:color="auto"/>
            </w:tcBorders>
            <w:shd w:val="clear" w:color="auto" w:fill="FFFFFF"/>
          </w:tcPr>
          <w:p w14:paraId="491CADC0"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0,85</w:t>
            </w:r>
          </w:p>
        </w:tc>
      </w:tr>
      <w:tr w:rsidR="00350396" w:rsidRPr="004E0FC4" w14:paraId="7728889C" w14:textId="77777777" w:rsidTr="006D7F71">
        <w:trPr>
          <w:trHeight w:hRule="exact" w:val="979"/>
          <w:jc w:val="center"/>
        </w:trPr>
        <w:tc>
          <w:tcPr>
            <w:tcW w:w="3562" w:type="dxa"/>
            <w:tcBorders>
              <w:top w:val="single" w:sz="4" w:space="0" w:color="auto"/>
              <w:left w:val="single" w:sz="4" w:space="0" w:color="auto"/>
              <w:bottom w:val="single" w:sz="4" w:space="0" w:color="auto"/>
            </w:tcBorders>
            <w:shd w:val="clear" w:color="auto" w:fill="FFFFFF"/>
            <w:vAlign w:val="bottom"/>
          </w:tcPr>
          <w:p w14:paraId="4C193609"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Возможность использования полученных результатов реализации инновационно</w:t>
            </w:r>
            <w:r w:rsidRPr="004E0FC4">
              <w:rPr>
                <w:rFonts w:ascii="Bookman Old Style" w:eastAsia="Bookman Old Style" w:hAnsi="Bookman Old Style" w:cs="Bookman Old Style"/>
                <w:color w:val="231F20"/>
                <w:sz w:val="18"/>
                <w:szCs w:val="18"/>
              </w:rPr>
              <w:softHyphen/>
              <w:t>го проекта в других проектах и отраслях за рубежом</w:t>
            </w:r>
          </w:p>
        </w:tc>
        <w:tc>
          <w:tcPr>
            <w:tcW w:w="792" w:type="dxa"/>
            <w:tcBorders>
              <w:top w:val="single" w:sz="4" w:space="0" w:color="auto"/>
              <w:left w:val="single" w:sz="4" w:space="0" w:color="auto"/>
              <w:bottom w:val="single" w:sz="4" w:space="0" w:color="auto"/>
            </w:tcBorders>
            <w:shd w:val="clear" w:color="auto" w:fill="FFFFFF"/>
          </w:tcPr>
          <w:p w14:paraId="7E3AE63C" w14:textId="77777777" w:rsidR="00350396" w:rsidRPr="004E0FC4" w:rsidRDefault="00350396" w:rsidP="004E0FC4">
            <w:pPr>
              <w:framePr w:w="6576" w:wrap="notBeside" w:vAnchor="text" w:hAnchor="text" w:xAlign="center" w:y="1"/>
              <w:widowControl w:val="0"/>
              <w:spacing w:line="168" w:lineRule="exact"/>
              <w:ind w:left="24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12,5</w:t>
            </w:r>
          </w:p>
        </w:tc>
        <w:tc>
          <w:tcPr>
            <w:tcW w:w="682" w:type="dxa"/>
            <w:tcBorders>
              <w:top w:val="single" w:sz="4" w:space="0" w:color="auto"/>
              <w:left w:val="single" w:sz="4" w:space="0" w:color="auto"/>
              <w:bottom w:val="single" w:sz="4" w:space="0" w:color="auto"/>
            </w:tcBorders>
            <w:shd w:val="clear" w:color="auto" w:fill="FFFFFF"/>
          </w:tcPr>
          <w:p w14:paraId="349F8C60"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682" w:type="dxa"/>
            <w:tcBorders>
              <w:top w:val="single" w:sz="4" w:space="0" w:color="auto"/>
              <w:left w:val="single" w:sz="4" w:space="0" w:color="auto"/>
              <w:bottom w:val="single" w:sz="4" w:space="0" w:color="auto"/>
            </w:tcBorders>
            <w:shd w:val="clear" w:color="auto" w:fill="FFFFFF"/>
          </w:tcPr>
          <w:p w14:paraId="67D90D06" w14:textId="77777777" w:rsidR="00350396" w:rsidRPr="004E0FC4" w:rsidRDefault="00350396" w:rsidP="004E0FC4">
            <w:pPr>
              <w:framePr w:w="6576" w:wrap="notBeside" w:vAnchor="text" w:hAnchor="text" w:xAlign="center" w:y="1"/>
              <w:widowControl w:val="0"/>
              <w:spacing w:line="168" w:lineRule="exact"/>
              <w:ind w:left="1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1,10</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0CD58A55"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1,15</w:t>
            </w:r>
          </w:p>
        </w:tc>
      </w:tr>
    </w:tbl>
    <w:p w14:paraId="690DCF8A"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p w14:paraId="51DFDF89"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hAnsi="Bookman Old Style"/>
          <w:sz w:val="18"/>
          <w:szCs w:val="18"/>
        </w:rPr>
        <w:br w:type="page"/>
      </w:r>
    </w:p>
    <w:p w14:paraId="148F7505"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bookmarkStart w:id="62" w:name="bookmark57"/>
      <w:r w:rsidRPr="004E0FC4">
        <w:rPr>
          <w:rFonts w:ascii="Bookman Old Style" w:eastAsia="Bookman Old Style" w:hAnsi="Bookman Old Style" w:cs="Bookman Old Style"/>
          <w:color w:val="231F20"/>
          <w:sz w:val="18"/>
          <w:szCs w:val="18"/>
        </w:rPr>
        <w:lastRenderedPageBreak/>
        <w:t>Окончание табл. 4.9</w:t>
      </w:r>
      <w:bookmarkEnd w:id="62"/>
    </w:p>
    <w:tbl>
      <w:tblPr>
        <w:tblOverlap w:val="never"/>
        <w:tblW w:w="0" w:type="auto"/>
        <w:jc w:val="center"/>
        <w:tblLayout w:type="fixed"/>
        <w:tblCellMar>
          <w:left w:w="10" w:type="dxa"/>
          <w:right w:w="10" w:type="dxa"/>
        </w:tblCellMar>
        <w:tblLook w:val="04A0" w:firstRow="1" w:lastRow="0" w:firstColumn="1" w:lastColumn="0" w:noHBand="0" w:noVBand="1"/>
      </w:tblPr>
      <w:tblGrid>
        <w:gridCol w:w="3562"/>
        <w:gridCol w:w="792"/>
        <w:gridCol w:w="682"/>
        <w:gridCol w:w="682"/>
        <w:gridCol w:w="859"/>
      </w:tblGrid>
      <w:tr w:rsidR="00350396" w:rsidRPr="004E0FC4" w14:paraId="0F5EFD4F" w14:textId="77777777" w:rsidTr="006D7F71">
        <w:trPr>
          <w:trHeight w:hRule="exact" w:val="773"/>
          <w:jc w:val="center"/>
        </w:trPr>
        <w:tc>
          <w:tcPr>
            <w:tcW w:w="3562" w:type="dxa"/>
            <w:vMerge w:val="restart"/>
            <w:tcBorders>
              <w:top w:val="single" w:sz="4" w:space="0" w:color="auto"/>
              <w:left w:val="single" w:sz="4" w:space="0" w:color="auto"/>
            </w:tcBorders>
            <w:shd w:val="clear" w:color="auto" w:fill="FFFFFF"/>
            <w:vAlign w:val="center"/>
          </w:tcPr>
          <w:p w14:paraId="5E890A05"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Показатели (факторы) инноваци</w:t>
            </w:r>
            <w:r w:rsidRPr="004E0FC4">
              <w:rPr>
                <w:rFonts w:ascii="Bookman Old Style" w:eastAsia="Bookman Old Style" w:hAnsi="Bookman Old Style" w:cs="Bookman Old Style"/>
                <w:b/>
                <w:bCs/>
                <w:color w:val="231F20"/>
                <w:sz w:val="18"/>
                <w:szCs w:val="18"/>
              </w:rPr>
              <w:softHyphen/>
              <w:t>онного проекта ГЧП, оказывающие влияние на интегральный экономиче</w:t>
            </w:r>
            <w:r w:rsidRPr="004E0FC4">
              <w:rPr>
                <w:rFonts w:ascii="Bookman Old Style" w:eastAsia="Bookman Old Style" w:hAnsi="Bookman Old Style" w:cs="Bookman Old Style"/>
                <w:b/>
                <w:bCs/>
                <w:color w:val="231F20"/>
                <w:sz w:val="18"/>
                <w:szCs w:val="18"/>
              </w:rPr>
              <w:softHyphen/>
              <w:t>ский эффект</w:t>
            </w:r>
          </w:p>
        </w:tc>
        <w:tc>
          <w:tcPr>
            <w:tcW w:w="792" w:type="dxa"/>
            <w:vMerge w:val="restart"/>
            <w:tcBorders>
              <w:top w:val="single" w:sz="4" w:space="0" w:color="auto"/>
              <w:left w:val="single" w:sz="4" w:space="0" w:color="auto"/>
            </w:tcBorders>
            <w:shd w:val="clear" w:color="auto" w:fill="FFFFFF"/>
            <w:vAlign w:val="center"/>
          </w:tcPr>
          <w:p w14:paraId="4A524D6A" w14:textId="77777777" w:rsidR="00350396" w:rsidRPr="004E0FC4" w:rsidRDefault="00350396" w:rsidP="004E0FC4">
            <w:pPr>
              <w:framePr w:w="6576" w:wrap="notBeside" w:vAnchor="text" w:hAnchor="text" w:xAlign="center" w:y="1"/>
              <w:widowControl w:val="0"/>
              <w:spacing w:line="216" w:lineRule="exact"/>
              <w:ind w:left="18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Важ</w:t>
            </w:r>
            <w:r w:rsidRPr="004E0FC4">
              <w:rPr>
                <w:rFonts w:ascii="Bookman Old Style" w:eastAsia="Bookman Old Style" w:hAnsi="Bookman Old Style" w:cs="Bookman Old Style"/>
                <w:b/>
                <w:bCs/>
                <w:color w:val="231F20"/>
                <w:sz w:val="18"/>
                <w:szCs w:val="18"/>
              </w:rPr>
              <w:softHyphen/>
            </w:r>
          </w:p>
          <w:p w14:paraId="5270AF0D" w14:textId="77777777" w:rsidR="00350396" w:rsidRPr="004E0FC4" w:rsidRDefault="00350396" w:rsidP="004E0FC4">
            <w:pPr>
              <w:framePr w:w="6576" w:wrap="notBeside" w:vAnchor="text" w:hAnchor="text" w:xAlign="center" w:y="1"/>
              <w:widowControl w:val="0"/>
              <w:spacing w:line="216" w:lineRule="exact"/>
              <w:ind w:left="18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ность</w:t>
            </w:r>
          </w:p>
          <w:p w14:paraId="47F873DE"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показа</w:t>
            </w:r>
            <w:r w:rsidRPr="004E0FC4">
              <w:rPr>
                <w:rFonts w:ascii="Bookman Old Style" w:eastAsia="Bookman Old Style" w:hAnsi="Bookman Old Style" w:cs="Bookman Old Style"/>
                <w:b/>
                <w:bCs/>
                <w:color w:val="231F20"/>
                <w:sz w:val="18"/>
                <w:szCs w:val="18"/>
              </w:rPr>
              <w:softHyphen/>
              <w:t>теля, %</w:t>
            </w:r>
          </w:p>
        </w:tc>
        <w:tc>
          <w:tcPr>
            <w:tcW w:w="2223" w:type="dxa"/>
            <w:gridSpan w:val="3"/>
            <w:tcBorders>
              <w:top w:val="single" w:sz="4" w:space="0" w:color="auto"/>
              <w:left w:val="single" w:sz="4" w:space="0" w:color="auto"/>
              <w:right w:val="single" w:sz="4" w:space="0" w:color="auto"/>
            </w:tcBorders>
            <w:shd w:val="clear" w:color="auto" w:fill="FFFFFF"/>
            <w:vAlign w:val="bottom"/>
          </w:tcPr>
          <w:p w14:paraId="2181E5F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Оценка значения фак</w:t>
            </w:r>
            <w:r w:rsidRPr="004E0FC4">
              <w:rPr>
                <w:rFonts w:ascii="Bookman Old Style" w:eastAsia="Bookman Old Style" w:hAnsi="Bookman Old Style" w:cs="Bookman Old Style"/>
                <w:b/>
                <w:bCs/>
                <w:color w:val="231F20"/>
                <w:sz w:val="18"/>
                <w:szCs w:val="18"/>
              </w:rPr>
              <w:softHyphen/>
              <w:t>тора для потенциаль</w:t>
            </w:r>
            <w:r w:rsidRPr="004E0FC4">
              <w:rPr>
                <w:rFonts w:ascii="Bookman Old Style" w:eastAsia="Bookman Old Style" w:hAnsi="Bookman Old Style" w:cs="Bookman Old Style"/>
                <w:b/>
                <w:bCs/>
                <w:color w:val="231F20"/>
                <w:sz w:val="18"/>
                <w:szCs w:val="18"/>
              </w:rPr>
              <w:softHyphen/>
              <w:t>ного партнера</w:t>
            </w:r>
          </w:p>
        </w:tc>
      </w:tr>
      <w:tr w:rsidR="00350396" w:rsidRPr="004E0FC4" w14:paraId="3547A133" w14:textId="77777777" w:rsidTr="006D7F71">
        <w:trPr>
          <w:trHeight w:hRule="exact" w:val="326"/>
          <w:jc w:val="center"/>
        </w:trPr>
        <w:tc>
          <w:tcPr>
            <w:tcW w:w="3562" w:type="dxa"/>
            <w:vMerge/>
            <w:tcBorders>
              <w:left w:val="single" w:sz="4" w:space="0" w:color="auto"/>
            </w:tcBorders>
            <w:shd w:val="clear" w:color="auto" w:fill="FFFFFF"/>
            <w:vAlign w:val="center"/>
          </w:tcPr>
          <w:p w14:paraId="4A28805D"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792" w:type="dxa"/>
            <w:vMerge/>
            <w:tcBorders>
              <w:left w:val="single" w:sz="4" w:space="0" w:color="auto"/>
            </w:tcBorders>
            <w:shd w:val="clear" w:color="auto" w:fill="FFFFFF"/>
            <w:vAlign w:val="center"/>
          </w:tcPr>
          <w:p w14:paraId="0ED14043"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682" w:type="dxa"/>
            <w:tcBorders>
              <w:top w:val="single" w:sz="4" w:space="0" w:color="auto"/>
              <w:left w:val="single" w:sz="4" w:space="0" w:color="auto"/>
            </w:tcBorders>
            <w:shd w:val="clear" w:color="auto" w:fill="FFFFFF"/>
            <w:vAlign w:val="bottom"/>
          </w:tcPr>
          <w:p w14:paraId="0C9B00F7"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1</w:t>
            </w:r>
          </w:p>
        </w:tc>
        <w:tc>
          <w:tcPr>
            <w:tcW w:w="682" w:type="dxa"/>
            <w:tcBorders>
              <w:top w:val="single" w:sz="4" w:space="0" w:color="auto"/>
              <w:left w:val="single" w:sz="4" w:space="0" w:color="auto"/>
            </w:tcBorders>
            <w:shd w:val="clear" w:color="auto" w:fill="FFFFFF"/>
            <w:vAlign w:val="bottom"/>
          </w:tcPr>
          <w:p w14:paraId="3180C72B"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2</w:t>
            </w:r>
          </w:p>
        </w:tc>
        <w:tc>
          <w:tcPr>
            <w:tcW w:w="859" w:type="dxa"/>
            <w:tcBorders>
              <w:top w:val="single" w:sz="4" w:space="0" w:color="auto"/>
              <w:left w:val="single" w:sz="4" w:space="0" w:color="auto"/>
              <w:right w:val="single" w:sz="4" w:space="0" w:color="auto"/>
            </w:tcBorders>
            <w:shd w:val="clear" w:color="auto" w:fill="FFFFFF"/>
            <w:vAlign w:val="center"/>
          </w:tcPr>
          <w:p w14:paraId="34658261"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3</w:t>
            </w:r>
          </w:p>
        </w:tc>
      </w:tr>
      <w:tr w:rsidR="00350396" w:rsidRPr="004E0FC4" w14:paraId="0C50A770" w14:textId="77777777" w:rsidTr="006D7F71">
        <w:trPr>
          <w:trHeight w:hRule="exact" w:val="739"/>
          <w:jc w:val="center"/>
        </w:trPr>
        <w:tc>
          <w:tcPr>
            <w:tcW w:w="3562" w:type="dxa"/>
            <w:tcBorders>
              <w:top w:val="single" w:sz="4" w:space="0" w:color="auto"/>
              <w:left w:val="single" w:sz="4" w:space="0" w:color="auto"/>
            </w:tcBorders>
            <w:shd w:val="clear" w:color="auto" w:fill="FFFFFF"/>
            <w:vAlign w:val="bottom"/>
          </w:tcPr>
          <w:p w14:paraId="17FFF2D4"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Коммуникационный эффект от вовлече</w:t>
            </w:r>
            <w:r w:rsidRPr="004E0FC4">
              <w:rPr>
                <w:rFonts w:ascii="Bookman Old Style" w:eastAsia="Bookman Old Style" w:hAnsi="Bookman Old Style" w:cs="Bookman Old Style"/>
                <w:color w:val="231F20"/>
                <w:sz w:val="18"/>
                <w:szCs w:val="18"/>
              </w:rPr>
              <w:softHyphen/>
              <w:t>ния специалистов компании-партнера в совместную работу</w:t>
            </w:r>
          </w:p>
        </w:tc>
        <w:tc>
          <w:tcPr>
            <w:tcW w:w="792" w:type="dxa"/>
            <w:tcBorders>
              <w:top w:val="single" w:sz="4" w:space="0" w:color="auto"/>
              <w:left w:val="single" w:sz="4" w:space="0" w:color="auto"/>
            </w:tcBorders>
            <w:shd w:val="clear" w:color="auto" w:fill="FFFFFF"/>
          </w:tcPr>
          <w:p w14:paraId="51136590"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15</w:t>
            </w:r>
          </w:p>
        </w:tc>
        <w:tc>
          <w:tcPr>
            <w:tcW w:w="682" w:type="dxa"/>
            <w:tcBorders>
              <w:top w:val="single" w:sz="4" w:space="0" w:color="auto"/>
              <w:left w:val="single" w:sz="4" w:space="0" w:color="auto"/>
            </w:tcBorders>
            <w:shd w:val="clear" w:color="auto" w:fill="FFFFFF"/>
          </w:tcPr>
          <w:p w14:paraId="702C2824"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682" w:type="dxa"/>
            <w:tcBorders>
              <w:top w:val="single" w:sz="4" w:space="0" w:color="auto"/>
              <w:left w:val="single" w:sz="4" w:space="0" w:color="auto"/>
            </w:tcBorders>
            <w:shd w:val="clear" w:color="auto" w:fill="FFFFFF"/>
          </w:tcPr>
          <w:p w14:paraId="690CDD52" w14:textId="77777777" w:rsidR="00350396" w:rsidRPr="004E0FC4" w:rsidRDefault="00350396" w:rsidP="004E0FC4">
            <w:pPr>
              <w:framePr w:w="6576" w:wrap="notBeside" w:vAnchor="text" w:hAnchor="text" w:xAlign="center" w:y="1"/>
              <w:widowControl w:val="0"/>
              <w:spacing w:line="168" w:lineRule="exact"/>
              <w:ind w:left="1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1,10</w:t>
            </w:r>
          </w:p>
        </w:tc>
        <w:tc>
          <w:tcPr>
            <w:tcW w:w="859" w:type="dxa"/>
            <w:tcBorders>
              <w:top w:val="single" w:sz="4" w:space="0" w:color="auto"/>
              <w:left w:val="single" w:sz="4" w:space="0" w:color="auto"/>
              <w:right w:val="single" w:sz="4" w:space="0" w:color="auto"/>
            </w:tcBorders>
            <w:shd w:val="clear" w:color="auto" w:fill="FFFFFF"/>
          </w:tcPr>
          <w:p w14:paraId="2D937087"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1,20</w:t>
            </w:r>
          </w:p>
        </w:tc>
      </w:tr>
      <w:tr w:rsidR="00350396" w:rsidRPr="004E0FC4" w14:paraId="6E42A55A" w14:textId="77777777" w:rsidTr="006D7F71">
        <w:trPr>
          <w:trHeight w:hRule="exact" w:val="754"/>
          <w:jc w:val="center"/>
        </w:trPr>
        <w:tc>
          <w:tcPr>
            <w:tcW w:w="3562" w:type="dxa"/>
            <w:tcBorders>
              <w:top w:val="single" w:sz="4" w:space="0" w:color="auto"/>
              <w:left w:val="single" w:sz="4" w:space="0" w:color="auto"/>
              <w:bottom w:val="single" w:sz="4" w:space="0" w:color="auto"/>
            </w:tcBorders>
            <w:shd w:val="clear" w:color="auto" w:fill="FFFFFF"/>
            <w:vAlign w:val="bottom"/>
          </w:tcPr>
          <w:p w14:paraId="0D34369A" w14:textId="77777777" w:rsidR="00350396" w:rsidRPr="004E0FC4" w:rsidRDefault="00350396" w:rsidP="004E0FC4">
            <w:pPr>
              <w:framePr w:w="6576" w:wrap="notBeside" w:vAnchor="text" w:hAnchor="text" w:xAlign="center" w:y="1"/>
              <w:widowControl w:val="0"/>
              <w:spacing w:line="230"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Итоговая оценка (средневзвешенные значения) — интегральный коэффици</w:t>
            </w:r>
            <w:r w:rsidRPr="004E0FC4">
              <w:rPr>
                <w:rFonts w:ascii="Bookman Old Style" w:eastAsia="Bookman Old Style" w:hAnsi="Bookman Old Style" w:cs="Bookman Old Style"/>
                <w:color w:val="231F20"/>
                <w:sz w:val="18"/>
                <w:szCs w:val="18"/>
              </w:rPr>
              <w:softHyphen/>
              <w:t xml:space="preserve">ент </w:t>
            </w:r>
            <w:r w:rsidRPr="004E0FC4">
              <w:rPr>
                <w:rFonts w:ascii="Bookman Old Style" w:eastAsia="Bookman Old Style" w:hAnsi="Bookman Old Style" w:cs="Bookman Old Style"/>
                <w:i/>
                <w:iCs/>
                <w:color w:val="231F20"/>
                <w:sz w:val="18"/>
                <w:szCs w:val="18"/>
                <w:vertAlign w:val="superscript"/>
                <w:lang w:val="en-US" w:eastAsia="en-US" w:bidi="en-US"/>
              </w:rPr>
              <w:t>k</w:t>
            </w:r>
            <w:r w:rsidRPr="004E0FC4">
              <w:rPr>
                <w:rFonts w:ascii="Bookman Old Style" w:eastAsia="Bookman Old Style" w:hAnsi="Bookman Old Style" w:cs="Bookman Old Style"/>
                <w:i/>
                <w:iCs/>
                <w:color w:val="231F20"/>
                <w:sz w:val="18"/>
                <w:szCs w:val="18"/>
                <w:lang w:val="en-US" w:eastAsia="en-US" w:bidi="en-US"/>
              </w:rPr>
              <w:t>int</w:t>
            </w:r>
          </w:p>
        </w:tc>
        <w:tc>
          <w:tcPr>
            <w:tcW w:w="792" w:type="dxa"/>
            <w:tcBorders>
              <w:top w:val="single" w:sz="4" w:space="0" w:color="auto"/>
              <w:left w:val="single" w:sz="4" w:space="0" w:color="auto"/>
              <w:bottom w:val="single" w:sz="4" w:space="0" w:color="auto"/>
            </w:tcBorders>
            <w:shd w:val="clear" w:color="auto" w:fill="FFFFFF"/>
          </w:tcPr>
          <w:p w14:paraId="271F6D4A" w14:textId="77777777" w:rsidR="00350396" w:rsidRPr="004E0FC4" w:rsidRDefault="00350396" w:rsidP="004E0FC4">
            <w:pPr>
              <w:framePr w:w="6576" w:wrap="notBeside" w:vAnchor="text" w:hAnchor="text" w:xAlign="center" w:y="1"/>
              <w:widowControl w:val="0"/>
              <w:spacing w:line="168" w:lineRule="exact"/>
              <w:ind w:right="2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100</w:t>
            </w:r>
          </w:p>
        </w:tc>
        <w:tc>
          <w:tcPr>
            <w:tcW w:w="682" w:type="dxa"/>
            <w:tcBorders>
              <w:top w:val="single" w:sz="4" w:space="0" w:color="auto"/>
              <w:left w:val="single" w:sz="4" w:space="0" w:color="auto"/>
              <w:bottom w:val="single" w:sz="4" w:space="0" w:color="auto"/>
            </w:tcBorders>
            <w:shd w:val="clear" w:color="auto" w:fill="FFFFFF"/>
          </w:tcPr>
          <w:p w14:paraId="7BB08453"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682" w:type="dxa"/>
            <w:tcBorders>
              <w:top w:val="single" w:sz="4" w:space="0" w:color="auto"/>
              <w:left w:val="single" w:sz="4" w:space="0" w:color="auto"/>
              <w:bottom w:val="single" w:sz="4" w:space="0" w:color="auto"/>
            </w:tcBorders>
            <w:shd w:val="clear" w:color="auto" w:fill="FFFFFF"/>
          </w:tcPr>
          <w:p w14:paraId="3DD15931" w14:textId="77777777" w:rsidR="00350396" w:rsidRPr="004E0FC4" w:rsidRDefault="00350396" w:rsidP="004E0FC4">
            <w:pPr>
              <w:framePr w:w="6576" w:wrap="notBeside" w:vAnchor="text" w:hAnchor="text" w:xAlign="center" w:y="1"/>
              <w:widowControl w:val="0"/>
              <w:spacing w:line="168" w:lineRule="exact"/>
              <w:ind w:left="180"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0,99</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23577C27"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1,04</w:t>
            </w:r>
          </w:p>
        </w:tc>
      </w:tr>
    </w:tbl>
    <w:p w14:paraId="0DCE6EF3"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p w14:paraId="4383207E" w14:textId="77777777" w:rsidR="00350396" w:rsidRPr="004E0FC4" w:rsidRDefault="00350396" w:rsidP="004E0FC4">
      <w:pPr>
        <w:widowControl w:val="0"/>
        <w:spacing w:line="240" w:lineRule="auto"/>
        <w:ind w:firstLine="0"/>
        <w:rPr>
          <w:rFonts w:ascii="Bookman Old Style" w:hAnsi="Bookman Old Style"/>
          <w:sz w:val="18"/>
          <w:szCs w:val="18"/>
        </w:rPr>
      </w:pPr>
    </w:p>
    <w:p w14:paraId="18824ECD" w14:textId="77777777" w:rsidR="00350396" w:rsidRPr="004E0FC4" w:rsidRDefault="00350396" w:rsidP="004E0FC4">
      <w:pPr>
        <w:widowControl w:val="0"/>
        <w:spacing w:before="98"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Результаты расчетов в табл. 4.10 показывают, что соглаше</w:t>
      </w:r>
      <w:r w:rsidRPr="004E0FC4">
        <w:rPr>
          <w:rFonts w:ascii="Bookman Old Style" w:eastAsia="Bookman Old Style" w:hAnsi="Bookman Old Style" w:cs="Bookman Old Style"/>
          <w:color w:val="231F20"/>
          <w:sz w:val="18"/>
          <w:szCs w:val="18"/>
        </w:rPr>
        <w:softHyphen/>
        <w:t xml:space="preserve">ние с потенциальным партнером 1 рассматривается как базовое, для партнера 2 получен результат: </w:t>
      </w:r>
      <w:r w:rsidRPr="004E0FC4">
        <w:rPr>
          <w:rFonts w:ascii="Bookman Old Style" w:eastAsia="Bookman Old Style" w:hAnsi="Bookman Old Style" w:cs="Bookman Old Style"/>
          <w:i/>
          <w:iCs/>
          <w:color w:val="231F20"/>
          <w:sz w:val="18"/>
          <w:szCs w:val="18"/>
          <w:lang w:val="en-US" w:eastAsia="en-US" w:bidi="en-US"/>
        </w:rPr>
        <w:t>k</w:t>
      </w:r>
      <w:r w:rsidRPr="004E0FC4">
        <w:rPr>
          <w:rFonts w:ascii="Bookman Old Style" w:eastAsia="Bookman Old Style" w:hAnsi="Bookman Old Style" w:cs="Bookman Old Style"/>
          <w:i/>
          <w:iCs/>
          <w:color w:val="231F20"/>
          <w:sz w:val="18"/>
          <w:szCs w:val="18"/>
          <w:vertAlign w:val="subscript"/>
          <w:lang w:val="en-US" w:eastAsia="en-US" w:bidi="en-US"/>
        </w:rPr>
        <w:t>int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 0,985, для партнера 3 </w:t>
      </w:r>
      <w:r w:rsidRPr="004E0FC4">
        <w:rPr>
          <w:rFonts w:ascii="Bookman Old Style" w:eastAsia="Bookman Old Style" w:hAnsi="Bookman Old Style" w:cs="Bookman Old Style"/>
          <w:i/>
          <w:iCs/>
          <w:color w:val="231F20"/>
          <w:sz w:val="18"/>
          <w:szCs w:val="18"/>
          <w:lang w:val="en-US" w:eastAsia="en-US" w:bidi="en-US"/>
        </w:rPr>
        <w:t>k</w:t>
      </w:r>
      <w:r w:rsidRPr="004E0FC4">
        <w:rPr>
          <w:rFonts w:ascii="Bookman Old Style" w:eastAsia="Bookman Old Style" w:hAnsi="Bookman Old Style" w:cs="Bookman Old Style"/>
          <w:i/>
          <w:iCs/>
          <w:color w:val="231F20"/>
          <w:sz w:val="18"/>
          <w:szCs w:val="18"/>
          <w:vertAlign w:val="subscript"/>
          <w:lang w:val="en-US" w:eastAsia="en-US" w:bidi="en-US"/>
        </w:rPr>
        <w:t>int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1,0388. Таким образом, положительный интегральный эко</w:t>
      </w:r>
      <w:r w:rsidRPr="004E0FC4">
        <w:rPr>
          <w:rFonts w:ascii="Bookman Old Style" w:eastAsia="Bookman Old Style" w:hAnsi="Bookman Old Style" w:cs="Bookman Old Style"/>
          <w:color w:val="231F20"/>
          <w:sz w:val="18"/>
          <w:szCs w:val="18"/>
        </w:rPr>
        <w:softHyphen/>
        <w:t xml:space="preserve">номический эффект будет достигнут при заключении соглашения с партнером 3. Величина интегрального эффекта для партнера 3 может быть определена из полученного значения </w:t>
      </w:r>
      <w:r w:rsidRPr="004E0FC4">
        <w:rPr>
          <w:rFonts w:ascii="Bookman Old Style" w:eastAsia="Bookman Old Style" w:hAnsi="Bookman Old Style" w:cs="Bookman Old Style"/>
          <w:i/>
          <w:iCs/>
          <w:color w:val="231F20"/>
          <w:sz w:val="18"/>
          <w:szCs w:val="18"/>
          <w:lang w:val="en-US" w:eastAsia="en-US" w:bidi="en-US"/>
        </w:rPr>
        <w:t>k</w:t>
      </w:r>
      <w:r w:rsidRPr="004E0FC4">
        <w:rPr>
          <w:rFonts w:ascii="Bookman Old Style" w:eastAsia="Bookman Old Style" w:hAnsi="Bookman Old Style" w:cs="Bookman Old Style"/>
          <w:i/>
          <w:iCs/>
          <w:color w:val="231F20"/>
          <w:sz w:val="18"/>
          <w:szCs w:val="18"/>
          <w:vertAlign w:val="subscript"/>
          <w:lang w:val="en-US" w:eastAsia="en-US" w:bidi="en-US"/>
        </w:rPr>
        <w:t>int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 величины ожидаемого финансового результата от реализации проекта с пар</w:t>
      </w:r>
      <w:r w:rsidRPr="004E0FC4">
        <w:rPr>
          <w:rFonts w:ascii="Bookman Old Style" w:eastAsia="Bookman Old Style" w:hAnsi="Bookman Old Style" w:cs="Bookman Old Style"/>
          <w:color w:val="231F20"/>
          <w:sz w:val="18"/>
          <w:szCs w:val="18"/>
        </w:rPr>
        <w:softHyphen/>
        <w:t>тнером 1.</w:t>
      </w:r>
    </w:p>
    <w:p w14:paraId="5A15DDD2" w14:textId="77777777" w:rsidR="00350396" w:rsidRPr="004E0FC4" w:rsidRDefault="00350396" w:rsidP="004E0FC4">
      <w:pPr>
        <w:widowControl w:val="0"/>
        <w:spacing w:after="351"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Необходимо понимать, что величина интегрального эффекта, полученная подобным образом, во многом определяется субъек</w:t>
      </w:r>
      <w:r w:rsidRPr="004E0FC4">
        <w:rPr>
          <w:rFonts w:ascii="Bookman Old Style" w:eastAsia="Bookman Old Style" w:hAnsi="Bookman Old Style" w:cs="Bookman Old Style"/>
          <w:color w:val="231F20"/>
          <w:sz w:val="18"/>
          <w:szCs w:val="18"/>
        </w:rPr>
        <w:softHyphen/>
        <w:t>тивными оценками экспертов, а также величиной принятого диа</w:t>
      </w:r>
      <w:r w:rsidRPr="004E0FC4">
        <w:rPr>
          <w:rFonts w:ascii="Bookman Old Style" w:eastAsia="Bookman Old Style" w:hAnsi="Bookman Old Style" w:cs="Bookman Old Style"/>
          <w:color w:val="231F20"/>
          <w:sz w:val="18"/>
          <w:szCs w:val="18"/>
        </w:rPr>
        <w:softHyphen/>
        <w:t>пазона для их оценок. Также влияние на результат оказывает состав определенных статистически значимых факторов (показателей), который может меняться со временем, как и величина оценки веса каждого из них.</w:t>
      </w:r>
    </w:p>
    <w:p w14:paraId="13EBA8D8"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63" w:name="bookmark58"/>
      <w:bookmarkStart w:id="64" w:name="_Toc118131268"/>
      <w:r w:rsidRPr="004E0FC4">
        <w:rPr>
          <w:rFonts w:ascii="Bookman Old Style" w:eastAsia="Arial Narrow" w:hAnsi="Bookman Old Style" w:cs="Arial Narrow"/>
          <w:i/>
          <w:iCs/>
          <w:color w:val="231F20"/>
          <w:sz w:val="18"/>
          <w:szCs w:val="18"/>
        </w:rPr>
        <w:t xml:space="preserve">4.6. </w:t>
      </w:r>
      <w:r w:rsidRPr="004E0FC4">
        <w:rPr>
          <w:rFonts w:ascii="Bookman Old Style" w:eastAsia="Arial Narrow" w:hAnsi="Bookman Old Style" w:cs="Arial Narrow"/>
          <w:b/>
          <w:bCs/>
          <w:i/>
          <w:iCs/>
          <w:color w:val="231F20"/>
          <w:sz w:val="18"/>
          <w:szCs w:val="18"/>
        </w:rPr>
        <w:t>Государственно-частное партнерство за рубежом: общие сведения</w:t>
      </w:r>
      <w:bookmarkEnd w:id="63"/>
      <w:bookmarkEnd w:id="64"/>
    </w:p>
    <w:p w14:paraId="52B91AF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Популярность ГЧП в конкретной стране зависит от моделей вза</w:t>
      </w:r>
      <w:r w:rsidRPr="004E0FC4">
        <w:rPr>
          <w:rFonts w:ascii="Bookman Old Style" w:eastAsia="Bookman Old Style" w:hAnsi="Bookman Old Style" w:cs="Bookman Old Style"/>
          <w:color w:val="231F20"/>
          <w:sz w:val="18"/>
          <w:szCs w:val="18"/>
        </w:rPr>
        <w:softHyphen/>
        <w:t>имодействия государства с частными инвесторами и от жесткости законодательства. Наибольшее распространение механизм пар</w:t>
      </w:r>
      <w:r w:rsidRPr="004E0FC4">
        <w:rPr>
          <w:rFonts w:ascii="Bookman Old Style" w:eastAsia="Bookman Old Style" w:hAnsi="Bookman Old Style" w:cs="Bookman Old Style"/>
          <w:color w:val="231F20"/>
          <w:sz w:val="18"/>
          <w:szCs w:val="18"/>
        </w:rPr>
        <w:softHyphen/>
        <w:t>тнерства получил в странах англосаксонской правовой системы, которая допускает применение ГЧП в малых и средних проектах. В некоторых странах континентальной Европы, таких как Франция, где концессионный договор вообще квалифицируется как админи</w:t>
      </w:r>
      <w:r w:rsidRPr="004E0FC4">
        <w:rPr>
          <w:rFonts w:ascii="Bookman Old Style" w:eastAsia="Bookman Old Style" w:hAnsi="Bookman Old Style" w:cs="Bookman Old Style"/>
          <w:color w:val="231F20"/>
          <w:sz w:val="18"/>
          <w:szCs w:val="18"/>
        </w:rPr>
        <w:softHyphen/>
        <w:t>стративный договор, ГЧП затрагивает, напротив, более крупные проекты и не получает особого распространения в сферах образо</w:t>
      </w:r>
      <w:r w:rsidRPr="004E0FC4">
        <w:rPr>
          <w:rFonts w:ascii="Bookman Old Style" w:eastAsia="Bookman Old Style" w:hAnsi="Bookman Old Style" w:cs="Bookman Old Style"/>
          <w:color w:val="231F20"/>
          <w:sz w:val="18"/>
          <w:szCs w:val="18"/>
        </w:rPr>
        <w:softHyphen/>
        <w:t>вания, науки и медицины.</w:t>
      </w:r>
    </w:p>
    <w:p w14:paraId="224D68C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 ростом уровня жизни и формированием определенных уста</w:t>
      </w:r>
      <w:r w:rsidRPr="004E0FC4">
        <w:rPr>
          <w:rFonts w:ascii="Bookman Old Style" w:eastAsia="Bookman Old Style" w:hAnsi="Bookman Old Style" w:cs="Bookman Old Style"/>
          <w:color w:val="231F20"/>
          <w:sz w:val="18"/>
          <w:szCs w:val="18"/>
        </w:rPr>
        <w:softHyphen/>
        <w:t>новок менталитета в ряде стран изменяется характер реализации традиционных публичных товаров и услуг. Часть классических публичных благ — образование, здравоохранение, жилищно-ком</w:t>
      </w:r>
      <w:r w:rsidRPr="004E0FC4">
        <w:rPr>
          <w:rFonts w:ascii="Bookman Old Style" w:eastAsia="Bookman Old Style" w:hAnsi="Bookman Old Style" w:cs="Bookman Old Style"/>
          <w:color w:val="231F20"/>
          <w:sz w:val="18"/>
          <w:szCs w:val="18"/>
        </w:rPr>
        <w:softHyphen/>
        <w:t>мунальные услуги, культура — население предпочитает полно</w:t>
      </w:r>
      <w:r w:rsidRPr="004E0FC4">
        <w:rPr>
          <w:rFonts w:ascii="Bookman Old Style" w:eastAsia="Bookman Old Style" w:hAnsi="Bookman Old Style" w:cs="Bookman Old Style"/>
          <w:color w:val="231F20"/>
          <w:sz w:val="18"/>
          <w:szCs w:val="18"/>
        </w:rPr>
        <w:softHyphen/>
        <w:t>стью или частично оплачивать самостоятельно, т. е. рассматривает их как частные блага. В связи с этим суверенитет государства пере</w:t>
      </w:r>
      <w:r w:rsidRPr="004E0FC4">
        <w:rPr>
          <w:rFonts w:ascii="Bookman Old Style" w:eastAsia="Bookman Old Style" w:hAnsi="Bookman Old Style" w:cs="Bookman Old Style"/>
          <w:color w:val="231F20"/>
          <w:sz w:val="18"/>
          <w:szCs w:val="18"/>
        </w:rPr>
        <w:softHyphen/>
        <w:t>мещается с проблемы обеспечения общественными благами как таковыми в сторону гарантирования их достаточности и надлежа</w:t>
      </w:r>
      <w:r w:rsidRPr="004E0FC4">
        <w:rPr>
          <w:rFonts w:ascii="Bookman Old Style" w:eastAsia="Bookman Old Style" w:hAnsi="Bookman Old Style" w:cs="Bookman Old Style"/>
          <w:color w:val="231F20"/>
          <w:sz w:val="18"/>
          <w:szCs w:val="18"/>
        </w:rPr>
        <w:softHyphen/>
        <w:t>щего качества.</w:t>
      </w:r>
    </w:p>
    <w:p w14:paraId="0EB9605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Отчасти популярность ГЧП связана с общественным мнением, </w:t>
      </w:r>
      <w:r w:rsidRPr="004E0FC4">
        <w:rPr>
          <w:rFonts w:ascii="Bookman Old Style" w:eastAsia="Bookman Old Style" w:hAnsi="Bookman Old Style" w:cs="Bookman Old Style"/>
          <w:color w:val="231F20"/>
          <w:sz w:val="18"/>
          <w:szCs w:val="18"/>
        </w:rPr>
        <w:lastRenderedPageBreak/>
        <w:t>уровнем налогообложения населения и представлений самого госу</w:t>
      </w:r>
      <w:r w:rsidRPr="004E0FC4">
        <w:rPr>
          <w:rFonts w:ascii="Bookman Old Style" w:eastAsia="Bookman Old Style" w:hAnsi="Bookman Old Style" w:cs="Bookman Old Style"/>
          <w:color w:val="231F20"/>
          <w:sz w:val="18"/>
          <w:szCs w:val="18"/>
        </w:rPr>
        <w:softHyphen/>
        <w:t>дарства о своей роли в предоставлении населению услуг в широком их понимании</w:t>
      </w:r>
      <w:r w:rsidRPr="004E0FC4">
        <w:rPr>
          <w:rFonts w:ascii="Bookman Old Style" w:eastAsia="Bookman Old Style" w:hAnsi="Bookman Old Style" w:cs="Bookman Old Style"/>
          <w:color w:val="231F20"/>
          <w:sz w:val="18"/>
          <w:szCs w:val="18"/>
          <w:vertAlign w:val="superscript"/>
        </w:rPr>
        <w:footnoteReference w:id="97"/>
      </w:r>
      <w:r w:rsidRPr="004E0FC4">
        <w:rPr>
          <w:rFonts w:ascii="Bookman Old Style" w:eastAsia="Bookman Old Style" w:hAnsi="Bookman Old Style" w:cs="Bookman Old Style"/>
          <w:color w:val="231F20"/>
          <w:sz w:val="18"/>
          <w:szCs w:val="18"/>
        </w:rPr>
        <w:t>. В странах с ярко выраженной социальной ориенти</w:t>
      </w:r>
      <w:r w:rsidRPr="004E0FC4">
        <w:rPr>
          <w:rFonts w:ascii="Bookman Old Style" w:eastAsia="Bookman Old Style" w:hAnsi="Bookman Old Style" w:cs="Bookman Old Style"/>
          <w:color w:val="231F20"/>
          <w:sz w:val="18"/>
          <w:szCs w:val="18"/>
        </w:rPr>
        <w:softHyphen/>
        <w:t>рованностью (</w:t>
      </w:r>
      <w:r w:rsidRPr="004E0FC4">
        <w:rPr>
          <w:rFonts w:ascii="Bookman Old Style" w:eastAsia="Bookman Old Style" w:hAnsi="Bookman Old Style" w:cs="Bookman Old Style"/>
          <w:b/>
          <w:color w:val="231F20"/>
          <w:sz w:val="18"/>
          <w:szCs w:val="18"/>
        </w:rPr>
        <w:t>Германия, Швеция, Финляндия</w:t>
      </w:r>
      <w:r w:rsidRPr="004E0FC4">
        <w:rPr>
          <w:rFonts w:ascii="Bookman Old Style" w:eastAsia="Bookman Old Style" w:hAnsi="Bookman Old Style" w:cs="Bookman Old Style"/>
          <w:color w:val="231F20"/>
          <w:sz w:val="18"/>
          <w:szCs w:val="18"/>
        </w:rPr>
        <w:t>) население ожидает, что государство в обмен на высокий уровень собираемых налогов будет предоставлять большую часть услуг по транспортировке, об</w:t>
      </w:r>
      <w:r w:rsidRPr="004E0FC4">
        <w:rPr>
          <w:rFonts w:ascii="Bookman Old Style" w:eastAsia="Bookman Old Style" w:hAnsi="Bookman Old Style" w:cs="Bookman Old Style"/>
          <w:color w:val="231F20"/>
          <w:sz w:val="18"/>
          <w:szCs w:val="18"/>
        </w:rPr>
        <w:softHyphen/>
        <w:t>разованию, медицинскому обслуживанию населения и т. п. Проек</w:t>
      </w:r>
      <w:r w:rsidRPr="004E0FC4">
        <w:rPr>
          <w:rFonts w:ascii="Bookman Old Style" w:eastAsia="Bookman Old Style" w:hAnsi="Bookman Old Style" w:cs="Bookman Old Style"/>
          <w:color w:val="231F20"/>
          <w:sz w:val="18"/>
          <w:szCs w:val="18"/>
        </w:rPr>
        <w:softHyphen/>
        <w:t>ты ГЧП сталкиваются в этих странах с серьезной оппозицией на</w:t>
      </w:r>
      <w:r w:rsidRPr="004E0FC4">
        <w:rPr>
          <w:rFonts w:ascii="Bookman Old Style" w:eastAsia="Bookman Old Style" w:hAnsi="Bookman Old Style" w:cs="Bookman Old Style"/>
          <w:color w:val="231F20"/>
          <w:sz w:val="18"/>
          <w:szCs w:val="18"/>
        </w:rPr>
        <w:softHyphen/>
        <w:t>селения.</w:t>
      </w:r>
    </w:p>
    <w:p w14:paraId="78B2302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странах, где в большей степени приветствуется личная ини</w:t>
      </w:r>
      <w:r w:rsidRPr="004E0FC4">
        <w:rPr>
          <w:rFonts w:ascii="Bookman Old Style" w:eastAsia="Bookman Old Style" w:hAnsi="Bookman Old Style" w:cs="Bookman Old Style"/>
          <w:color w:val="231F20"/>
          <w:sz w:val="18"/>
          <w:szCs w:val="18"/>
        </w:rPr>
        <w:softHyphen/>
        <w:t>циатива граждан и конкуренция, а уровень подоходных и смеж</w:t>
      </w:r>
      <w:r w:rsidRPr="004E0FC4">
        <w:rPr>
          <w:rFonts w:ascii="Bookman Old Style" w:eastAsia="Bookman Old Style" w:hAnsi="Bookman Old Style" w:cs="Bookman Old Style"/>
          <w:color w:val="231F20"/>
          <w:sz w:val="18"/>
          <w:szCs w:val="18"/>
        </w:rPr>
        <w:softHyphen/>
        <w:t>ных налогов ниже (Великобритания, Ирландия, США, Австралия), большее количество услуг осуществляется частным бизнесом под государственным надзором. В этих странах ГЧП бурно развивает</w:t>
      </w:r>
      <w:r w:rsidRPr="004E0FC4">
        <w:rPr>
          <w:rFonts w:ascii="Bookman Old Style" w:eastAsia="Bookman Old Style" w:hAnsi="Bookman Old Style" w:cs="Bookman Old Style"/>
          <w:color w:val="231F20"/>
          <w:sz w:val="18"/>
          <w:szCs w:val="18"/>
        </w:rPr>
        <w:softHyphen/>
        <w:t>ся, поскольку граждане приветствуют возможность выбора постав</w:t>
      </w:r>
      <w:r w:rsidRPr="004E0FC4">
        <w:rPr>
          <w:rFonts w:ascii="Bookman Old Style" w:eastAsia="Bookman Old Style" w:hAnsi="Bookman Old Style" w:cs="Bookman Old Style"/>
          <w:color w:val="231F20"/>
          <w:sz w:val="18"/>
          <w:szCs w:val="18"/>
        </w:rPr>
        <w:softHyphen/>
        <w:t>щика и качества услуг в зависимости от их стоимости. Когда речь заходит об успешном опыте государственно-частного партнерства, подавляющее большинство экспертов отдают пальму первенства именно Великобритании. Великобритания лидирует и по общему числу проектов, и по охвату ГЧП различных сфер и отраслей. Имен</w:t>
      </w:r>
      <w:r w:rsidRPr="004E0FC4">
        <w:rPr>
          <w:rFonts w:ascii="Bookman Old Style" w:eastAsia="Bookman Old Style" w:hAnsi="Bookman Old Style" w:cs="Bookman Old Style"/>
          <w:color w:val="231F20"/>
          <w:sz w:val="18"/>
          <w:szCs w:val="18"/>
        </w:rPr>
        <w:softHyphen/>
        <w:t>но в этой стране впервые появились частные тюрьмы.</w:t>
      </w:r>
    </w:p>
    <w:p w14:paraId="66EEA26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b/>
          <w:color w:val="231F20"/>
          <w:sz w:val="18"/>
          <w:szCs w:val="18"/>
        </w:rPr>
        <w:t>В Великобритании</w:t>
      </w:r>
      <w:r w:rsidRPr="004E0FC4">
        <w:rPr>
          <w:rFonts w:ascii="Bookman Old Style" w:eastAsia="Bookman Old Style" w:hAnsi="Bookman Old Style" w:cs="Bookman Old Style"/>
          <w:color w:val="231F20"/>
          <w:sz w:val="18"/>
          <w:szCs w:val="18"/>
        </w:rPr>
        <w:t xml:space="preserve"> частно-государственная компания </w:t>
      </w:r>
      <w:r w:rsidRPr="004E0FC4">
        <w:rPr>
          <w:rFonts w:ascii="Bookman Old Style" w:eastAsia="Bookman Old Style" w:hAnsi="Bookman Old Style" w:cs="Bookman Old Style"/>
          <w:i/>
          <w:iCs/>
          <w:color w:val="231F20"/>
          <w:sz w:val="18"/>
          <w:szCs w:val="18"/>
          <w:lang w:val="en-US" w:eastAsia="en-US" w:bidi="en-US"/>
        </w:rPr>
        <w:t>Partnerships</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UK</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с 2001 г. осуществляет оценку проектов и результатов их вы</w:t>
      </w:r>
      <w:r w:rsidRPr="004E0FC4">
        <w:rPr>
          <w:rFonts w:ascii="Bookman Old Style" w:eastAsia="Bookman Old Style" w:hAnsi="Bookman Old Style" w:cs="Bookman Old Style"/>
          <w:color w:val="231F20"/>
          <w:sz w:val="18"/>
          <w:szCs w:val="18"/>
        </w:rPr>
        <w:softHyphen/>
        <w:t>полнения, разрабатывает модели ГЧП, занимается стандартиза</w:t>
      </w:r>
      <w:r w:rsidRPr="004E0FC4">
        <w:rPr>
          <w:rFonts w:ascii="Bookman Old Style" w:eastAsia="Bookman Old Style" w:hAnsi="Bookman Old Style" w:cs="Bookman Old Style"/>
          <w:color w:val="231F20"/>
          <w:sz w:val="18"/>
          <w:szCs w:val="18"/>
        </w:rPr>
        <w:softHyphen/>
        <w:t xml:space="preserve">цией контрактов, подписывает договоры о развитии партнерства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Development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Partnership</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Agreement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DPA</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или о создании совместно</w:t>
      </w:r>
      <w:r w:rsidRPr="004E0FC4">
        <w:rPr>
          <w:rFonts w:ascii="Bookman Old Style" w:eastAsia="Bookman Old Style" w:hAnsi="Bookman Old Style" w:cs="Bookman Old Style"/>
          <w:color w:val="231F20"/>
          <w:sz w:val="18"/>
          <w:szCs w:val="18"/>
        </w:rPr>
        <w:softHyphen/>
        <w:t xml:space="preserve">го государственно-частного предприятия, сопровождает проекты в течение срока их осуществления, осуществляет сотрудничество с местными властями. Одновременно с </w:t>
      </w:r>
      <w:r w:rsidRPr="004E0FC4">
        <w:rPr>
          <w:rFonts w:ascii="Bookman Old Style" w:eastAsia="Bookman Old Style" w:hAnsi="Bookman Old Style" w:cs="Bookman Old Style"/>
          <w:i/>
          <w:iCs/>
          <w:color w:val="231F20"/>
          <w:sz w:val="18"/>
          <w:szCs w:val="18"/>
          <w:lang w:val="en-US" w:eastAsia="en-US" w:bidi="en-US"/>
        </w:rPr>
        <w:t>Partnerships</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UK</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целях обе</w:t>
      </w:r>
      <w:r w:rsidRPr="004E0FC4">
        <w:rPr>
          <w:rFonts w:ascii="Bookman Old Style" w:eastAsia="Bookman Old Style" w:hAnsi="Bookman Old Style" w:cs="Bookman Old Style"/>
          <w:color w:val="231F20"/>
          <w:sz w:val="18"/>
          <w:szCs w:val="18"/>
        </w:rPr>
        <w:softHyphen/>
        <w:t>спечения ее государственной основы казначейство создало Кон</w:t>
      </w:r>
      <w:r w:rsidRPr="004E0FC4">
        <w:rPr>
          <w:rFonts w:ascii="Bookman Old Style" w:eastAsia="Bookman Old Style" w:hAnsi="Bookman Old Style" w:cs="Bookman Old Style"/>
          <w:color w:val="231F20"/>
          <w:sz w:val="18"/>
          <w:szCs w:val="18"/>
        </w:rPr>
        <w:softHyphen/>
        <w:t xml:space="preserve">сультативный совет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Advisory</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Council</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Главным государственным органом по оценке правительственных программ </w:t>
      </w:r>
      <w:r w:rsidRPr="004E0FC4">
        <w:rPr>
          <w:rFonts w:ascii="Bookman Old Style" w:eastAsia="Bookman Old Style" w:hAnsi="Bookman Old Style" w:cs="Bookman Old Style"/>
          <w:i/>
          <w:iCs/>
          <w:color w:val="231F20"/>
          <w:sz w:val="18"/>
          <w:szCs w:val="18"/>
          <w:lang w:val="en-US" w:eastAsia="en-US" w:bidi="en-US"/>
        </w:rPr>
        <w:t>PFI</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Велико</w:t>
      </w:r>
      <w:r w:rsidRPr="004E0FC4">
        <w:rPr>
          <w:rFonts w:ascii="Bookman Old Style" w:eastAsia="Bookman Old Style" w:hAnsi="Bookman Old Style" w:cs="Bookman Old Style"/>
          <w:color w:val="231F20"/>
          <w:sz w:val="18"/>
          <w:szCs w:val="18"/>
        </w:rPr>
        <w:softHyphen/>
        <w:t>британии является Национальное финансово-ревизионное управ</w:t>
      </w:r>
      <w:r w:rsidRPr="004E0FC4">
        <w:rPr>
          <w:rFonts w:ascii="Bookman Old Style" w:eastAsia="Bookman Old Style" w:hAnsi="Bookman Old Style" w:cs="Bookman Old Style"/>
          <w:color w:val="231F20"/>
          <w:sz w:val="18"/>
          <w:szCs w:val="18"/>
        </w:rPr>
        <w:softHyphen/>
        <w:t xml:space="preserve">ление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National</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Audit</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Office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NAO</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Оно по поручению парламента проводит аудиторские проверки расходования государственных средств. Управление располагает необходимым штатом (580 чел.) и проверяет выбранные проекты на соответствие цены и качества, адекватность государственной политике закупок, а также оценива</w:t>
      </w:r>
      <w:r w:rsidRPr="004E0FC4">
        <w:rPr>
          <w:rFonts w:ascii="Bookman Old Style" w:eastAsia="Bookman Old Style" w:hAnsi="Bookman Old Style" w:cs="Bookman Old Style"/>
          <w:color w:val="231F20"/>
          <w:sz w:val="18"/>
          <w:szCs w:val="18"/>
        </w:rPr>
        <w:softHyphen/>
        <w:t xml:space="preserve">ет уровень эффективности расходования государственных средств. Ежегодно </w:t>
      </w:r>
      <w:r w:rsidRPr="004E0FC4">
        <w:rPr>
          <w:rFonts w:ascii="Bookman Old Style" w:eastAsia="Bookman Old Style" w:hAnsi="Bookman Old Style" w:cs="Bookman Old Style"/>
          <w:color w:val="231F20"/>
          <w:sz w:val="18"/>
          <w:szCs w:val="18"/>
          <w:highlight w:val="green"/>
        </w:rPr>
        <w:t>до середины 2010-х годов</w:t>
      </w:r>
      <w:r w:rsidRPr="004E0FC4">
        <w:rPr>
          <w:rFonts w:ascii="Bookman Old Style" w:eastAsia="Bookman Old Style" w:hAnsi="Bookman Old Style" w:cs="Bookman Old Style"/>
          <w:color w:val="231F20"/>
          <w:sz w:val="18"/>
          <w:szCs w:val="18"/>
        </w:rPr>
        <w:t xml:space="preserve"> управление готови</w:t>
      </w:r>
      <w:r w:rsidRPr="004E0FC4">
        <w:rPr>
          <w:rFonts w:ascii="Bookman Old Style" w:eastAsia="Bookman Old Style" w:hAnsi="Bookman Old Style" w:cs="Bookman Old Style"/>
          <w:color w:val="231F20"/>
          <w:sz w:val="18"/>
          <w:szCs w:val="18"/>
          <w:highlight w:val="green"/>
        </w:rPr>
        <w:t>ло</w:t>
      </w:r>
      <w:r w:rsidRPr="004E0FC4">
        <w:rPr>
          <w:rFonts w:ascii="Bookman Old Style" w:eastAsia="Bookman Old Style" w:hAnsi="Bookman Old Style" w:cs="Bookman Old Style"/>
          <w:color w:val="231F20"/>
          <w:sz w:val="18"/>
          <w:szCs w:val="18"/>
        </w:rPr>
        <w:t xml:space="preserve"> для парламента около 60 отчетов по оценке цены и качества государственных закупок в целом, в том числе осуществляемых в рамках </w:t>
      </w:r>
      <w:r w:rsidRPr="004E0FC4">
        <w:rPr>
          <w:rFonts w:ascii="Bookman Old Style" w:eastAsia="Bookman Old Style" w:hAnsi="Bookman Old Style" w:cs="Bookman Old Style"/>
          <w:color w:val="231F20"/>
          <w:sz w:val="18"/>
          <w:szCs w:val="18"/>
          <w:lang w:val="en-US" w:eastAsia="en-US" w:bidi="en-US"/>
        </w:rPr>
        <w:t>PFI</w:t>
      </w:r>
      <w:r w:rsidRPr="004E0FC4">
        <w:rPr>
          <w:rFonts w:ascii="Bookman Old Style" w:eastAsia="Bookman Old Style" w:hAnsi="Bookman Old Style" w:cs="Bookman Old Style"/>
          <w:color w:val="231F20"/>
          <w:sz w:val="18"/>
          <w:szCs w:val="18"/>
        </w:rPr>
        <w:t>-программ</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rPr>
        <w:t>.</w:t>
      </w:r>
    </w:p>
    <w:p w14:paraId="6BDA5AC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Стоимость проектов ГЧП, реализованных в рамках программы частной финансовой инициативы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PFI</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Великобритании, в 1990-х и начале 2000-х гг. составляла около 1/4 от общего объема государ</w:t>
      </w:r>
      <w:r w:rsidRPr="004E0FC4">
        <w:rPr>
          <w:rFonts w:ascii="Bookman Old Style" w:eastAsia="Bookman Old Style" w:hAnsi="Bookman Old Style" w:cs="Bookman Old Style"/>
          <w:color w:val="231F20"/>
          <w:sz w:val="18"/>
          <w:szCs w:val="18"/>
        </w:rPr>
        <w:softHyphen/>
        <w:t>ственных инвестиций в стране и обеспечивала экономию расходов бюджета в размере около 17 %</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w:t>
      </w:r>
    </w:p>
    <w:p w14:paraId="32DA92E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2012 г. Правительство Великобритании запустило пересмо</w:t>
      </w:r>
      <w:r w:rsidRPr="004E0FC4">
        <w:rPr>
          <w:rFonts w:ascii="Bookman Old Style" w:eastAsia="Bookman Old Style" w:hAnsi="Bookman Old Style" w:cs="Bookman Old Style"/>
          <w:color w:val="231F20"/>
          <w:sz w:val="18"/>
          <w:szCs w:val="18"/>
        </w:rPr>
        <w:softHyphen/>
        <w:t xml:space="preserve">тренную модель </w:t>
      </w:r>
      <w:r w:rsidRPr="004E0FC4">
        <w:rPr>
          <w:rFonts w:ascii="Bookman Old Style" w:eastAsia="Bookman Old Style" w:hAnsi="Bookman Old Style" w:cs="Bookman Old Style"/>
          <w:i/>
          <w:iCs/>
          <w:color w:val="231F20"/>
          <w:sz w:val="18"/>
          <w:szCs w:val="18"/>
          <w:lang w:val="en-US" w:eastAsia="en-US" w:bidi="en-US"/>
        </w:rPr>
        <w:t>PFI</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под названием </w:t>
      </w:r>
      <w:r w:rsidRPr="004E0FC4">
        <w:rPr>
          <w:rFonts w:ascii="Bookman Old Style" w:eastAsia="Bookman Old Style" w:hAnsi="Bookman Old Style" w:cs="Bookman Old Style"/>
          <w:i/>
          <w:iCs/>
          <w:color w:val="231F20"/>
          <w:sz w:val="18"/>
          <w:szCs w:val="18"/>
          <w:lang w:val="en-US" w:eastAsia="en-US" w:bidi="en-US"/>
        </w:rPr>
        <w:t>PF</w:t>
      </w:r>
      <w:r w:rsidRPr="004E0FC4">
        <w:rPr>
          <w:rFonts w:ascii="Bookman Old Style" w:eastAsia="Bookman Old Style" w:hAnsi="Bookman Old Style" w:cs="Bookman Old Style"/>
          <w:i/>
          <w:iCs/>
          <w:color w:val="231F20"/>
          <w:sz w:val="18"/>
          <w:szCs w:val="18"/>
          <w:lang w:eastAsia="en-US" w:bidi="en-US"/>
        </w:rPr>
        <w:t>2.</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Реформы, внедренные в </w:t>
      </w:r>
      <w:r w:rsidRPr="004E0FC4">
        <w:rPr>
          <w:rFonts w:ascii="Bookman Old Style" w:eastAsia="Bookman Old Style" w:hAnsi="Bookman Old Style" w:cs="Bookman Old Style"/>
          <w:i/>
          <w:iCs/>
          <w:color w:val="231F20"/>
          <w:sz w:val="18"/>
          <w:szCs w:val="18"/>
          <w:lang w:val="en-US" w:eastAsia="en-US" w:bidi="en-US"/>
        </w:rPr>
        <w:t>PF</w:t>
      </w:r>
      <w:r w:rsidRPr="004E0FC4">
        <w:rPr>
          <w:rFonts w:ascii="Bookman Old Style" w:eastAsia="Bookman Old Style" w:hAnsi="Bookman Old Style" w:cs="Bookman Old Style"/>
          <w:i/>
          <w:iCs/>
          <w:color w:val="231F20"/>
          <w:sz w:val="18"/>
          <w:szCs w:val="18"/>
          <w:lang w:eastAsia="en-US" w:bidi="en-US"/>
        </w:rPr>
        <w:t>2,</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направлены на повышение прозрачности, эффективности, обеспечение хороших результатов проектов и поощрение альтерна</w:t>
      </w:r>
      <w:r w:rsidRPr="004E0FC4">
        <w:rPr>
          <w:rFonts w:ascii="Bookman Old Style" w:eastAsia="Bookman Old Style" w:hAnsi="Bookman Old Style" w:cs="Bookman Old Style"/>
          <w:color w:val="231F20"/>
          <w:sz w:val="18"/>
          <w:szCs w:val="18"/>
        </w:rPr>
        <w:softHyphen/>
        <w:t>тивных источников капитала.</w:t>
      </w:r>
    </w:p>
    <w:p w14:paraId="0642DB13"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Основные изменения:</w:t>
      </w:r>
    </w:p>
    <w:p w14:paraId="4DDB26FE" w14:textId="77777777" w:rsidR="00350396" w:rsidRPr="004E0FC4" w:rsidRDefault="00350396" w:rsidP="004E0FC4">
      <w:pPr>
        <w:widowControl w:val="0"/>
        <w:numPr>
          <w:ilvl w:val="0"/>
          <w:numId w:val="64"/>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поощрение проведения конкурсов на финансирование про</w:t>
      </w:r>
      <w:r w:rsidRPr="004E0FC4">
        <w:rPr>
          <w:rFonts w:ascii="Bookman Old Style" w:eastAsia="Bookman Old Style" w:hAnsi="Bookman Old Style" w:cs="Bookman Old Style"/>
          <w:color w:val="231F20"/>
          <w:sz w:val="18"/>
          <w:szCs w:val="18"/>
        </w:rPr>
        <w:softHyphen/>
        <w:t>ектов;</w:t>
      </w:r>
    </w:p>
    <w:p w14:paraId="6B73B5DD" w14:textId="77777777" w:rsidR="00350396" w:rsidRPr="004E0FC4" w:rsidRDefault="00350396" w:rsidP="004E0FC4">
      <w:pPr>
        <w:widowControl w:val="0"/>
        <w:numPr>
          <w:ilvl w:val="0"/>
          <w:numId w:val="64"/>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на веб-сайте правительства доступно отслеживание статуса каждого этапа реализации проектов;</w:t>
      </w:r>
    </w:p>
    <w:p w14:paraId="5114C616" w14:textId="77777777" w:rsidR="00350396" w:rsidRPr="004E0FC4" w:rsidRDefault="00350396" w:rsidP="004E0FC4">
      <w:pPr>
        <w:widowControl w:val="0"/>
        <w:numPr>
          <w:ilvl w:val="0"/>
          <w:numId w:val="64"/>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из перечня возможных проектов </w:t>
      </w:r>
      <w:r w:rsidRPr="004E0FC4">
        <w:rPr>
          <w:rFonts w:ascii="Bookman Old Style" w:eastAsia="Bookman Old Style" w:hAnsi="Bookman Old Style" w:cs="Bookman Old Style"/>
          <w:i/>
          <w:iCs/>
          <w:color w:val="231F20"/>
          <w:sz w:val="18"/>
          <w:szCs w:val="18"/>
          <w:lang w:val="en-US" w:eastAsia="en-US" w:bidi="en-US"/>
        </w:rPr>
        <w:t>PF</w:t>
      </w:r>
      <w:r w:rsidRPr="004E0FC4">
        <w:rPr>
          <w:rFonts w:ascii="Bookman Old Style" w:eastAsia="Bookman Old Style" w:hAnsi="Bookman Old Style" w:cs="Bookman Old Style"/>
          <w:i/>
          <w:iCs/>
          <w:color w:val="231F20"/>
          <w:sz w:val="18"/>
          <w:szCs w:val="18"/>
          <w:lang w:eastAsia="en-US" w:bidi="en-US"/>
        </w:rPr>
        <w:t>2</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удалены краткосрочные, такие как уборка, общественное питание.</w:t>
      </w:r>
    </w:p>
    <w:p w14:paraId="25001BED"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Проекты ГЧП в Великобритании в основном поощряются пра</w:t>
      </w:r>
      <w:r w:rsidRPr="004E0FC4">
        <w:rPr>
          <w:rFonts w:ascii="Bookman Old Style" w:eastAsia="Bookman Old Style" w:hAnsi="Bookman Old Style" w:cs="Bookman Old Style"/>
          <w:color w:val="231F20"/>
          <w:sz w:val="18"/>
          <w:szCs w:val="18"/>
          <w:highlight w:val="red"/>
        </w:rPr>
        <w:softHyphen/>
        <w:t>вительством и другими государственными органами. В отличие от многих других юрисдикций, здесь нет законодательной базы для ГЧП. Департаменты центрального правительства могут действовать в соответствии с полномочиями общего права, которое в целом представляет неограниченную юридическую силу.</w:t>
      </w:r>
    </w:p>
    <w:p w14:paraId="103C1616" w14:textId="77777777" w:rsidR="00350396" w:rsidRPr="004E0FC4" w:rsidRDefault="00350396" w:rsidP="004E0FC4">
      <w:pPr>
        <w:widowControl w:val="0"/>
        <w:spacing w:line="240" w:lineRule="auto"/>
        <w:ind w:firstLine="320"/>
        <w:rPr>
          <w:rFonts w:ascii="Bookman Old Style" w:eastAsia="Bookman Old Style" w:hAnsi="Bookman Old Style" w:cs="Bookman Old Style"/>
          <w:i/>
          <w:iCs/>
          <w:color w:val="231F20"/>
          <w:sz w:val="18"/>
          <w:szCs w:val="18"/>
          <w:lang w:eastAsia="en-US" w:bidi="en-US"/>
        </w:rPr>
      </w:pPr>
      <w:r w:rsidRPr="004E0FC4">
        <w:rPr>
          <w:rFonts w:ascii="Bookman Old Style" w:eastAsia="Bookman Old Style" w:hAnsi="Bookman Old Style" w:cs="Bookman Old Style"/>
          <w:color w:val="231F20"/>
          <w:sz w:val="18"/>
          <w:szCs w:val="18"/>
          <w:highlight w:val="red"/>
        </w:rPr>
        <w:t>Поскольку проекты ГЧП в Великобритании разнообразны, нельзя говорить о едином стандартном подходе к контрактам ГЧП. Однако</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w:t>
      </w:r>
      <w:r w:rsidRPr="004E0FC4">
        <w:rPr>
          <w:rFonts w:ascii="Bookman Old Style" w:eastAsia="Bookman Old Style" w:hAnsi="Bookman Old Style" w:cs="Bookman Old Style"/>
          <w:color w:val="231F20"/>
          <w:sz w:val="18"/>
          <w:szCs w:val="18"/>
        </w:rPr>
        <w:t xml:space="preserve">одход к проектам </w:t>
      </w:r>
      <w:r w:rsidRPr="004E0FC4">
        <w:rPr>
          <w:rFonts w:ascii="Bookman Old Style" w:eastAsia="Bookman Old Style" w:hAnsi="Bookman Old Style" w:cs="Bookman Old Style"/>
          <w:i/>
          <w:iCs/>
          <w:color w:val="231F20"/>
          <w:sz w:val="18"/>
          <w:szCs w:val="18"/>
          <w:lang w:val="en-US" w:eastAsia="en-US" w:bidi="en-US"/>
        </w:rPr>
        <w:t>PF</w:t>
      </w:r>
      <w:r w:rsidRPr="004E0FC4">
        <w:rPr>
          <w:rFonts w:ascii="Bookman Old Style" w:eastAsia="Bookman Old Style" w:hAnsi="Bookman Old Style" w:cs="Bookman Old Style"/>
          <w:i/>
          <w:iCs/>
          <w:color w:val="231F20"/>
          <w:sz w:val="18"/>
          <w:szCs w:val="18"/>
          <w:lang w:eastAsia="en-US" w:bidi="en-US"/>
        </w:rPr>
        <w:t>2</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в значительной степени был стандартизирован и изложен в документе казначейства «Стандартизация контрактов </w:t>
      </w:r>
      <w:r w:rsidRPr="004E0FC4">
        <w:rPr>
          <w:rFonts w:ascii="Bookman Old Style" w:eastAsia="Bookman Old Style" w:hAnsi="Bookman Old Style" w:cs="Bookman Old Style"/>
          <w:i/>
          <w:iCs/>
          <w:color w:val="231F20"/>
          <w:sz w:val="18"/>
          <w:szCs w:val="18"/>
          <w:lang w:val="en-US" w:eastAsia="en-US" w:bidi="en-US"/>
        </w:rPr>
        <w:t>PF</w:t>
      </w:r>
      <w:r w:rsidRPr="004E0FC4">
        <w:rPr>
          <w:rFonts w:ascii="Bookman Old Style" w:eastAsia="Bookman Old Style" w:hAnsi="Bookman Old Style" w:cs="Bookman Old Style"/>
          <w:i/>
          <w:iCs/>
          <w:color w:val="231F20"/>
          <w:sz w:val="18"/>
          <w:szCs w:val="18"/>
          <w:lang w:eastAsia="en-US" w:bidi="en-US"/>
        </w:rPr>
        <w:t>2».</w:t>
      </w:r>
    </w:p>
    <w:p w14:paraId="6C280C4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В 2018 г. Правительство Великобритании отказалось от приме</w:t>
      </w:r>
      <w:r w:rsidRPr="004E0FC4">
        <w:rPr>
          <w:rFonts w:ascii="Bookman Old Style" w:eastAsia="Bookman Old Style" w:hAnsi="Bookman Old Style" w:cs="Bookman Old Style"/>
          <w:color w:val="231F20"/>
          <w:sz w:val="18"/>
          <w:szCs w:val="18"/>
        </w:rPr>
        <w:softHyphen/>
        <w:t xml:space="preserve">нения </w:t>
      </w:r>
      <w:r w:rsidRPr="004E0FC4">
        <w:rPr>
          <w:rFonts w:ascii="Bookman Old Style" w:eastAsia="Bookman Old Style" w:hAnsi="Bookman Old Style" w:cs="Bookman Old Style"/>
          <w:i/>
          <w:iCs/>
          <w:color w:val="231F20"/>
          <w:sz w:val="18"/>
          <w:szCs w:val="18"/>
          <w:lang w:val="en-US" w:eastAsia="en-US" w:bidi="en-US"/>
        </w:rPr>
        <w:t>PFI</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(частной финансовой инициативы), которая являлась ос</w:t>
      </w:r>
      <w:r w:rsidRPr="004E0FC4">
        <w:rPr>
          <w:rFonts w:ascii="Bookman Old Style" w:eastAsia="Bookman Old Style" w:hAnsi="Bookman Old Style" w:cs="Bookman Old Style"/>
          <w:color w:val="231F20"/>
          <w:sz w:val="18"/>
          <w:szCs w:val="18"/>
        </w:rPr>
        <w:softHyphen/>
        <w:t>новной моделью ГЧП в стране с 1992 г., сославшись на ее «низкую эффективность в использовании бюджетных средств»</w:t>
      </w:r>
      <w:r w:rsidRPr="004E0FC4">
        <w:rPr>
          <w:rFonts w:ascii="Bookman Old Style" w:eastAsia="Bookman Old Style" w:hAnsi="Bookman Old Style" w:cs="Bookman Old Style"/>
          <w:color w:val="231F20"/>
          <w:sz w:val="18"/>
          <w:szCs w:val="18"/>
          <w:highlight w:val="red"/>
          <w:vertAlign w:val="superscript"/>
        </w:rPr>
        <w:t>3</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Было указано, что отсутствие необходимых инструментов не позволяло качественно структурировать проекты и осуществлять их эффективную реализацию. Несмотря на формальное наличие процесса и подробных процедур управления крупными проектами (руководство «Green Book» / «Зеленой книга» и Модель пяти кейсов «Five Case Model»), ошибки в допущениях и последующих расчётах привели к проблемам по ряду крупнейших проектов, оказавшим негативное влияние на оценку всех проектов, реализуемых по схемам PFI и PFI2, и они были отменены.</w:t>
      </w:r>
    </w:p>
    <w:p w14:paraId="576CDCA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Другой базо</w:t>
      </w:r>
      <w:r w:rsidRPr="004E0FC4">
        <w:rPr>
          <w:rFonts w:ascii="Bookman Old Style" w:eastAsia="Bookman Old Style" w:hAnsi="Bookman Old Style" w:cs="Bookman Old Style"/>
          <w:color w:val="231F20"/>
          <w:sz w:val="18"/>
          <w:szCs w:val="18"/>
          <w:highlight w:val="red"/>
        </w:rPr>
        <w:softHyphen/>
        <w:t xml:space="preserve">вой модели ГЧП в Великобритании пока не предложено. </w:t>
      </w:r>
      <w:r w:rsidRPr="004E0FC4">
        <w:rPr>
          <w:rFonts w:ascii="Bookman Old Style" w:eastAsia="Bookman Old Style" w:hAnsi="Bookman Old Style" w:cs="Bookman Old Style"/>
          <w:color w:val="231F20"/>
          <w:sz w:val="18"/>
          <w:szCs w:val="18"/>
          <w:highlight w:val="red"/>
          <w:vertAlign w:val="superscript"/>
        </w:rPr>
        <w:footnoteReference w:id="98"/>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99"/>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00"/>
      </w:r>
    </w:p>
    <w:p w14:paraId="065A0E73"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b/>
          <w:color w:val="231F20"/>
          <w:sz w:val="18"/>
          <w:szCs w:val="18"/>
        </w:rPr>
        <w:t>В США</w:t>
      </w:r>
      <w:r w:rsidRPr="004E0FC4">
        <w:rPr>
          <w:rFonts w:ascii="Bookman Old Style" w:eastAsia="Bookman Old Style" w:hAnsi="Bookman Old Style" w:cs="Bookman Old Style"/>
          <w:color w:val="231F20"/>
          <w:sz w:val="18"/>
          <w:szCs w:val="18"/>
        </w:rPr>
        <w:t xml:space="preserve"> применение ГЧП в </w:t>
      </w:r>
      <w:r w:rsidRPr="004E0FC4">
        <w:rPr>
          <w:rFonts w:ascii="Bookman Old Style" w:eastAsia="Bookman Old Style" w:hAnsi="Bookman Old Style" w:cs="Bookman Old Style"/>
          <w:color w:val="231F20"/>
          <w:sz w:val="18"/>
          <w:szCs w:val="18"/>
          <w:highlight w:val="green"/>
        </w:rPr>
        <w:t>1990-2010-х годах</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последние три десятилетия</w:t>
      </w:r>
      <w:r w:rsidRPr="004E0FC4">
        <w:rPr>
          <w:rFonts w:ascii="Bookman Old Style" w:eastAsia="Bookman Old Style" w:hAnsi="Bookman Old Style" w:cs="Bookman Old Style"/>
          <w:color w:val="231F20"/>
          <w:sz w:val="18"/>
          <w:szCs w:val="18"/>
        </w:rPr>
        <w:t xml:space="preserve"> также получило широкое распространение. «Среди основных секторов, где реализуются проекты с применением механизмов ГЧП, в США можно выделить транспортную инфраструктуру, строительство и техническое обслуживание систем водоснабжения и водоотведе</w:t>
      </w:r>
      <w:r w:rsidRPr="004E0FC4">
        <w:rPr>
          <w:rFonts w:ascii="Bookman Old Style" w:eastAsia="Bookman Old Style" w:hAnsi="Bookman Old Style" w:cs="Bookman Old Style"/>
          <w:color w:val="231F20"/>
          <w:sz w:val="18"/>
          <w:szCs w:val="18"/>
        </w:rPr>
        <w:softHyphen/>
        <w:t>ния, сферу образования, сектор обороны, а также пенитенциарную систему. Государственно-частное партнерство стало играть ключе</w:t>
      </w:r>
      <w:r w:rsidRPr="004E0FC4">
        <w:rPr>
          <w:rFonts w:ascii="Bookman Old Style" w:eastAsia="Bookman Old Style" w:hAnsi="Bookman Old Style" w:cs="Bookman Old Style"/>
          <w:color w:val="231F20"/>
          <w:sz w:val="18"/>
          <w:szCs w:val="18"/>
        </w:rPr>
        <w:softHyphen/>
        <w:t>вую роль в решении проблем, связанных со строительством и об</w:t>
      </w:r>
      <w:r w:rsidRPr="004E0FC4">
        <w:rPr>
          <w:rFonts w:ascii="Bookman Old Style" w:eastAsia="Bookman Old Style" w:hAnsi="Bookman Old Style" w:cs="Bookman Old Style"/>
          <w:color w:val="231F20"/>
          <w:sz w:val="18"/>
          <w:szCs w:val="18"/>
        </w:rPr>
        <w:softHyphen/>
        <w:t>служиванием дорог, туннелей, мостов, аэропортов, портов, желез</w:t>
      </w:r>
      <w:r w:rsidRPr="004E0FC4">
        <w:rPr>
          <w:rFonts w:ascii="Bookman Old Style" w:eastAsia="Bookman Old Style" w:hAnsi="Bookman Old Style" w:cs="Bookman Old Style"/>
          <w:color w:val="231F20"/>
          <w:sz w:val="18"/>
          <w:szCs w:val="18"/>
        </w:rPr>
        <w:softHyphen/>
        <w:t>ных дорог и других форм транспортной инфраструктуры, так как отрасль транспорта является самой крупной областью реализации ГЧП-проектов»</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Нередко ГЧП в США применяется в области со</w:t>
      </w:r>
      <w:r w:rsidRPr="004E0FC4">
        <w:rPr>
          <w:rFonts w:ascii="Bookman Old Style" w:eastAsia="Bookman Old Style" w:hAnsi="Bookman Old Style" w:cs="Bookman Old Style"/>
          <w:color w:val="231F20"/>
          <w:sz w:val="18"/>
          <w:szCs w:val="18"/>
        </w:rPr>
        <w:softHyphen/>
        <w:t>циальной инфраструктуры для строительства школ, зданий город</w:t>
      </w:r>
      <w:r w:rsidRPr="004E0FC4">
        <w:rPr>
          <w:rFonts w:ascii="Bookman Old Style" w:eastAsia="Bookman Old Style" w:hAnsi="Bookman Old Style" w:cs="Bookman Old Style"/>
          <w:color w:val="231F20"/>
          <w:sz w:val="18"/>
          <w:szCs w:val="18"/>
        </w:rPr>
        <w:softHyphen/>
        <w:t xml:space="preserve">ской администрации и иных социальных объектов по соглашениям о продаже с сохранением аренды на объект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sale</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leaseback</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и предо</w:t>
      </w:r>
      <w:r w:rsidRPr="004E0FC4">
        <w:rPr>
          <w:rFonts w:ascii="Bookman Old Style" w:eastAsia="Bookman Old Style" w:hAnsi="Bookman Old Style" w:cs="Bookman Old Style"/>
          <w:color w:val="231F20"/>
          <w:sz w:val="18"/>
          <w:szCs w:val="18"/>
        </w:rPr>
        <w:softHyphen/>
        <w:t xml:space="preserve">ставления имущества в аренду с правами обратной аренды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lease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leaseback</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а </w:t>
      </w:r>
      <w:r w:rsidRPr="004E0FC4">
        <w:rPr>
          <w:rFonts w:ascii="Bookman Old Style" w:eastAsia="Bookman Old Style" w:hAnsi="Bookman Old Style" w:cs="Bookman Old Style"/>
          <w:color w:val="231F20"/>
          <w:sz w:val="18"/>
          <w:szCs w:val="18"/>
        </w:rPr>
        <w:lastRenderedPageBreak/>
        <w:t xml:space="preserve">также в других инвестиционных направлениях. Кроме того, в США развиты </w:t>
      </w:r>
      <w:r w:rsidRPr="004E0FC4">
        <w:rPr>
          <w:rFonts w:ascii="Bookman Old Style" w:eastAsia="Bookman Old Style" w:hAnsi="Bookman Old Style" w:cs="Bookman Old Style"/>
          <w:i/>
          <w:iCs/>
          <w:color w:val="231F20"/>
          <w:sz w:val="18"/>
          <w:szCs w:val="18"/>
        </w:rPr>
        <w:t>партнерства, нацеленные на реализацию на</w:t>
      </w:r>
      <w:r w:rsidRPr="004E0FC4">
        <w:rPr>
          <w:rFonts w:ascii="Bookman Old Style" w:eastAsia="Bookman Old Style" w:hAnsi="Bookman Old Style" w:cs="Bookman Old Style"/>
          <w:i/>
          <w:iCs/>
          <w:color w:val="231F20"/>
          <w:sz w:val="18"/>
          <w:szCs w:val="18"/>
        </w:rPr>
        <w:softHyphen/>
        <w:t>учно-технологических, инновационных проектов.</w:t>
      </w:r>
    </w:p>
    <w:p w14:paraId="47E8F717"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США</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согласно опросу, проведенному Национальным сове</w:t>
      </w:r>
      <w:r w:rsidRPr="004E0FC4">
        <w:rPr>
          <w:rFonts w:ascii="Bookman Old Style" w:eastAsia="Bookman Old Style" w:hAnsi="Bookman Old Style" w:cs="Bookman Old Style"/>
          <w:color w:val="231F20"/>
          <w:sz w:val="18"/>
          <w:szCs w:val="18"/>
          <w:highlight w:val="red"/>
        </w:rPr>
        <w:softHyphen/>
        <w:t>том по государственно-частному партнерству,</w:t>
      </w:r>
      <w:r w:rsidRPr="004E0FC4">
        <w:rPr>
          <w:rFonts w:ascii="Bookman Old Style" w:eastAsia="Bookman Old Style" w:hAnsi="Bookman Old Style" w:cs="Bookman Old Style"/>
          <w:color w:val="231F20"/>
          <w:sz w:val="18"/>
          <w:szCs w:val="18"/>
        </w:rPr>
        <w:t xml:space="preserve"> в общей сложности 37 штатов и округ Колумбия приняли законодательные акты, до</w:t>
      </w:r>
      <w:r w:rsidRPr="004E0FC4">
        <w:rPr>
          <w:rFonts w:ascii="Bookman Old Style" w:eastAsia="Bookman Old Style" w:hAnsi="Bookman Old Style" w:cs="Bookman Old Style"/>
          <w:color w:val="231F20"/>
          <w:sz w:val="18"/>
          <w:szCs w:val="18"/>
        </w:rPr>
        <w:softHyphen/>
        <w:t xml:space="preserve">пускающие реализацию проектов ГЧП. Из них 11 штатов полагают возможным выполнение так называемых </w:t>
      </w:r>
      <w:r w:rsidRPr="004E0FC4">
        <w:rPr>
          <w:rFonts w:ascii="Bookman Old Style" w:eastAsia="Bookman Old Style" w:hAnsi="Bookman Old Style" w:cs="Bookman Old Style"/>
          <w:i/>
          <w:iCs/>
          <w:color w:val="231F20"/>
          <w:sz w:val="18"/>
          <w:szCs w:val="18"/>
        </w:rPr>
        <w:t>горизонтальных</w:t>
      </w:r>
      <w:r w:rsidRPr="004E0FC4">
        <w:rPr>
          <w:rFonts w:ascii="Bookman Old Style" w:eastAsia="Bookman Old Style" w:hAnsi="Bookman Old Style" w:cs="Bookman Old Style"/>
          <w:color w:val="231F20"/>
          <w:sz w:val="18"/>
          <w:szCs w:val="18"/>
        </w:rPr>
        <w:t xml:space="preserve"> проек</w:t>
      </w:r>
      <w:r w:rsidRPr="004E0FC4">
        <w:rPr>
          <w:rFonts w:ascii="Bookman Old Style" w:eastAsia="Bookman Old Style" w:hAnsi="Bookman Old Style" w:cs="Bookman Old Style"/>
          <w:color w:val="231F20"/>
          <w:sz w:val="18"/>
          <w:szCs w:val="18"/>
        </w:rPr>
        <w:softHyphen/>
        <w:t xml:space="preserve">тов ГЧП, таких как дорожно-транспортные проекты. Еще два штата ограничились </w:t>
      </w:r>
      <w:r w:rsidRPr="004E0FC4">
        <w:rPr>
          <w:rFonts w:ascii="Bookman Old Style" w:eastAsia="Bookman Old Style" w:hAnsi="Bookman Old Style" w:cs="Bookman Old Style"/>
          <w:i/>
          <w:iCs/>
          <w:color w:val="231F20"/>
          <w:sz w:val="18"/>
          <w:szCs w:val="18"/>
        </w:rPr>
        <w:t>вертикальными</w:t>
      </w:r>
      <w:r w:rsidRPr="004E0FC4">
        <w:rPr>
          <w:rFonts w:ascii="Bookman Old Style" w:eastAsia="Bookman Old Style" w:hAnsi="Bookman Old Style" w:cs="Bookman Old Style"/>
          <w:color w:val="231F20"/>
          <w:sz w:val="18"/>
          <w:szCs w:val="18"/>
        </w:rPr>
        <w:t xml:space="preserve"> проектами, такими как больницы, школы и другие объекты социальной инфраструктуры. </w:t>
      </w:r>
      <w:r w:rsidRPr="004E0FC4">
        <w:rPr>
          <w:rFonts w:ascii="Bookman Old Style" w:eastAsia="Bookman Old Style" w:hAnsi="Bookman Old Style" w:cs="Bookman Old Style"/>
          <w:color w:val="231F20"/>
          <w:sz w:val="18"/>
          <w:szCs w:val="18"/>
          <w:highlight w:val="red"/>
        </w:rPr>
        <w:t>Законода</w:t>
      </w:r>
      <w:r w:rsidRPr="004E0FC4">
        <w:rPr>
          <w:rFonts w:ascii="Bookman Old Style" w:eastAsia="Bookman Old Style" w:hAnsi="Bookman Old Style" w:cs="Bookman Old Style"/>
          <w:color w:val="231F20"/>
          <w:sz w:val="18"/>
          <w:szCs w:val="18"/>
          <w:highlight w:val="red"/>
        </w:rPr>
        <w:softHyphen/>
        <w:t>тельство 24 штатов и округа Колумбия разрешает реализовывать различные формы и механизмы ГЧП. То есть</w:t>
      </w:r>
      <w:r w:rsidRPr="004E0FC4">
        <w:rPr>
          <w:rFonts w:ascii="Bookman Old Style" w:eastAsia="Bookman Old Style" w:hAnsi="Bookman Old Style" w:cs="Bookman Old Style"/>
          <w:color w:val="231F20"/>
          <w:sz w:val="18"/>
          <w:szCs w:val="18"/>
        </w:rPr>
        <w:t xml:space="preserve"> две трети штатов с за</w:t>
      </w:r>
      <w:r w:rsidRPr="004E0FC4">
        <w:rPr>
          <w:rFonts w:ascii="Bookman Old Style" w:eastAsia="Bookman Old Style" w:hAnsi="Bookman Old Style" w:cs="Bookman Old Style"/>
          <w:color w:val="231F20"/>
          <w:sz w:val="18"/>
          <w:szCs w:val="18"/>
        </w:rPr>
        <w:softHyphen/>
        <w:t>конодательным актом по ГЧП оставляют открытой возможность расширять формы проектов государственно-частного партнерства. Законы штатов различаются в зависимости от прав и ограничений публичного и частного партнеров.</w:t>
      </w:r>
    </w:p>
    <w:p w14:paraId="4F5C18BA"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США проекты ГЧП часто финансируются за счет сочетания частных (долговых и акционерных) и бюджетных средств, включая федеральные, государственные и местные фонды. В проектах при</w:t>
      </w:r>
      <w:r w:rsidRPr="004E0FC4">
        <w:rPr>
          <w:rFonts w:ascii="Bookman Old Style" w:eastAsia="Bookman Old Style" w:hAnsi="Bookman Old Style" w:cs="Bookman Old Style"/>
          <w:color w:val="231F20"/>
          <w:sz w:val="18"/>
          <w:szCs w:val="18"/>
        </w:rPr>
        <w:softHyphen/>
        <w:t>нимают участие разные источники капитала. Большинство госу</w:t>
      </w:r>
      <w:r w:rsidRPr="004E0FC4">
        <w:rPr>
          <w:rFonts w:ascii="Bookman Old Style" w:eastAsia="Bookman Old Style" w:hAnsi="Bookman Old Style" w:cs="Bookman Old Style"/>
          <w:color w:val="231F20"/>
          <w:sz w:val="18"/>
          <w:szCs w:val="18"/>
        </w:rPr>
        <w:softHyphen/>
        <w:t>дарственных гарантий для частного партнера при реализации про</w:t>
      </w:r>
      <w:r w:rsidRPr="004E0FC4">
        <w:rPr>
          <w:rFonts w:ascii="Bookman Old Style" w:eastAsia="Bookman Old Style" w:hAnsi="Bookman Old Style" w:cs="Bookman Old Style"/>
          <w:color w:val="231F20"/>
          <w:sz w:val="18"/>
          <w:szCs w:val="18"/>
        </w:rPr>
        <w:softHyphen/>
        <w:t>ектов ГЧП закреплено не в нормативных актах, а непосредственно в договорах.</w:t>
      </w:r>
    </w:p>
    <w:p w14:paraId="1B2D7C94" w14:textId="77777777" w:rsidR="00350396" w:rsidRPr="004E0FC4" w:rsidRDefault="00350396" w:rsidP="004E0FC4">
      <w:pPr>
        <w:widowControl w:val="0"/>
        <w:spacing w:line="254" w:lineRule="exact"/>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В самые последние годы</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После 2015 года</w:t>
      </w:r>
      <w:r w:rsidRPr="004E0FC4">
        <w:rPr>
          <w:rFonts w:ascii="Bookman Old Style" w:eastAsia="Bookman Old Style" w:hAnsi="Bookman Old Style" w:cs="Bookman Old Style"/>
          <w:color w:val="231F20"/>
          <w:sz w:val="18"/>
          <w:szCs w:val="18"/>
        </w:rPr>
        <w:t xml:space="preserve"> проекты ГЧП в США подвергаются тщательной переоценке. В 2014 г. создан Консультационной совет </w:t>
      </w:r>
      <w:r w:rsidRPr="004E0FC4">
        <w:rPr>
          <w:rFonts w:ascii="Bookman Old Style" w:eastAsia="Bookman Old Style" w:hAnsi="Bookman Old Style" w:cs="Bookman Old Style"/>
          <w:color w:val="231F20"/>
          <w:sz w:val="18"/>
          <w:szCs w:val="18"/>
          <w:vertAlign w:val="superscript"/>
        </w:rPr>
        <w:footnoteReference w:id="101"/>
      </w:r>
      <w:r w:rsidRPr="004E0FC4">
        <w:rPr>
          <w:rFonts w:ascii="Bookman Old Style" w:eastAsia="Bookman Old Style" w:hAnsi="Bookman Old Style" w:cs="Bookman Old Style"/>
          <w:color w:val="231F20"/>
          <w:sz w:val="18"/>
          <w:szCs w:val="18"/>
        </w:rPr>
        <w:t xml:space="preserve"> по ГЧП, который проводит исследования в отношении проектов ГЧП, реализуемых в различных отраслях инфраструктуры, с целью выявления их эффективности для экономического развития страны. Губернаторы некоторых штатов, таких как Иллинойс, Мэриленд, Техас, после выборов 2014 г. приостановили реализацию местных проектов ГЧП по социальным объектам</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Число ГЧП-сделок с 2015 г. сокраща</w:t>
      </w:r>
      <w:r w:rsidRPr="004E0FC4">
        <w:rPr>
          <w:rFonts w:ascii="Bookman Old Style" w:eastAsia="Bookman Old Style" w:hAnsi="Bookman Old Style" w:cs="Bookman Old Style"/>
          <w:color w:val="231F20"/>
          <w:sz w:val="18"/>
          <w:szCs w:val="18"/>
          <w:highlight w:val="green"/>
        </w:rPr>
        <w:t>лось</w:t>
      </w:r>
      <w:r w:rsidRPr="004E0FC4">
        <w:rPr>
          <w:rFonts w:ascii="Bookman Old Style" w:eastAsia="Bookman Old Style" w:hAnsi="Bookman Old Style" w:cs="Bookman Old Style"/>
          <w:color w:val="231F20"/>
          <w:sz w:val="18"/>
          <w:szCs w:val="18"/>
        </w:rPr>
        <w:t xml:space="preserve">, не </w:t>
      </w:r>
      <w:r w:rsidRPr="004E0FC4">
        <w:rPr>
          <w:rFonts w:ascii="Bookman Old Style" w:eastAsia="Bookman Old Style" w:hAnsi="Bookman Old Style" w:cs="Bookman Old Style"/>
          <w:color w:val="231F20"/>
          <w:sz w:val="18"/>
          <w:szCs w:val="18"/>
          <w:highlight w:val="green"/>
        </w:rPr>
        <w:t>был</w:t>
      </w:r>
      <w:r w:rsidRPr="004E0FC4">
        <w:rPr>
          <w:rFonts w:ascii="Bookman Old Style" w:eastAsia="Bookman Old Style" w:hAnsi="Bookman Old Style" w:cs="Bookman Old Style"/>
          <w:color w:val="231F20"/>
          <w:sz w:val="18"/>
          <w:szCs w:val="18"/>
        </w:rPr>
        <w:t xml:space="preserve"> утверж</w:t>
      </w:r>
      <w:r w:rsidRPr="004E0FC4">
        <w:rPr>
          <w:rFonts w:ascii="Bookman Old Style" w:eastAsia="Bookman Old Style" w:hAnsi="Bookman Old Style" w:cs="Bookman Old Style"/>
          <w:color w:val="231F20"/>
          <w:sz w:val="18"/>
          <w:szCs w:val="18"/>
          <w:highlight w:val="green"/>
        </w:rPr>
        <w:t>ден</w:t>
      </w:r>
      <w:r w:rsidRPr="004E0FC4">
        <w:rPr>
          <w:rFonts w:ascii="Bookman Old Style" w:eastAsia="Bookman Old Style" w:hAnsi="Bookman Old Style" w:cs="Bookman Old Style"/>
          <w:color w:val="231F20"/>
          <w:sz w:val="18"/>
          <w:szCs w:val="18"/>
        </w:rPr>
        <w:t xml:space="preserve"> Конгрессом в 2017 г. глобальный «ин</w:t>
      </w:r>
      <w:r w:rsidRPr="004E0FC4">
        <w:rPr>
          <w:rFonts w:ascii="Bookman Old Style" w:eastAsia="Bookman Old Style" w:hAnsi="Bookman Old Style" w:cs="Bookman Old Style"/>
          <w:color w:val="231F20"/>
          <w:sz w:val="18"/>
          <w:szCs w:val="18"/>
        </w:rPr>
        <w:softHyphen/>
        <w:t>фраструктурный план» Дональда Трампа (программа инфраструк</w:t>
      </w:r>
      <w:r w:rsidRPr="004E0FC4">
        <w:rPr>
          <w:rFonts w:ascii="Bookman Old Style" w:eastAsia="Bookman Old Style" w:hAnsi="Bookman Old Style" w:cs="Bookman Old Style"/>
          <w:color w:val="231F20"/>
          <w:sz w:val="18"/>
          <w:szCs w:val="18"/>
        </w:rPr>
        <w:softHyphen/>
        <w:t>турного развития с объемом вложений 1,5 трлн долл., по которо</w:t>
      </w:r>
      <w:r w:rsidRPr="004E0FC4">
        <w:rPr>
          <w:rFonts w:ascii="Bookman Old Style" w:eastAsia="Bookman Old Style" w:hAnsi="Bookman Old Style" w:cs="Bookman Old Style"/>
          <w:color w:val="231F20"/>
          <w:sz w:val="18"/>
          <w:szCs w:val="18"/>
          <w:highlight w:val="green"/>
        </w:rPr>
        <w:t>му</w:t>
      </w:r>
      <w:r w:rsidRPr="004E0FC4">
        <w:rPr>
          <w:rFonts w:ascii="Bookman Old Style" w:eastAsia="Bookman Old Style" w:hAnsi="Bookman Old Style" w:cs="Bookman Old Style"/>
          <w:color w:val="231F20"/>
          <w:sz w:val="18"/>
          <w:szCs w:val="18"/>
        </w:rPr>
        <w:t xml:space="preserve">, согласно расчетам, за десятилетие можно </w:t>
      </w:r>
      <w:r w:rsidRPr="004E0FC4">
        <w:rPr>
          <w:rFonts w:ascii="Bookman Old Style" w:eastAsia="Bookman Old Style" w:hAnsi="Bookman Old Style" w:cs="Bookman Old Style"/>
          <w:color w:val="231F20"/>
          <w:sz w:val="18"/>
          <w:szCs w:val="18"/>
          <w:highlight w:val="green"/>
        </w:rPr>
        <w:t>было</w:t>
      </w:r>
      <w:r w:rsidRPr="004E0FC4">
        <w:rPr>
          <w:rFonts w:ascii="Bookman Old Style" w:eastAsia="Bookman Old Style" w:hAnsi="Bookman Old Style" w:cs="Bookman Old Style"/>
          <w:color w:val="231F20"/>
          <w:sz w:val="18"/>
          <w:szCs w:val="18"/>
        </w:rPr>
        <w:t xml:space="preserve"> получить до 0,2 п. п. к тем</w:t>
      </w:r>
      <w:r w:rsidRPr="004E0FC4">
        <w:rPr>
          <w:rFonts w:ascii="Bookman Old Style" w:eastAsia="Bookman Old Style" w:hAnsi="Bookman Old Style" w:cs="Bookman Old Style"/>
          <w:color w:val="231F20"/>
          <w:sz w:val="18"/>
          <w:szCs w:val="18"/>
        </w:rPr>
        <w:softHyphen/>
        <w:t>пам ежегодного экономического прироста</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программа отдает прио</w:t>
      </w:r>
      <w:r w:rsidRPr="004E0FC4">
        <w:rPr>
          <w:rFonts w:ascii="Bookman Old Style" w:eastAsia="Bookman Old Style" w:hAnsi="Bookman Old Style" w:cs="Bookman Old Style"/>
          <w:color w:val="231F20"/>
          <w:sz w:val="18"/>
          <w:szCs w:val="18"/>
          <w:highlight w:val="red"/>
        </w:rPr>
        <w:softHyphen/>
        <w:t>ритет финансированию инфраструктурных проектов на основе вло</w:t>
      </w:r>
      <w:r w:rsidRPr="004E0FC4">
        <w:rPr>
          <w:rFonts w:ascii="Bookman Old Style" w:eastAsia="Bookman Old Style" w:hAnsi="Bookman Old Style" w:cs="Bookman Old Style"/>
          <w:color w:val="231F20"/>
          <w:sz w:val="18"/>
          <w:szCs w:val="18"/>
          <w:highlight w:val="red"/>
        </w:rPr>
        <w:softHyphen/>
        <w:t>жений частного капитала и механизмов государственно-частного партнерства)</w:t>
      </w:r>
      <w:r w:rsidRPr="004E0FC4">
        <w:rPr>
          <w:rFonts w:ascii="Bookman Old Style" w:eastAsia="Bookman Old Style" w:hAnsi="Bookman Old Style" w:cs="Bookman Old Style"/>
          <w:color w:val="231F20"/>
          <w:sz w:val="18"/>
          <w:szCs w:val="18"/>
        </w:rPr>
        <w:t>. Не все проекты реализовывались и в прошлом</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только 40 % от всех запланированных проектов ГЧП в отраслях транспорта США с 1985 г. полностью профинансированы к концу 2012 г.</w:t>
      </w:r>
    </w:p>
    <w:p w14:paraId="3B10E78C"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 xml:space="preserve">В </w:t>
      </w:r>
      <w:r w:rsidRPr="004E0FC4">
        <w:rPr>
          <w:rFonts w:ascii="Bookman Old Style" w:eastAsia="Bookman Old Style" w:hAnsi="Bookman Old Style" w:cs="Bookman Old Style"/>
          <w:b/>
          <w:color w:val="231F20"/>
          <w:sz w:val="18"/>
          <w:szCs w:val="18"/>
        </w:rPr>
        <w:t>Австралии</w:t>
      </w:r>
      <w:r w:rsidRPr="004E0FC4">
        <w:rPr>
          <w:rFonts w:ascii="Bookman Old Style" w:eastAsia="Bookman Old Style" w:hAnsi="Bookman Old Style" w:cs="Bookman Old Style"/>
          <w:color w:val="231F20"/>
          <w:sz w:val="18"/>
          <w:szCs w:val="18"/>
        </w:rPr>
        <w:t xml:space="preserve"> развита практика участия частных компаний в ре</w:t>
      </w:r>
      <w:r w:rsidRPr="004E0FC4">
        <w:rPr>
          <w:rFonts w:ascii="Bookman Old Style" w:eastAsia="Bookman Old Style" w:hAnsi="Bookman Old Style" w:cs="Bookman Old Style"/>
          <w:color w:val="231F20"/>
          <w:sz w:val="18"/>
          <w:szCs w:val="18"/>
        </w:rPr>
        <w:softHyphen/>
        <w:t>конструкции, строительстве госпиталей, больниц, а также управле</w:t>
      </w:r>
      <w:r w:rsidRPr="004E0FC4">
        <w:rPr>
          <w:rFonts w:ascii="Bookman Old Style" w:eastAsia="Bookman Old Style" w:hAnsi="Bookman Old Style" w:cs="Bookman Old Style"/>
          <w:color w:val="231F20"/>
          <w:sz w:val="18"/>
          <w:szCs w:val="18"/>
        </w:rPr>
        <w:softHyphen/>
        <w:t>ния этими учреждениями.</w:t>
      </w:r>
    </w:p>
    <w:p w14:paraId="128FBF07"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 Германии одной из основных сфер применения ГЧП являются информационно-коммуникационные технологии (ИКТ). Государ</w:t>
      </w:r>
      <w:r w:rsidRPr="004E0FC4">
        <w:rPr>
          <w:rFonts w:ascii="Bookman Old Style" w:eastAsia="Bookman Old Style" w:hAnsi="Bookman Old Style" w:cs="Bookman Old Style"/>
          <w:color w:val="231F20"/>
          <w:sz w:val="18"/>
          <w:szCs w:val="18"/>
        </w:rPr>
        <w:softHyphen/>
        <w:t>ственно-частному партнерству в области развития ИКТ в стране придается большая роль в процессе трансформирования нацио</w:t>
      </w:r>
      <w:r w:rsidRPr="004E0FC4">
        <w:rPr>
          <w:rFonts w:ascii="Bookman Old Style" w:eastAsia="Bookman Old Style" w:hAnsi="Bookman Old Style" w:cs="Bookman Old Style"/>
          <w:color w:val="231F20"/>
          <w:sz w:val="18"/>
          <w:szCs w:val="18"/>
        </w:rPr>
        <w:softHyphen/>
        <w:t>нальной экономики из индустриальной в информационную. Роли участников ГЧП распределяются следующим образом: правитель</w:t>
      </w:r>
      <w:r w:rsidRPr="004E0FC4">
        <w:rPr>
          <w:rFonts w:ascii="Bookman Old Style" w:eastAsia="Bookman Old Style" w:hAnsi="Bookman Old Style" w:cs="Bookman Old Style"/>
          <w:color w:val="231F20"/>
          <w:sz w:val="18"/>
          <w:szCs w:val="18"/>
        </w:rPr>
        <w:softHyphen/>
        <w:t>ство создает условия для развития ИКТ путем принятия рамочного законодательства и проведения стимулирующей экономической по</w:t>
      </w:r>
      <w:r w:rsidRPr="004E0FC4">
        <w:rPr>
          <w:rFonts w:ascii="Bookman Old Style" w:eastAsia="Bookman Old Style" w:hAnsi="Bookman Old Style" w:cs="Bookman Old Style"/>
          <w:color w:val="231F20"/>
          <w:sz w:val="18"/>
          <w:szCs w:val="18"/>
        </w:rPr>
        <w:softHyphen/>
        <w:t xml:space="preserve">литики, а частный сектор обеспечивает инвестирование в НИОКР в области ИКТ, внедрение ИКТ в отраслях внутреннего хозяйства и во внешнеторговых операциях. Также в Германии </w:t>
      </w:r>
      <w:r w:rsidRPr="004E0FC4">
        <w:rPr>
          <w:rFonts w:ascii="Bookman Old Style" w:eastAsia="Bookman Old Style" w:hAnsi="Bookman Old Style" w:cs="Bookman Old Style"/>
          <w:i/>
          <w:iCs/>
          <w:color w:val="231F20"/>
          <w:sz w:val="18"/>
          <w:szCs w:val="18"/>
        </w:rPr>
        <w:t>медицинские уч</w:t>
      </w:r>
      <w:r w:rsidRPr="004E0FC4">
        <w:rPr>
          <w:rFonts w:ascii="Bookman Old Style" w:eastAsia="Bookman Old Style" w:hAnsi="Bookman Old Style" w:cs="Bookman Old Style"/>
          <w:i/>
          <w:iCs/>
          <w:color w:val="231F20"/>
          <w:sz w:val="18"/>
          <w:szCs w:val="18"/>
        </w:rPr>
        <w:softHyphen/>
        <w:t>реждения приватизируются</w:t>
      </w:r>
      <w:r w:rsidRPr="004E0FC4">
        <w:rPr>
          <w:rFonts w:ascii="Bookman Old Style" w:eastAsia="Bookman Old Style" w:hAnsi="Bookman Old Style" w:cs="Bookman Old Style"/>
          <w:color w:val="231F20"/>
          <w:sz w:val="18"/>
          <w:szCs w:val="18"/>
        </w:rPr>
        <w:t xml:space="preserve"> за относительно небольшие средства в обмен на обязательства по инвестициям и государственному за</w:t>
      </w:r>
      <w:r w:rsidRPr="004E0FC4">
        <w:rPr>
          <w:rFonts w:ascii="Bookman Old Style" w:eastAsia="Bookman Old Style" w:hAnsi="Bookman Old Style" w:cs="Bookman Old Style"/>
          <w:color w:val="231F20"/>
          <w:sz w:val="18"/>
          <w:szCs w:val="18"/>
        </w:rPr>
        <w:softHyphen/>
        <w:t>казу.</w:t>
      </w:r>
    </w:p>
    <w:p w14:paraId="2FA028DD"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w:t>
      </w:r>
      <w:r w:rsidRPr="004E0FC4">
        <w:rPr>
          <w:rFonts w:ascii="Bookman Old Style" w:eastAsia="Bookman Old Style" w:hAnsi="Bookman Old Style" w:cs="Bookman Old Style"/>
          <w:b/>
          <w:color w:val="231F20"/>
          <w:sz w:val="18"/>
          <w:szCs w:val="18"/>
        </w:rPr>
        <w:t>Швеции</w:t>
      </w:r>
      <w:r w:rsidRPr="004E0FC4">
        <w:rPr>
          <w:rFonts w:ascii="Bookman Old Style" w:eastAsia="Bookman Old Style" w:hAnsi="Bookman Old Style" w:cs="Bookman Old Style"/>
          <w:color w:val="231F20"/>
          <w:sz w:val="18"/>
          <w:szCs w:val="18"/>
        </w:rPr>
        <w:t xml:space="preserve"> разрешено брать в аренду больницы, лаборатории и службы скорой помощи.</w:t>
      </w:r>
    </w:p>
    <w:p w14:paraId="2E4C7E67"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классификации Евросоюза концессия относится к договорной (контрактной) форме ГЧП, а к институционализированной (инсти</w:t>
      </w:r>
      <w:r w:rsidRPr="004E0FC4">
        <w:rPr>
          <w:rFonts w:ascii="Bookman Old Style" w:eastAsia="Bookman Old Style" w:hAnsi="Bookman Old Style" w:cs="Bookman Old Style"/>
          <w:color w:val="231F20"/>
          <w:sz w:val="18"/>
          <w:szCs w:val="18"/>
        </w:rPr>
        <w:softHyphen/>
        <w:t>туциональной) форме причисляют предприятия со смешанным ка</w:t>
      </w:r>
      <w:r w:rsidRPr="004E0FC4">
        <w:rPr>
          <w:rFonts w:ascii="Bookman Old Style" w:eastAsia="Bookman Old Style" w:hAnsi="Bookman Old Style" w:cs="Bookman Old Style"/>
          <w:color w:val="231F20"/>
          <w:sz w:val="18"/>
          <w:szCs w:val="18"/>
        </w:rPr>
        <w:softHyphen/>
        <w:t>питалом государства и частного инвестора, выкуп долей уже суще</w:t>
      </w:r>
      <w:r w:rsidRPr="004E0FC4">
        <w:rPr>
          <w:rFonts w:ascii="Bookman Old Style" w:eastAsia="Bookman Old Style" w:hAnsi="Bookman Old Style" w:cs="Bookman Old Style"/>
          <w:color w:val="231F20"/>
          <w:sz w:val="18"/>
          <w:szCs w:val="18"/>
        </w:rPr>
        <w:softHyphen/>
        <w:t>ствующего предприятия государством или частным инвестором</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vertAlign w:val="superscript"/>
        </w:rPr>
        <w:footnoteReference w:id="102"/>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vertAlign w:val="superscript"/>
        </w:rPr>
        <w:footnoteReference w:id="103"/>
      </w:r>
    </w:p>
    <w:p w14:paraId="479A004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Законы </w:t>
      </w:r>
      <w:r w:rsidRPr="004E0FC4">
        <w:rPr>
          <w:rFonts w:ascii="Bookman Old Style" w:eastAsia="Bookman Old Style" w:hAnsi="Bookman Old Style" w:cs="Bookman Old Style"/>
          <w:b/>
          <w:color w:val="231F20"/>
          <w:sz w:val="18"/>
          <w:szCs w:val="18"/>
        </w:rPr>
        <w:t>Испании</w:t>
      </w:r>
      <w:r w:rsidRPr="004E0FC4">
        <w:rPr>
          <w:rFonts w:ascii="Bookman Old Style" w:eastAsia="Bookman Old Style" w:hAnsi="Bookman Old Style" w:cs="Bookman Old Style"/>
          <w:color w:val="231F20"/>
          <w:sz w:val="18"/>
          <w:szCs w:val="18"/>
        </w:rPr>
        <w:t xml:space="preserve"> предусматривают две формы ГЧП — «институцио</w:t>
      </w:r>
      <w:r w:rsidRPr="004E0FC4">
        <w:rPr>
          <w:rFonts w:ascii="Bookman Old Style" w:eastAsia="Bookman Old Style" w:hAnsi="Bookman Old Style" w:cs="Bookman Old Style"/>
          <w:color w:val="231F20"/>
          <w:sz w:val="18"/>
          <w:szCs w:val="18"/>
        </w:rPr>
        <w:softHyphen/>
        <w:t>нальную» (создание предприятия со смешанным капиталом для ока</w:t>
      </w:r>
      <w:r w:rsidRPr="004E0FC4">
        <w:rPr>
          <w:rFonts w:ascii="Bookman Old Style" w:eastAsia="Bookman Old Style" w:hAnsi="Bookman Old Style" w:cs="Bookman Old Style"/>
          <w:color w:val="231F20"/>
          <w:sz w:val="18"/>
          <w:szCs w:val="18"/>
        </w:rPr>
        <w:softHyphen/>
        <w:t>зания общественно значимых услуг) и «контрактную» (соглашения о выполнении работ по государственному объекту, о концессии, об управлении общественными услугами, о снабжении, об оказа</w:t>
      </w:r>
      <w:r w:rsidRPr="004E0FC4">
        <w:rPr>
          <w:rFonts w:ascii="Bookman Old Style" w:eastAsia="Bookman Old Style" w:hAnsi="Bookman Old Style" w:cs="Bookman Old Style"/>
          <w:color w:val="231F20"/>
          <w:sz w:val="18"/>
          <w:szCs w:val="18"/>
        </w:rPr>
        <w:softHyphen/>
        <w:t>нии услуг, о государственно-частном партнерстве).</w:t>
      </w:r>
    </w:p>
    <w:p w14:paraId="7A094283"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отдельным крупным контрактам для заключения соглашения о ГЧП необходимо разрешение правительства страны. Для улучше</w:t>
      </w:r>
      <w:r w:rsidRPr="004E0FC4">
        <w:rPr>
          <w:rFonts w:ascii="Bookman Old Style" w:eastAsia="Bookman Old Style" w:hAnsi="Bookman Old Style" w:cs="Bookman Old Style"/>
          <w:color w:val="231F20"/>
          <w:sz w:val="18"/>
          <w:szCs w:val="18"/>
        </w:rPr>
        <w:softHyphen/>
        <w:t xml:space="preserve">ния координации работ в сфере ГЧП, реализуемого в транспортной инфраструктуре, в Испании в 2008 г. было создано специальное агентство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Sociedad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Estatalde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Infraestructurasdel</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Transporte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Terresre</w:t>
      </w:r>
      <w:r w:rsidRPr="004E0FC4">
        <w:rPr>
          <w:rFonts w:ascii="Bookman Old Style" w:eastAsia="Bookman Old Style" w:hAnsi="Bookman Old Style" w:cs="Bookman Old Style"/>
          <w:color w:val="231F20"/>
          <w:sz w:val="18"/>
          <w:szCs w:val="18"/>
          <w:lang w:eastAsia="en-US" w:bidi="en-US"/>
        </w:rPr>
        <w:t xml:space="preserve"> — </w:t>
      </w:r>
      <w:r w:rsidRPr="004E0FC4">
        <w:rPr>
          <w:rFonts w:ascii="Bookman Old Style" w:eastAsia="Bookman Old Style" w:hAnsi="Bookman Old Style" w:cs="Bookman Old Style"/>
          <w:i/>
          <w:iCs/>
          <w:color w:val="231F20"/>
          <w:sz w:val="18"/>
          <w:szCs w:val="18"/>
          <w:lang w:val="en-US" w:eastAsia="en-US" w:bidi="en-US"/>
        </w:rPr>
        <w:t>SEITT</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 xml:space="preserve">с функциями, аналогичными </w:t>
      </w:r>
      <w:r w:rsidRPr="004E0FC4">
        <w:rPr>
          <w:rFonts w:ascii="Bookman Old Style" w:eastAsia="Bookman Old Style" w:hAnsi="Bookman Old Style" w:cs="Bookman Old Style"/>
          <w:i/>
          <w:iCs/>
          <w:color w:val="231F20"/>
          <w:sz w:val="18"/>
          <w:szCs w:val="18"/>
          <w:lang w:val="en-US" w:eastAsia="en-US" w:bidi="en-US"/>
        </w:rPr>
        <w:t>Partnerships</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UK</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Великобрита</w:t>
      </w:r>
      <w:r w:rsidRPr="004E0FC4">
        <w:rPr>
          <w:rFonts w:ascii="Bookman Old Style" w:eastAsia="Bookman Old Style" w:hAnsi="Bookman Old Style" w:cs="Bookman Old Style"/>
          <w:color w:val="231F20"/>
          <w:sz w:val="18"/>
          <w:szCs w:val="18"/>
        </w:rPr>
        <w:softHyphen/>
        <w:t>нии, где сложилась наиболее развитая система управления ГЧП</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w:t>
      </w:r>
    </w:p>
    <w:p w14:paraId="50498790"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других </w:t>
      </w:r>
      <w:r w:rsidRPr="004E0FC4">
        <w:rPr>
          <w:rFonts w:ascii="Bookman Old Style" w:eastAsia="Bookman Old Style" w:hAnsi="Bookman Old Style" w:cs="Bookman Old Style"/>
          <w:color w:val="231F20"/>
          <w:sz w:val="18"/>
          <w:szCs w:val="18"/>
          <w:highlight w:val="red"/>
        </w:rPr>
        <w:t>развитых</w:t>
      </w:r>
      <w:r w:rsidRPr="004E0FC4">
        <w:rPr>
          <w:rFonts w:ascii="Bookman Old Style" w:eastAsia="Bookman Old Style" w:hAnsi="Bookman Old Style" w:cs="Bookman Old Style"/>
          <w:color w:val="231F20"/>
          <w:sz w:val="18"/>
          <w:szCs w:val="18"/>
        </w:rPr>
        <w:t xml:space="preserve"> европейских странах, например в </w:t>
      </w:r>
      <w:r w:rsidRPr="004E0FC4">
        <w:rPr>
          <w:rFonts w:ascii="Bookman Old Style" w:eastAsia="Bookman Old Style" w:hAnsi="Bookman Old Style" w:cs="Bookman Old Style"/>
          <w:b/>
          <w:color w:val="231F20"/>
          <w:sz w:val="18"/>
          <w:szCs w:val="18"/>
        </w:rPr>
        <w:t>Швейца</w:t>
      </w:r>
      <w:r w:rsidRPr="004E0FC4">
        <w:rPr>
          <w:rFonts w:ascii="Bookman Old Style" w:eastAsia="Bookman Old Style" w:hAnsi="Bookman Old Style" w:cs="Bookman Old Style"/>
          <w:b/>
          <w:color w:val="231F20"/>
          <w:sz w:val="18"/>
          <w:szCs w:val="18"/>
        </w:rPr>
        <w:softHyphen/>
        <w:t>рии</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опыт которой в реализации проектов ГЧП не столь велик, как в США и Великобритании,</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реализация проектов ГЧП имеет перспективы развития, связанные с быстрым распространением ГЧП в специфических формах для данной страны. Наиболее пока</w:t>
      </w:r>
      <w:r w:rsidRPr="004E0FC4">
        <w:rPr>
          <w:rFonts w:ascii="Bookman Old Style" w:eastAsia="Bookman Old Style" w:hAnsi="Bookman Old Style" w:cs="Bookman Old Style"/>
          <w:color w:val="231F20"/>
          <w:sz w:val="18"/>
          <w:szCs w:val="18"/>
          <w:highlight w:val="red"/>
        </w:rPr>
        <w:softHyphen/>
        <w:t>зательными примерами использования механизмов государствен</w:t>
      </w:r>
      <w:r w:rsidRPr="004E0FC4">
        <w:rPr>
          <w:rFonts w:ascii="Bookman Old Style" w:eastAsia="Bookman Old Style" w:hAnsi="Bookman Old Style" w:cs="Bookman Old Style"/>
          <w:color w:val="231F20"/>
          <w:sz w:val="18"/>
          <w:szCs w:val="18"/>
          <w:highlight w:val="red"/>
        </w:rPr>
        <w:softHyphen/>
        <w:t>но-частного партнерства в Швейцарии являются</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ГЧП реализуется через</w:t>
      </w:r>
      <w:r w:rsidRPr="004E0FC4">
        <w:rPr>
          <w:rFonts w:ascii="Bookman Old Style" w:eastAsia="Bookman Old Style" w:hAnsi="Bookman Old Style" w:cs="Bookman Old Style"/>
          <w:color w:val="231F20"/>
          <w:sz w:val="18"/>
          <w:szCs w:val="18"/>
        </w:rPr>
        <w:t xml:space="preserve"> уполномоченные инфраструктурные предприятия (например, частные железные до</w:t>
      </w:r>
      <w:r w:rsidRPr="004E0FC4">
        <w:rPr>
          <w:rFonts w:ascii="Bookman Old Style" w:eastAsia="Bookman Old Style" w:hAnsi="Bookman Old Style" w:cs="Bookman Old Style"/>
          <w:color w:val="231F20"/>
          <w:sz w:val="18"/>
          <w:szCs w:val="18"/>
        </w:rPr>
        <w:softHyphen/>
        <w:t xml:space="preserve">роги), совместные предприятия, ассоциации и фонды, </w:t>
      </w:r>
      <w:r w:rsidRPr="004E0FC4">
        <w:rPr>
          <w:rFonts w:ascii="Bookman Old Style" w:eastAsia="Bookman Old Style" w:hAnsi="Bookman Old Style" w:cs="Bookman Old Style"/>
          <w:color w:val="231F20"/>
          <w:sz w:val="18"/>
          <w:szCs w:val="18"/>
          <w:highlight w:val="red"/>
        </w:rPr>
        <w:t>выгодные как для государства, так и для частного бизнеса,</w:t>
      </w:r>
      <w:r w:rsidRPr="004E0FC4">
        <w:rPr>
          <w:rFonts w:ascii="Bookman Old Style" w:eastAsia="Bookman Old Style" w:hAnsi="Bookman Old Style" w:cs="Bookman Old Style"/>
          <w:color w:val="231F20"/>
          <w:sz w:val="18"/>
          <w:szCs w:val="18"/>
        </w:rPr>
        <w:t xml:space="preserve"> в которых могут участвовать и обычные граждане (например, в качестве доброволь</w:t>
      </w:r>
      <w:r w:rsidRPr="004E0FC4">
        <w:rPr>
          <w:rFonts w:ascii="Bookman Old Style" w:eastAsia="Bookman Old Style" w:hAnsi="Bookman Old Style" w:cs="Bookman Old Style"/>
          <w:color w:val="231F20"/>
          <w:sz w:val="18"/>
          <w:szCs w:val="18"/>
        </w:rPr>
        <w:softHyphen/>
        <w:t>ных помощников)</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w:t>
      </w:r>
    </w:p>
    <w:p w14:paraId="2FE26F6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w:t>
      </w:r>
      <w:r w:rsidRPr="004E0FC4">
        <w:rPr>
          <w:rFonts w:ascii="Bookman Old Style" w:eastAsia="Bookman Old Style" w:hAnsi="Bookman Old Style" w:cs="Bookman Old Style"/>
          <w:b/>
          <w:color w:val="231F20"/>
          <w:sz w:val="18"/>
          <w:szCs w:val="18"/>
        </w:rPr>
        <w:t>Дании</w:t>
      </w:r>
      <w:r w:rsidRPr="004E0FC4">
        <w:rPr>
          <w:rFonts w:ascii="Bookman Old Style" w:eastAsia="Bookman Old Style" w:hAnsi="Bookman Old Style" w:cs="Bookman Old Style"/>
          <w:color w:val="231F20"/>
          <w:sz w:val="18"/>
          <w:szCs w:val="18"/>
        </w:rPr>
        <w:t xml:space="preserve"> финансирование проектов по строительству социально</w:t>
      </w:r>
      <w:r w:rsidRPr="004E0FC4">
        <w:rPr>
          <w:rFonts w:ascii="Bookman Old Style" w:eastAsia="Bookman Old Style" w:hAnsi="Bookman Old Style" w:cs="Bookman Old Style"/>
          <w:color w:val="231F20"/>
          <w:sz w:val="18"/>
          <w:szCs w:val="18"/>
        </w:rPr>
        <w:softHyphen/>
        <w:t xml:space="preserve">го </w:t>
      </w:r>
      <w:r w:rsidRPr="004E0FC4">
        <w:rPr>
          <w:rFonts w:ascii="Bookman Old Style" w:eastAsia="Bookman Old Style" w:hAnsi="Bookman Old Style" w:cs="Bookman Old Style"/>
          <w:color w:val="231F20"/>
          <w:sz w:val="18"/>
          <w:szCs w:val="18"/>
        </w:rPr>
        <w:lastRenderedPageBreak/>
        <w:t>жилья осуществляется на принципах ГЧП: местные власти предо</w:t>
      </w:r>
      <w:r w:rsidRPr="004E0FC4">
        <w:rPr>
          <w:rFonts w:ascii="Bookman Old Style" w:eastAsia="Bookman Old Style" w:hAnsi="Bookman Old Style" w:cs="Bookman Old Style"/>
          <w:color w:val="231F20"/>
          <w:sz w:val="18"/>
          <w:szCs w:val="18"/>
        </w:rPr>
        <w:softHyphen/>
        <w:t>ставляют застройщику государственный беспроцентный заем, кото</w:t>
      </w:r>
      <w:r w:rsidRPr="004E0FC4">
        <w:rPr>
          <w:rFonts w:ascii="Bookman Old Style" w:eastAsia="Bookman Old Style" w:hAnsi="Bookman Old Style" w:cs="Bookman Old Style"/>
          <w:color w:val="231F20"/>
          <w:sz w:val="18"/>
          <w:szCs w:val="18"/>
        </w:rPr>
        <w:softHyphen/>
        <w:t>рый возвращается им в течение 50 лет.</w:t>
      </w:r>
    </w:p>
    <w:p w14:paraId="1CD8EFA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Во </w:t>
      </w:r>
      <w:r w:rsidRPr="004E0FC4">
        <w:rPr>
          <w:rFonts w:ascii="Bookman Old Style" w:eastAsia="Bookman Old Style" w:hAnsi="Bookman Old Style" w:cs="Bookman Old Style"/>
          <w:b/>
          <w:color w:val="231F20"/>
          <w:sz w:val="18"/>
          <w:szCs w:val="18"/>
        </w:rPr>
        <w:t>Франции</w:t>
      </w:r>
      <w:r w:rsidRPr="004E0FC4">
        <w:rPr>
          <w:rFonts w:ascii="Bookman Old Style" w:eastAsia="Bookman Old Style" w:hAnsi="Bookman Old Style" w:cs="Bookman Old Style"/>
          <w:color w:val="231F20"/>
          <w:sz w:val="18"/>
          <w:szCs w:val="18"/>
        </w:rPr>
        <w:t xml:space="preserve"> государственно-частное партнерство реализуется во многих секторах и отраслях экономики, в том числе в социаль</w:t>
      </w:r>
      <w:r w:rsidRPr="004E0FC4">
        <w:rPr>
          <w:rFonts w:ascii="Bookman Old Style" w:eastAsia="Bookman Old Style" w:hAnsi="Bookman Old Style" w:cs="Bookman Old Style"/>
          <w:color w:val="231F20"/>
          <w:sz w:val="18"/>
          <w:szCs w:val="18"/>
        </w:rPr>
        <w:softHyphen/>
        <w:t>ных: образование, здравоохранение, культура.</w:t>
      </w:r>
    </w:p>
    <w:p w14:paraId="496EB1B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Основным нормативным правовым актом, регулирующим концессии во Франции, является вступивший в силу в 1993 г. за</w:t>
      </w:r>
      <w:r w:rsidRPr="004E0FC4">
        <w:rPr>
          <w:rFonts w:ascii="Bookman Old Style" w:eastAsia="Bookman Old Style" w:hAnsi="Bookman Old Style" w:cs="Bookman Old Style"/>
          <w:color w:val="231F20"/>
          <w:sz w:val="18"/>
          <w:szCs w:val="18"/>
        </w:rPr>
        <w:softHyphen/>
        <w:t>кон Сапена. Документ предусматривает большое количество мер по борьбе с коррупцией, а также обязательное участие в рассмотре</w:t>
      </w:r>
      <w:r w:rsidRPr="004E0FC4">
        <w:rPr>
          <w:rFonts w:ascii="Bookman Old Style" w:eastAsia="Bookman Old Style" w:hAnsi="Bookman Old Style" w:cs="Bookman Old Style"/>
          <w:color w:val="231F20"/>
          <w:sz w:val="18"/>
          <w:szCs w:val="18"/>
        </w:rPr>
        <w:softHyphen/>
        <w:t>нии и утверждении концессий представителей гражданского обще</w:t>
      </w:r>
      <w:r w:rsidRPr="004E0FC4">
        <w:rPr>
          <w:rFonts w:ascii="Bookman Old Style" w:eastAsia="Bookman Old Style" w:hAnsi="Bookman Old Style" w:cs="Bookman Old Style"/>
          <w:color w:val="231F20"/>
          <w:sz w:val="18"/>
          <w:szCs w:val="18"/>
        </w:rPr>
        <w:softHyphen/>
        <w:t>ства, а именно представителей оппозиции и Генеральной дирек</w:t>
      </w:r>
      <w:r w:rsidRPr="004E0FC4">
        <w:rPr>
          <w:rFonts w:ascii="Bookman Old Style" w:eastAsia="Bookman Old Style" w:hAnsi="Bookman Old Style" w:cs="Bookman Old Style"/>
          <w:color w:val="231F20"/>
          <w:sz w:val="18"/>
          <w:szCs w:val="18"/>
        </w:rPr>
        <w:softHyphen/>
        <w:t>ции по вопросам конкуренции и потребления. Серьезное влияние на французское законодательство о государственно-частном пар</w:t>
      </w:r>
      <w:r w:rsidRPr="004E0FC4">
        <w:rPr>
          <w:rFonts w:ascii="Bookman Old Style" w:eastAsia="Bookman Old Style" w:hAnsi="Bookman Old Style" w:cs="Bookman Old Style"/>
          <w:color w:val="231F20"/>
          <w:sz w:val="18"/>
          <w:szCs w:val="18"/>
        </w:rPr>
        <w:softHyphen/>
        <w:t xml:space="preserve">тнерстве оказало введение в 2004 г. новой процедуры реализации крупных инфраструктурных проектов, так называемой концепции </w:t>
      </w:r>
      <w:r w:rsidRPr="004E0FC4">
        <w:rPr>
          <w:rFonts w:ascii="Bookman Old Style" w:eastAsia="Bookman Old Style" w:hAnsi="Bookman Old Style" w:cs="Bookman Old Style"/>
          <w:color w:val="231F20"/>
          <w:sz w:val="18"/>
          <w:szCs w:val="18"/>
          <w:vertAlign w:val="superscript"/>
        </w:rPr>
        <w:footnoteReference w:id="104"/>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05"/>
      </w:r>
    </w:p>
    <w:p w14:paraId="36A45701"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ЕС о «конкурсном диалоге», которая позволяет участникам конкур</w:t>
      </w:r>
      <w:r w:rsidRPr="004E0FC4">
        <w:rPr>
          <w:rFonts w:ascii="Bookman Old Style" w:eastAsia="Bookman Old Style" w:hAnsi="Bookman Old Style" w:cs="Bookman Old Style"/>
          <w:color w:val="231F20"/>
          <w:sz w:val="18"/>
          <w:szCs w:val="18"/>
        </w:rPr>
        <w:softHyphen/>
        <w:t>са участвовать в выработке оптимального решения, отвечающего требованиям всех заинтересованных сторон — и частного, и пу</w:t>
      </w:r>
      <w:r w:rsidRPr="004E0FC4">
        <w:rPr>
          <w:rFonts w:ascii="Bookman Old Style" w:eastAsia="Bookman Old Style" w:hAnsi="Bookman Old Style" w:cs="Bookman Old Style"/>
          <w:color w:val="231F20"/>
          <w:sz w:val="18"/>
          <w:szCs w:val="18"/>
        </w:rPr>
        <w:softHyphen/>
        <w:t>бличного партнеров. Далее правовая основа государственно-частно</w:t>
      </w:r>
      <w:r w:rsidRPr="004E0FC4">
        <w:rPr>
          <w:rFonts w:ascii="Bookman Old Style" w:eastAsia="Bookman Old Style" w:hAnsi="Bookman Old Style" w:cs="Bookman Old Style"/>
          <w:color w:val="231F20"/>
          <w:sz w:val="18"/>
          <w:szCs w:val="18"/>
        </w:rPr>
        <w:softHyphen/>
        <w:t>го партнерства во Франции была изменена на основе европейских директив 2014 г. по государственным закупкам и концессионным соглашениям. В соответствии с директивами были утверждены: распоряжение от 23.07.2015 № 2015-899, регламентирующее осу</w:t>
      </w:r>
      <w:r w:rsidRPr="004E0FC4">
        <w:rPr>
          <w:rFonts w:ascii="Bookman Old Style" w:eastAsia="Bookman Old Style" w:hAnsi="Bookman Old Style" w:cs="Bookman Old Style"/>
          <w:color w:val="231F20"/>
          <w:sz w:val="18"/>
          <w:szCs w:val="18"/>
        </w:rPr>
        <w:softHyphen/>
        <w:t>ществление государственных закупок и соглашений о партнерстве во Франции, и распоряжение от 29.01.2016 № 2016-65, регулирую</w:t>
      </w:r>
      <w:r w:rsidRPr="004E0FC4">
        <w:rPr>
          <w:rFonts w:ascii="Bookman Old Style" w:eastAsia="Bookman Old Style" w:hAnsi="Bookman Old Style" w:cs="Bookman Old Style"/>
          <w:color w:val="231F20"/>
          <w:sz w:val="18"/>
          <w:szCs w:val="18"/>
        </w:rPr>
        <w:softHyphen/>
        <w:t>щее реализацию концессионных соглашений.</w:t>
      </w:r>
    </w:p>
    <w:p w14:paraId="59AA8A9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Концессионное законодательство </w:t>
      </w:r>
      <w:r w:rsidRPr="004E0FC4">
        <w:rPr>
          <w:rFonts w:ascii="Bookman Old Style" w:eastAsia="Bookman Old Style" w:hAnsi="Bookman Old Style" w:cs="Bookman Old Style"/>
          <w:b/>
          <w:color w:val="231F20"/>
          <w:sz w:val="18"/>
          <w:szCs w:val="18"/>
        </w:rPr>
        <w:t>Франции</w:t>
      </w:r>
      <w:r w:rsidRPr="004E0FC4">
        <w:rPr>
          <w:rFonts w:ascii="Bookman Old Style" w:eastAsia="Bookman Old Style" w:hAnsi="Bookman Old Style" w:cs="Bookman Old Style"/>
          <w:color w:val="231F20"/>
          <w:sz w:val="18"/>
          <w:szCs w:val="18"/>
        </w:rPr>
        <w:t xml:space="preserve"> является одним из самых разработанных в мире и состоит из сложной системы правовых норм, содержащихся в самых разнообразных нормативных актах — от за</w:t>
      </w:r>
      <w:r w:rsidRPr="004E0FC4">
        <w:rPr>
          <w:rFonts w:ascii="Bookman Old Style" w:eastAsia="Bookman Old Style" w:hAnsi="Bookman Old Style" w:cs="Bookman Old Style"/>
          <w:color w:val="231F20"/>
          <w:sz w:val="18"/>
          <w:szCs w:val="18"/>
        </w:rPr>
        <w:softHyphen/>
        <w:t>конов о реформе местного самоуправления до инструкций в области водоочистки. Кроме того, в регулировании концессионных отношений существенное значение имеет соответствующая судебная практика.</w:t>
      </w:r>
    </w:p>
    <w:p w14:paraId="7E92C84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Французское законодательство содержит огромное количество разнообразных требований к концессионеру, касающихся повыше</w:t>
      </w:r>
      <w:r w:rsidRPr="004E0FC4">
        <w:rPr>
          <w:rFonts w:ascii="Bookman Old Style" w:eastAsia="Bookman Old Style" w:hAnsi="Bookman Old Style" w:cs="Bookman Old Style"/>
          <w:color w:val="231F20"/>
          <w:sz w:val="18"/>
          <w:szCs w:val="18"/>
        </w:rPr>
        <w:softHyphen/>
        <w:t>ния образовательного уровня персонала, страхования, проведения научно-изыскательных работ и т. д. При этом неисполнение данных требований, а также разнообразных предписаний различных адми</w:t>
      </w:r>
      <w:r w:rsidRPr="004E0FC4">
        <w:rPr>
          <w:rFonts w:ascii="Bookman Old Style" w:eastAsia="Bookman Old Style" w:hAnsi="Bookman Old Style" w:cs="Bookman Old Style"/>
          <w:color w:val="231F20"/>
          <w:sz w:val="18"/>
          <w:szCs w:val="18"/>
        </w:rPr>
        <w:softHyphen/>
        <w:t>нистративных органов может повлечь аннулирование концессии.</w:t>
      </w:r>
    </w:p>
    <w:p w14:paraId="6019F8F9"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Выделяются два типа контрактов ГЧП, которые в основном ис</w:t>
      </w:r>
      <w:r w:rsidRPr="004E0FC4">
        <w:rPr>
          <w:rFonts w:ascii="Bookman Old Style" w:eastAsia="Bookman Old Style" w:hAnsi="Bookman Old Style" w:cs="Bookman Old Style"/>
          <w:color w:val="231F20"/>
          <w:sz w:val="18"/>
          <w:szCs w:val="18"/>
        </w:rPr>
        <w:softHyphen/>
        <w:t>пользуются во Франции:</w:t>
      </w:r>
    </w:p>
    <w:p w14:paraId="5F7156AD" w14:textId="77777777" w:rsidR="00350396" w:rsidRPr="004E0FC4" w:rsidRDefault="00350396" w:rsidP="004E0FC4">
      <w:pPr>
        <w:widowControl w:val="0"/>
        <w:numPr>
          <w:ilvl w:val="0"/>
          <w:numId w:val="65"/>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о концессиях, которые служат для реализации крупных инфраструктурных проектов, таких как строительство ка</w:t>
      </w:r>
      <w:r w:rsidRPr="004E0FC4">
        <w:rPr>
          <w:rFonts w:ascii="Bookman Old Style" w:eastAsia="Bookman Old Style" w:hAnsi="Bookman Old Style" w:cs="Bookman Old Style"/>
          <w:color w:val="231F20"/>
          <w:sz w:val="18"/>
          <w:szCs w:val="18"/>
        </w:rPr>
        <w:softHyphen/>
        <w:t>налов, автомагистралей;</w:t>
      </w:r>
    </w:p>
    <w:p w14:paraId="1A170C1B" w14:textId="77777777" w:rsidR="00350396" w:rsidRPr="004E0FC4" w:rsidRDefault="00350396" w:rsidP="004E0FC4">
      <w:pPr>
        <w:widowControl w:val="0"/>
        <w:numPr>
          <w:ilvl w:val="0"/>
          <w:numId w:val="65"/>
        </w:numPr>
        <w:tabs>
          <w:tab w:val="left" w:pos="62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договоры о партнерстве, которые можно сравнить с контрак</w:t>
      </w:r>
      <w:r w:rsidRPr="004E0FC4">
        <w:rPr>
          <w:rFonts w:ascii="Bookman Old Style" w:eastAsia="Bookman Old Style" w:hAnsi="Bookman Old Style" w:cs="Bookman Old Style"/>
          <w:color w:val="231F20"/>
          <w:sz w:val="18"/>
          <w:szCs w:val="18"/>
        </w:rPr>
        <w:softHyphen/>
        <w:t>тами на финансирование частных инициатив.</w:t>
      </w:r>
    </w:p>
    <w:p w14:paraId="013838C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Концессионные соглашения и договоры о партнерстве являются административными договорами по французскому законодатель</w:t>
      </w:r>
      <w:r w:rsidRPr="004E0FC4">
        <w:rPr>
          <w:rFonts w:ascii="Bookman Old Style" w:eastAsia="Bookman Old Style" w:hAnsi="Bookman Old Style" w:cs="Bookman Old Style"/>
          <w:color w:val="231F20"/>
          <w:sz w:val="18"/>
          <w:szCs w:val="18"/>
        </w:rPr>
        <w:softHyphen/>
        <w:t>ству. Это различие важно, поскольку права и обязанности сторон в административных контрактах отличаются от частных контрак</w:t>
      </w:r>
      <w:r w:rsidRPr="004E0FC4">
        <w:rPr>
          <w:rFonts w:ascii="Bookman Old Style" w:eastAsia="Bookman Old Style" w:hAnsi="Bookman Old Style" w:cs="Bookman Old Style"/>
          <w:color w:val="231F20"/>
          <w:sz w:val="18"/>
          <w:szCs w:val="18"/>
        </w:rPr>
        <w:softHyphen/>
        <w:t xml:space="preserve">тов. </w:t>
      </w:r>
      <w:r w:rsidRPr="004E0FC4">
        <w:rPr>
          <w:rFonts w:ascii="Bookman Old Style" w:eastAsia="Bookman Old Style" w:hAnsi="Bookman Old Style" w:cs="Bookman Old Style"/>
          <w:color w:val="231F20"/>
          <w:sz w:val="18"/>
          <w:szCs w:val="18"/>
        </w:rPr>
        <w:lastRenderedPageBreak/>
        <w:t>Стороны де-факто неравноправны, поскольку публичный пар</w:t>
      </w:r>
      <w:r w:rsidRPr="004E0FC4">
        <w:rPr>
          <w:rFonts w:ascii="Bookman Old Style" w:eastAsia="Bookman Old Style" w:hAnsi="Bookman Old Style" w:cs="Bookman Old Style"/>
          <w:color w:val="231F20"/>
          <w:sz w:val="18"/>
          <w:szCs w:val="18"/>
        </w:rPr>
        <w:softHyphen/>
        <w:t>тнер получает выгоду от своих полномочий.</w:t>
      </w:r>
    </w:p>
    <w:p w14:paraId="64E81E3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Важным действующим лицом в секторе ГЧП во Франции являет</w:t>
      </w:r>
      <w:r w:rsidRPr="004E0FC4">
        <w:rPr>
          <w:rFonts w:ascii="Bookman Old Style" w:eastAsia="Bookman Old Style" w:hAnsi="Bookman Old Style" w:cs="Bookman Old Style"/>
          <w:color w:val="231F20"/>
          <w:sz w:val="18"/>
          <w:szCs w:val="18"/>
        </w:rPr>
        <w:softHyphen/>
        <w:t>ся Служба поддержки ГЧП, которая является специализированным подразделением Министерства экономики и несет основную ответ</w:t>
      </w:r>
      <w:r w:rsidRPr="004E0FC4">
        <w:rPr>
          <w:rFonts w:ascii="Bookman Old Style" w:eastAsia="Bookman Old Style" w:hAnsi="Bookman Old Style" w:cs="Bookman Old Style"/>
          <w:color w:val="231F20"/>
          <w:sz w:val="18"/>
          <w:szCs w:val="18"/>
        </w:rPr>
        <w:softHyphen/>
        <w:t>ственность за подтверждение предварительных оценок, подготов</w:t>
      </w:r>
      <w:r w:rsidRPr="004E0FC4">
        <w:rPr>
          <w:rFonts w:ascii="Bookman Old Style" w:eastAsia="Bookman Old Style" w:hAnsi="Bookman Old Style" w:cs="Bookman Old Style"/>
          <w:color w:val="231F20"/>
          <w:sz w:val="18"/>
          <w:szCs w:val="18"/>
        </w:rPr>
        <w:softHyphen/>
        <w:t>ленных публичным партнером до начала тендера.</w:t>
      </w:r>
    </w:p>
    <w:p w14:paraId="37DCD71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red"/>
        </w:rPr>
        <w:t>Для российского законодательства будет полезен опыт Франции в части закрепления на законодательном уровне необходимости указания в соглашении о государственно-частном партнерстве рас</w:t>
      </w:r>
      <w:r w:rsidRPr="004E0FC4">
        <w:rPr>
          <w:rFonts w:ascii="Bookman Old Style" w:eastAsia="Bookman Old Style" w:hAnsi="Bookman Old Style" w:cs="Bookman Old Style"/>
          <w:color w:val="231F20"/>
          <w:sz w:val="18"/>
          <w:szCs w:val="18"/>
          <w:highlight w:val="red"/>
        </w:rPr>
        <w:softHyphen/>
        <w:t>пределения рисков между публичным и частным партнерами.</w:t>
      </w:r>
      <w:r w:rsidRPr="004E0FC4">
        <w:rPr>
          <w:rFonts w:ascii="Bookman Old Style" w:eastAsia="Bookman Old Style" w:hAnsi="Bookman Old Style" w:cs="Bookman Old Style"/>
          <w:color w:val="231F20"/>
          <w:sz w:val="18"/>
          <w:szCs w:val="18"/>
        </w:rPr>
        <w:t xml:space="preserve"> Кон</w:t>
      </w:r>
      <w:r w:rsidRPr="004E0FC4">
        <w:rPr>
          <w:rFonts w:ascii="Bookman Old Style" w:eastAsia="Bookman Old Style" w:hAnsi="Bookman Old Style" w:cs="Bookman Old Style"/>
          <w:color w:val="231F20"/>
          <w:sz w:val="18"/>
          <w:szCs w:val="18"/>
        </w:rPr>
        <w:softHyphen/>
        <w:t>тракты ГЧП во Франции предполагают четкое распределение ри</w:t>
      </w:r>
      <w:r w:rsidRPr="004E0FC4">
        <w:rPr>
          <w:rFonts w:ascii="Bookman Old Style" w:eastAsia="Bookman Old Style" w:hAnsi="Bookman Old Style" w:cs="Bookman Old Style"/>
          <w:color w:val="231F20"/>
          <w:sz w:val="18"/>
          <w:szCs w:val="18"/>
        </w:rPr>
        <w:softHyphen/>
        <w:t>сков между государственными и частными организациями. Такое распределение обычно является объектом «матрицы рисков».</w:t>
      </w:r>
    </w:p>
    <w:p w14:paraId="2E354762"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 xml:space="preserve">Опыт Франции полезен для России в связи с её близостью к России с точки зрения правовой системы, а также традиций ведения бизнеса и культурных особенностей. Также  французский опыт повлиял на модели ГЧП в Канаде. Опыт </w:t>
      </w:r>
      <w:r w:rsidRPr="004E0FC4">
        <w:rPr>
          <w:rFonts w:ascii="Bookman Old Style" w:eastAsia="Bookman Old Style" w:hAnsi="Bookman Old Style" w:cs="Bookman Old Style"/>
          <w:b/>
          <w:color w:val="231F20"/>
          <w:sz w:val="18"/>
          <w:szCs w:val="18"/>
          <w:highlight w:val="green"/>
        </w:rPr>
        <w:t>Канады</w:t>
      </w:r>
      <w:r w:rsidRPr="004E0FC4">
        <w:rPr>
          <w:rFonts w:ascii="Bookman Old Style" w:eastAsia="Bookman Old Style" w:hAnsi="Bookman Old Style" w:cs="Bookman Old Style"/>
          <w:color w:val="231F20"/>
          <w:sz w:val="18"/>
          <w:szCs w:val="18"/>
          <w:highlight w:val="green"/>
        </w:rPr>
        <w:t xml:space="preserve"> интересен в силу сходств с Россией по экономическому потенциалу, административно-территориальному делению, гетерогенности населения и др.; кроме этого, Канада считается одной из наиболее эффективных стран с точки зрения развития инфраструктурного комплекса, в том числе благодаря успешному внедрению модели ГЧП</w:t>
      </w:r>
      <w:r w:rsidRPr="004E0FC4">
        <w:rPr>
          <w:rFonts w:ascii="Bookman Old Style" w:eastAsia="Bookman Old Style" w:hAnsi="Bookman Old Style" w:cs="Bookman Old Style"/>
          <w:color w:val="231F20"/>
          <w:sz w:val="18"/>
          <w:szCs w:val="18"/>
        </w:rPr>
        <w:t>.</w:t>
      </w:r>
    </w:p>
    <w:p w14:paraId="4D0037E4"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Пик использования схемы ГЧП в Европейских странах пришёлся на 2010-е гг. По мере реализации крупных проектов, с учётом сокращения инфраструктурного разрыва, наметилось плавное </w:t>
      </w:r>
      <w:r w:rsidRPr="004E0FC4">
        <w:rPr>
          <w:rFonts w:ascii="Bookman Old Style" w:eastAsia="Bookman Old Style" w:hAnsi="Bookman Old Style" w:cs="Bookman Old Style"/>
          <w:i/>
          <w:color w:val="231F20"/>
          <w:sz w:val="18"/>
          <w:szCs w:val="18"/>
          <w:highlight w:val="green"/>
        </w:rPr>
        <w:t>снижение активности</w:t>
      </w:r>
      <w:r w:rsidRPr="004E0FC4">
        <w:rPr>
          <w:rFonts w:ascii="Bookman Old Style" w:eastAsia="Bookman Old Style" w:hAnsi="Bookman Old Style" w:cs="Bookman Old Style"/>
          <w:color w:val="231F20"/>
          <w:sz w:val="18"/>
          <w:szCs w:val="18"/>
          <w:highlight w:val="green"/>
        </w:rPr>
        <w:t xml:space="preserve"> в данной сфере. Другим фактором в этом вопросе служит бюджетная обеспеченность как один из ключевых драйверов развития ГЧП – чем она выше, тем меньше стимулов у правительства привлекать частный капитал.</w:t>
      </w:r>
    </w:p>
    <w:p w14:paraId="1C6D1600"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w:t>
      </w:r>
      <w:r w:rsidRPr="004E0FC4">
        <w:rPr>
          <w:rFonts w:ascii="Bookman Old Style" w:eastAsia="Bookman Old Style" w:hAnsi="Bookman Old Style" w:cs="Bookman Old Style"/>
          <w:b/>
          <w:color w:val="231F20"/>
          <w:sz w:val="18"/>
          <w:szCs w:val="18"/>
        </w:rPr>
        <w:t>Японии</w:t>
      </w:r>
      <w:r w:rsidRPr="004E0FC4">
        <w:rPr>
          <w:rFonts w:ascii="Bookman Old Style" w:eastAsia="Bookman Old Style" w:hAnsi="Bookman Old Style" w:cs="Bookman Old Style"/>
          <w:color w:val="231F20"/>
          <w:sz w:val="18"/>
          <w:szCs w:val="18"/>
        </w:rPr>
        <w:t xml:space="preserve"> закон о продвижении частных финансовых инициа</w:t>
      </w:r>
      <w:r w:rsidRPr="004E0FC4">
        <w:rPr>
          <w:rFonts w:ascii="Bookman Old Style" w:eastAsia="Bookman Old Style" w:hAnsi="Bookman Old Style" w:cs="Bookman Old Style"/>
          <w:color w:val="231F20"/>
          <w:sz w:val="18"/>
          <w:szCs w:val="18"/>
        </w:rPr>
        <w:softHyphen/>
        <w:t>тив, принятый в 1999 г., регулирует выполнение большинства про</w:t>
      </w:r>
      <w:r w:rsidRPr="004E0FC4">
        <w:rPr>
          <w:rFonts w:ascii="Bookman Old Style" w:eastAsia="Bookman Old Style" w:hAnsi="Bookman Old Style" w:cs="Bookman Old Style"/>
          <w:color w:val="231F20"/>
          <w:sz w:val="18"/>
          <w:szCs w:val="18"/>
        </w:rPr>
        <w:softHyphen/>
        <w:t>ектов ГЧП. В 2011 г. закон был пересмотрен, чтобы разрешить ис</w:t>
      </w:r>
      <w:r w:rsidRPr="004E0FC4">
        <w:rPr>
          <w:rFonts w:ascii="Bookman Old Style" w:eastAsia="Bookman Old Style" w:hAnsi="Bookman Old Style" w:cs="Bookman Old Style"/>
          <w:color w:val="231F20"/>
          <w:sz w:val="18"/>
          <w:szCs w:val="18"/>
        </w:rPr>
        <w:softHyphen/>
        <w:t>пользование концессий и проектов, оплачиваемых пользователями, в которых орган власти предоставляет частному партнеру право управлять инфраструктурой и получать доход за счет взимания сбо</w:t>
      </w:r>
      <w:r w:rsidRPr="004E0FC4">
        <w:rPr>
          <w:rFonts w:ascii="Bookman Old Style" w:eastAsia="Bookman Old Style" w:hAnsi="Bookman Old Style" w:cs="Bookman Old Style"/>
          <w:color w:val="231F20"/>
          <w:sz w:val="18"/>
          <w:szCs w:val="18"/>
        </w:rPr>
        <w:softHyphen/>
        <w:t>ров с пользователей. Впоследствии правительство издало акт, в ко</w:t>
      </w:r>
      <w:r w:rsidRPr="004E0FC4">
        <w:rPr>
          <w:rFonts w:ascii="Bookman Old Style" w:eastAsia="Bookman Old Style" w:hAnsi="Bookman Old Style" w:cs="Bookman Old Style"/>
          <w:color w:val="231F20"/>
          <w:sz w:val="18"/>
          <w:szCs w:val="18"/>
        </w:rPr>
        <w:softHyphen/>
        <w:t>тором содержатся подробное руководство по практическим вопро</w:t>
      </w:r>
      <w:r w:rsidRPr="004E0FC4">
        <w:rPr>
          <w:rFonts w:ascii="Bookman Old Style" w:eastAsia="Bookman Old Style" w:hAnsi="Bookman Old Style" w:cs="Bookman Old Style"/>
          <w:color w:val="231F20"/>
          <w:sz w:val="18"/>
          <w:szCs w:val="18"/>
        </w:rPr>
        <w:softHyphen/>
        <w:t>сам и толкование рассматриваемого закона.</w:t>
      </w:r>
    </w:p>
    <w:p w14:paraId="1FF1AE4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мае 2016 г. Совет по поощрению инициатив в области частного финансирования </w:t>
      </w:r>
      <w:r w:rsidRPr="004E0FC4">
        <w:rPr>
          <w:rFonts w:ascii="Bookman Old Style" w:eastAsia="Bookman Old Style" w:hAnsi="Bookman Old Style" w:cs="Bookman Old Style"/>
          <w:color w:val="231F20"/>
          <w:sz w:val="18"/>
          <w:szCs w:val="18"/>
          <w:highlight w:val="green"/>
        </w:rPr>
        <w:t>Японии</w:t>
      </w:r>
      <w:r w:rsidRPr="004E0FC4">
        <w:rPr>
          <w:rFonts w:ascii="Bookman Old Style" w:eastAsia="Bookman Old Style" w:hAnsi="Bookman Old Style" w:cs="Bookman Old Style"/>
          <w:color w:val="231F20"/>
          <w:sz w:val="18"/>
          <w:szCs w:val="18"/>
        </w:rPr>
        <w:t xml:space="preserve"> пересмотрел план действий по продвижению ГЧП, в котором делается упор на содействие концессиям в отношении уч</w:t>
      </w:r>
      <w:r w:rsidRPr="004E0FC4">
        <w:rPr>
          <w:rFonts w:ascii="Bookman Old Style" w:eastAsia="Bookman Old Style" w:hAnsi="Bookman Old Style" w:cs="Bookman Old Style"/>
          <w:color w:val="231F20"/>
          <w:sz w:val="18"/>
          <w:szCs w:val="18"/>
        </w:rPr>
        <w:softHyphen/>
        <w:t>реждений культуры и образования, формирование и развитие мест</w:t>
      </w:r>
      <w:r w:rsidRPr="004E0FC4">
        <w:rPr>
          <w:rFonts w:ascii="Bookman Old Style" w:eastAsia="Bookman Old Style" w:hAnsi="Bookman Old Style" w:cs="Bookman Old Style"/>
          <w:color w:val="231F20"/>
          <w:sz w:val="18"/>
          <w:szCs w:val="18"/>
        </w:rPr>
        <w:softHyphen/>
        <w:t>ных институтов поддержки ГЧП.</w:t>
      </w:r>
    </w:p>
    <w:p w14:paraId="15B6CC8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Наряду с широким применением механизма ГЧП в развитых странах развивающиеся страны также в последнее десятилетие активно используют в национальных экономиках принципы ГЧП при реализации крупномасштабных инфраструктурных проектов. Общемировая тенденция к более тесному сотрудничеству частного бизнеса и государства затронула и китайскую экономику, являющу</w:t>
      </w:r>
      <w:r w:rsidRPr="004E0FC4">
        <w:rPr>
          <w:rFonts w:ascii="Bookman Old Style" w:eastAsia="Bookman Old Style" w:hAnsi="Bookman Old Style" w:cs="Bookman Old Style"/>
          <w:color w:val="231F20"/>
          <w:sz w:val="18"/>
          <w:szCs w:val="18"/>
          <w:highlight w:val="red"/>
        </w:rPr>
        <w:softHyphen/>
        <w:t>юся крупнейшей среди развивающихся стран, в которой ГЧП имеют огромный экономический потенциал.</w:t>
      </w:r>
    </w:p>
    <w:p w14:paraId="20D22E5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Государственно-частное партнерство в </w:t>
      </w:r>
      <w:r w:rsidRPr="004E0FC4">
        <w:rPr>
          <w:rFonts w:ascii="Bookman Old Style" w:eastAsia="Bookman Old Style" w:hAnsi="Bookman Old Style" w:cs="Bookman Old Style"/>
          <w:b/>
          <w:color w:val="231F20"/>
          <w:sz w:val="18"/>
          <w:szCs w:val="18"/>
        </w:rPr>
        <w:t>КНР</w:t>
      </w:r>
      <w:r w:rsidRPr="004E0FC4">
        <w:rPr>
          <w:rFonts w:ascii="Bookman Old Style" w:eastAsia="Bookman Old Style" w:hAnsi="Bookman Old Style" w:cs="Bookman Old Style"/>
          <w:color w:val="231F20"/>
          <w:sz w:val="18"/>
          <w:szCs w:val="18"/>
        </w:rPr>
        <w:t xml:space="preserve"> является в настоящее время достаточно широко распространенной практикой </w:t>
      </w:r>
      <w:r w:rsidRPr="004E0FC4">
        <w:rPr>
          <w:rFonts w:ascii="Bookman Old Style" w:eastAsia="Bookman Old Style" w:hAnsi="Bookman Old Style" w:cs="Bookman Old Style"/>
          <w:color w:val="231F20"/>
          <w:sz w:val="18"/>
          <w:szCs w:val="18"/>
          <w:highlight w:val="green"/>
        </w:rPr>
        <w:t xml:space="preserve">(см. раздел </w:t>
      </w:r>
      <w:r w:rsidRPr="004E0FC4">
        <w:rPr>
          <w:rFonts w:ascii="Bookman Old Style" w:eastAsia="Bookman Old Style" w:hAnsi="Bookman Old Style" w:cs="Bookman Old Style"/>
          <w:color w:val="231F20"/>
          <w:sz w:val="18"/>
          <w:szCs w:val="18"/>
          <w:highlight w:val="green"/>
        </w:rPr>
        <w:lastRenderedPageBreak/>
        <w:t>4.10).</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но приме</w:t>
      </w:r>
      <w:r w:rsidRPr="004E0FC4">
        <w:rPr>
          <w:rFonts w:ascii="Bookman Old Style" w:eastAsia="Bookman Old Style" w:hAnsi="Bookman Old Style" w:cs="Bookman Old Style"/>
          <w:color w:val="231F20"/>
          <w:sz w:val="18"/>
          <w:szCs w:val="18"/>
          <w:highlight w:val="red"/>
        </w:rPr>
        <w:softHyphen/>
        <w:t>няемой преимущественно в сфере развития инфраструктуры (стро</w:t>
      </w:r>
      <w:r w:rsidRPr="004E0FC4">
        <w:rPr>
          <w:rFonts w:ascii="Bookman Old Style" w:eastAsia="Bookman Old Style" w:hAnsi="Bookman Old Style" w:cs="Bookman Old Style"/>
          <w:color w:val="231F20"/>
          <w:sz w:val="18"/>
          <w:szCs w:val="18"/>
          <w:highlight w:val="red"/>
        </w:rPr>
        <w:softHyphen/>
        <w:t>ительство дорог и скоростных магистралей, мостов, учебных заведе</w:t>
      </w:r>
      <w:r w:rsidRPr="004E0FC4">
        <w:rPr>
          <w:rFonts w:ascii="Bookman Old Style" w:eastAsia="Bookman Old Style" w:hAnsi="Bookman Old Style" w:cs="Bookman Old Style"/>
          <w:color w:val="231F20"/>
          <w:sz w:val="18"/>
          <w:szCs w:val="18"/>
          <w:highlight w:val="red"/>
        </w:rPr>
        <w:softHyphen/>
        <w:t>ний и т. д.). При этом механизмы ГЧП реализуются с использованием таких организационно-проектных форм, как контракты и концессии</w:t>
      </w:r>
      <w:r w:rsidRPr="004E0FC4">
        <w:rPr>
          <w:rFonts w:ascii="Bookman Old Style" w:eastAsia="Bookman Old Style" w:hAnsi="Bookman Old Style" w:cs="Bookman Old Style"/>
          <w:color w:val="231F20"/>
          <w:sz w:val="18"/>
          <w:szCs w:val="18"/>
        </w:rPr>
        <w:t>.</w:t>
      </w:r>
    </w:p>
    <w:p w14:paraId="3A498A4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В последние годы Малайзия, Сингапур, Бангладеш и Непал от</w:t>
      </w:r>
      <w:r w:rsidRPr="004E0FC4">
        <w:rPr>
          <w:rFonts w:ascii="Bookman Old Style" w:eastAsia="Bookman Old Style" w:hAnsi="Bookman Old Style" w:cs="Bookman Old Style"/>
          <w:color w:val="231F20"/>
          <w:sz w:val="18"/>
          <w:szCs w:val="18"/>
        </w:rPr>
        <w:softHyphen/>
        <w:t>крывают новые отрасли экономики для зарубежных частных инве</w:t>
      </w:r>
      <w:r w:rsidRPr="004E0FC4">
        <w:rPr>
          <w:rFonts w:ascii="Bookman Old Style" w:eastAsia="Bookman Old Style" w:hAnsi="Bookman Old Style" w:cs="Bookman Old Style"/>
          <w:color w:val="231F20"/>
          <w:sz w:val="18"/>
          <w:szCs w:val="18"/>
        </w:rPr>
        <w:softHyphen/>
        <w:t>сторов на принципах ГЧП. Страны Персидского залива переживают бум инвестиций в проекты ГЧП по строительству водоопреснитель</w:t>
      </w:r>
      <w:r w:rsidRPr="004E0FC4">
        <w:rPr>
          <w:rFonts w:ascii="Bookman Old Style" w:eastAsia="Bookman Old Style" w:hAnsi="Bookman Old Style" w:cs="Bookman Old Style"/>
          <w:color w:val="231F20"/>
          <w:sz w:val="18"/>
          <w:szCs w:val="18"/>
        </w:rPr>
        <w:softHyphen/>
        <w:t>ных заводов и солнечных электростанций. Страны Африканского континента, включая Нигерию, Ливан, Тунис и ЮАР, запускают государственные программы по привлечению частных инвестиций через механизмы ГЧП для строительства и реконструкции объектов социальной инфраструктуры</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rPr>
        <w:t>.</w:t>
      </w:r>
    </w:p>
    <w:p w14:paraId="324A1C6F"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Секторный анализ реализации проектов государственно-частно</w:t>
      </w:r>
      <w:r w:rsidRPr="004E0FC4">
        <w:rPr>
          <w:rFonts w:ascii="Bookman Old Style" w:eastAsia="Bookman Old Style" w:hAnsi="Bookman Old Style" w:cs="Bookman Old Style"/>
          <w:color w:val="231F20"/>
          <w:sz w:val="18"/>
          <w:szCs w:val="18"/>
          <w:highlight w:val="red"/>
        </w:rPr>
        <w:softHyphen/>
        <w:t xml:space="preserve">го партнерства в разных странах мира представлен в табл. 4.10. </w:t>
      </w:r>
      <w:r w:rsidRPr="004E0FC4">
        <w:rPr>
          <w:rFonts w:ascii="Bookman Old Style" w:eastAsia="Bookman Old Style" w:hAnsi="Bookman Old Style" w:cs="Bookman Old Style"/>
          <w:color w:val="231F20"/>
          <w:sz w:val="18"/>
          <w:szCs w:val="18"/>
          <w:highlight w:val="red"/>
          <w:vertAlign w:val="superscript"/>
        </w:rPr>
        <w:footnoteReference w:id="106"/>
      </w:r>
    </w:p>
    <w:p w14:paraId="60319DF9" w14:textId="77777777" w:rsidR="00350396" w:rsidRPr="004E0FC4" w:rsidRDefault="00350396" w:rsidP="004E0FC4">
      <w:pPr>
        <w:widowControl w:val="0"/>
        <w:spacing w:line="235" w:lineRule="exact"/>
        <w:ind w:left="20" w:firstLine="0"/>
        <w:rPr>
          <w:rFonts w:ascii="Bookman Old Style" w:hAnsi="Bookman Old Style"/>
          <w:sz w:val="18"/>
          <w:szCs w:val="18"/>
          <w:highlight w:val="red"/>
        </w:rPr>
      </w:pPr>
      <w:r w:rsidRPr="004E0FC4">
        <w:rPr>
          <w:rFonts w:ascii="Bookman Old Style" w:eastAsia="Arial Narrow" w:hAnsi="Bookman Old Style" w:cs="Arial Narrow"/>
          <w:b/>
          <w:bCs/>
          <w:color w:val="231F20"/>
          <w:sz w:val="18"/>
          <w:szCs w:val="18"/>
          <w:highlight w:val="red"/>
        </w:rPr>
        <w:t>Отрасли экономики зарубежных стран,</w:t>
      </w:r>
      <w:r w:rsidRPr="004E0FC4">
        <w:rPr>
          <w:rFonts w:ascii="Bookman Old Style" w:eastAsia="Arial Narrow" w:hAnsi="Bookman Old Style" w:cs="Arial Narrow"/>
          <w:b/>
          <w:bCs/>
          <w:color w:val="231F20"/>
          <w:sz w:val="18"/>
          <w:szCs w:val="18"/>
          <w:highlight w:val="red"/>
        </w:rPr>
        <w:br/>
        <w:t>в которых активно используются механизмы ГЧП</w:t>
      </w:r>
      <w:r w:rsidRPr="004E0FC4">
        <w:rPr>
          <w:rFonts w:ascii="Bookman Old Style" w:eastAsia="Arial Narrow" w:hAnsi="Bookman Old Style" w:cs="Arial Narrow"/>
          <w:b/>
          <w:bCs/>
          <w:color w:val="231F20"/>
          <w:sz w:val="18"/>
          <w:szCs w:val="18"/>
          <w:highlight w:val="red"/>
          <w:vertAlign w:val="superscript"/>
        </w:rPr>
        <w:t>1</w:t>
      </w:r>
    </w:p>
    <w:p w14:paraId="6A86368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r w:rsidRPr="004E0FC4">
        <w:rPr>
          <w:rFonts w:ascii="Bookman Old Style" w:eastAsia="Arial Narrow" w:hAnsi="Bookman Old Style" w:cs="Arial Narrow"/>
          <w:color w:val="231F20"/>
          <w:sz w:val="18"/>
          <w:szCs w:val="18"/>
          <w:highlight w:val="red"/>
        </w:rPr>
        <w:lastRenderedPageBreak/>
        <w:t>Таблица 4.10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36"/>
        <w:gridCol w:w="734"/>
        <w:gridCol w:w="514"/>
        <w:gridCol w:w="1133"/>
        <w:gridCol w:w="283"/>
        <w:gridCol w:w="509"/>
        <w:gridCol w:w="341"/>
        <w:gridCol w:w="283"/>
        <w:gridCol w:w="509"/>
        <w:gridCol w:w="749"/>
      </w:tblGrid>
      <w:tr w:rsidR="00350396" w:rsidRPr="004E0FC4" w14:paraId="6A9792C4" w14:textId="77777777" w:rsidTr="006D7F71">
        <w:trPr>
          <w:trHeight w:hRule="exact" w:val="1478"/>
          <w:jc w:val="center"/>
        </w:trPr>
        <w:tc>
          <w:tcPr>
            <w:tcW w:w="1536" w:type="dxa"/>
            <w:tcBorders>
              <w:top w:val="single" w:sz="4" w:space="0" w:color="auto"/>
              <w:left w:val="single" w:sz="4" w:space="0" w:color="auto"/>
            </w:tcBorders>
            <w:shd w:val="clear" w:color="auto" w:fill="FFFFFF"/>
            <w:textDirection w:val="btLr"/>
          </w:tcPr>
          <w:p w14:paraId="39E656B9"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Страна</w:t>
            </w:r>
          </w:p>
        </w:tc>
        <w:tc>
          <w:tcPr>
            <w:tcW w:w="734" w:type="dxa"/>
            <w:tcBorders>
              <w:top w:val="single" w:sz="4" w:space="0" w:color="auto"/>
              <w:left w:val="single" w:sz="4" w:space="0" w:color="auto"/>
            </w:tcBorders>
            <w:shd w:val="clear" w:color="auto" w:fill="FFFFFF"/>
            <w:textDirection w:val="btLr"/>
          </w:tcPr>
          <w:p w14:paraId="5499B8D8"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Транспортная</w:t>
            </w:r>
          </w:p>
          <w:p w14:paraId="285514CE"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инфраструк</w:t>
            </w:r>
            <w:r w:rsidRPr="004E0FC4">
              <w:rPr>
                <w:rFonts w:ascii="Bookman Old Style" w:eastAsia="Bookman Old Style" w:hAnsi="Bookman Old Style" w:cs="Bookman Old Style"/>
                <w:b/>
                <w:bCs/>
                <w:color w:val="231F20"/>
                <w:sz w:val="18"/>
                <w:szCs w:val="18"/>
                <w:highlight w:val="red"/>
              </w:rPr>
              <w:softHyphen/>
            </w:r>
          </w:p>
          <w:p w14:paraId="630BF09C"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тура</w:t>
            </w:r>
          </w:p>
        </w:tc>
        <w:tc>
          <w:tcPr>
            <w:tcW w:w="514" w:type="dxa"/>
            <w:tcBorders>
              <w:top w:val="single" w:sz="4" w:space="0" w:color="auto"/>
              <w:left w:val="single" w:sz="4" w:space="0" w:color="auto"/>
            </w:tcBorders>
            <w:shd w:val="clear" w:color="auto" w:fill="FFFFFF"/>
          </w:tcPr>
          <w:p w14:paraId="5C1A7F57" w14:textId="77777777" w:rsidR="00350396" w:rsidRPr="004E0FC4" w:rsidRDefault="00350396" w:rsidP="004E0FC4">
            <w:pPr>
              <w:framePr w:w="6590" w:wrap="notBeside" w:vAnchor="text" w:hAnchor="text" w:xAlign="center" w:y="1"/>
              <w:widowControl w:val="0"/>
              <w:spacing w:line="176" w:lineRule="exact"/>
              <w:ind w:right="30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1</w:t>
            </w:r>
          </w:p>
          <w:p w14:paraId="7F94114E" w14:textId="77777777" w:rsidR="00350396" w:rsidRPr="004E0FC4" w:rsidRDefault="00350396" w:rsidP="004E0FC4">
            <w:pPr>
              <w:framePr w:w="6590" w:wrap="notBeside" w:vAnchor="text" w:hAnchor="text" w:xAlign="center" w:y="1"/>
              <w:widowControl w:val="0"/>
              <w:spacing w:line="134" w:lineRule="exact"/>
              <w:ind w:right="3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Ф</w:t>
            </w:r>
          </w:p>
          <w:p w14:paraId="6E68E255" w14:textId="77777777" w:rsidR="00350396" w:rsidRPr="004E0FC4" w:rsidRDefault="00350396" w:rsidP="004E0FC4">
            <w:pPr>
              <w:framePr w:w="6590" w:wrap="notBeside" w:vAnchor="text" w:hAnchor="text" w:xAlign="center" w:y="1"/>
              <w:widowControl w:val="0"/>
              <w:spacing w:line="96" w:lineRule="exact"/>
              <w:ind w:right="30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w:t>
            </w:r>
          </w:p>
          <w:p w14:paraId="48BFC09A" w14:textId="77777777" w:rsidR="00350396" w:rsidRPr="004E0FC4" w:rsidRDefault="00350396" w:rsidP="004E0FC4">
            <w:pPr>
              <w:framePr w:w="6590" w:wrap="notBeside" w:vAnchor="text" w:hAnchor="text" w:xAlign="center" w:y="1"/>
              <w:widowControl w:val="0"/>
              <w:spacing w:line="96" w:lineRule="exact"/>
              <w:ind w:right="30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lang w:val="en-US" w:eastAsia="en-US" w:bidi="en-US"/>
              </w:rPr>
              <w:t>VO</w:t>
            </w:r>
          </w:p>
          <w:p w14:paraId="7F4CB92B" w14:textId="77777777" w:rsidR="00350396" w:rsidRPr="004E0FC4" w:rsidRDefault="00350396" w:rsidP="004E0FC4">
            <w:pPr>
              <w:framePr w:w="6590" w:wrap="notBeside" w:vAnchor="text" w:hAnchor="text" w:xAlign="center" w:y="1"/>
              <w:widowControl w:val="0"/>
              <w:spacing w:line="96" w:lineRule="exact"/>
              <w:ind w:right="30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се</w:t>
            </w:r>
          </w:p>
          <w:p w14:paraId="3D68B609" w14:textId="77777777" w:rsidR="00350396" w:rsidRPr="004E0FC4" w:rsidRDefault="00350396" w:rsidP="004E0FC4">
            <w:pPr>
              <w:framePr w:w="6590" w:wrap="notBeside" w:vAnchor="text" w:hAnchor="text" w:xAlign="center" w:y="1"/>
              <w:widowControl w:val="0"/>
              <w:spacing w:line="176" w:lineRule="exact"/>
              <w:ind w:right="30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X</w:t>
            </w:r>
          </w:p>
          <w:p w14:paraId="751C4438" w14:textId="77777777" w:rsidR="00350396" w:rsidRPr="004E0FC4" w:rsidRDefault="00350396" w:rsidP="004E0FC4">
            <w:pPr>
              <w:framePr w:w="6590" w:wrap="notBeside" w:vAnchor="text" w:hAnchor="text" w:xAlign="center" w:y="1"/>
              <w:widowControl w:val="0"/>
              <w:spacing w:line="168" w:lineRule="exact"/>
              <w:ind w:right="3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w:t>
            </w:r>
          </w:p>
          <w:p w14:paraId="58720716" w14:textId="77777777" w:rsidR="00350396" w:rsidRPr="004E0FC4" w:rsidRDefault="00350396" w:rsidP="004E0FC4">
            <w:pPr>
              <w:framePr w:w="6590" w:wrap="notBeside" w:vAnchor="text" w:hAnchor="text" w:xAlign="center" w:y="1"/>
              <w:widowControl w:val="0"/>
              <w:spacing w:line="176" w:lineRule="exact"/>
              <w:ind w:right="30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о</w:t>
            </w:r>
          </w:p>
          <w:p w14:paraId="2986C2D1" w14:textId="77777777" w:rsidR="00350396" w:rsidRPr="004E0FC4" w:rsidRDefault="00350396" w:rsidP="004E0FC4">
            <w:pPr>
              <w:framePr w:w="6590" w:wrap="notBeside" w:vAnchor="text" w:hAnchor="text" w:xAlign="center" w:y="1"/>
              <w:widowControl w:val="0"/>
              <w:spacing w:line="9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 xml:space="preserve">ч 2 о </w:t>
            </w:r>
            <w:r w:rsidRPr="004E0FC4">
              <w:rPr>
                <w:rFonts w:ascii="Bookman Old Style" w:eastAsia="Bookman Old Style" w:hAnsi="Bookman Old Style" w:cs="Bookman Old Style"/>
                <w:b/>
                <w:bCs/>
                <w:color w:val="231F20"/>
                <w:sz w:val="18"/>
                <w:szCs w:val="18"/>
                <w:highlight w:val="red"/>
                <w:lang w:val="en-US" w:eastAsia="en-US" w:bidi="en-US"/>
              </w:rPr>
              <w:t>S</w:t>
            </w:r>
            <w:r w:rsidRPr="004E0FC4">
              <w:rPr>
                <w:rFonts w:ascii="Bookman Old Style" w:eastAsia="Bookman Old Style" w:hAnsi="Bookman Old Style" w:cs="Bookman Old Style"/>
                <w:b/>
                <w:bCs/>
                <w:color w:val="231F20"/>
                <w:sz w:val="18"/>
                <w:szCs w:val="18"/>
                <w:highlight w:val="red"/>
                <w:lang w:eastAsia="en-US" w:bidi="en-US"/>
              </w:rPr>
              <w:t xml:space="preserve"> </w:t>
            </w:r>
            <w:r w:rsidRPr="004E0FC4">
              <w:rPr>
                <w:rFonts w:ascii="Bookman Old Style" w:eastAsia="Bookman Old Style" w:hAnsi="Bookman Old Style" w:cs="Bookman Old Style"/>
                <w:b/>
                <w:bCs/>
                <w:color w:val="231F20"/>
                <w:sz w:val="18"/>
                <w:szCs w:val="18"/>
                <w:highlight w:val="red"/>
              </w:rPr>
              <w:t>ю ж</w:t>
            </w:r>
          </w:p>
        </w:tc>
        <w:tc>
          <w:tcPr>
            <w:tcW w:w="1133" w:type="dxa"/>
            <w:tcBorders>
              <w:top w:val="single" w:sz="4" w:space="0" w:color="auto"/>
              <w:left w:val="single" w:sz="4" w:space="0" w:color="auto"/>
            </w:tcBorders>
            <w:shd w:val="clear" w:color="auto" w:fill="FFFFFF"/>
            <w:textDirection w:val="btLr"/>
          </w:tcPr>
          <w:p w14:paraId="31EC8E04"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Переработка</w:t>
            </w:r>
          </w:p>
          <w:p w14:paraId="5B10EADF"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отходов</w:t>
            </w:r>
          </w:p>
          <w:p w14:paraId="330F486D"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и защита</w:t>
            </w:r>
          </w:p>
          <w:p w14:paraId="6C5A4826"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окружающей</w:t>
            </w:r>
          </w:p>
          <w:p w14:paraId="5E8ECFBE"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среды</w:t>
            </w:r>
          </w:p>
        </w:tc>
        <w:tc>
          <w:tcPr>
            <w:tcW w:w="283" w:type="dxa"/>
            <w:tcBorders>
              <w:top w:val="single" w:sz="4" w:space="0" w:color="auto"/>
              <w:left w:val="single" w:sz="4" w:space="0" w:color="auto"/>
            </w:tcBorders>
            <w:shd w:val="clear" w:color="auto" w:fill="FFFFFF"/>
            <w:textDirection w:val="btLr"/>
          </w:tcPr>
          <w:p w14:paraId="27C48245"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Энергетика</w:t>
            </w:r>
          </w:p>
        </w:tc>
        <w:tc>
          <w:tcPr>
            <w:tcW w:w="509" w:type="dxa"/>
            <w:tcBorders>
              <w:top w:val="single" w:sz="4" w:space="0" w:color="auto"/>
              <w:left w:val="single" w:sz="4" w:space="0" w:color="auto"/>
            </w:tcBorders>
            <w:shd w:val="clear" w:color="auto" w:fill="FFFFFF"/>
            <w:textDirection w:val="btLr"/>
          </w:tcPr>
          <w:p w14:paraId="38C6472A"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Здравоохра</w:t>
            </w:r>
            <w:r w:rsidRPr="004E0FC4">
              <w:rPr>
                <w:rFonts w:ascii="Bookman Old Style" w:eastAsia="Bookman Old Style" w:hAnsi="Bookman Old Style" w:cs="Bookman Old Style"/>
                <w:b/>
                <w:bCs/>
                <w:color w:val="231F20"/>
                <w:sz w:val="18"/>
                <w:szCs w:val="18"/>
                <w:highlight w:val="red"/>
              </w:rPr>
              <w:softHyphen/>
            </w:r>
          </w:p>
          <w:p w14:paraId="29A4F5A5"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Нение</w:t>
            </w:r>
          </w:p>
        </w:tc>
        <w:tc>
          <w:tcPr>
            <w:tcW w:w="341" w:type="dxa"/>
            <w:tcBorders>
              <w:top w:val="single" w:sz="4" w:space="0" w:color="auto"/>
              <w:left w:val="single" w:sz="4" w:space="0" w:color="auto"/>
            </w:tcBorders>
            <w:shd w:val="clear" w:color="auto" w:fill="FFFFFF"/>
            <w:textDirection w:val="btLr"/>
          </w:tcPr>
          <w:p w14:paraId="3870772F"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Образование</w:t>
            </w:r>
          </w:p>
        </w:tc>
        <w:tc>
          <w:tcPr>
            <w:tcW w:w="283" w:type="dxa"/>
            <w:tcBorders>
              <w:top w:val="single" w:sz="4" w:space="0" w:color="auto"/>
              <w:left w:val="single" w:sz="4" w:space="0" w:color="auto"/>
            </w:tcBorders>
            <w:shd w:val="clear" w:color="auto" w:fill="FFFFFF"/>
            <w:textDirection w:val="btLr"/>
          </w:tcPr>
          <w:p w14:paraId="4D992169"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Культура</w:t>
            </w:r>
          </w:p>
        </w:tc>
        <w:tc>
          <w:tcPr>
            <w:tcW w:w="509" w:type="dxa"/>
            <w:tcBorders>
              <w:top w:val="single" w:sz="4" w:space="0" w:color="auto"/>
              <w:left w:val="single" w:sz="4" w:space="0" w:color="auto"/>
            </w:tcBorders>
            <w:shd w:val="clear" w:color="auto" w:fill="FFFFFF"/>
            <w:textDirection w:val="btLr"/>
          </w:tcPr>
          <w:p w14:paraId="06A3A319"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Пенитенциар</w:t>
            </w:r>
            <w:r w:rsidRPr="004E0FC4">
              <w:rPr>
                <w:rFonts w:ascii="Bookman Old Style" w:eastAsia="Bookman Old Style" w:hAnsi="Bookman Old Style" w:cs="Bookman Old Style"/>
                <w:b/>
                <w:bCs/>
                <w:color w:val="231F20"/>
                <w:sz w:val="18"/>
                <w:szCs w:val="18"/>
                <w:highlight w:val="red"/>
              </w:rPr>
              <w:softHyphen/>
            </w:r>
          </w:p>
          <w:p w14:paraId="4EB4A36A" w14:textId="77777777" w:rsidR="00350396" w:rsidRPr="004E0FC4" w:rsidRDefault="00350396" w:rsidP="004E0FC4">
            <w:pPr>
              <w:framePr w:w="6590"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ная система</w:t>
            </w:r>
          </w:p>
        </w:tc>
        <w:tc>
          <w:tcPr>
            <w:tcW w:w="749" w:type="dxa"/>
            <w:tcBorders>
              <w:top w:val="single" w:sz="4" w:space="0" w:color="auto"/>
              <w:left w:val="single" w:sz="4" w:space="0" w:color="auto"/>
              <w:right w:val="single" w:sz="4" w:space="0" w:color="auto"/>
            </w:tcBorders>
            <w:shd w:val="clear" w:color="auto" w:fill="FFFFFF"/>
            <w:textDirection w:val="btLr"/>
          </w:tcPr>
          <w:p w14:paraId="02EDEF3B"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Инновацион</w:t>
            </w:r>
            <w:r w:rsidRPr="004E0FC4">
              <w:rPr>
                <w:rFonts w:ascii="Bookman Old Style" w:eastAsia="Bookman Old Style" w:hAnsi="Bookman Old Style" w:cs="Bookman Old Style"/>
                <w:b/>
                <w:bCs/>
                <w:color w:val="231F20"/>
                <w:sz w:val="18"/>
                <w:szCs w:val="18"/>
                <w:highlight w:val="red"/>
              </w:rPr>
              <w:softHyphen/>
            </w:r>
          </w:p>
          <w:p w14:paraId="7CFF561D"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ная деятель</w:t>
            </w:r>
            <w:r w:rsidRPr="004E0FC4">
              <w:rPr>
                <w:rFonts w:ascii="Bookman Old Style" w:eastAsia="Bookman Old Style" w:hAnsi="Bookman Old Style" w:cs="Bookman Old Style"/>
                <w:b/>
                <w:bCs/>
                <w:color w:val="231F20"/>
                <w:sz w:val="18"/>
                <w:szCs w:val="18"/>
                <w:highlight w:val="red"/>
              </w:rPr>
              <w:softHyphen/>
              <w:t>ность</w:t>
            </w:r>
          </w:p>
        </w:tc>
      </w:tr>
      <w:tr w:rsidR="00350396" w:rsidRPr="004E0FC4" w14:paraId="31A633ED"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53E6604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Австралия</w:t>
            </w:r>
          </w:p>
        </w:tc>
        <w:tc>
          <w:tcPr>
            <w:tcW w:w="734" w:type="dxa"/>
            <w:tcBorders>
              <w:top w:val="single" w:sz="4" w:space="0" w:color="auto"/>
              <w:left w:val="single" w:sz="4" w:space="0" w:color="auto"/>
            </w:tcBorders>
            <w:shd w:val="clear" w:color="auto" w:fill="FFFFFF"/>
            <w:vAlign w:val="center"/>
          </w:tcPr>
          <w:p w14:paraId="4807DC3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tcPr>
          <w:p w14:paraId="7098A0D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tcPr>
          <w:p w14:paraId="2A6051E5"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4C3291B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4B0DC77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6AA9145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737E22B9"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4906FA3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2BBAA059"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18461B5A" w14:textId="77777777" w:rsidTr="006D7F71">
        <w:trPr>
          <w:trHeight w:hRule="exact" w:val="355"/>
          <w:jc w:val="center"/>
        </w:trPr>
        <w:tc>
          <w:tcPr>
            <w:tcW w:w="1536" w:type="dxa"/>
            <w:tcBorders>
              <w:top w:val="single" w:sz="4" w:space="0" w:color="auto"/>
              <w:left w:val="single" w:sz="4" w:space="0" w:color="auto"/>
            </w:tcBorders>
            <w:shd w:val="clear" w:color="auto" w:fill="FFFFFF"/>
            <w:vAlign w:val="center"/>
          </w:tcPr>
          <w:p w14:paraId="5022CA69"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Австрия</w:t>
            </w:r>
          </w:p>
        </w:tc>
        <w:tc>
          <w:tcPr>
            <w:tcW w:w="734" w:type="dxa"/>
            <w:tcBorders>
              <w:top w:val="single" w:sz="4" w:space="0" w:color="auto"/>
              <w:left w:val="single" w:sz="4" w:space="0" w:color="auto"/>
            </w:tcBorders>
            <w:shd w:val="clear" w:color="auto" w:fill="FFFFFF"/>
            <w:vAlign w:val="center"/>
          </w:tcPr>
          <w:p w14:paraId="61BC0AA4"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05F11005"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tcPr>
          <w:p w14:paraId="0C004C8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0283F60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1B81A251"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tcPr>
          <w:p w14:paraId="573CAD02"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4DC5FD5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3F93F33A"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749" w:type="dxa"/>
            <w:tcBorders>
              <w:top w:val="single" w:sz="4" w:space="0" w:color="auto"/>
              <w:left w:val="single" w:sz="4" w:space="0" w:color="auto"/>
              <w:right w:val="single" w:sz="4" w:space="0" w:color="auto"/>
            </w:tcBorders>
            <w:shd w:val="clear" w:color="auto" w:fill="FFFFFF"/>
            <w:vAlign w:val="center"/>
          </w:tcPr>
          <w:p w14:paraId="29E6DA01"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556A1B7D"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54940E02"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Бельгия</w:t>
            </w:r>
          </w:p>
        </w:tc>
        <w:tc>
          <w:tcPr>
            <w:tcW w:w="734" w:type="dxa"/>
            <w:tcBorders>
              <w:top w:val="single" w:sz="4" w:space="0" w:color="auto"/>
              <w:left w:val="single" w:sz="4" w:space="0" w:color="auto"/>
            </w:tcBorders>
            <w:shd w:val="clear" w:color="auto" w:fill="FFFFFF"/>
            <w:vAlign w:val="center"/>
          </w:tcPr>
          <w:p w14:paraId="4EEA330D"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09B548C7"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vAlign w:val="center"/>
          </w:tcPr>
          <w:p w14:paraId="0AB59F9C"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tcPr>
          <w:p w14:paraId="74B8E8A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74C34036"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tcPr>
          <w:p w14:paraId="0183522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25F26ED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6093FAF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tcPr>
          <w:p w14:paraId="280EA8AF"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r>
      <w:tr w:rsidR="00350396" w:rsidRPr="004E0FC4" w14:paraId="3EB498FD"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62AD630C"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Великобритания</w:t>
            </w:r>
          </w:p>
        </w:tc>
        <w:tc>
          <w:tcPr>
            <w:tcW w:w="734" w:type="dxa"/>
            <w:tcBorders>
              <w:top w:val="single" w:sz="4" w:space="0" w:color="auto"/>
              <w:left w:val="single" w:sz="4" w:space="0" w:color="auto"/>
            </w:tcBorders>
            <w:shd w:val="clear" w:color="auto" w:fill="FFFFFF"/>
            <w:vAlign w:val="center"/>
          </w:tcPr>
          <w:p w14:paraId="30BDBEFE"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7A54E4DF"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vAlign w:val="center"/>
          </w:tcPr>
          <w:p w14:paraId="25DD2D9C"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tcPr>
          <w:p w14:paraId="312B710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6A9C95C0"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vAlign w:val="center"/>
          </w:tcPr>
          <w:p w14:paraId="1429D007"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vAlign w:val="center"/>
          </w:tcPr>
          <w:p w14:paraId="231E57E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09" w:type="dxa"/>
            <w:tcBorders>
              <w:top w:val="single" w:sz="4" w:space="0" w:color="auto"/>
              <w:left w:val="single" w:sz="4" w:space="0" w:color="auto"/>
            </w:tcBorders>
            <w:shd w:val="clear" w:color="auto" w:fill="FFFFFF"/>
            <w:vAlign w:val="center"/>
          </w:tcPr>
          <w:p w14:paraId="5E1E73E8"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749" w:type="dxa"/>
            <w:tcBorders>
              <w:top w:val="single" w:sz="4" w:space="0" w:color="auto"/>
              <w:left w:val="single" w:sz="4" w:space="0" w:color="auto"/>
              <w:right w:val="single" w:sz="4" w:space="0" w:color="auto"/>
            </w:tcBorders>
            <w:shd w:val="clear" w:color="auto" w:fill="FFFFFF"/>
            <w:vAlign w:val="center"/>
          </w:tcPr>
          <w:p w14:paraId="51518052"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247C99DE" w14:textId="77777777" w:rsidTr="006D7F71">
        <w:trPr>
          <w:trHeight w:hRule="exact" w:val="355"/>
          <w:jc w:val="center"/>
        </w:trPr>
        <w:tc>
          <w:tcPr>
            <w:tcW w:w="1536" w:type="dxa"/>
            <w:tcBorders>
              <w:top w:val="single" w:sz="4" w:space="0" w:color="auto"/>
              <w:left w:val="single" w:sz="4" w:space="0" w:color="auto"/>
            </w:tcBorders>
            <w:shd w:val="clear" w:color="auto" w:fill="FFFFFF"/>
            <w:vAlign w:val="center"/>
          </w:tcPr>
          <w:p w14:paraId="315DFB87"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Германия</w:t>
            </w:r>
          </w:p>
        </w:tc>
        <w:tc>
          <w:tcPr>
            <w:tcW w:w="734" w:type="dxa"/>
            <w:tcBorders>
              <w:top w:val="single" w:sz="4" w:space="0" w:color="auto"/>
              <w:left w:val="single" w:sz="4" w:space="0" w:color="auto"/>
            </w:tcBorders>
            <w:shd w:val="clear" w:color="auto" w:fill="FFFFFF"/>
            <w:vAlign w:val="center"/>
          </w:tcPr>
          <w:p w14:paraId="7D8726CE"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44E8B8F4"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tcPr>
          <w:p w14:paraId="2F0C35E5"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027C501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761910D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3AA6FDF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3368D33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577B44C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2F09C2A2"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52DA0371"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5B27AB65"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Голландия</w:t>
            </w:r>
          </w:p>
        </w:tc>
        <w:tc>
          <w:tcPr>
            <w:tcW w:w="734" w:type="dxa"/>
            <w:tcBorders>
              <w:top w:val="single" w:sz="4" w:space="0" w:color="auto"/>
              <w:left w:val="single" w:sz="4" w:space="0" w:color="auto"/>
            </w:tcBorders>
            <w:shd w:val="clear" w:color="auto" w:fill="FFFFFF"/>
            <w:vAlign w:val="center"/>
          </w:tcPr>
          <w:p w14:paraId="1BE7220D"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tcPr>
          <w:p w14:paraId="0D1216D5"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tcPr>
          <w:p w14:paraId="0A028F25"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1F3A46E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19BEB1D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43B90EC5"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2D7885F7"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03B82BE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4B77ED5E"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3CF71571" w14:textId="77777777" w:rsidTr="006D7F71">
        <w:trPr>
          <w:trHeight w:hRule="exact" w:val="355"/>
          <w:jc w:val="center"/>
        </w:trPr>
        <w:tc>
          <w:tcPr>
            <w:tcW w:w="1536" w:type="dxa"/>
            <w:tcBorders>
              <w:top w:val="single" w:sz="4" w:space="0" w:color="auto"/>
              <w:left w:val="single" w:sz="4" w:space="0" w:color="auto"/>
            </w:tcBorders>
            <w:shd w:val="clear" w:color="auto" w:fill="FFFFFF"/>
            <w:vAlign w:val="center"/>
          </w:tcPr>
          <w:p w14:paraId="10C2ED28"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Греция</w:t>
            </w:r>
          </w:p>
        </w:tc>
        <w:tc>
          <w:tcPr>
            <w:tcW w:w="734" w:type="dxa"/>
            <w:tcBorders>
              <w:top w:val="single" w:sz="4" w:space="0" w:color="auto"/>
              <w:left w:val="single" w:sz="4" w:space="0" w:color="auto"/>
            </w:tcBorders>
            <w:shd w:val="clear" w:color="auto" w:fill="FFFFFF"/>
            <w:vAlign w:val="center"/>
          </w:tcPr>
          <w:p w14:paraId="2110C89D"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tcPr>
          <w:p w14:paraId="1BECE18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tcPr>
          <w:p w14:paraId="69952EF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1B36BC27"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1DDCED8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3F9100D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38DA768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3000D508"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tcPr>
          <w:p w14:paraId="2AF96727"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r>
      <w:tr w:rsidR="00350396" w:rsidRPr="004E0FC4" w14:paraId="46F3B21B"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6DFE5475"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Израиль</w:t>
            </w:r>
          </w:p>
        </w:tc>
        <w:tc>
          <w:tcPr>
            <w:tcW w:w="734" w:type="dxa"/>
            <w:tcBorders>
              <w:top w:val="single" w:sz="4" w:space="0" w:color="auto"/>
              <w:left w:val="single" w:sz="4" w:space="0" w:color="auto"/>
            </w:tcBorders>
            <w:shd w:val="clear" w:color="auto" w:fill="FFFFFF"/>
          </w:tcPr>
          <w:p w14:paraId="50FB067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14" w:type="dxa"/>
            <w:tcBorders>
              <w:top w:val="single" w:sz="4" w:space="0" w:color="auto"/>
              <w:left w:val="single" w:sz="4" w:space="0" w:color="auto"/>
            </w:tcBorders>
            <w:shd w:val="clear" w:color="auto" w:fill="FFFFFF"/>
          </w:tcPr>
          <w:p w14:paraId="4934B829"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tcPr>
          <w:p w14:paraId="0689D31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7072E24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0260ADD8"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tcPr>
          <w:p w14:paraId="51F9F35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7CF9091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78DF19A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21E7715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56000BC0"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0E0482B0"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Индия</w:t>
            </w:r>
          </w:p>
        </w:tc>
        <w:tc>
          <w:tcPr>
            <w:tcW w:w="734" w:type="dxa"/>
            <w:tcBorders>
              <w:top w:val="single" w:sz="4" w:space="0" w:color="auto"/>
              <w:left w:val="single" w:sz="4" w:space="0" w:color="auto"/>
            </w:tcBorders>
            <w:shd w:val="clear" w:color="auto" w:fill="FFFFFF"/>
          </w:tcPr>
          <w:p w14:paraId="5E165B59"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14" w:type="dxa"/>
            <w:tcBorders>
              <w:top w:val="single" w:sz="4" w:space="0" w:color="auto"/>
              <w:left w:val="single" w:sz="4" w:space="0" w:color="auto"/>
            </w:tcBorders>
            <w:shd w:val="clear" w:color="auto" w:fill="FFFFFF"/>
            <w:vAlign w:val="center"/>
          </w:tcPr>
          <w:p w14:paraId="1ABB5521"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tcPr>
          <w:p w14:paraId="1FBD86C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44E7D46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0CCBA2E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7B3414BB"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180C545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2C0BE0E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5EBEBA5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35A19901" w14:textId="77777777" w:rsidTr="006D7F71">
        <w:trPr>
          <w:trHeight w:hRule="exact" w:val="355"/>
          <w:jc w:val="center"/>
        </w:trPr>
        <w:tc>
          <w:tcPr>
            <w:tcW w:w="1536" w:type="dxa"/>
            <w:tcBorders>
              <w:top w:val="single" w:sz="4" w:space="0" w:color="auto"/>
              <w:left w:val="single" w:sz="4" w:space="0" w:color="auto"/>
            </w:tcBorders>
            <w:shd w:val="clear" w:color="auto" w:fill="FFFFFF"/>
            <w:vAlign w:val="center"/>
          </w:tcPr>
          <w:p w14:paraId="5ACFA4A8"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Ирландия</w:t>
            </w:r>
          </w:p>
        </w:tc>
        <w:tc>
          <w:tcPr>
            <w:tcW w:w="734" w:type="dxa"/>
            <w:tcBorders>
              <w:top w:val="single" w:sz="4" w:space="0" w:color="auto"/>
              <w:left w:val="single" w:sz="4" w:space="0" w:color="auto"/>
            </w:tcBorders>
            <w:shd w:val="clear" w:color="auto" w:fill="FFFFFF"/>
            <w:vAlign w:val="center"/>
          </w:tcPr>
          <w:p w14:paraId="6AECAE0D"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14DE0D94"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vAlign w:val="center"/>
          </w:tcPr>
          <w:p w14:paraId="25BBAD20"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tcPr>
          <w:p w14:paraId="2BED6D9B"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4E92AA00"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vAlign w:val="center"/>
          </w:tcPr>
          <w:p w14:paraId="6B90A1E8"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tcPr>
          <w:p w14:paraId="26A02E4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6A1D24E6"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749" w:type="dxa"/>
            <w:tcBorders>
              <w:top w:val="single" w:sz="4" w:space="0" w:color="auto"/>
              <w:left w:val="single" w:sz="4" w:space="0" w:color="auto"/>
              <w:right w:val="single" w:sz="4" w:space="0" w:color="auto"/>
            </w:tcBorders>
            <w:shd w:val="clear" w:color="auto" w:fill="FFFFFF"/>
            <w:vAlign w:val="center"/>
          </w:tcPr>
          <w:p w14:paraId="7B1D7F17"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30F986D3"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13779AC0"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Исландия</w:t>
            </w:r>
          </w:p>
        </w:tc>
        <w:tc>
          <w:tcPr>
            <w:tcW w:w="734" w:type="dxa"/>
            <w:tcBorders>
              <w:top w:val="single" w:sz="4" w:space="0" w:color="auto"/>
              <w:left w:val="single" w:sz="4" w:space="0" w:color="auto"/>
            </w:tcBorders>
            <w:shd w:val="clear" w:color="auto" w:fill="FFFFFF"/>
          </w:tcPr>
          <w:p w14:paraId="6E7873F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14" w:type="dxa"/>
            <w:tcBorders>
              <w:top w:val="single" w:sz="4" w:space="0" w:color="auto"/>
              <w:left w:val="single" w:sz="4" w:space="0" w:color="auto"/>
            </w:tcBorders>
            <w:shd w:val="clear" w:color="auto" w:fill="FFFFFF"/>
          </w:tcPr>
          <w:p w14:paraId="1E06B29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tcPr>
          <w:p w14:paraId="01FEF4B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2CFE2B5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2DD1071E"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tcPr>
          <w:p w14:paraId="470ACCF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0465C2A7"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4EE92682"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617718A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1B3C95F9"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6FB6236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Испания</w:t>
            </w:r>
          </w:p>
        </w:tc>
        <w:tc>
          <w:tcPr>
            <w:tcW w:w="734" w:type="dxa"/>
            <w:tcBorders>
              <w:top w:val="single" w:sz="4" w:space="0" w:color="auto"/>
              <w:left w:val="single" w:sz="4" w:space="0" w:color="auto"/>
            </w:tcBorders>
            <w:shd w:val="clear" w:color="auto" w:fill="FFFFFF"/>
            <w:vAlign w:val="center"/>
          </w:tcPr>
          <w:p w14:paraId="3979A6C0"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0AFED65D"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tcPr>
          <w:p w14:paraId="6D72739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5ACA595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1FD1B8C5"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tcPr>
          <w:p w14:paraId="4BAA1B75"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57EC32B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1B618C5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tcPr>
          <w:p w14:paraId="0850B50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r>
      <w:tr w:rsidR="00350396" w:rsidRPr="004E0FC4" w14:paraId="2CB016B6" w14:textId="77777777" w:rsidTr="006D7F71">
        <w:trPr>
          <w:trHeight w:hRule="exact" w:val="355"/>
          <w:jc w:val="center"/>
        </w:trPr>
        <w:tc>
          <w:tcPr>
            <w:tcW w:w="1536" w:type="dxa"/>
            <w:tcBorders>
              <w:top w:val="single" w:sz="4" w:space="0" w:color="auto"/>
              <w:left w:val="single" w:sz="4" w:space="0" w:color="auto"/>
            </w:tcBorders>
            <w:shd w:val="clear" w:color="auto" w:fill="FFFFFF"/>
            <w:vAlign w:val="center"/>
          </w:tcPr>
          <w:p w14:paraId="7E52242E"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Италия</w:t>
            </w:r>
          </w:p>
        </w:tc>
        <w:tc>
          <w:tcPr>
            <w:tcW w:w="734" w:type="dxa"/>
            <w:tcBorders>
              <w:top w:val="single" w:sz="4" w:space="0" w:color="auto"/>
              <w:left w:val="single" w:sz="4" w:space="0" w:color="auto"/>
            </w:tcBorders>
            <w:shd w:val="clear" w:color="auto" w:fill="FFFFFF"/>
          </w:tcPr>
          <w:p w14:paraId="3042F7C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14" w:type="dxa"/>
            <w:tcBorders>
              <w:top w:val="single" w:sz="4" w:space="0" w:color="auto"/>
              <w:left w:val="single" w:sz="4" w:space="0" w:color="auto"/>
            </w:tcBorders>
            <w:shd w:val="clear" w:color="auto" w:fill="FFFFFF"/>
          </w:tcPr>
          <w:p w14:paraId="1428DC9F"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vAlign w:val="center"/>
          </w:tcPr>
          <w:p w14:paraId="7EA48A3D"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tcPr>
          <w:p w14:paraId="09583522"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17FB0D48"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153931E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4E3C9EA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069FFCF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42B81FFD"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6ED6FFA8"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7A6409DF"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Канада</w:t>
            </w:r>
          </w:p>
        </w:tc>
        <w:tc>
          <w:tcPr>
            <w:tcW w:w="734" w:type="dxa"/>
            <w:tcBorders>
              <w:top w:val="single" w:sz="4" w:space="0" w:color="auto"/>
              <w:left w:val="single" w:sz="4" w:space="0" w:color="auto"/>
            </w:tcBorders>
            <w:shd w:val="clear" w:color="auto" w:fill="FFFFFF"/>
            <w:vAlign w:val="center"/>
          </w:tcPr>
          <w:p w14:paraId="6ADBB455"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09A218B1"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vAlign w:val="center"/>
          </w:tcPr>
          <w:p w14:paraId="2A9A02DD"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tcPr>
          <w:p w14:paraId="716C937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6D629C3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7B0EDAC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03EC733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210DCEBE"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749" w:type="dxa"/>
            <w:tcBorders>
              <w:top w:val="single" w:sz="4" w:space="0" w:color="auto"/>
              <w:left w:val="single" w:sz="4" w:space="0" w:color="auto"/>
              <w:right w:val="single" w:sz="4" w:space="0" w:color="auto"/>
            </w:tcBorders>
            <w:shd w:val="clear" w:color="auto" w:fill="FFFFFF"/>
            <w:vAlign w:val="center"/>
          </w:tcPr>
          <w:p w14:paraId="29C111DC"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64680271"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491ACEF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Китай</w:t>
            </w:r>
          </w:p>
        </w:tc>
        <w:tc>
          <w:tcPr>
            <w:tcW w:w="734" w:type="dxa"/>
            <w:tcBorders>
              <w:top w:val="single" w:sz="4" w:space="0" w:color="auto"/>
              <w:left w:val="single" w:sz="4" w:space="0" w:color="auto"/>
            </w:tcBorders>
            <w:shd w:val="clear" w:color="auto" w:fill="FFFFFF"/>
            <w:vAlign w:val="center"/>
          </w:tcPr>
          <w:p w14:paraId="248281D2"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3DBB0F95"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vAlign w:val="center"/>
          </w:tcPr>
          <w:p w14:paraId="4C51AD1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vAlign w:val="center"/>
          </w:tcPr>
          <w:p w14:paraId="746AC6D0"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09" w:type="dxa"/>
            <w:tcBorders>
              <w:top w:val="single" w:sz="4" w:space="0" w:color="auto"/>
              <w:left w:val="single" w:sz="4" w:space="0" w:color="auto"/>
            </w:tcBorders>
            <w:shd w:val="clear" w:color="auto" w:fill="FFFFFF"/>
          </w:tcPr>
          <w:p w14:paraId="3F5A09E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7C39E15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5387AAD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16B0DB7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19E0E96F"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6163BA2F" w14:textId="77777777" w:rsidTr="006D7F71">
        <w:trPr>
          <w:trHeight w:hRule="exact" w:val="355"/>
          <w:jc w:val="center"/>
        </w:trPr>
        <w:tc>
          <w:tcPr>
            <w:tcW w:w="1536" w:type="dxa"/>
            <w:tcBorders>
              <w:top w:val="single" w:sz="4" w:space="0" w:color="auto"/>
              <w:left w:val="single" w:sz="4" w:space="0" w:color="auto"/>
            </w:tcBorders>
            <w:shd w:val="clear" w:color="auto" w:fill="FFFFFF"/>
            <w:vAlign w:val="center"/>
          </w:tcPr>
          <w:p w14:paraId="05328EF5"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Норвегия</w:t>
            </w:r>
          </w:p>
        </w:tc>
        <w:tc>
          <w:tcPr>
            <w:tcW w:w="734" w:type="dxa"/>
            <w:tcBorders>
              <w:top w:val="single" w:sz="4" w:space="0" w:color="auto"/>
              <w:left w:val="single" w:sz="4" w:space="0" w:color="auto"/>
            </w:tcBorders>
            <w:shd w:val="clear" w:color="auto" w:fill="FFFFFF"/>
          </w:tcPr>
          <w:p w14:paraId="7FA301A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14" w:type="dxa"/>
            <w:tcBorders>
              <w:top w:val="single" w:sz="4" w:space="0" w:color="auto"/>
              <w:left w:val="single" w:sz="4" w:space="0" w:color="auto"/>
            </w:tcBorders>
            <w:shd w:val="clear" w:color="auto" w:fill="FFFFFF"/>
          </w:tcPr>
          <w:p w14:paraId="2B843E4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tcPr>
          <w:p w14:paraId="0B565AD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0AE818F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051379C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573489C9"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1596B578"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51BC811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47B0B6D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0FE328AC"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49EA99F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Португалия</w:t>
            </w:r>
          </w:p>
        </w:tc>
        <w:tc>
          <w:tcPr>
            <w:tcW w:w="734" w:type="dxa"/>
            <w:tcBorders>
              <w:top w:val="single" w:sz="4" w:space="0" w:color="auto"/>
              <w:left w:val="single" w:sz="4" w:space="0" w:color="auto"/>
            </w:tcBorders>
            <w:shd w:val="clear" w:color="auto" w:fill="FFFFFF"/>
            <w:vAlign w:val="center"/>
          </w:tcPr>
          <w:p w14:paraId="48220428"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5C06416E"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tcPr>
          <w:p w14:paraId="7708FD1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2EE1426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12BE33E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25DAED4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5ACCAE8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794F672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tcPr>
          <w:p w14:paraId="7635FACB"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r>
      <w:tr w:rsidR="00350396" w:rsidRPr="004E0FC4" w14:paraId="0BF6C251"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189C09C1"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США</w:t>
            </w:r>
          </w:p>
        </w:tc>
        <w:tc>
          <w:tcPr>
            <w:tcW w:w="734" w:type="dxa"/>
            <w:tcBorders>
              <w:top w:val="single" w:sz="4" w:space="0" w:color="auto"/>
              <w:left w:val="single" w:sz="4" w:space="0" w:color="auto"/>
            </w:tcBorders>
            <w:shd w:val="clear" w:color="auto" w:fill="FFFFFF"/>
            <w:vAlign w:val="center"/>
          </w:tcPr>
          <w:p w14:paraId="352EFE97"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66E9B9A6"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tcPr>
          <w:p w14:paraId="2F840A7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779360E8"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6BF99C0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61E3297B"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62BB4067"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44A29EC3"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749" w:type="dxa"/>
            <w:tcBorders>
              <w:top w:val="single" w:sz="4" w:space="0" w:color="auto"/>
              <w:left w:val="single" w:sz="4" w:space="0" w:color="auto"/>
              <w:right w:val="single" w:sz="4" w:space="0" w:color="auto"/>
            </w:tcBorders>
            <w:shd w:val="clear" w:color="auto" w:fill="FFFFFF"/>
            <w:vAlign w:val="center"/>
          </w:tcPr>
          <w:p w14:paraId="2DB17589"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44690D2E" w14:textId="77777777" w:rsidTr="006D7F71">
        <w:trPr>
          <w:trHeight w:hRule="exact" w:val="355"/>
          <w:jc w:val="center"/>
        </w:trPr>
        <w:tc>
          <w:tcPr>
            <w:tcW w:w="1536" w:type="dxa"/>
            <w:tcBorders>
              <w:top w:val="single" w:sz="4" w:space="0" w:color="auto"/>
              <w:left w:val="single" w:sz="4" w:space="0" w:color="auto"/>
            </w:tcBorders>
            <w:shd w:val="clear" w:color="auto" w:fill="FFFFFF"/>
            <w:vAlign w:val="center"/>
          </w:tcPr>
          <w:p w14:paraId="1489641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Финляндия</w:t>
            </w:r>
          </w:p>
        </w:tc>
        <w:tc>
          <w:tcPr>
            <w:tcW w:w="734" w:type="dxa"/>
            <w:tcBorders>
              <w:top w:val="single" w:sz="4" w:space="0" w:color="auto"/>
              <w:left w:val="single" w:sz="4" w:space="0" w:color="auto"/>
            </w:tcBorders>
            <w:shd w:val="clear" w:color="auto" w:fill="FFFFFF"/>
            <w:vAlign w:val="center"/>
          </w:tcPr>
          <w:p w14:paraId="75D15E7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tcPr>
          <w:p w14:paraId="7C22814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tcPr>
          <w:p w14:paraId="52C57C18"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7D368AB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3073B0AC"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tcPr>
          <w:p w14:paraId="614D8070"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75452D3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79E57438"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72A87A4F"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50240643"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0D2B6785"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Франция</w:t>
            </w:r>
          </w:p>
        </w:tc>
        <w:tc>
          <w:tcPr>
            <w:tcW w:w="734" w:type="dxa"/>
            <w:tcBorders>
              <w:top w:val="single" w:sz="4" w:space="0" w:color="auto"/>
              <w:left w:val="single" w:sz="4" w:space="0" w:color="auto"/>
            </w:tcBorders>
            <w:shd w:val="clear" w:color="auto" w:fill="FFFFFF"/>
            <w:vAlign w:val="center"/>
          </w:tcPr>
          <w:p w14:paraId="552F0992"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088EFEFC"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vAlign w:val="center"/>
          </w:tcPr>
          <w:p w14:paraId="70D8ADF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283" w:type="dxa"/>
            <w:tcBorders>
              <w:top w:val="single" w:sz="4" w:space="0" w:color="auto"/>
              <w:left w:val="single" w:sz="4" w:space="0" w:color="auto"/>
            </w:tcBorders>
            <w:shd w:val="clear" w:color="auto" w:fill="FFFFFF"/>
            <w:vAlign w:val="center"/>
          </w:tcPr>
          <w:p w14:paraId="43969AD9"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09" w:type="dxa"/>
            <w:tcBorders>
              <w:top w:val="single" w:sz="4" w:space="0" w:color="auto"/>
              <w:left w:val="single" w:sz="4" w:space="0" w:color="auto"/>
            </w:tcBorders>
            <w:shd w:val="clear" w:color="auto" w:fill="FFFFFF"/>
            <w:vAlign w:val="center"/>
          </w:tcPr>
          <w:p w14:paraId="03BF40A4"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341" w:type="dxa"/>
            <w:tcBorders>
              <w:top w:val="single" w:sz="4" w:space="0" w:color="auto"/>
              <w:left w:val="single" w:sz="4" w:space="0" w:color="auto"/>
            </w:tcBorders>
            <w:shd w:val="clear" w:color="auto" w:fill="FFFFFF"/>
          </w:tcPr>
          <w:p w14:paraId="5B1F83D5"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63115B5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2BE92392"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2A065628"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6AEE20DE" w14:textId="77777777" w:rsidTr="006D7F71">
        <w:trPr>
          <w:trHeight w:hRule="exact" w:val="350"/>
          <w:jc w:val="center"/>
        </w:trPr>
        <w:tc>
          <w:tcPr>
            <w:tcW w:w="1536" w:type="dxa"/>
            <w:tcBorders>
              <w:top w:val="single" w:sz="4" w:space="0" w:color="auto"/>
              <w:left w:val="single" w:sz="4" w:space="0" w:color="auto"/>
            </w:tcBorders>
            <w:shd w:val="clear" w:color="auto" w:fill="FFFFFF"/>
            <w:vAlign w:val="center"/>
          </w:tcPr>
          <w:p w14:paraId="111107FE"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Швеция</w:t>
            </w:r>
          </w:p>
        </w:tc>
        <w:tc>
          <w:tcPr>
            <w:tcW w:w="734" w:type="dxa"/>
            <w:tcBorders>
              <w:top w:val="single" w:sz="4" w:space="0" w:color="auto"/>
              <w:left w:val="single" w:sz="4" w:space="0" w:color="auto"/>
            </w:tcBorders>
            <w:shd w:val="clear" w:color="auto" w:fill="FFFFFF"/>
          </w:tcPr>
          <w:p w14:paraId="556C51F8"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14" w:type="dxa"/>
            <w:tcBorders>
              <w:top w:val="single" w:sz="4" w:space="0" w:color="auto"/>
              <w:left w:val="single" w:sz="4" w:space="0" w:color="auto"/>
            </w:tcBorders>
            <w:shd w:val="clear" w:color="auto" w:fill="FFFFFF"/>
          </w:tcPr>
          <w:p w14:paraId="379187D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tcBorders>
            <w:shd w:val="clear" w:color="auto" w:fill="FFFFFF"/>
          </w:tcPr>
          <w:p w14:paraId="6515EAE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14E23E12"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4674065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6C2319BB"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199EFFA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03C1EED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749" w:type="dxa"/>
            <w:tcBorders>
              <w:top w:val="single" w:sz="4" w:space="0" w:color="auto"/>
              <w:left w:val="single" w:sz="4" w:space="0" w:color="auto"/>
              <w:right w:val="single" w:sz="4" w:space="0" w:color="auto"/>
            </w:tcBorders>
            <w:shd w:val="clear" w:color="auto" w:fill="FFFFFF"/>
            <w:vAlign w:val="center"/>
          </w:tcPr>
          <w:p w14:paraId="41F4E47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r w:rsidR="00350396" w:rsidRPr="004E0FC4" w14:paraId="1619DB67" w14:textId="77777777" w:rsidTr="006D7F71">
        <w:trPr>
          <w:trHeight w:hRule="exact" w:val="355"/>
          <w:jc w:val="center"/>
        </w:trPr>
        <w:tc>
          <w:tcPr>
            <w:tcW w:w="1536" w:type="dxa"/>
            <w:tcBorders>
              <w:top w:val="single" w:sz="4" w:space="0" w:color="auto"/>
              <w:left w:val="single" w:sz="4" w:space="0" w:color="auto"/>
            </w:tcBorders>
            <w:shd w:val="clear" w:color="auto" w:fill="FFFFFF"/>
            <w:vAlign w:val="center"/>
          </w:tcPr>
          <w:p w14:paraId="4C6FCADA"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Южная Африка</w:t>
            </w:r>
          </w:p>
        </w:tc>
        <w:tc>
          <w:tcPr>
            <w:tcW w:w="734" w:type="dxa"/>
            <w:tcBorders>
              <w:top w:val="single" w:sz="4" w:space="0" w:color="auto"/>
              <w:left w:val="single" w:sz="4" w:space="0" w:color="auto"/>
            </w:tcBorders>
            <w:shd w:val="clear" w:color="auto" w:fill="FFFFFF"/>
            <w:vAlign w:val="center"/>
          </w:tcPr>
          <w:p w14:paraId="77C5DDBD"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14" w:type="dxa"/>
            <w:tcBorders>
              <w:top w:val="single" w:sz="4" w:space="0" w:color="auto"/>
              <w:left w:val="single" w:sz="4" w:space="0" w:color="auto"/>
            </w:tcBorders>
            <w:shd w:val="clear" w:color="auto" w:fill="FFFFFF"/>
            <w:vAlign w:val="center"/>
          </w:tcPr>
          <w:p w14:paraId="7CD8A5F9"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1133" w:type="dxa"/>
            <w:tcBorders>
              <w:top w:val="single" w:sz="4" w:space="0" w:color="auto"/>
              <w:left w:val="single" w:sz="4" w:space="0" w:color="auto"/>
            </w:tcBorders>
            <w:shd w:val="clear" w:color="auto" w:fill="FFFFFF"/>
          </w:tcPr>
          <w:p w14:paraId="1E644DA6"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0903AD74"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tcPr>
          <w:p w14:paraId="6D21EDF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tcBorders>
            <w:shd w:val="clear" w:color="auto" w:fill="FFFFFF"/>
          </w:tcPr>
          <w:p w14:paraId="49B2163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tcBorders>
            <w:shd w:val="clear" w:color="auto" w:fill="FFFFFF"/>
          </w:tcPr>
          <w:p w14:paraId="500BD3F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09" w:type="dxa"/>
            <w:tcBorders>
              <w:top w:val="single" w:sz="4" w:space="0" w:color="auto"/>
              <w:left w:val="single" w:sz="4" w:space="0" w:color="auto"/>
            </w:tcBorders>
            <w:shd w:val="clear" w:color="auto" w:fill="FFFFFF"/>
            <w:vAlign w:val="center"/>
          </w:tcPr>
          <w:p w14:paraId="70D062BB"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749" w:type="dxa"/>
            <w:tcBorders>
              <w:top w:val="single" w:sz="4" w:space="0" w:color="auto"/>
              <w:left w:val="single" w:sz="4" w:space="0" w:color="auto"/>
              <w:right w:val="single" w:sz="4" w:space="0" w:color="auto"/>
            </w:tcBorders>
            <w:shd w:val="clear" w:color="auto" w:fill="FFFFFF"/>
          </w:tcPr>
          <w:p w14:paraId="0568874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r>
      <w:tr w:rsidR="00350396" w:rsidRPr="004E0FC4" w14:paraId="3B07661E" w14:textId="77777777" w:rsidTr="006D7F71">
        <w:trPr>
          <w:trHeight w:hRule="exact" w:val="360"/>
          <w:jc w:val="center"/>
        </w:trPr>
        <w:tc>
          <w:tcPr>
            <w:tcW w:w="1536" w:type="dxa"/>
            <w:tcBorders>
              <w:top w:val="single" w:sz="4" w:space="0" w:color="auto"/>
              <w:left w:val="single" w:sz="4" w:space="0" w:color="auto"/>
              <w:bottom w:val="single" w:sz="4" w:space="0" w:color="auto"/>
            </w:tcBorders>
            <w:shd w:val="clear" w:color="auto" w:fill="FFFFFF"/>
            <w:vAlign w:val="center"/>
          </w:tcPr>
          <w:p w14:paraId="7902AB8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Япония</w:t>
            </w:r>
          </w:p>
        </w:tc>
        <w:tc>
          <w:tcPr>
            <w:tcW w:w="734" w:type="dxa"/>
            <w:tcBorders>
              <w:top w:val="single" w:sz="4" w:space="0" w:color="auto"/>
              <w:left w:val="single" w:sz="4" w:space="0" w:color="auto"/>
              <w:bottom w:val="single" w:sz="4" w:space="0" w:color="auto"/>
            </w:tcBorders>
            <w:shd w:val="clear" w:color="auto" w:fill="FFFFFF"/>
          </w:tcPr>
          <w:p w14:paraId="767B1AD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514" w:type="dxa"/>
            <w:tcBorders>
              <w:top w:val="single" w:sz="4" w:space="0" w:color="auto"/>
              <w:left w:val="single" w:sz="4" w:space="0" w:color="auto"/>
              <w:bottom w:val="single" w:sz="4" w:space="0" w:color="auto"/>
            </w:tcBorders>
            <w:shd w:val="clear" w:color="auto" w:fill="FFFFFF"/>
          </w:tcPr>
          <w:p w14:paraId="6BC2220A"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1133" w:type="dxa"/>
            <w:tcBorders>
              <w:top w:val="single" w:sz="4" w:space="0" w:color="auto"/>
              <w:left w:val="single" w:sz="4" w:space="0" w:color="auto"/>
              <w:bottom w:val="single" w:sz="4" w:space="0" w:color="auto"/>
            </w:tcBorders>
            <w:shd w:val="clear" w:color="auto" w:fill="FFFFFF"/>
          </w:tcPr>
          <w:p w14:paraId="11A0DBC9"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bottom w:val="single" w:sz="4" w:space="0" w:color="auto"/>
            </w:tcBorders>
            <w:shd w:val="clear" w:color="auto" w:fill="FFFFFF"/>
            <w:vAlign w:val="center"/>
          </w:tcPr>
          <w:p w14:paraId="631C7520"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09" w:type="dxa"/>
            <w:tcBorders>
              <w:top w:val="single" w:sz="4" w:space="0" w:color="auto"/>
              <w:left w:val="single" w:sz="4" w:space="0" w:color="auto"/>
              <w:bottom w:val="single" w:sz="4" w:space="0" w:color="auto"/>
            </w:tcBorders>
            <w:shd w:val="clear" w:color="auto" w:fill="FFFFFF"/>
          </w:tcPr>
          <w:p w14:paraId="55C634ED"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341" w:type="dxa"/>
            <w:tcBorders>
              <w:top w:val="single" w:sz="4" w:space="0" w:color="auto"/>
              <w:left w:val="single" w:sz="4" w:space="0" w:color="auto"/>
              <w:bottom w:val="single" w:sz="4" w:space="0" w:color="auto"/>
            </w:tcBorders>
            <w:shd w:val="clear" w:color="auto" w:fill="FFFFFF"/>
          </w:tcPr>
          <w:p w14:paraId="2FE93BF2"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tc>
        <w:tc>
          <w:tcPr>
            <w:tcW w:w="283" w:type="dxa"/>
            <w:tcBorders>
              <w:top w:val="single" w:sz="4" w:space="0" w:color="auto"/>
              <w:left w:val="single" w:sz="4" w:space="0" w:color="auto"/>
              <w:bottom w:val="single" w:sz="4" w:space="0" w:color="auto"/>
            </w:tcBorders>
            <w:shd w:val="clear" w:color="auto" w:fill="FFFFFF"/>
            <w:vAlign w:val="center"/>
          </w:tcPr>
          <w:p w14:paraId="21AD7035"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509" w:type="dxa"/>
            <w:tcBorders>
              <w:top w:val="single" w:sz="4" w:space="0" w:color="auto"/>
              <w:left w:val="single" w:sz="4" w:space="0" w:color="auto"/>
              <w:bottom w:val="single" w:sz="4" w:space="0" w:color="auto"/>
            </w:tcBorders>
            <w:shd w:val="clear" w:color="auto" w:fill="FFFFFF"/>
            <w:vAlign w:val="center"/>
          </w:tcPr>
          <w:p w14:paraId="15B66B10" w14:textId="77777777" w:rsidR="00350396" w:rsidRPr="004E0FC4" w:rsidRDefault="00350396" w:rsidP="004E0FC4">
            <w:pPr>
              <w:framePr w:w="6590" w:wrap="notBeside" w:vAnchor="text" w:hAnchor="text" w:xAlign="center" w:y="1"/>
              <w:widowControl w:val="0"/>
              <w:spacing w:line="168"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1235F512"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w:t>
            </w:r>
          </w:p>
        </w:tc>
      </w:tr>
    </w:tbl>
    <w:p w14:paraId="25E557A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highlight w:val="red"/>
        </w:rPr>
        <w:t xml:space="preserve"> </w:t>
      </w:r>
      <w:r w:rsidRPr="004E0FC4">
        <w:rPr>
          <w:rFonts w:ascii="Bookman Old Style" w:eastAsia="Bookman Old Style" w:hAnsi="Bookman Old Style" w:cs="Bookman Old Style"/>
          <w:i/>
          <w:iCs/>
          <w:color w:val="231F20"/>
          <w:sz w:val="18"/>
          <w:szCs w:val="18"/>
          <w:highlight w:val="red"/>
        </w:rPr>
        <w:t>Иголкина Л. М.</w:t>
      </w:r>
      <w:r w:rsidRPr="004E0FC4">
        <w:rPr>
          <w:rFonts w:ascii="Bookman Old Style" w:eastAsia="Bookman Old Style" w:hAnsi="Bookman Old Style" w:cs="Bookman Old Style"/>
          <w:color w:val="231F20"/>
          <w:sz w:val="18"/>
          <w:szCs w:val="18"/>
          <w:highlight w:val="red"/>
        </w:rPr>
        <w:t xml:space="preserve"> Развитие взаимодействия государства и бизнеса в условиях смешанной экономики // Научно-технические ведомости СПБГПУ. Экономические науки. </w:t>
      </w:r>
      <w:r w:rsidRPr="004E0FC4">
        <w:rPr>
          <w:rFonts w:ascii="Bookman Old Style" w:eastAsia="Bookman Old Style" w:hAnsi="Bookman Old Style" w:cs="Bookman Old Style"/>
          <w:color w:val="FF0000"/>
          <w:sz w:val="18"/>
          <w:szCs w:val="18"/>
          <w:highlight w:val="red"/>
        </w:rPr>
        <w:t>2013. № 4. С. 342.</w:t>
      </w:r>
    </w:p>
    <w:p w14:paraId="6A616C5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highlight w:val="red"/>
        </w:rPr>
      </w:pPr>
    </w:p>
    <w:p w14:paraId="36859C3F" w14:textId="77777777" w:rsidR="00350396" w:rsidRPr="004E0FC4" w:rsidRDefault="00350396" w:rsidP="004E0FC4">
      <w:pPr>
        <w:widowControl w:val="0"/>
        <w:spacing w:line="240" w:lineRule="auto"/>
        <w:ind w:firstLine="0"/>
        <w:rPr>
          <w:rFonts w:ascii="Bookman Old Style" w:hAnsi="Bookman Old Style"/>
          <w:sz w:val="18"/>
          <w:szCs w:val="18"/>
          <w:highlight w:val="red"/>
        </w:rPr>
      </w:pPr>
    </w:p>
    <w:p w14:paraId="3EC7EC89"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Если анализировать использование ГЧП по странам, то в зави</w:t>
      </w:r>
      <w:r w:rsidRPr="004E0FC4">
        <w:rPr>
          <w:rFonts w:ascii="Bookman Old Style" w:eastAsia="Bookman Old Style" w:hAnsi="Bookman Old Style" w:cs="Bookman Old Style"/>
          <w:color w:val="231F20"/>
          <w:sz w:val="18"/>
          <w:szCs w:val="18"/>
          <w:highlight w:val="red"/>
        </w:rPr>
        <w:softHyphen/>
        <w:t xml:space="preserve">симости от уровня социально-экономического развития страны картина будет меняться. В странах «Большой семерки» на первом месте — </w:t>
      </w:r>
      <w:r w:rsidRPr="004E0FC4">
        <w:rPr>
          <w:rFonts w:ascii="Bookman Old Style" w:eastAsia="Bookman Old Style" w:hAnsi="Bookman Old Style" w:cs="Bookman Old Style"/>
          <w:color w:val="231F20"/>
          <w:sz w:val="18"/>
          <w:szCs w:val="18"/>
          <w:highlight w:val="red"/>
        </w:rPr>
        <w:lastRenderedPageBreak/>
        <w:t>здравоохранение, на втором — образование, на третьем — автомобильные дороги. Так, в США наиболее приоритетной от</w:t>
      </w:r>
      <w:r w:rsidRPr="004E0FC4">
        <w:rPr>
          <w:rFonts w:ascii="Bookman Old Style" w:eastAsia="Bookman Old Style" w:hAnsi="Bookman Old Style" w:cs="Bookman Old Style"/>
          <w:color w:val="231F20"/>
          <w:sz w:val="18"/>
          <w:szCs w:val="18"/>
          <w:highlight w:val="red"/>
        </w:rPr>
        <w:softHyphen/>
        <w:t>раслью являются автодороги, в Великобритании — здравоохране</w:t>
      </w:r>
      <w:r w:rsidRPr="004E0FC4">
        <w:rPr>
          <w:rFonts w:ascii="Bookman Old Style" w:eastAsia="Bookman Old Style" w:hAnsi="Bookman Old Style" w:cs="Bookman Old Style"/>
          <w:color w:val="231F20"/>
          <w:sz w:val="18"/>
          <w:szCs w:val="18"/>
          <w:highlight w:val="red"/>
        </w:rPr>
        <w:softHyphen/>
        <w:t>ние и образование, в Германии — образование, в Италии, Канаде и Франции — здравоохранение.</w:t>
      </w:r>
    </w:p>
    <w:p w14:paraId="16CA20D5"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Лидирующей отраслью по использованию успешно завершен</w:t>
      </w:r>
      <w:r w:rsidRPr="004E0FC4">
        <w:rPr>
          <w:rFonts w:ascii="Bookman Old Style" w:eastAsia="Bookman Old Style" w:hAnsi="Bookman Old Style" w:cs="Bookman Old Style"/>
          <w:color w:val="231F20"/>
          <w:sz w:val="18"/>
          <w:szCs w:val="18"/>
          <w:highlight w:val="red"/>
        </w:rPr>
        <w:softHyphen/>
        <w:t>ных ГЧП-проектов по другим развитым странам, таким как Ав</w:t>
      </w:r>
      <w:r w:rsidRPr="004E0FC4">
        <w:rPr>
          <w:rFonts w:ascii="Bookman Old Style" w:eastAsia="Bookman Old Style" w:hAnsi="Bookman Old Style" w:cs="Bookman Old Style"/>
          <w:color w:val="231F20"/>
          <w:sz w:val="18"/>
          <w:szCs w:val="18"/>
          <w:highlight w:val="red"/>
        </w:rPr>
        <w:softHyphen/>
        <w:t>стрия, Бельгия, Дания, Австралия, Израиль, а также Ирландия, Финляндия, Испания, Португалия, Греция, Южная Корея, Сингапур и др., является строительство дорог и только потом — образование и здравоохранение. Такая закономерность использования проектов ГЧП по отраслям прослеживается и в странах с переходной эконо</w:t>
      </w:r>
      <w:r w:rsidRPr="004E0FC4">
        <w:rPr>
          <w:rFonts w:ascii="Bookman Old Style" w:eastAsia="Bookman Old Style" w:hAnsi="Bookman Old Style" w:cs="Bookman Old Style"/>
          <w:color w:val="231F20"/>
          <w:sz w:val="18"/>
          <w:szCs w:val="18"/>
          <w:highlight w:val="red"/>
        </w:rPr>
        <w:softHyphen/>
        <w:t>микой, и в развивающихся странах: чем дальше страна находится по уровню своего развития от уровня стран «Большой семерки», тем больше проектов ГЧП реализуется по строительству дорог, тоннелей и мостов, аэропортов и тюрем</w:t>
      </w:r>
      <w:r w:rsidRPr="004E0FC4">
        <w:rPr>
          <w:rFonts w:ascii="Bookman Old Style" w:eastAsia="Bookman Old Style" w:hAnsi="Bookman Old Style" w:cs="Bookman Old Style"/>
          <w:color w:val="231F20"/>
          <w:sz w:val="18"/>
          <w:szCs w:val="18"/>
          <w:highlight w:val="red"/>
          <w:vertAlign w:val="superscript"/>
        </w:rPr>
        <w:footnoteReference w:id="107"/>
      </w:r>
      <w:r w:rsidRPr="004E0FC4">
        <w:rPr>
          <w:rFonts w:ascii="Bookman Old Style" w:eastAsia="Bookman Old Style" w:hAnsi="Bookman Old Style" w:cs="Bookman Old Style"/>
          <w:color w:val="231F20"/>
          <w:sz w:val="18"/>
          <w:szCs w:val="18"/>
          <w:highlight w:val="red"/>
        </w:rPr>
        <w:t>.</w:t>
      </w:r>
    </w:p>
    <w:p w14:paraId="635A55C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Таким образом, в развивающихся странах и странах с переход</w:t>
      </w:r>
      <w:r w:rsidRPr="004E0FC4">
        <w:rPr>
          <w:rFonts w:ascii="Bookman Old Style" w:eastAsia="Bookman Old Style" w:hAnsi="Bookman Old Style" w:cs="Bookman Old Style"/>
          <w:color w:val="231F20"/>
          <w:sz w:val="18"/>
          <w:szCs w:val="18"/>
          <w:highlight w:val="red"/>
        </w:rPr>
        <w:softHyphen/>
        <w:t>ной экономикой ГЧП в отраслях здравоохранения и образования (в отличие от автодорог) не будут приоритетными. Учитывая более низкий уровень экономического развития в этих странах, на пер</w:t>
      </w:r>
      <w:r w:rsidRPr="004E0FC4">
        <w:rPr>
          <w:rFonts w:ascii="Bookman Old Style" w:eastAsia="Bookman Old Style" w:hAnsi="Bookman Old Style" w:cs="Bookman Old Style"/>
          <w:color w:val="231F20"/>
          <w:sz w:val="18"/>
          <w:szCs w:val="18"/>
          <w:highlight w:val="red"/>
        </w:rPr>
        <w:softHyphen/>
        <w:t>вое место по приоритетности привлечения инвестиций с помощью ГЧП должна выйти транспортная инфраструктура. В странах с пе</w:t>
      </w:r>
      <w:r w:rsidRPr="004E0FC4">
        <w:rPr>
          <w:rFonts w:ascii="Bookman Old Style" w:eastAsia="Bookman Old Style" w:hAnsi="Bookman Old Style" w:cs="Bookman Old Style"/>
          <w:color w:val="231F20"/>
          <w:sz w:val="18"/>
          <w:szCs w:val="18"/>
          <w:highlight w:val="red"/>
        </w:rPr>
        <w:softHyphen/>
        <w:t>реходной экономикой, таких как страны Центральной и Восточной Европы (Болгария, Чехия, Венгрия, Хорватия, Польша, Румыния), Балтии (Латвия) и СНГ (Украина) по применению ГЧП лидируют автодороги, строительство мостов и тоннелей, легкого наземного метро, аэропортов.</w:t>
      </w:r>
    </w:p>
    <w:p w14:paraId="1B99C1A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В развивающихся странах — Индии, Бразилии, Чили, Гонконге, Мексике, Саудовской Аравии, Объединенных Арабских Эмиратах, как и в предыдущей группе стран на первом месте по количеству ГЧП находятся автодороги, на втором месте — аэропорты, тюрьмы и водоочистные сооружения. </w:t>
      </w:r>
    </w:p>
    <w:p w14:paraId="74A7285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В ряде восточноевропейских стран </w:t>
      </w:r>
      <w:r w:rsidRPr="004E0FC4">
        <w:rPr>
          <w:rFonts w:ascii="Bookman Old Style" w:eastAsia="Bookman Old Style" w:hAnsi="Bookman Old Style" w:cs="Bookman Old Style"/>
          <w:color w:val="231F20"/>
          <w:sz w:val="18"/>
          <w:szCs w:val="18"/>
          <w:highlight w:val="red"/>
        </w:rPr>
        <w:t>в отраслях транспортной ин</w:t>
      </w:r>
      <w:r w:rsidRPr="004E0FC4">
        <w:rPr>
          <w:rFonts w:ascii="Bookman Old Style" w:eastAsia="Bookman Old Style" w:hAnsi="Bookman Old Style" w:cs="Bookman Old Style"/>
          <w:color w:val="231F20"/>
          <w:sz w:val="18"/>
          <w:szCs w:val="18"/>
          <w:highlight w:val="red"/>
        </w:rPr>
        <w:softHyphen/>
        <w:t>фраструктуры и в городском хозяйстве</w:t>
      </w:r>
      <w:r w:rsidRPr="004E0FC4">
        <w:rPr>
          <w:rFonts w:ascii="Bookman Old Style" w:eastAsia="Bookman Old Style" w:hAnsi="Bookman Old Style" w:cs="Bookman Old Style"/>
          <w:color w:val="231F20"/>
          <w:sz w:val="18"/>
          <w:szCs w:val="18"/>
        </w:rPr>
        <w:t xml:space="preserve"> активно используются мето</w:t>
      </w:r>
      <w:r w:rsidRPr="004E0FC4">
        <w:rPr>
          <w:rFonts w:ascii="Bookman Old Style" w:eastAsia="Bookman Old Style" w:hAnsi="Bookman Old Style" w:cs="Bookman Old Style"/>
          <w:color w:val="231F20"/>
          <w:sz w:val="18"/>
          <w:szCs w:val="18"/>
        </w:rPr>
        <w:softHyphen/>
        <w:t>ды ГЧП. Причем конкретный опыт оказался неоднозначным: наря</w:t>
      </w:r>
      <w:r w:rsidRPr="004E0FC4">
        <w:rPr>
          <w:rFonts w:ascii="Bookman Old Style" w:eastAsia="Bookman Old Style" w:hAnsi="Bookman Old Style" w:cs="Bookman Old Style"/>
          <w:color w:val="231F20"/>
          <w:sz w:val="18"/>
          <w:szCs w:val="18"/>
        </w:rPr>
        <w:softHyphen/>
        <w:t>ду с успешными случаями имелись и случаи проблемных, не всегда удачных решений.</w:t>
      </w:r>
    </w:p>
    <w:p w14:paraId="4BC46BE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 xml:space="preserve">В рамках подготовки и проведения встреч </w:t>
      </w:r>
      <w:r w:rsidRPr="004E0FC4">
        <w:rPr>
          <w:rFonts w:ascii="Bookman Old Style" w:eastAsia="Bookman Old Style" w:hAnsi="Bookman Old Style" w:cs="Bookman Old Style"/>
          <w:color w:val="231F20"/>
          <w:sz w:val="18"/>
          <w:szCs w:val="18"/>
          <w:highlight w:val="green"/>
          <w:lang w:val="en-US"/>
        </w:rPr>
        <w:t>G</w:t>
      </w:r>
      <w:r w:rsidRPr="004E0FC4">
        <w:rPr>
          <w:rFonts w:ascii="Bookman Old Style" w:eastAsia="Bookman Old Style" w:hAnsi="Bookman Old Style" w:cs="Bookman Old Style"/>
          <w:color w:val="231F20"/>
          <w:sz w:val="18"/>
          <w:szCs w:val="18"/>
          <w:highlight w:val="green"/>
        </w:rPr>
        <w:t>20 под председательством Индонезии в 2022 году прошла утверждение так называемая Повестка InfraTech</w:t>
      </w:r>
      <w:r w:rsidRPr="004E0FC4">
        <w:rPr>
          <w:rFonts w:ascii="Bookman Old Style" w:eastAsia="Bookman Old Style" w:hAnsi="Bookman Old Style" w:cs="Bookman Old Style"/>
          <w:color w:val="231F20"/>
          <w:sz w:val="18"/>
          <w:szCs w:val="18"/>
        </w:rPr>
        <w:t xml:space="preserve">. </w:t>
      </w:r>
    </w:p>
    <w:p w14:paraId="496D2B8E"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InfraTech, как тема для Рабочей группы G20 по инфраструктуре (IWG), была иницирована во время председательства Саудовской Аравии в G20 с одобрения Повестки InfraTech G20 министрами финансов и управляющими центральными банками G20 в июле 2020 года. InfraTech определяется в этой Повестке как интеграция цифровых и нецифровых технологий с физической инфраструктурой для создания эффективных и устойчивых активов. Чтобы продолжить продвижение InfraTech, IWG попросила Global Infrastructure Hub (GIH) и Азиатский банк инфраструктурных инвестиций (AIIB) разработать план G20 для расширения финансирования и развития InfraTech. Проект представляет собой набор основанных на фактических данных добровольных действий для продвижения элементов Повестки</w:t>
      </w:r>
      <w:r w:rsidRPr="004E0FC4">
        <w:rPr>
          <w:rFonts w:ascii="Bookman Old Style" w:eastAsia="Bookman Old Style" w:hAnsi="Bookman Old Style" w:cs="Bookman Old Style"/>
          <w:color w:val="231F20"/>
          <w:sz w:val="18"/>
          <w:szCs w:val="18"/>
        </w:rPr>
        <w:t>:</w:t>
      </w:r>
    </w:p>
    <w:p w14:paraId="7C2CB2D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1. Государственные (национальные) и / или отраслевая предложения </w:t>
      </w:r>
      <w:r w:rsidRPr="004E0FC4">
        <w:rPr>
          <w:rFonts w:ascii="Bookman Old Style" w:eastAsia="Bookman Old Style" w:hAnsi="Bookman Old Style" w:cs="Bookman Old Style"/>
          <w:color w:val="231F20"/>
          <w:sz w:val="18"/>
          <w:szCs w:val="18"/>
          <w:highlight w:val="green"/>
        </w:rPr>
        <w:lastRenderedPageBreak/>
        <w:t xml:space="preserve">по стратегии InfraTech. </w:t>
      </w:r>
    </w:p>
    <w:p w14:paraId="59D69EA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2. Инновационные инструменты и политика закупок </w:t>
      </w:r>
    </w:p>
    <w:p w14:paraId="19923D5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3. Инновационные модели доставки </w:t>
      </w:r>
    </w:p>
    <w:p w14:paraId="1A4750E7"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4. Новая платформа для экосистемы InfraTech </w:t>
      </w:r>
    </w:p>
    <w:p w14:paraId="3CF766CA"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5. Платформа данных или цифровой двойник </w:t>
      </w:r>
    </w:p>
    <w:p w14:paraId="7A2F280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6. Меры кибербезопасности и конфиденциальности </w:t>
      </w:r>
    </w:p>
    <w:p w14:paraId="7E205E4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7. Государственные инвестиции </w:t>
      </w:r>
    </w:p>
    <w:p w14:paraId="3ACE993F"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8. Инновационные фонды, платформы и механизмы снижения рисков</w:t>
      </w:r>
    </w:p>
    <w:p w14:paraId="22D9E7A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Для поддержки программ стран G20, направленных на «устойчивое и инклюзивное развитие инфраструктуры» был создан портал Global Infrastructure Hub (GIH), где имеются в частности данные и по России</w:t>
      </w:r>
      <w:r w:rsidRPr="004E0FC4">
        <w:rPr>
          <w:rFonts w:ascii="Bookman Old Style" w:eastAsia="Bookman Old Style" w:hAnsi="Bookman Old Style" w:cs="Bookman Old Style"/>
          <w:color w:val="231F20"/>
          <w:sz w:val="18"/>
          <w:szCs w:val="18"/>
          <w:highlight w:val="green"/>
        </w:rPr>
        <w:footnoteReference w:id="108"/>
      </w:r>
      <w:r w:rsidRPr="004E0FC4">
        <w:rPr>
          <w:rFonts w:ascii="Bookman Old Style" w:eastAsia="Bookman Old Style" w:hAnsi="Bookman Old Style" w:cs="Bookman Old Style"/>
          <w:color w:val="231F20"/>
          <w:sz w:val="18"/>
          <w:szCs w:val="18"/>
          <w:highlight w:val="green"/>
        </w:rPr>
        <w:t>. Для оценки целесообразности реализации инфраструктурных проектов по модели ГЧП по критерию эффективности используют расчёт показателя VfM (Value for Money), являющемуся одним из ключевых критериев для запуска проектов ГЧП за рубежом.</w:t>
      </w:r>
    </w:p>
    <w:p w14:paraId="1C99668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p>
    <w:p w14:paraId="43FF605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p>
    <w:p w14:paraId="371F1FBA"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 целом согласно мировому опыту государство организует ре</w:t>
      </w:r>
      <w:r w:rsidRPr="004E0FC4">
        <w:rPr>
          <w:rFonts w:ascii="Bookman Old Style" w:eastAsia="Bookman Old Style" w:hAnsi="Bookman Old Style" w:cs="Bookman Old Style"/>
          <w:color w:val="231F20"/>
          <w:sz w:val="18"/>
          <w:szCs w:val="18"/>
          <w:highlight w:val="red"/>
        </w:rPr>
        <w:softHyphen/>
        <w:t>гулирующую деятельность в сфере партнерства с частным бизне</w:t>
      </w:r>
      <w:r w:rsidRPr="004E0FC4">
        <w:rPr>
          <w:rFonts w:ascii="Bookman Old Style" w:eastAsia="Bookman Old Style" w:hAnsi="Bookman Old Style" w:cs="Bookman Old Style"/>
          <w:color w:val="231F20"/>
          <w:sz w:val="18"/>
          <w:szCs w:val="18"/>
          <w:highlight w:val="red"/>
        </w:rPr>
        <w:softHyphen/>
        <w:t xml:space="preserve">сом в трех направлениях. Во-первых, оно вырабатывает стратегию </w:t>
      </w:r>
      <w:bookmarkStart w:id="65" w:name="bookmark59"/>
      <w:r w:rsidRPr="004E0FC4">
        <w:rPr>
          <w:rFonts w:ascii="Bookman Old Style" w:eastAsia="Bookman Old Style" w:hAnsi="Bookman Old Style" w:cs="Bookman Old Style"/>
          <w:color w:val="231F20"/>
          <w:sz w:val="18"/>
          <w:szCs w:val="18"/>
          <w:highlight w:val="red"/>
        </w:rPr>
        <w:t>и принципы, на которых действуют отношения бизнеса с обще</w:t>
      </w:r>
      <w:r w:rsidRPr="004E0FC4">
        <w:rPr>
          <w:rFonts w:ascii="Bookman Old Style" w:eastAsia="Bookman Old Style" w:hAnsi="Bookman Old Style" w:cs="Bookman Old Style"/>
          <w:color w:val="231F20"/>
          <w:sz w:val="18"/>
          <w:szCs w:val="18"/>
          <w:highlight w:val="red"/>
        </w:rPr>
        <w:softHyphen/>
        <w:t>ством в целом и с публичной властью в частности. Во-вторых, оно формирует институциональную среду для разработки и реализации партнерских проектов. В-третьих, оно непосредственно занимает</w:t>
      </w:r>
      <w:r w:rsidRPr="004E0FC4">
        <w:rPr>
          <w:rFonts w:ascii="Bookman Old Style" w:eastAsia="Bookman Old Style" w:hAnsi="Bookman Old Style" w:cs="Bookman Old Style"/>
          <w:color w:val="231F20"/>
          <w:sz w:val="18"/>
          <w:szCs w:val="18"/>
          <w:highlight w:val="red"/>
        </w:rPr>
        <w:softHyphen/>
        <w:t>ся организацией и управлением государственно-частного партнер</w:t>
      </w:r>
      <w:r w:rsidRPr="004E0FC4">
        <w:rPr>
          <w:rFonts w:ascii="Bookman Old Style" w:eastAsia="Bookman Old Style" w:hAnsi="Bookman Old Style" w:cs="Bookman Old Style"/>
          <w:color w:val="231F20"/>
          <w:sz w:val="18"/>
          <w:szCs w:val="18"/>
          <w:highlight w:val="red"/>
        </w:rPr>
        <w:softHyphen/>
        <w:t>ства, разрабатывает его формы и методы, а также конкретные ме</w:t>
      </w:r>
      <w:r w:rsidRPr="004E0FC4">
        <w:rPr>
          <w:rFonts w:ascii="Bookman Old Style" w:eastAsia="Bookman Old Style" w:hAnsi="Bookman Old Style" w:cs="Bookman Old Style"/>
          <w:color w:val="231F20"/>
          <w:sz w:val="18"/>
          <w:szCs w:val="18"/>
          <w:highlight w:val="red"/>
        </w:rPr>
        <w:softHyphen/>
        <w:t>ханизмы.</w:t>
      </w:r>
      <w:bookmarkEnd w:id="65"/>
    </w:p>
    <w:p w14:paraId="4010F8A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Контрольные и регулирующие функции в сфере ГЧП от имени го</w:t>
      </w:r>
      <w:r w:rsidRPr="004E0FC4">
        <w:rPr>
          <w:rFonts w:ascii="Bookman Old Style" w:eastAsia="Bookman Old Style" w:hAnsi="Bookman Old Style" w:cs="Bookman Old Style"/>
          <w:color w:val="231F20"/>
          <w:sz w:val="18"/>
          <w:szCs w:val="18"/>
          <w:highlight w:val="red"/>
        </w:rPr>
        <w:softHyphen/>
        <w:t>сударства могут осуществляться либо профильными министерства</w:t>
      </w:r>
      <w:r w:rsidRPr="004E0FC4">
        <w:rPr>
          <w:rFonts w:ascii="Bookman Old Style" w:eastAsia="Bookman Old Style" w:hAnsi="Bookman Old Style" w:cs="Bookman Old Style"/>
          <w:color w:val="231F20"/>
          <w:sz w:val="18"/>
          <w:szCs w:val="18"/>
          <w:highlight w:val="red"/>
        </w:rPr>
        <w:softHyphen/>
        <w:t>ми и ведомствами, либо специально уполномоченными органами. При этом специальные агентства могут создаваться государством для каждой отрасли экономики, в которой развиваются партнер</w:t>
      </w:r>
      <w:r w:rsidRPr="004E0FC4">
        <w:rPr>
          <w:rFonts w:ascii="Bookman Old Style" w:eastAsia="Bookman Old Style" w:hAnsi="Bookman Old Style" w:cs="Bookman Old Style"/>
          <w:color w:val="231F20"/>
          <w:sz w:val="18"/>
          <w:szCs w:val="18"/>
          <w:highlight w:val="red"/>
        </w:rPr>
        <w:softHyphen/>
        <w:t>ства, главным образом концессии (например, в Польше созданы со</w:t>
      </w:r>
      <w:r w:rsidRPr="004E0FC4">
        <w:rPr>
          <w:rFonts w:ascii="Bookman Old Style" w:eastAsia="Bookman Old Style" w:hAnsi="Bookman Old Style" w:cs="Bookman Old Style"/>
          <w:color w:val="231F20"/>
          <w:sz w:val="18"/>
          <w:szCs w:val="18"/>
          <w:highlight w:val="red"/>
        </w:rPr>
        <w:softHyphen/>
        <w:t>ответствующие институциональные структуры отдельно для авто</w:t>
      </w:r>
      <w:r w:rsidRPr="004E0FC4">
        <w:rPr>
          <w:rFonts w:ascii="Bookman Old Style" w:eastAsia="Bookman Old Style" w:hAnsi="Bookman Old Style" w:cs="Bookman Old Style"/>
          <w:color w:val="231F20"/>
          <w:sz w:val="18"/>
          <w:szCs w:val="18"/>
          <w:highlight w:val="red"/>
        </w:rPr>
        <w:softHyphen/>
        <w:t>мобильных, железных дорог, электроэнергетики, лесного хозяйства и др.). Государство может также создать единый агентский орган для всех или для большинства секторов экономики, как, например, в Сербии, Хорватии.</w:t>
      </w:r>
    </w:p>
    <w:p w14:paraId="66206048" w14:textId="77777777" w:rsidR="00350396" w:rsidRPr="004E0FC4" w:rsidRDefault="00350396" w:rsidP="004E0FC4">
      <w:pPr>
        <w:widowControl w:val="0"/>
        <w:spacing w:after="415"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Из стран бывшего СССР законы о ГЧП </w:t>
      </w:r>
      <w:r w:rsidRPr="004E0FC4">
        <w:rPr>
          <w:rFonts w:ascii="Bookman Old Style" w:eastAsia="Bookman Old Style" w:hAnsi="Bookman Old Style" w:cs="Bookman Old Style"/>
          <w:color w:val="231F20"/>
          <w:sz w:val="18"/>
          <w:szCs w:val="18"/>
          <w:highlight w:val="green"/>
        </w:rPr>
        <w:t>были</w:t>
      </w:r>
      <w:r w:rsidRPr="004E0FC4">
        <w:rPr>
          <w:rFonts w:ascii="Bookman Old Style" w:eastAsia="Bookman Old Style" w:hAnsi="Bookman Old Style" w:cs="Bookman Old Style"/>
          <w:color w:val="231F20"/>
          <w:sz w:val="18"/>
          <w:szCs w:val="18"/>
        </w:rPr>
        <w:t xml:space="preserve"> приняты в Украине, Молдове, </w:t>
      </w:r>
      <w:r w:rsidRPr="004E0FC4">
        <w:rPr>
          <w:rFonts w:ascii="Bookman Old Style" w:eastAsia="Bookman Old Style" w:hAnsi="Bookman Old Style" w:cs="Bookman Old Style"/>
          <w:color w:val="231F20"/>
          <w:sz w:val="18"/>
          <w:szCs w:val="18"/>
          <w:highlight w:val="green"/>
        </w:rPr>
        <w:t>Таджикистане (2012),</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Казахстане (2015)</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затем</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Кыргызстане,</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в 2019 г.</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 xml:space="preserve"> в Армении </w:t>
      </w:r>
      <w:r w:rsidRPr="004E0FC4">
        <w:rPr>
          <w:rFonts w:ascii="Bookman Old Style" w:eastAsia="Bookman Old Style" w:hAnsi="Bookman Old Style" w:cs="Bookman Old Style"/>
          <w:color w:val="231F20"/>
          <w:sz w:val="18"/>
          <w:szCs w:val="18"/>
          <w:highlight w:val="green"/>
        </w:rPr>
        <w:t>и Узбекистане</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(2019),</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в Кыргызстане и Туркменистане (2021).</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В других странах СНГ существуют отдельные акты, регулирующие различные формы ГЧП</w:t>
      </w:r>
      <w:r w:rsidRPr="004E0FC4">
        <w:rPr>
          <w:rFonts w:ascii="Bookman Old Style" w:eastAsia="Bookman Old Style" w:hAnsi="Bookman Old Style" w:cs="Bookman Old Style"/>
          <w:color w:val="231F20"/>
          <w:sz w:val="18"/>
          <w:szCs w:val="18"/>
        </w:rPr>
        <w:t>.</w:t>
      </w:r>
    </w:p>
    <w:p w14:paraId="031A91C9"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66" w:name="bookmark60"/>
      <w:bookmarkStart w:id="67" w:name="_Toc118131269"/>
      <w:r w:rsidRPr="004E0FC4">
        <w:rPr>
          <w:rFonts w:ascii="Bookman Old Style" w:eastAsia="Arial Narrow" w:hAnsi="Bookman Old Style" w:cs="Arial Narrow"/>
          <w:i/>
          <w:iCs/>
          <w:color w:val="231F20"/>
          <w:sz w:val="18"/>
          <w:szCs w:val="18"/>
        </w:rPr>
        <w:t xml:space="preserve">4.7. </w:t>
      </w:r>
      <w:r w:rsidRPr="004E0FC4">
        <w:rPr>
          <w:rFonts w:ascii="Bookman Old Style" w:eastAsia="Arial Narrow" w:hAnsi="Bookman Old Style" w:cs="Arial Narrow"/>
          <w:b/>
          <w:bCs/>
          <w:i/>
          <w:iCs/>
          <w:color w:val="231F20"/>
          <w:sz w:val="18"/>
          <w:szCs w:val="18"/>
        </w:rPr>
        <w:t>Государственно-частное партнерство в России: современный опыт</w:t>
      </w:r>
      <w:bookmarkEnd w:id="66"/>
      <w:bookmarkEnd w:id="67"/>
    </w:p>
    <w:p w14:paraId="2D57878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Современный этап развития ГЧП в России начинается с реали</w:t>
      </w:r>
      <w:r w:rsidRPr="004E0FC4">
        <w:rPr>
          <w:rFonts w:ascii="Bookman Old Style" w:eastAsia="Bookman Old Style" w:hAnsi="Bookman Old Style" w:cs="Bookman Old Style"/>
          <w:color w:val="231F20"/>
          <w:sz w:val="18"/>
          <w:szCs w:val="18"/>
        </w:rPr>
        <w:softHyphen/>
        <w:t>зацией ряда соглашений о разделе продукции в 1990-х гг., в то вре</w:t>
      </w:r>
      <w:r w:rsidRPr="004E0FC4">
        <w:rPr>
          <w:rFonts w:ascii="Bookman Old Style" w:eastAsia="Bookman Old Style" w:hAnsi="Bookman Old Style" w:cs="Bookman Old Style"/>
          <w:color w:val="231F20"/>
          <w:sz w:val="18"/>
          <w:szCs w:val="18"/>
        </w:rPr>
        <w:softHyphen/>
        <w:t xml:space="preserve">мя как ряд исторических примеров, включая концессии 1920-х гг., кратко описаны в </w:t>
      </w:r>
      <w:r w:rsidRPr="004E0FC4">
        <w:rPr>
          <w:rFonts w:ascii="Bookman Old Style" w:eastAsia="Bookman Old Style" w:hAnsi="Bookman Old Style" w:cs="Bookman Old Style"/>
          <w:color w:val="231F20"/>
          <w:sz w:val="18"/>
          <w:szCs w:val="18"/>
          <w:highlight w:val="green"/>
        </w:rPr>
        <w:t>разделе</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параграфе</w:t>
      </w:r>
      <w:r w:rsidRPr="004E0FC4">
        <w:rPr>
          <w:rFonts w:ascii="Bookman Old Style" w:eastAsia="Bookman Old Style" w:hAnsi="Bookman Old Style" w:cs="Bookman Old Style"/>
          <w:color w:val="231F20"/>
          <w:sz w:val="18"/>
          <w:szCs w:val="18"/>
        </w:rPr>
        <w:t xml:space="preserve"> 1.1. В научной литературе проблемы ГЧП активно </w:t>
      </w:r>
      <w:r w:rsidRPr="004E0FC4">
        <w:rPr>
          <w:rFonts w:ascii="Bookman Old Style" w:eastAsia="Bookman Old Style" w:hAnsi="Bookman Old Style" w:cs="Bookman Old Style"/>
          <w:color w:val="231F20"/>
          <w:sz w:val="18"/>
          <w:szCs w:val="18"/>
        </w:rPr>
        <w:lastRenderedPageBreak/>
        <w:t xml:space="preserve">прорабатываются с начала 2000-х гг., практическое применение обусловлено принятием Закона о концессиях в 2005 г., </w:t>
      </w:r>
      <w:r w:rsidRPr="004E0FC4">
        <w:rPr>
          <w:rFonts w:ascii="Bookman Old Style" w:eastAsia="Bookman Old Style" w:hAnsi="Bookman Old Style" w:cs="Bookman Old Style"/>
          <w:color w:val="231F20"/>
          <w:sz w:val="18"/>
          <w:szCs w:val="18"/>
          <w:highlight w:val="green"/>
        </w:rPr>
        <w:t>Закона о ГЧП в 2015 г.</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а также</w:t>
      </w:r>
      <w:r w:rsidRPr="004E0FC4">
        <w:rPr>
          <w:rFonts w:ascii="Bookman Old Style" w:eastAsia="Bookman Old Style" w:hAnsi="Bookman Old Style" w:cs="Bookman Old Style"/>
          <w:color w:val="231F20"/>
          <w:sz w:val="18"/>
          <w:szCs w:val="18"/>
        </w:rPr>
        <w:t xml:space="preserve"> ряда региональных законов о ГЧП</w:t>
      </w:r>
      <w:r w:rsidRPr="004E0FC4">
        <w:rPr>
          <w:rFonts w:ascii="Bookman Old Style" w:eastAsia="Bookman Old Style" w:hAnsi="Bookman Old Style" w:cs="Bookman Old Style"/>
          <w:color w:val="231F20"/>
          <w:sz w:val="18"/>
          <w:szCs w:val="18"/>
          <w:highlight w:val="green"/>
        </w:rPr>
        <w:t>, принятых</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и изменённых</w:t>
      </w:r>
      <w:r w:rsidRPr="004E0FC4">
        <w:rPr>
          <w:rFonts w:ascii="Bookman Old Style" w:eastAsia="Bookman Old Style" w:hAnsi="Bookman Old Style" w:cs="Bookman Old Style"/>
          <w:color w:val="231F20"/>
          <w:sz w:val="18"/>
          <w:szCs w:val="18"/>
        </w:rPr>
        <w:t xml:space="preserve"> в 2002—</w:t>
      </w:r>
      <w:r w:rsidRPr="004E0FC4">
        <w:rPr>
          <w:rFonts w:ascii="Bookman Old Style" w:eastAsia="Bookman Old Style" w:hAnsi="Bookman Old Style" w:cs="Bookman Old Style"/>
          <w:color w:val="231F20"/>
          <w:sz w:val="18"/>
          <w:szCs w:val="18"/>
          <w:highlight w:val="green"/>
        </w:rPr>
        <w:t>2021 годах.</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и</w:t>
      </w:r>
      <w:r w:rsidRPr="004E0FC4">
        <w:rPr>
          <w:rFonts w:ascii="Bookman Old Style" w:hAnsi="Bookman Old Style"/>
          <w:sz w:val="18"/>
          <w:szCs w:val="18"/>
          <w:highlight w:val="red"/>
        </w:rPr>
        <w:t xml:space="preserve"> </w:t>
      </w:r>
      <w:r w:rsidRPr="004E0FC4">
        <w:rPr>
          <w:rFonts w:ascii="Bookman Old Style" w:eastAsia="Bookman Old Style" w:hAnsi="Bookman Old Style" w:cs="Bookman Old Style"/>
          <w:color w:val="231F20"/>
          <w:sz w:val="18"/>
          <w:szCs w:val="18"/>
          <w:highlight w:val="red"/>
        </w:rPr>
        <w:t>Закона о ГЧП в 2015 г.</w:t>
      </w:r>
    </w:p>
    <w:p w14:paraId="11F68EF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Приоритетными сферами применения ГЧП в период 2000—2010-х гг. выступали:</w:t>
      </w:r>
    </w:p>
    <w:p w14:paraId="3AD7C3E5" w14:textId="77777777" w:rsidR="00350396" w:rsidRPr="004E0FC4" w:rsidRDefault="00350396" w:rsidP="004E0FC4">
      <w:pPr>
        <w:widowControl w:val="0"/>
        <w:numPr>
          <w:ilvl w:val="0"/>
          <w:numId w:val="61"/>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развитие транспортной инфраструктуры, в первую очередь автодорог;</w:t>
      </w:r>
    </w:p>
    <w:p w14:paraId="0282EF14" w14:textId="77777777" w:rsidR="00350396" w:rsidRPr="004E0FC4" w:rsidRDefault="00350396" w:rsidP="004E0FC4">
      <w:pPr>
        <w:widowControl w:val="0"/>
        <w:numPr>
          <w:ilvl w:val="0"/>
          <w:numId w:val="61"/>
        </w:numPr>
        <w:tabs>
          <w:tab w:val="left" w:pos="67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жилищно-коммунальное и энергетическое хозяйство;</w:t>
      </w:r>
    </w:p>
    <w:p w14:paraId="741A7F4B" w14:textId="77777777" w:rsidR="00350396" w:rsidRPr="004E0FC4" w:rsidRDefault="00350396" w:rsidP="004E0FC4">
      <w:pPr>
        <w:widowControl w:val="0"/>
        <w:numPr>
          <w:ilvl w:val="0"/>
          <w:numId w:val="61"/>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здравоохранение и социальные услуги (образование, культу</w:t>
      </w:r>
      <w:r w:rsidRPr="004E0FC4">
        <w:rPr>
          <w:rFonts w:ascii="Bookman Old Style" w:eastAsia="Bookman Old Style" w:hAnsi="Bookman Old Style" w:cs="Bookman Old Style"/>
          <w:color w:val="231F20"/>
          <w:sz w:val="18"/>
          <w:szCs w:val="18"/>
        </w:rPr>
        <w:softHyphen/>
        <w:t>ра, спорт и туризм);</w:t>
      </w:r>
    </w:p>
    <w:p w14:paraId="379266D2" w14:textId="77777777" w:rsidR="00350396" w:rsidRPr="004E0FC4" w:rsidRDefault="00350396" w:rsidP="004E0FC4">
      <w:pPr>
        <w:widowControl w:val="0"/>
        <w:numPr>
          <w:ilvl w:val="0"/>
          <w:numId w:val="61"/>
        </w:numPr>
        <w:tabs>
          <w:tab w:val="left" w:pos="67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развитие </w:t>
      </w:r>
      <w:r w:rsidRPr="004E0FC4">
        <w:rPr>
          <w:rFonts w:ascii="Bookman Old Style" w:eastAsia="Bookman Old Style" w:hAnsi="Bookman Old Style" w:cs="Bookman Old Style"/>
          <w:color w:val="231F20"/>
          <w:sz w:val="18"/>
          <w:szCs w:val="18"/>
          <w:lang w:val="en-US" w:eastAsia="en-US" w:bidi="en-US"/>
        </w:rPr>
        <w:t>IT</w:t>
      </w:r>
      <w:r w:rsidRPr="004E0FC4">
        <w:rPr>
          <w:rFonts w:ascii="Bookman Old Style" w:eastAsia="Bookman Old Style" w:hAnsi="Bookman Old Style" w:cs="Bookman Old Style"/>
          <w:color w:val="231F20"/>
          <w:sz w:val="18"/>
          <w:szCs w:val="18"/>
        </w:rPr>
        <w:t>-инфраструктуры.</w:t>
      </w:r>
    </w:p>
    <w:p w14:paraId="067F598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Перспективными сферами считаются:</w:t>
      </w:r>
    </w:p>
    <w:p w14:paraId="5E9AAF0A" w14:textId="77777777" w:rsidR="00350396" w:rsidRPr="004E0FC4" w:rsidRDefault="00350396" w:rsidP="004E0FC4">
      <w:pPr>
        <w:widowControl w:val="0"/>
        <w:numPr>
          <w:ilvl w:val="0"/>
          <w:numId w:val="61"/>
        </w:numPr>
        <w:tabs>
          <w:tab w:val="left" w:pos="64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финансирование научных исследований, имеющих перспек</w:t>
      </w:r>
      <w:r w:rsidRPr="004E0FC4">
        <w:rPr>
          <w:rFonts w:ascii="Bookman Old Style" w:eastAsia="Bookman Old Style" w:hAnsi="Bookman Old Style" w:cs="Bookman Old Style"/>
          <w:color w:val="231F20"/>
          <w:sz w:val="18"/>
          <w:szCs w:val="18"/>
        </w:rPr>
        <w:softHyphen/>
        <w:t>тивы коммерциализации;</w:t>
      </w:r>
    </w:p>
    <w:p w14:paraId="6F39FD67" w14:textId="77777777" w:rsidR="00350396" w:rsidRPr="004E0FC4" w:rsidRDefault="00350396" w:rsidP="004E0FC4">
      <w:pPr>
        <w:widowControl w:val="0"/>
        <w:numPr>
          <w:ilvl w:val="0"/>
          <w:numId w:val="61"/>
        </w:numPr>
        <w:tabs>
          <w:tab w:val="left" w:pos="633"/>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развитие инновационной и производственной инфраструк</w:t>
      </w:r>
      <w:r w:rsidRPr="004E0FC4">
        <w:rPr>
          <w:rFonts w:ascii="Bookman Old Style" w:eastAsia="Bookman Old Style" w:hAnsi="Bookman Old Style" w:cs="Bookman Old Style"/>
          <w:color w:val="231F20"/>
          <w:sz w:val="18"/>
          <w:szCs w:val="18"/>
        </w:rPr>
        <w:softHyphen/>
        <w:t>туры;</w:t>
      </w:r>
    </w:p>
    <w:p w14:paraId="1EBB5267" w14:textId="77777777" w:rsidR="00350396" w:rsidRPr="004E0FC4" w:rsidRDefault="00350396" w:rsidP="004E0FC4">
      <w:pPr>
        <w:widowControl w:val="0"/>
        <w:numPr>
          <w:ilvl w:val="0"/>
          <w:numId w:val="61"/>
        </w:numPr>
        <w:tabs>
          <w:tab w:val="left" w:pos="67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негосударственные пенсионные фонды.</w:t>
      </w:r>
    </w:p>
    <w:p w14:paraId="1355082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России </w:t>
      </w:r>
      <w:r w:rsidRPr="004E0FC4">
        <w:rPr>
          <w:rFonts w:ascii="Bookman Old Style" w:eastAsia="Bookman Old Style" w:hAnsi="Bookman Old Style" w:cs="Bookman Old Style"/>
          <w:color w:val="auto"/>
          <w:sz w:val="18"/>
          <w:szCs w:val="18"/>
        </w:rPr>
        <w:t>на сентябрь 20</w:t>
      </w:r>
      <w:r w:rsidRPr="004E0FC4">
        <w:rPr>
          <w:rFonts w:ascii="Bookman Old Style" w:eastAsia="Bookman Old Style" w:hAnsi="Bookman Old Style" w:cs="Bookman Old Style"/>
          <w:color w:val="auto"/>
          <w:sz w:val="18"/>
          <w:szCs w:val="18"/>
          <w:highlight w:val="green"/>
        </w:rPr>
        <w:t>22</w:t>
      </w:r>
      <w:r w:rsidRPr="004E0FC4">
        <w:rPr>
          <w:rFonts w:ascii="Bookman Old Style" w:eastAsia="Bookman Old Style" w:hAnsi="Bookman Old Style" w:cs="Bookman Old Style"/>
          <w:color w:val="auto"/>
          <w:sz w:val="18"/>
          <w:szCs w:val="18"/>
        </w:rPr>
        <w:t xml:space="preserve"> </w:t>
      </w:r>
      <w:r w:rsidRPr="004E0FC4">
        <w:rPr>
          <w:rFonts w:ascii="Bookman Old Style" w:eastAsia="Bookman Old Style" w:hAnsi="Bookman Old Style" w:cs="Bookman Old Style"/>
          <w:color w:val="auto"/>
          <w:sz w:val="18"/>
          <w:szCs w:val="18"/>
          <w:highlight w:val="green"/>
        </w:rPr>
        <w:t>года</w:t>
      </w:r>
      <w:r w:rsidRPr="004E0FC4">
        <w:rPr>
          <w:rFonts w:ascii="Bookman Old Style" w:eastAsia="Bookman Old Style" w:hAnsi="Bookman Old Style" w:cs="Bookman Old Style"/>
          <w:color w:val="231F20"/>
          <w:sz w:val="18"/>
          <w:szCs w:val="18"/>
        </w:rPr>
        <w:t xml:space="preserve"> реализуется </w:t>
      </w:r>
      <w:r w:rsidRPr="004E0FC4">
        <w:rPr>
          <w:rFonts w:ascii="Bookman Old Style" w:eastAsia="Bookman Old Style" w:hAnsi="Bookman Old Style" w:cs="Bookman Old Style"/>
          <w:color w:val="231F20"/>
          <w:sz w:val="18"/>
          <w:szCs w:val="18"/>
          <w:highlight w:val="green"/>
        </w:rPr>
        <w:t>более 3700</w:t>
      </w:r>
      <w:r w:rsidRPr="004E0FC4">
        <w:rPr>
          <w:rFonts w:ascii="Bookman Old Style" w:eastAsia="Bookman Old Style" w:hAnsi="Bookman Old Style" w:cs="Bookman Old Style"/>
          <w:color w:val="231F20"/>
          <w:sz w:val="18"/>
          <w:szCs w:val="18"/>
        </w:rPr>
        <w:t xml:space="preserve"> проектов ГЧП, из ко</w:t>
      </w:r>
      <w:r w:rsidRPr="004E0FC4">
        <w:rPr>
          <w:rFonts w:ascii="Bookman Old Style" w:eastAsia="Bookman Old Style" w:hAnsi="Bookman Old Style" w:cs="Bookman Old Style"/>
          <w:color w:val="231F20"/>
          <w:sz w:val="18"/>
          <w:szCs w:val="18"/>
        </w:rPr>
        <w:softHyphen/>
        <w:t xml:space="preserve">торых </w:t>
      </w:r>
      <w:r w:rsidRPr="004E0FC4">
        <w:rPr>
          <w:rFonts w:ascii="Bookman Old Style" w:eastAsia="Bookman Old Style" w:hAnsi="Bookman Old Style" w:cs="Bookman Old Style"/>
          <w:color w:val="231F20"/>
          <w:sz w:val="18"/>
          <w:szCs w:val="18"/>
          <w:highlight w:val="green"/>
        </w:rPr>
        <w:t>37</w:t>
      </w:r>
      <w:r w:rsidRPr="004E0FC4">
        <w:rPr>
          <w:rFonts w:ascii="Bookman Old Style" w:eastAsia="Bookman Old Style" w:hAnsi="Bookman Old Style" w:cs="Bookman Old Style"/>
          <w:color w:val="231F20"/>
          <w:sz w:val="18"/>
          <w:szCs w:val="18"/>
        </w:rPr>
        <w:t xml:space="preserve"> — федерального, </w:t>
      </w:r>
      <w:r w:rsidRPr="004E0FC4">
        <w:rPr>
          <w:rFonts w:ascii="Bookman Old Style" w:eastAsia="Bookman Old Style" w:hAnsi="Bookman Old Style" w:cs="Bookman Old Style"/>
          <w:color w:val="231F20"/>
          <w:sz w:val="18"/>
          <w:szCs w:val="18"/>
          <w:highlight w:val="green"/>
        </w:rPr>
        <w:t>543</w:t>
      </w:r>
      <w:r w:rsidRPr="004E0FC4">
        <w:rPr>
          <w:rFonts w:ascii="Bookman Old Style" w:eastAsia="Bookman Old Style" w:hAnsi="Bookman Old Style" w:cs="Bookman Old Style"/>
          <w:color w:val="231F20"/>
          <w:sz w:val="18"/>
          <w:szCs w:val="18"/>
        </w:rPr>
        <w:t xml:space="preserve"> — регионального, около 3</w:t>
      </w:r>
      <w:r w:rsidRPr="004E0FC4">
        <w:rPr>
          <w:rFonts w:ascii="Bookman Old Style" w:eastAsia="Bookman Old Style" w:hAnsi="Bookman Old Style" w:cs="Bookman Old Style"/>
          <w:color w:val="231F20"/>
          <w:sz w:val="18"/>
          <w:szCs w:val="18"/>
          <w:highlight w:val="green"/>
        </w:rPr>
        <w:t>15</w:t>
      </w:r>
      <w:r w:rsidRPr="004E0FC4">
        <w:rPr>
          <w:rFonts w:ascii="Bookman Old Style" w:eastAsia="Bookman Old Style" w:hAnsi="Bookman Old Style" w:cs="Bookman Old Style"/>
          <w:color w:val="231F20"/>
          <w:sz w:val="18"/>
          <w:szCs w:val="18"/>
        </w:rPr>
        <w:t>0 — му</w:t>
      </w:r>
      <w:r w:rsidRPr="004E0FC4">
        <w:rPr>
          <w:rFonts w:ascii="Bookman Old Style" w:eastAsia="Bookman Old Style" w:hAnsi="Bookman Old Style" w:cs="Bookman Old Style"/>
          <w:color w:val="231F20"/>
          <w:sz w:val="18"/>
          <w:szCs w:val="18"/>
        </w:rPr>
        <w:softHyphen/>
        <w:t>ниципального уровней.</w:t>
      </w:r>
    </w:p>
    <w:p w14:paraId="40272FC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green"/>
        </w:rPr>
        <w:t>По данным за период декабрь 2018 - сентябрь 2022 годов, н</w:t>
      </w:r>
      <w:r w:rsidRPr="004E0FC4">
        <w:rPr>
          <w:rFonts w:ascii="Bookman Old Style" w:eastAsia="Bookman Old Style" w:hAnsi="Bookman Old Style" w:cs="Bookman Old Style"/>
          <w:color w:val="231F20"/>
          <w:sz w:val="18"/>
          <w:szCs w:val="18"/>
        </w:rPr>
        <w:t>аибольшую часть вложенных частных средств аккумулируют проекты в отраслях транспортной инфраструктуры (</w:t>
      </w:r>
      <w:r w:rsidRPr="004E0FC4">
        <w:rPr>
          <w:rFonts w:ascii="Bookman Old Style" w:eastAsia="Bookman Old Style" w:hAnsi="Bookman Old Style" w:cs="Bookman Old Style"/>
          <w:color w:val="231F20"/>
          <w:sz w:val="18"/>
          <w:szCs w:val="18"/>
          <w:highlight w:val="green"/>
        </w:rPr>
        <w:t>57 -</w:t>
      </w:r>
      <w:r w:rsidRPr="004E0FC4">
        <w:rPr>
          <w:rFonts w:ascii="Bookman Old Style" w:eastAsia="Bookman Old Style" w:hAnsi="Bookman Old Style" w:cs="Bookman Old Style"/>
          <w:color w:val="231F20"/>
          <w:sz w:val="18"/>
          <w:szCs w:val="18"/>
        </w:rPr>
        <w:t xml:space="preserve"> 62 %), ком</w:t>
      </w:r>
      <w:r w:rsidRPr="004E0FC4">
        <w:rPr>
          <w:rFonts w:ascii="Bookman Old Style" w:eastAsia="Bookman Old Style" w:hAnsi="Bookman Old Style" w:cs="Bookman Old Style"/>
          <w:color w:val="231F20"/>
          <w:sz w:val="18"/>
          <w:szCs w:val="18"/>
        </w:rPr>
        <w:softHyphen/>
        <w:t>мунально-энергетической инфраструктуры (</w:t>
      </w:r>
      <w:r w:rsidRPr="004E0FC4">
        <w:rPr>
          <w:rFonts w:ascii="Bookman Old Style" w:eastAsia="Bookman Old Style" w:hAnsi="Bookman Old Style" w:cs="Bookman Old Style"/>
          <w:color w:val="231F20"/>
          <w:sz w:val="18"/>
          <w:szCs w:val="18"/>
          <w:highlight w:val="green"/>
        </w:rPr>
        <w:t>19 -</w:t>
      </w:r>
      <w:r w:rsidRPr="004E0FC4">
        <w:rPr>
          <w:rFonts w:ascii="Bookman Old Style" w:eastAsia="Bookman Old Style" w:hAnsi="Bookman Old Style" w:cs="Bookman Old Style"/>
          <w:color w:val="231F20"/>
          <w:sz w:val="18"/>
          <w:szCs w:val="18"/>
        </w:rPr>
        <w:t xml:space="preserve"> 29 %), </w:t>
      </w:r>
      <w:r w:rsidRPr="004E0FC4">
        <w:rPr>
          <w:rFonts w:ascii="Bookman Old Style" w:eastAsia="Bookman Old Style" w:hAnsi="Bookman Old Style" w:cs="Bookman Old Style"/>
          <w:color w:val="231F20"/>
          <w:sz w:val="18"/>
          <w:szCs w:val="18"/>
          <w:highlight w:val="green"/>
        </w:rPr>
        <w:t>социальной инфраструктуры (9 %)</w:t>
      </w:r>
      <w:r w:rsidRPr="004E0FC4">
        <w:rPr>
          <w:rFonts w:ascii="Bookman Old Style" w:eastAsia="Bookman Old Style" w:hAnsi="Bookman Old Style" w:cs="Bookman Old Style"/>
          <w:color w:val="231F20"/>
          <w:sz w:val="18"/>
          <w:szCs w:val="18"/>
        </w:rPr>
        <w:t xml:space="preserve">, прочих сферах, </w:t>
      </w:r>
      <w:r w:rsidRPr="004E0FC4">
        <w:rPr>
          <w:rFonts w:ascii="Bookman Old Style" w:eastAsia="Bookman Old Style" w:hAnsi="Bookman Old Style" w:cs="Bookman Old Style"/>
          <w:color w:val="231F20"/>
          <w:sz w:val="18"/>
          <w:szCs w:val="18"/>
          <w:highlight w:val="green"/>
        </w:rPr>
        <w:t xml:space="preserve">включая </w:t>
      </w:r>
      <w:r w:rsidRPr="004E0FC4">
        <w:rPr>
          <w:rFonts w:ascii="Bookman Old Style" w:eastAsia="Bookman Old Style" w:hAnsi="Bookman Old Style" w:cs="Bookman Old Style"/>
          <w:color w:val="231F20"/>
          <w:sz w:val="18"/>
          <w:szCs w:val="18"/>
          <w:highlight w:val="green"/>
          <w:lang w:val="en-US"/>
        </w:rPr>
        <w:t>IT</w:t>
      </w:r>
      <w:r w:rsidRPr="004E0FC4">
        <w:rPr>
          <w:rFonts w:ascii="Bookman Old Style" w:eastAsia="Bookman Old Style" w:hAnsi="Bookman Old Style" w:cs="Bookman Old Style"/>
          <w:color w:val="231F20"/>
          <w:sz w:val="18"/>
          <w:szCs w:val="18"/>
          <w:highlight w:val="green"/>
        </w:rPr>
        <w:t xml:space="preserve"> (12 -</w:t>
      </w:r>
      <w:r w:rsidRPr="004E0FC4">
        <w:rPr>
          <w:rFonts w:ascii="Bookman Old Style" w:eastAsia="Bookman Old Style" w:hAnsi="Bookman Old Style" w:cs="Bookman Old Style"/>
          <w:color w:val="231F20"/>
          <w:sz w:val="18"/>
          <w:szCs w:val="18"/>
        </w:rPr>
        <w:t xml:space="preserve"> 9 %).</w:t>
      </w:r>
    </w:p>
    <w:p w14:paraId="3A612DE0"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Тенденции развития ГЧП, характерные для 2010-х гг., состоят в следующем:</w:t>
      </w:r>
    </w:p>
    <w:p w14:paraId="3D29CDE1" w14:textId="77777777" w:rsidR="00350396" w:rsidRPr="004E0FC4" w:rsidRDefault="00350396" w:rsidP="004E0FC4">
      <w:pPr>
        <w:widowControl w:val="0"/>
        <w:numPr>
          <w:ilvl w:val="0"/>
          <w:numId w:val="61"/>
        </w:numPr>
        <w:tabs>
          <w:tab w:val="left" w:pos="633"/>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последовательное увеличение доли частных вложений в об</w:t>
      </w:r>
      <w:r w:rsidRPr="004E0FC4">
        <w:rPr>
          <w:rFonts w:ascii="Bookman Old Style" w:eastAsia="Bookman Old Style" w:hAnsi="Bookman Old Style" w:cs="Bookman Old Style"/>
          <w:color w:val="231F20"/>
          <w:sz w:val="18"/>
          <w:szCs w:val="18"/>
        </w:rPr>
        <w:softHyphen/>
        <w:t xml:space="preserve">щем объеме капитальных затрат в проекты ГЧП </w:t>
      </w:r>
      <w:r w:rsidRPr="004E0FC4">
        <w:rPr>
          <w:rFonts w:ascii="Bookman Old Style" w:eastAsia="Bookman Old Style" w:hAnsi="Bookman Old Style" w:cs="Bookman Old Style"/>
          <w:color w:val="231F20"/>
          <w:sz w:val="18"/>
          <w:szCs w:val="18"/>
          <w:highlight w:val="green"/>
        </w:rPr>
        <w:t>с</w:t>
      </w:r>
      <w:r w:rsidRPr="004E0FC4">
        <w:rPr>
          <w:rFonts w:ascii="Bookman Old Style" w:eastAsia="Bookman Old Style" w:hAnsi="Bookman Old Style" w:cs="Bookman Old Style"/>
          <w:color w:val="231F20"/>
          <w:sz w:val="18"/>
          <w:szCs w:val="18"/>
        </w:rPr>
        <w:t xml:space="preserve"> уровня не более 50 % в начале 2010-х гг., до </w:t>
      </w:r>
      <w:r w:rsidRPr="004E0FC4">
        <w:rPr>
          <w:rFonts w:ascii="Bookman Old Style" w:eastAsia="Bookman Old Style" w:hAnsi="Bookman Old Style" w:cs="Bookman Old Style"/>
          <w:color w:val="231F20"/>
          <w:sz w:val="18"/>
          <w:szCs w:val="18"/>
          <w:highlight w:val="green"/>
        </w:rPr>
        <w:t>65—75</w:t>
      </w:r>
      <w:r w:rsidRPr="004E0FC4">
        <w:rPr>
          <w:rFonts w:ascii="Bookman Old Style" w:eastAsia="Bookman Old Style" w:hAnsi="Bookman Old Style" w:cs="Bookman Old Style"/>
          <w:color w:val="231F20"/>
          <w:sz w:val="18"/>
          <w:szCs w:val="18"/>
        </w:rPr>
        <w:t xml:space="preserve"> % в 2017—20</w:t>
      </w:r>
      <w:r w:rsidRPr="004E0FC4">
        <w:rPr>
          <w:rFonts w:ascii="Bookman Old Style" w:eastAsia="Bookman Old Style" w:hAnsi="Bookman Old Style" w:cs="Bookman Old Style"/>
          <w:color w:val="231F20"/>
          <w:sz w:val="18"/>
          <w:szCs w:val="18"/>
          <w:highlight w:val="green"/>
        </w:rPr>
        <w:t>22</w:t>
      </w:r>
      <w:r w:rsidRPr="004E0FC4">
        <w:rPr>
          <w:rFonts w:ascii="Bookman Old Style" w:eastAsia="Bookman Old Style" w:hAnsi="Bookman Old Style" w:cs="Bookman Old Style"/>
          <w:color w:val="231F20"/>
          <w:sz w:val="18"/>
          <w:szCs w:val="18"/>
        </w:rPr>
        <w:t xml:space="preserve"> гг.;</w:t>
      </w:r>
    </w:p>
    <w:p w14:paraId="07CC12F9" w14:textId="77777777" w:rsidR="00350396" w:rsidRPr="004E0FC4" w:rsidRDefault="00350396" w:rsidP="004E0FC4">
      <w:pPr>
        <w:widowControl w:val="0"/>
        <w:numPr>
          <w:ilvl w:val="0"/>
          <w:numId w:val="61"/>
        </w:numPr>
        <w:tabs>
          <w:tab w:val="left" w:pos="633"/>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постепенное приближение к схемам классического проектно</w:t>
      </w:r>
      <w:r w:rsidRPr="004E0FC4">
        <w:rPr>
          <w:rFonts w:ascii="Bookman Old Style" w:eastAsia="Bookman Old Style" w:hAnsi="Bookman Old Style" w:cs="Bookman Old Style"/>
          <w:color w:val="231F20"/>
          <w:sz w:val="18"/>
          <w:szCs w:val="18"/>
        </w:rPr>
        <w:softHyphen/>
        <w:t>го финансирования, возложение на инвестора большей части ком</w:t>
      </w:r>
      <w:r w:rsidRPr="004E0FC4">
        <w:rPr>
          <w:rFonts w:ascii="Bookman Old Style" w:eastAsia="Bookman Old Style" w:hAnsi="Bookman Old Style" w:cs="Bookman Old Style"/>
          <w:color w:val="231F20"/>
          <w:sz w:val="18"/>
          <w:szCs w:val="18"/>
        </w:rPr>
        <w:softHyphen/>
        <w:t>мерческих рисков, несение рисков строительства и эксплуатации одним субъектом;</w:t>
      </w:r>
    </w:p>
    <w:p w14:paraId="3B0092F4" w14:textId="77777777" w:rsidR="00350396" w:rsidRPr="004E0FC4" w:rsidRDefault="00350396" w:rsidP="004E0FC4">
      <w:pPr>
        <w:widowControl w:val="0"/>
        <w:numPr>
          <w:ilvl w:val="0"/>
          <w:numId w:val="61"/>
        </w:numPr>
        <w:tabs>
          <w:tab w:val="left" w:pos="633"/>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расширение форм государственной поддержки и усложнение роли специального государственного участника;</w:t>
      </w:r>
    </w:p>
    <w:p w14:paraId="201272D5" w14:textId="77777777" w:rsidR="00350396" w:rsidRPr="004E0FC4" w:rsidRDefault="00350396" w:rsidP="004E0FC4">
      <w:pPr>
        <w:widowControl w:val="0"/>
        <w:numPr>
          <w:ilvl w:val="0"/>
          <w:numId w:val="61"/>
        </w:numPr>
        <w:tabs>
          <w:tab w:val="left" w:pos="634"/>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совершенствование способов обеспечения кредитов, заклю</w:t>
      </w:r>
      <w:r w:rsidRPr="004E0FC4">
        <w:rPr>
          <w:rFonts w:ascii="Bookman Old Style" w:eastAsia="Bookman Old Style" w:hAnsi="Bookman Old Style" w:cs="Bookman Old Style"/>
          <w:color w:val="231F20"/>
          <w:sz w:val="18"/>
          <w:szCs w:val="18"/>
        </w:rPr>
        <w:softHyphen/>
        <w:t>чение «прямых соглашений» между инвесторами и кредиторами, государством и кредиторами;</w:t>
      </w:r>
    </w:p>
    <w:p w14:paraId="7ECC2732" w14:textId="77777777" w:rsidR="00350396" w:rsidRPr="004E0FC4" w:rsidRDefault="00350396" w:rsidP="004E0FC4">
      <w:pPr>
        <w:widowControl w:val="0"/>
        <w:numPr>
          <w:ilvl w:val="0"/>
          <w:numId w:val="61"/>
        </w:numPr>
        <w:tabs>
          <w:tab w:val="left" w:pos="633"/>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расширение возможностей использования ГЧП после введе</w:t>
      </w:r>
      <w:r w:rsidRPr="004E0FC4">
        <w:rPr>
          <w:rFonts w:ascii="Bookman Old Style" w:eastAsia="Bookman Old Style" w:hAnsi="Bookman Old Style" w:cs="Bookman Old Style"/>
          <w:color w:val="231F20"/>
          <w:sz w:val="18"/>
          <w:szCs w:val="18"/>
        </w:rPr>
        <w:softHyphen/>
        <w:t>ния в действие нового законодательства. Например, с появлением механизма финансирования «бюджетного плеча» в инфраструктур</w:t>
      </w:r>
      <w:r w:rsidRPr="004E0FC4">
        <w:rPr>
          <w:rFonts w:ascii="Bookman Old Style" w:eastAsia="Bookman Old Style" w:hAnsi="Bookman Old Style" w:cs="Bookman Old Style"/>
          <w:color w:val="231F20"/>
          <w:sz w:val="18"/>
          <w:szCs w:val="18"/>
        </w:rPr>
        <w:softHyphen/>
        <w:t>ных проектах на муниципальном и региональном уровнях.</w:t>
      </w:r>
    </w:p>
    <w:p w14:paraId="7908B6D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На </w:t>
      </w:r>
      <w:r w:rsidRPr="004E0FC4">
        <w:rPr>
          <w:rFonts w:ascii="Bookman Old Style" w:eastAsia="Bookman Old Style" w:hAnsi="Bookman Old Style" w:cs="Bookman Old Style"/>
          <w:color w:val="231F20"/>
          <w:sz w:val="18"/>
          <w:szCs w:val="18"/>
          <w:highlight w:val="green"/>
        </w:rPr>
        <w:t>конец 2022 года</w:t>
      </w:r>
      <w:r w:rsidRPr="004E0FC4">
        <w:rPr>
          <w:rFonts w:ascii="Bookman Old Style" w:eastAsia="Bookman Old Style" w:hAnsi="Bookman Old Style" w:cs="Bookman Old Style"/>
          <w:color w:val="231F20"/>
          <w:sz w:val="18"/>
          <w:szCs w:val="18"/>
        </w:rPr>
        <w:t xml:space="preserve"> работает достаточно широкий спектр институ</w:t>
      </w:r>
      <w:r w:rsidRPr="004E0FC4">
        <w:rPr>
          <w:rFonts w:ascii="Bookman Old Style" w:eastAsia="Bookman Old Style" w:hAnsi="Bookman Old Style" w:cs="Bookman Old Style"/>
          <w:color w:val="231F20"/>
          <w:sz w:val="18"/>
          <w:szCs w:val="18"/>
        </w:rPr>
        <w:softHyphen/>
        <w:t>тов развития ГЧП: Российский фонд прямых инвестиций (РФПИ), АО «Российская венчурная компания», крупные подразделения в банках ВЭБ (Внешэконмбанк — Банк развития) и ВТБ, ГК «Авто</w:t>
      </w:r>
      <w:r w:rsidRPr="004E0FC4">
        <w:rPr>
          <w:rFonts w:ascii="Bookman Old Style" w:eastAsia="Bookman Old Style" w:hAnsi="Bookman Old Style" w:cs="Bookman Old Style"/>
          <w:color w:val="231F20"/>
          <w:sz w:val="18"/>
          <w:szCs w:val="18"/>
        </w:rPr>
        <w:softHyphen/>
        <w:t>дор», технологические платформы, торгово-промышленные пала</w:t>
      </w:r>
      <w:r w:rsidRPr="004E0FC4">
        <w:rPr>
          <w:rFonts w:ascii="Bookman Old Style" w:eastAsia="Bookman Old Style" w:hAnsi="Bookman Old Style" w:cs="Bookman Old Style"/>
          <w:color w:val="231F20"/>
          <w:sz w:val="18"/>
          <w:szCs w:val="18"/>
        </w:rPr>
        <w:softHyphen/>
        <w:t>ты, особые экономические зоны, технопарки и др. (подробнее см. кейс 2).</w:t>
      </w:r>
    </w:p>
    <w:p w14:paraId="5E5BB59D"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период 2006—2015 гг. важную функцию по развитию механиз</w:t>
      </w:r>
      <w:r w:rsidRPr="004E0FC4">
        <w:rPr>
          <w:rFonts w:ascii="Bookman Old Style" w:eastAsia="Bookman Old Style" w:hAnsi="Bookman Old Style" w:cs="Bookman Old Style"/>
          <w:color w:val="231F20"/>
          <w:sz w:val="18"/>
          <w:szCs w:val="18"/>
        </w:rPr>
        <w:softHyphen/>
        <w:t xml:space="preserve">мов </w:t>
      </w:r>
      <w:r w:rsidRPr="004E0FC4">
        <w:rPr>
          <w:rFonts w:ascii="Bookman Old Style" w:eastAsia="Bookman Old Style" w:hAnsi="Bookman Old Style" w:cs="Bookman Old Style"/>
          <w:color w:val="231F20"/>
          <w:sz w:val="18"/>
          <w:szCs w:val="18"/>
        </w:rPr>
        <w:lastRenderedPageBreak/>
        <w:t>ГЧП выполнял Инвестиционный фонд Российской Федерации (ИФ), сформированный 1 января 2006 г. и фактически ликвидиро</w:t>
      </w:r>
      <w:r w:rsidRPr="004E0FC4">
        <w:rPr>
          <w:rFonts w:ascii="Bookman Old Style" w:eastAsia="Bookman Old Style" w:hAnsi="Bookman Old Style" w:cs="Bookman Old Style"/>
          <w:color w:val="231F20"/>
          <w:sz w:val="18"/>
          <w:szCs w:val="18"/>
        </w:rPr>
        <w:softHyphen/>
        <w:t>ванный в 2016 г.</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В период 2006—2014 гг. государственную поддержку ИФ полу</w:t>
      </w:r>
      <w:r w:rsidRPr="004E0FC4">
        <w:rPr>
          <w:rFonts w:ascii="Bookman Old Style" w:eastAsia="Bookman Old Style" w:hAnsi="Bookman Old Style" w:cs="Bookman Old Style"/>
          <w:color w:val="231F20"/>
          <w:sz w:val="18"/>
          <w:szCs w:val="18"/>
        </w:rPr>
        <w:softHyphen/>
        <w:t>чили 12 проектов общегосударственного значения стоимостью не менее 5 млрд руб. и 39 региональных инвестиционных проек</w:t>
      </w:r>
      <w:r w:rsidRPr="004E0FC4">
        <w:rPr>
          <w:rFonts w:ascii="Bookman Old Style" w:eastAsia="Bookman Old Style" w:hAnsi="Bookman Old Style" w:cs="Bookman Old Style"/>
          <w:color w:val="231F20"/>
          <w:sz w:val="18"/>
          <w:szCs w:val="18"/>
        </w:rPr>
        <w:softHyphen/>
        <w:t>тов стоимостью не менее 0,5 млрд руб. в сферах производственной и транспортной инфраструктуры, жилищного хозяйства на общую сумму 235 млрд руб</w:t>
      </w:r>
      <w:r w:rsidRPr="004E0FC4">
        <w:rPr>
          <w:rFonts w:ascii="Bookman Old Style" w:eastAsia="Bookman Old Style" w:hAnsi="Bookman Old Style" w:cs="Bookman Old Style"/>
          <w:color w:val="231F20"/>
          <w:sz w:val="18"/>
          <w:szCs w:val="18"/>
          <w:highlight w:val="red"/>
        </w:rPr>
        <w:t>., выделенных Фондом</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highlight w:val="red"/>
        </w:rPr>
        <w:t>.</w:t>
      </w:r>
    </w:p>
    <w:p w14:paraId="7F5341F1"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 xml:space="preserve">При отборе проектов на финансирование из ИФ использовался ряд критериев: проекты должны были быть стратегически важными </w:t>
      </w:r>
      <w:r w:rsidRPr="004E0FC4">
        <w:rPr>
          <w:rFonts w:ascii="Bookman Old Style" w:eastAsia="Bookman Old Style" w:hAnsi="Bookman Old Style" w:cs="Bookman Old Style"/>
          <w:color w:val="231F20"/>
          <w:sz w:val="18"/>
          <w:szCs w:val="18"/>
          <w:highlight w:val="red"/>
          <w:vertAlign w:val="superscript"/>
        </w:rPr>
        <w:footnoteReference w:id="109"/>
      </w:r>
      <w:r w:rsidRPr="004E0FC4">
        <w:rPr>
          <w:rFonts w:ascii="Bookman Old Style" w:eastAsia="Bookman Old Style" w:hAnsi="Bookman Old Style" w:cs="Bookman Old Style"/>
          <w:color w:val="231F20"/>
          <w:sz w:val="18"/>
          <w:szCs w:val="18"/>
          <w:highlight w:val="red"/>
        </w:rPr>
        <w:t xml:space="preserve"> (отвечать приоритетам социально-экономического развития Рос</w:t>
      </w:r>
      <w:r w:rsidRPr="004E0FC4">
        <w:rPr>
          <w:rFonts w:ascii="Bookman Old Style" w:eastAsia="Bookman Old Style" w:hAnsi="Bookman Old Style" w:cs="Bookman Old Style"/>
          <w:color w:val="231F20"/>
          <w:sz w:val="18"/>
          <w:szCs w:val="18"/>
          <w:highlight w:val="red"/>
        </w:rPr>
        <w:softHyphen/>
        <w:t>сийской Федерации или отдельных субъектов РФ, определенных концепцией долгосрочного социально-экономического развития Российской Федерации, концепцией совершенствования регио</w:t>
      </w:r>
      <w:r w:rsidRPr="004E0FC4">
        <w:rPr>
          <w:rFonts w:ascii="Bookman Old Style" w:eastAsia="Bookman Old Style" w:hAnsi="Bookman Old Style" w:cs="Bookman Old Style"/>
          <w:color w:val="231F20"/>
          <w:sz w:val="18"/>
          <w:szCs w:val="18"/>
          <w:highlight w:val="red"/>
        </w:rPr>
        <w:softHyphen/>
        <w:t>нальной политики Российской Федерации и другими документами стратегического планирования), иметь положительные социаль</w:t>
      </w:r>
      <w:r w:rsidRPr="004E0FC4">
        <w:rPr>
          <w:rFonts w:ascii="Bookman Old Style" w:eastAsia="Bookman Old Style" w:hAnsi="Bookman Old Style" w:cs="Bookman Old Style"/>
          <w:color w:val="231F20"/>
          <w:sz w:val="18"/>
          <w:szCs w:val="18"/>
          <w:highlight w:val="red"/>
        </w:rPr>
        <w:softHyphen/>
        <w:t>ные эффекты. Необходимо было доказать, что проект невозможно реализовать без государственной поддержки. В то же время дли</w:t>
      </w:r>
      <w:r w:rsidRPr="004E0FC4">
        <w:rPr>
          <w:rFonts w:ascii="Bookman Old Style" w:eastAsia="Bookman Old Style" w:hAnsi="Bookman Old Style" w:cs="Bookman Old Style"/>
          <w:color w:val="231F20"/>
          <w:sz w:val="18"/>
          <w:szCs w:val="18"/>
          <w:highlight w:val="red"/>
        </w:rPr>
        <w:softHyphen/>
        <w:t>тельная процедура утверждения заявки, совмещающая формы го</w:t>
      </w:r>
      <w:r w:rsidRPr="004E0FC4">
        <w:rPr>
          <w:rFonts w:ascii="Bookman Old Style" w:eastAsia="Bookman Old Style" w:hAnsi="Bookman Old Style" w:cs="Bookman Old Style"/>
          <w:color w:val="231F20"/>
          <w:sz w:val="18"/>
          <w:szCs w:val="18"/>
          <w:highlight w:val="red"/>
        </w:rPr>
        <w:softHyphen/>
        <w:t>сударственной оценки (положительные заключения профильных ведомств, администраций регионов и пр.) и оценки инвестицион</w:t>
      </w:r>
      <w:r w:rsidRPr="004E0FC4">
        <w:rPr>
          <w:rFonts w:ascii="Bookman Old Style" w:eastAsia="Bookman Old Style" w:hAnsi="Bookman Old Style" w:cs="Bookman Old Style"/>
          <w:color w:val="231F20"/>
          <w:sz w:val="18"/>
          <w:szCs w:val="18"/>
          <w:highlight w:val="red"/>
        </w:rPr>
        <w:softHyphen/>
        <w:t>ных консультантов, привлеченных заявителем и государством, ус</w:t>
      </w:r>
      <w:r w:rsidRPr="004E0FC4">
        <w:rPr>
          <w:rFonts w:ascii="Bookman Old Style" w:eastAsia="Bookman Old Style" w:hAnsi="Bookman Old Style" w:cs="Bookman Old Style"/>
          <w:color w:val="231F20"/>
          <w:sz w:val="18"/>
          <w:szCs w:val="18"/>
          <w:highlight w:val="red"/>
        </w:rPr>
        <w:softHyphen/>
        <w:t>ложняла процедуру взаимодействия с Фондом.</w:t>
      </w:r>
    </w:p>
    <w:p w14:paraId="3815A8B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Основными целями применения и развития ГЧП в России сле</w:t>
      </w:r>
      <w:r w:rsidRPr="004E0FC4">
        <w:rPr>
          <w:rFonts w:ascii="Bookman Old Style" w:eastAsia="Bookman Old Style" w:hAnsi="Bookman Old Style" w:cs="Bookman Old Style"/>
          <w:color w:val="231F20"/>
          <w:sz w:val="18"/>
          <w:szCs w:val="18"/>
        </w:rPr>
        <w:softHyphen/>
        <w:t>дует считать привлечение частных средств для покрытия дефици</w:t>
      </w:r>
      <w:r w:rsidRPr="004E0FC4">
        <w:rPr>
          <w:rFonts w:ascii="Bookman Old Style" w:eastAsia="Bookman Old Style" w:hAnsi="Bookman Old Style" w:cs="Bookman Old Style"/>
          <w:color w:val="231F20"/>
          <w:sz w:val="18"/>
          <w:szCs w:val="18"/>
        </w:rPr>
        <w:softHyphen/>
        <w:t>та потребностей в финансировании проектов общественной ин</w:t>
      </w:r>
      <w:r w:rsidRPr="004E0FC4">
        <w:rPr>
          <w:rFonts w:ascii="Bookman Old Style" w:eastAsia="Bookman Old Style" w:hAnsi="Bookman Old Style" w:cs="Bookman Old Style"/>
          <w:color w:val="231F20"/>
          <w:sz w:val="18"/>
          <w:szCs w:val="18"/>
        </w:rPr>
        <w:softHyphen/>
        <w:t xml:space="preserve">фраструктуры и повышение эффективности бюджетных расходов. </w:t>
      </w:r>
      <w:r w:rsidRPr="004E0FC4">
        <w:rPr>
          <w:rFonts w:ascii="Bookman Old Style" w:eastAsia="Bookman Old Style" w:hAnsi="Bookman Old Style" w:cs="Bookman Old Style"/>
          <w:color w:val="231F20"/>
          <w:sz w:val="18"/>
          <w:szCs w:val="18"/>
          <w:highlight w:val="red"/>
        </w:rPr>
        <w:t>Длительное время важным приоритетом считалось изменение соот</w:t>
      </w:r>
      <w:r w:rsidRPr="004E0FC4">
        <w:rPr>
          <w:rFonts w:ascii="Bookman Old Style" w:eastAsia="Bookman Old Style" w:hAnsi="Bookman Old Style" w:cs="Bookman Old Style"/>
          <w:color w:val="231F20"/>
          <w:sz w:val="18"/>
          <w:szCs w:val="18"/>
          <w:highlight w:val="red"/>
        </w:rPr>
        <w:softHyphen/>
        <w:t>ношения государственных и частных средств, привлекаемых в про</w:t>
      </w:r>
      <w:r w:rsidRPr="004E0FC4">
        <w:rPr>
          <w:rFonts w:ascii="Bookman Old Style" w:eastAsia="Bookman Old Style" w:hAnsi="Bookman Old Style" w:cs="Bookman Old Style"/>
          <w:color w:val="231F20"/>
          <w:sz w:val="18"/>
          <w:szCs w:val="18"/>
          <w:highlight w:val="red"/>
        </w:rPr>
        <w:softHyphen/>
        <w:t>екты ГЧП, в пользу частных средств. В настоящее время наиболее активно частные средства вкладывают в небольшие по размеру про</w:t>
      </w:r>
      <w:r w:rsidRPr="004E0FC4">
        <w:rPr>
          <w:rFonts w:ascii="Bookman Old Style" w:eastAsia="Bookman Old Style" w:hAnsi="Bookman Old Style" w:cs="Bookman Old Style"/>
          <w:color w:val="231F20"/>
          <w:sz w:val="18"/>
          <w:szCs w:val="18"/>
          <w:highlight w:val="red"/>
        </w:rPr>
        <w:softHyphen/>
        <w:t>екты муниципального и регионального уровней (см. далее).</w:t>
      </w:r>
    </w:p>
    <w:p w14:paraId="31F58F1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w:t>
      </w:r>
      <w:r w:rsidRPr="004E0FC4">
        <w:rPr>
          <w:rFonts w:ascii="Bookman Old Style" w:eastAsia="Bookman Old Style" w:hAnsi="Bookman Old Style" w:cs="Bookman Old Style"/>
          <w:color w:val="231F20"/>
          <w:sz w:val="18"/>
          <w:szCs w:val="18"/>
          <w:highlight w:val="red"/>
        </w:rPr>
        <w:t>конце I полугодия</w:t>
      </w:r>
      <w:r w:rsidRPr="004E0FC4">
        <w:rPr>
          <w:rFonts w:ascii="Bookman Old Style" w:eastAsia="Bookman Old Style" w:hAnsi="Bookman Old Style" w:cs="Bookman Old Style"/>
          <w:color w:val="231F20"/>
          <w:sz w:val="18"/>
          <w:szCs w:val="18"/>
        </w:rPr>
        <w:t xml:space="preserve"> 2018 г. Национальный центр ГЧП опублико</w:t>
      </w:r>
      <w:r w:rsidRPr="004E0FC4">
        <w:rPr>
          <w:rFonts w:ascii="Bookman Old Style" w:eastAsia="Bookman Old Style" w:hAnsi="Bookman Old Style" w:cs="Bookman Old Style"/>
          <w:color w:val="231F20"/>
          <w:sz w:val="18"/>
          <w:szCs w:val="18"/>
        </w:rPr>
        <w:softHyphen/>
        <w:t xml:space="preserve">вал результаты </w:t>
      </w:r>
      <w:r w:rsidRPr="004E0FC4">
        <w:rPr>
          <w:rFonts w:ascii="Bookman Old Style" w:eastAsia="Bookman Old Style" w:hAnsi="Bookman Old Style" w:cs="Bookman Old Style"/>
          <w:color w:val="231F20"/>
          <w:sz w:val="18"/>
          <w:szCs w:val="18"/>
          <w:highlight w:val="red"/>
        </w:rPr>
        <w:t>ежегодного</w:t>
      </w:r>
      <w:r w:rsidRPr="004E0FC4">
        <w:rPr>
          <w:rFonts w:ascii="Bookman Old Style" w:eastAsia="Bookman Old Style" w:hAnsi="Bookman Old Style" w:cs="Bookman Old Style"/>
          <w:color w:val="231F20"/>
          <w:sz w:val="18"/>
          <w:szCs w:val="18"/>
        </w:rPr>
        <w:t xml:space="preserve"> исследования, в котором </w:t>
      </w:r>
      <w:r w:rsidRPr="004E0FC4">
        <w:rPr>
          <w:rFonts w:ascii="Bookman Old Style" w:eastAsia="Bookman Old Style" w:hAnsi="Bookman Old Style" w:cs="Bookman Old Style"/>
          <w:color w:val="231F20"/>
          <w:sz w:val="18"/>
          <w:szCs w:val="18"/>
          <w:highlight w:val="green"/>
        </w:rPr>
        <w:t>были</w:t>
      </w:r>
      <w:r w:rsidRPr="004E0FC4">
        <w:rPr>
          <w:rFonts w:ascii="Bookman Old Style" w:eastAsia="Bookman Old Style" w:hAnsi="Bookman Old Style" w:cs="Bookman Old Style"/>
          <w:color w:val="231F20"/>
          <w:sz w:val="18"/>
          <w:szCs w:val="18"/>
        </w:rPr>
        <w:t xml:space="preserve"> выделены ос</w:t>
      </w:r>
      <w:r w:rsidRPr="004E0FC4">
        <w:rPr>
          <w:rFonts w:ascii="Bookman Old Style" w:eastAsia="Bookman Old Style" w:hAnsi="Bookman Old Style" w:cs="Bookman Old Style"/>
          <w:color w:val="231F20"/>
          <w:sz w:val="18"/>
          <w:szCs w:val="18"/>
        </w:rPr>
        <w:softHyphen/>
        <w:t xml:space="preserve">новные достижения и тенденции развития ГЧП в России </w:t>
      </w:r>
      <w:r w:rsidRPr="004E0FC4">
        <w:rPr>
          <w:rFonts w:ascii="Bookman Old Style" w:eastAsia="Bookman Old Style" w:hAnsi="Bookman Old Style" w:cs="Bookman Old Style"/>
          <w:color w:val="231F20"/>
          <w:sz w:val="18"/>
          <w:szCs w:val="18"/>
          <w:highlight w:val="red"/>
        </w:rPr>
        <w:t>на начало 2018 г.</w:t>
      </w:r>
      <w:r w:rsidRPr="004E0FC4">
        <w:rPr>
          <w:rFonts w:ascii="Bookman Old Style" w:eastAsia="Bookman Old Style" w:hAnsi="Bookman Old Style" w:cs="Bookman Old Style"/>
          <w:color w:val="231F20"/>
          <w:sz w:val="18"/>
          <w:szCs w:val="18"/>
          <w:highlight w:val="red"/>
          <w:vertAlign w:val="superscript"/>
        </w:rPr>
        <w:t>2</w:t>
      </w:r>
      <w:r w:rsidRPr="004E0FC4">
        <w:rPr>
          <w:rFonts w:ascii="Bookman Old Style" w:eastAsia="Bookman Old Style" w:hAnsi="Bookman Old Style" w:cs="Bookman Old Style"/>
          <w:color w:val="231F20"/>
          <w:sz w:val="18"/>
          <w:szCs w:val="18"/>
        </w:rPr>
        <w:t xml:space="preserve"> (далее — Доклад). В </w:t>
      </w:r>
      <w:r w:rsidRPr="004E0FC4">
        <w:rPr>
          <w:rFonts w:ascii="Bookman Old Style" w:eastAsia="Bookman Old Style" w:hAnsi="Bookman Old Style" w:cs="Bookman Old Style"/>
          <w:color w:val="231F20"/>
          <w:sz w:val="18"/>
          <w:szCs w:val="18"/>
          <w:highlight w:val="green"/>
        </w:rPr>
        <w:t>данном</w:t>
      </w:r>
      <w:r w:rsidRPr="004E0FC4">
        <w:rPr>
          <w:rFonts w:ascii="Bookman Old Style" w:eastAsia="Bookman Old Style" w:hAnsi="Bookman Old Style" w:cs="Bookman Old Style"/>
          <w:color w:val="231F20"/>
          <w:sz w:val="18"/>
          <w:szCs w:val="18"/>
        </w:rPr>
        <w:t xml:space="preserve"> Докладе </w:t>
      </w:r>
      <w:r w:rsidRPr="004E0FC4">
        <w:rPr>
          <w:rFonts w:ascii="Bookman Old Style" w:eastAsia="Bookman Old Style" w:hAnsi="Bookman Old Style" w:cs="Bookman Old Style"/>
          <w:color w:val="231F20"/>
          <w:sz w:val="18"/>
          <w:szCs w:val="18"/>
          <w:highlight w:val="green"/>
        </w:rPr>
        <w:t>и в более поздних аналогичных аналитических документах</w:t>
      </w:r>
      <w:r w:rsidRPr="004E0FC4">
        <w:rPr>
          <w:rFonts w:ascii="Bookman Old Style" w:hAnsi="Bookman Old Style"/>
          <w:sz w:val="18"/>
          <w:szCs w:val="18"/>
        </w:rPr>
        <w:t xml:space="preserve"> </w:t>
      </w:r>
      <w:r w:rsidRPr="004E0FC4">
        <w:rPr>
          <w:rFonts w:ascii="Bookman Old Style" w:eastAsia="Bookman Old Style" w:hAnsi="Bookman Old Style" w:cs="Bookman Old Style"/>
          <w:color w:val="231F20"/>
          <w:sz w:val="18"/>
          <w:szCs w:val="18"/>
          <w:highlight w:val="green"/>
        </w:rPr>
        <w:t>Национального центра ГЧП</w:t>
      </w:r>
      <w:r w:rsidRPr="004E0FC4">
        <w:rPr>
          <w:rFonts w:ascii="Bookman Old Style" w:eastAsia="Bookman Old Style" w:hAnsi="Bookman Old Style" w:cs="Bookman Old Style"/>
          <w:color w:val="231F20"/>
          <w:sz w:val="18"/>
          <w:szCs w:val="18"/>
        </w:rPr>
        <w:t xml:space="preserve">, в частности, </w:t>
      </w:r>
      <w:r w:rsidRPr="004E0FC4">
        <w:rPr>
          <w:rFonts w:ascii="Bookman Old Style" w:eastAsia="Bookman Old Style" w:hAnsi="Bookman Old Style" w:cs="Bookman Old Style"/>
          <w:color w:val="231F20"/>
          <w:sz w:val="18"/>
          <w:szCs w:val="18"/>
          <w:highlight w:val="green"/>
        </w:rPr>
        <w:t>отмечается</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указано</w:t>
      </w:r>
      <w:r w:rsidRPr="004E0FC4">
        <w:rPr>
          <w:rFonts w:ascii="Bookman Old Style" w:eastAsia="Bookman Old Style" w:hAnsi="Bookman Old Style" w:cs="Bookman Old Style"/>
          <w:color w:val="231F20"/>
          <w:sz w:val="18"/>
          <w:szCs w:val="18"/>
        </w:rPr>
        <w:t>:</w:t>
      </w:r>
    </w:p>
    <w:p w14:paraId="347FBB80"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прошли стадию коммерческого закрытия (подписания соот</w:t>
      </w:r>
      <w:r w:rsidRPr="004E0FC4">
        <w:rPr>
          <w:rFonts w:ascii="Bookman Old Style" w:eastAsia="Bookman Old Style" w:hAnsi="Bookman Old Style" w:cs="Bookman Old Style"/>
          <w:color w:val="231F20"/>
          <w:sz w:val="18"/>
          <w:szCs w:val="18"/>
          <w:highlight w:val="red"/>
        </w:rPr>
        <w:softHyphen/>
        <w:t>ветствующих соглашений/договоров) накопительным итогом 2980 проектов ГЧП;</w:t>
      </w:r>
    </w:p>
    <w:p w14:paraId="2348FC49" w14:textId="77777777" w:rsidR="00350396" w:rsidRPr="004E0FC4" w:rsidRDefault="00350396" w:rsidP="004E0FC4">
      <w:pPr>
        <w:widowControl w:val="0"/>
        <w:tabs>
          <w:tab w:val="left" w:pos="630"/>
        </w:tabs>
        <w:spacing w:line="250"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green"/>
        </w:rPr>
        <w:tab/>
        <w:t>Объём инвестиций в рамках соглашений о ГЧП имеет положительную динамику. Если на начало 2018 года</w:t>
      </w:r>
      <w:r w:rsidRPr="004E0FC4">
        <w:rPr>
          <w:rFonts w:ascii="Bookman Old Style" w:eastAsia="Bookman Old Style" w:hAnsi="Bookman Old Style" w:cs="Bookman Old Style"/>
          <w:color w:val="231F20"/>
          <w:sz w:val="18"/>
          <w:szCs w:val="18"/>
        </w:rPr>
        <w:t xml:space="preserve"> совокупные инвестиционные обязательства публичной и частной стороны состав</w:t>
      </w:r>
      <w:r w:rsidRPr="004E0FC4">
        <w:rPr>
          <w:rFonts w:ascii="Bookman Old Style" w:eastAsia="Bookman Old Style" w:hAnsi="Bookman Old Style" w:cs="Bookman Old Style"/>
          <w:color w:val="231F20"/>
          <w:sz w:val="18"/>
          <w:szCs w:val="18"/>
          <w:highlight w:val="green"/>
        </w:rPr>
        <w:t>или</w:t>
      </w:r>
      <w:r w:rsidRPr="004E0FC4">
        <w:rPr>
          <w:rFonts w:ascii="Bookman Old Style" w:eastAsia="Bookman Old Style" w:hAnsi="Bookman Old Style" w:cs="Bookman Old Style"/>
          <w:color w:val="231F20"/>
          <w:sz w:val="18"/>
          <w:szCs w:val="18"/>
          <w:highlight w:val="red"/>
        </w:rPr>
        <w:t>ляют</w:t>
      </w:r>
      <w:r w:rsidRPr="004E0FC4">
        <w:rPr>
          <w:rFonts w:ascii="Bookman Old Style" w:eastAsia="Bookman Old Style" w:hAnsi="Bookman Old Style" w:cs="Bookman Old Style"/>
          <w:color w:val="231F20"/>
          <w:sz w:val="18"/>
          <w:szCs w:val="18"/>
        </w:rPr>
        <w:t xml:space="preserve"> в </w:t>
      </w:r>
      <w:r w:rsidRPr="004E0FC4">
        <w:rPr>
          <w:rFonts w:ascii="Bookman Old Style" w:eastAsia="Bookman Old Style" w:hAnsi="Bookman Old Style" w:cs="Bookman Old Style"/>
          <w:color w:val="231F20"/>
          <w:sz w:val="18"/>
          <w:szCs w:val="18"/>
          <w:highlight w:val="red"/>
        </w:rPr>
        <w:t>этих</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 xml:space="preserve">2980 </w:t>
      </w:r>
      <w:r w:rsidRPr="004E0FC4">
        <w:rPr>
          <w:rFonts w:ascii="Bookman Old Style" w:eastAsia="Bookman Old Style" w:hAnsi="Bookman Old Style" w:cs="Bookman Old Style"/>
          <w:color w:val="231F20"/>
          <w:sz w:val="18"/>
          <w:szCs w:val="18"/>
        </w:rPr>
        <w:t xml:space="preserve">проектах 2,618 трлн руб., из них частных — </w:t>
      </w:r>
      <w:r w:rsidRPr="004E0FC4">
        <w:rPr>
          <w:rFonts w:ascii="Bookman Old Style" w:eastAsia="Bookman Old Style" w:hAnsi="Bookman Old Style" w:cs="Bookman Old Style"/>
          <w:color w:val="231F20"/>
          <w:sz w:val="18"/>
          <w:szCs w:val="18"/>
        </w:rPr>
        <w:lastRenderedPageBreak/>
        <w:t>1,827 трлн руб. (69 %)</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vertAlign w:val="superscript"/>
        </w:rPr>
        <w:footnoteReference w:id="110"/>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vertAlign w:val="superscript"/>
        </w:rPr>
        <w:footnoteReference w:id="111"/>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highlight w:val="green"/>
        </w:rPr>
        <w:t>то на сентябрь 2022 года общий объём вложений в 3700 проектов составил 5,412 трлн руб., из них частных — 3,906 трлн руб. (72 %).</w:t>
      </w:r>
    </w:p>
    <w:p w14:paraId="42034DBE" w14:textId="77777777" w:rsidR="00350396" w:rsidRPr="004E0FC4" w:rsidRDefault="00350396" w:rsidP="004E0FC4">
      <w:pPr>
        <w:widowControl w:val="0"/>
        <w:numPr>
          <w:ilvl w:val="0"/>
          <w:numId w:val="61"/>
        </w:numPr>
        <w:tabs>
          <w:tab w:val="left" w:pos="634"/>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на стадии принятия решения о реализации и конкурсно</w:t>
      </w:r>
      <w:r w:rsidRPr="004E0FC4">
        <w:rPr>
          <w:rFonts w:ascii="Bookman Old Style" w:eastAsia="Bookman Old Style" w:hAnsi="Bookman Old Style" w:cs="Bookman Old Style"/>
          <w:color w:val="231F20"/>
          <w:sz w:val="18"/>
          <w:szCs w:val="18"/>
          <w:highlight w:val="red"/>
        </w:rPr>
        <w:softHyphen/>
        <w:t>го отбора находятся 248 инфраструктурных ГЧП-проектов, пред</w:t>
      </w:r>
      <w:r w:rsidRPr="004E0FC4">
        <w:rPr>
          <w:rFonts w:ascii="Bookman Old Style" w:eastAsia="Bookman Old Style" w:hAnsi="Bookman Old Style" w:cs="Bookman Old Style"/>
          <w:color w:val="231F20"/>
          <w:sz w:val="18"/>
          <w:szCs w:val="18"/>
          <w:highlight w:val="red"/>
        </w:rPr>
        <w:softHyphen/>
        <w:t>усматривающих привлечение частных инвестиций в размере 344,1 млрд руб.;</w:t>
      </w:r>
    </w:p>
    <w:p w14:paraId="13CA47F8" w14:textId="77777777" w:rsidR="00350396" w:rsidRPr="004E0FC4" w:rsidRDefault="00350396" w:rsidP="004E0FC4">
      <w:pPr>
        <w:widowControl w:val="0"/>
        <w:numPr>
          <w:ilvl w:val="0"/>
          <w:numId w:val="61"/>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на стадиях инициирования и структурирования находятся еще примерно 1000 проектов, которые были представлены в Про</w:t>
      </w:r>
      <w:r w:rsidRPr="004E0FC4">
        <w:rPr>
          <w:rFonts w:ascii="Bookman Old Style" w:eastAsia="Bookman Old Style" w:hAnsi="Bookman Old Style" w:cs="Bookman Old Style"/>
          <w:color w:val="231F20"/>
          <w:sz w:val="18"/>
          <w:szCs w:val="18"/>
          <w:highlight w:val="red"/>
        </w:rPr>
        <w:softHyphen/>
        <w:t>грамму поддержки проектных ГЧП-инициатив, объем планируемых к привлечению инвестиций по ним составляет около 2 трлн руб.</w:t>
      </w:r>
    </w:p>
    <w:p w14:paraId="5237B5AE" w14:textId="77777777" w:rsidR="00350396" w:rsidRPr="004E0FC4" w:rsidRDefault="00350396" w:rsidP="004E0FC4">
      <w:pPr>
        <w:widowControl w:val="0"/>
        <w:spacing w:after="117" w:line="240" w:lineRule="auto"/>
        <w:ind w:firstLine="30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2014—2017 </w:t>
      </w:r>
      <w:r w:rsidRPr="004E0FC4">
        <w:rPr>
          <w:rFonts w:ascii="Bookman Old Style" w:eastAsia="Bookman Old Style" w:hAnsi="Bookman Old Style" w:cs="Bookman Old Style"/>
          <w:color w:val="231F20"/>
          <w:sz w:val="18"/>
          <w:szCs w:val="18"/>
          <w:highlight w:val="green"/>
        </w:rPr>
        <w:t>годах</w:t>
      </w:r>
      <w:r w:rsidRPr="004E0FC4">
        <w:rPr>
          <w:rFonts w:ascii="Bookman Old Style" w:eastAsia="Bookman Old Style" w:hAnsi="Bookman Old Style" w:cs="Bookman Old Style"/>
          <w:color w:val="231F20"/>
          <w:sz w:val="18"/>
          <w:szCs w:val="18"/>
        </w:rPr>
        <w:t xml:space="preserve"> запускалось в среднем 550 проектов ГЧП </w:t>
      </w:r>
      <w:r w:rsidRPr="004E0FC4">
        <w:rPr>
          <w:rFonts w:ascii="Bookman Old Style" w:eastAsia="Bookman Old Style" w:hAnsi="Bookman Old Style" w:cs="Bookman Old Style"/>
          <w:color w:val="231F20"/>
          <w:sz w:val="18"/>
          <w:szCs w:val="18"/>
          <w:highlight w:val="green"/>
        </w:rPr>
        <w:t>в год</w:t>
      </w:r>
      <w:r w:rsidRPr="004E0FC4">
        <w:rPr>
          <w:rFonts w:ascii="Bookman Old Style" w:eastAsia="Bookman Old Style" w:hAnsi="Bookman Old Style" w:cs="Bookman Old Style"/>
          <w:color w:val="231F20"/>
          <w:sz w:val="18"/>
          <w:szCs w:val="18"/>
        </w:rPr>
        <w:t>, обеспе</w:t>
      </w:r>
      <w:r w:rsidRPr="004E0FC4">
        <w:rPr>
          <w:rFonts w:ascii="Bookman Old Style" w:eastAsia="Bookman Old Style" w:hAnsi="Bookman Old Style" w:cs="Bookman Old Style"/>
          <w:color w:val="231F20"/>
          <w:sz w:val="18"/>
          <w:szCs w:val="18"/>
        </w:rPr>
        <w:softHyphen/>
        <w:t xml:space="preserve">чивая </w:t>
      </w:r>
      <w:r w:rsidRPr="004E0FC4">
        <w:rPr>
          <w:rFonts w:ascii="Bookman Old Style" w:eastAsia="Bookman Old Style" w:hAnsi="Bookman Old Style" w:cs="Bookman Old Style"/>
          <w:color w:val="231F20"/>
          <w:sz w:val="18"/>
          <w:szCs w:val="18"/>
          <w:highlight w:val="red"/>
        </w:rPr>
        <w:t>ежегодный</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среднегодовой</w:t>
      </w:r>
      <w:r w:rsidRPr="004E0FC4">
        <w:rPr>
          <w:rFonts w:ascii="Bookman Old Style" w:eastAsia="Bookman Old Style" w:hAnsi="Bookman Old Style" w:cs="Bookman Old Style"/>
          <w:color w:val="231F20"/>
          <w:sz w:val="18"/>
          <w:szCs w:val="18"/>
        </w:rPr>
        <w:t xml:space="preserve"> приток частных инвестиций около 250 млрд руб. (рис. 4.</w:t>
      </w:r>
      <w:r w:rsidRPr="004E0FC4">
        <w:rPr>
          <w:rFonts w:ascii="Bookman Old Style" w:eastAsia="Bookman Old Style" w:hAnsi="Bookman Old Style" w:cs="Bookman Old Style"/>
          <w:color w:val="231F20"/>
          <w:sz w:val="18"/>
          <w:szCs w:val="18"/>
          <w:highlight w:val="green"/>
        </w:rPr>
        <w:t>9)</w:t>
      </w:r>
      <w:r w:rsidRPr="004E0FC4">
        <w:rPr>
          <w:rFonts w:ascii="Bookman Old Style" w:eastAsia="Bookman Old Style" w:hAnsi="Bookman Old Style" w:cs="Bookman Old Style"/>
          <w:color w:val="231F20"/>
          <w:sz w:val="18"/>
          <w:szCs w:val="18"/>
        </w:rPr>
        <w:t>.</w:t>
      </w:r>
    </w:p>
    <w:p w14:paraId="3E41C414" w14:textId="10E0F674"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hAnsi="Bookman Old Style"/>
          <w:noProof/>
          <w:sz w:val="18"/>
          <w:szCs w:val="18"/>
          <w:lang w:bidi="ar-SA"/>
        </w:rPr>
        <w:drawing>
          <wp:anchor distT="0" distB="0" distL="63500" distR="63500" simplePos="0" relativeHeight="377535294" behindDoc="1" locked="0" layoutInCell="1" allowOverlap="1" wp14:anchorId="2CBDBD96" wp14:editId="061EE55C">
            <wp:simplePos x="0" y="0"/>
            <wp:positionH relativeFrom="margin">
              <wp:posOffset>616585</wp:posOffset>
            </wp:positionH>
            <wp:positionV relativeFrom="paragraph">
              <wp:posOffset>260985</wp:posOffset>
            </wp:positionV>
            <wp:extent cx="3185160" cy="1216025"/>
            <wp:effectExtent l="19050" t="0" r="0" b="0"/>
            <wp:wrapSquare wrapText="bothSides"/>
            <wp:docPr id="213" name="Рисунок 21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6"/>
                    <pic:cNvPicPr>
                      <a:picLocks noChangeAspect="1" noChangeArrowheads="1"/>
                    </pic:cNvPicPr>
                  </pic:nvPicPr>
                  <pic:blipFill>
                    <a:blip r:embed="rId55" cstate="print"/>
                    <a:srcRect/>
                    <a:stretch>
                      <a:fillRect/>
                    </a:stretch>
                  </pic:blipFill>
                  <pic:spPr bwMode="auto">
                    <a:xfrm>
                      <a:off x="0" y="0"/>
                      <a:ext cx="3185160" cy="1216025"/>
                    </a:xfrm>
                    <a:prstGeom prst="rect">
                      <a:avLst/>
                    </a:prstGeom>
                    <a:noFill/>
                  </pic:spPr>
                </pic:pic>
              </a:graphicData>
            </a:graphic>
          </wp:anchor>
        </w:drawing>
      </w:r>
      <w:r w:rsidRPr="004E0FC4">
        <w:rPr>
          <w:rFonts w:ascii="Bookman Old Style" w:hAnsi="Bookman Old Style"/>
          <w:noProof/>
          <w:sz w:val="18"/>
          <w:szCs w:val="18"/>
          <w:lang w:bidi="ar-SA"/>
        </w:rPr>
        <mc:AlternateContent>
          <mc:Choice Requires="wps">
            <w:drawing>
              <wp:anchor distT="0" distB="0" distL="63500" distR="63500" simplePos="0" relativeHeight="377532222" behindDoc="1" locked="0" layoutInCell="1" allowOverlap="1" wp14:anchorId="445B8EC8" wp14:editId="5207D0C5">
                <wp:simplePos x="0" y="0"/>
                <wp:positionH relativeFrom="margin">
                  <wp:posOffset>2771775</wp:posOffset>
                </wp:positionH>
                <wp:positionV relativeFrom="paragraph">
                  <wp:posOffset>109855</wp:posOffset>
                </wp:positionV>
                <wp:extent cx="341630" cy="133985"/>
                <wp:effectExtent l="3175" t="0" r="0" b="1270"/>
                <wp:wrapSquare wrapText="bothSides"/>
                <wp:docPr id="275" name="Надпись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14DD" w14:textId="77777777" w:rsidR="00350396" w:rsidRDefault="00350396" w:rsidP="00350396">
                            <w:r>
                              <w:rPr>
                                <w:rStyle w:val="4Exact0"/>
                              </w:rPr>
                              <w:t>1199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5B8EC8" id="Надпись 275" o:spid="_x0000_s1054" type="#_x0000_t202" style="position:absolute;left:0;text-align:left;margin-left:218.25pt;margin-top:8.65pt;width:26.9pt;height:10.55pt;z-index:-12578425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" filled="f" stroked="f">
                <v:textbox style="mso-fit-shape-to-text:t" inset="0,0,0,0">
                  <w:txbxContent>
                    <w:p w14:paraId="168714DD" w14:textId="77777777" w:rsidR="00350396" w:rsidRDefault="00350396" w:rsidP="00350396">
                      <w:r>
                        <w:rPr>
                          <w:rStyle w:val="4Exact0"/>
                        </w:rPr>
                        <w:t>1199</w:t>
                      </w:r>
                    </w:p>
                  </w:txbxContent>
                </v:textbox>
                <w10:wrap type="square" anchorx="margin"/>
              </v:shape>
            </w:pict>
          </mc:Fallback>
        </mc:AlternateContent>
      </w:r>
      <w:r w:rsidRPr="004E0FC4">
        <w:rPr>
          <w:rFonts w:ascii="Bookman Old Style" w:hAnsi="Bookman Old Style"/>
          <w:noProof/>
          <w:sz w:val="18"/>
          <w:szCs w:val="18"/>
          <w:lang w:bidi="ar-SA"/>
        </w:rPr>
        <mc:AlternateContent>
          <mc:Choice Requires="wps">
            <w:drawing>
              <wp:anchor distT="0" distB="0" distL="63500" distR="63500" simplePos="0" relativeHeight="377533246" behindDoc="1" locked="0" layoutInCell="1" allowOverlap="1" wp14:anchorId="0781643A" wp14:editId="6C53F70C">
                <wp:simplePos x="0" y="0"/>
                <wp:positionH relativeFrom="margin">
                  <wp:posOffset>3820795</wp:posOffset>
                </wp:positionH>
                <wp:positionV relativeFrom="paragraph">
                  <wp:posOffset>963930</wp:posOffset>
                </wp:positionV>
                <wp:extent cx="365760" cy="133985"/>
                <wp:effectExtent l="4445" t="4445" r="1270" b="4445"/>
                <wp:wrapSquare wrapText="bothSides"/>
                <wp:docPr id="274" name="Надпись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40C8" w14:textId="77777777" w:rsidR="00350396" w:rsidRDefault="00350396" w:rsidP="00350396">
                            <w:r>
                              <w:rPr>
                                <w:rStyle w:val="4Exact0"/>
                              </w:rPr>
                              <w:t>271,2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81643A" id="Надпись 274" o:spid="_x0000_s1055" type="#_x0000_t202" style="position:absolute;left:0;text-align:left;margin-left:300.85pt;margin-top:75.9pt;width:28.8pt;height:10.55pt;z-index:-1257832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" filled="f" stroked="f">
                <v:textbox style="mso-fit-shape-to-text:t" inset="0,0,0,0">
                  <w:txbxContent>
                    <w:p w14:paraId="1E9640C8" w14:textId="77777777" w:rsidR="00350396" w:rsidRDefault="00350396" w:rsidP="00350396">
                      <w:r>
                        <w:rPr>
                          <w:rStyle w:val="4Exact0"/>
                        </w:rPr>
                        <w:t>271,2</w:t>
                      </w:r>
                    </w:p>
                  </w:txbxContent>
                </v:textbox>
                <w10:wrap type="square" anchorx="margin"/>
              </v:shape>
            </w:pict>
          </mc:Fallback>
        </mc:AlternateContent>
      </w:r>
      <w:r w:rsidRPr="004E0FC4">
        <w:rPr>
          <w:rFonts w:ascii="Bookman Old Style" w:eastAsia="Bookman Old Style" w:hAnsi="Bookman Old Style" w:cs="Bookman Old Style"/>
          <w:color w:val="231F20"/>
          <w:sz w:val="18"/>
          <w:szCs w:val="18"/>
        </w:rPr>
        <w:t xml:space="preserve">1400 г 1200 - 1000 - 800 - 600 - 400 - </w:t>
      </w:r>
    </w:p>
    <w:p w14:paraId="7C0C145F" w14:textId="77777777" w:rsidR="00350396" w:rsidRPr="004E0FC4" w:rsidRDefault="00350396" w:rsidP="004E0FC4">
      <w:pPr>
        <w:widowControl w:val="0"/>
        <w:spacing w:line="240" w:lineRule="auto"/>
        <w:ind w:firstLine="30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Существенное </w:t>
      </w:r>
    </w:p>
    <w:p w14:paraId="767669EF" w14:textId="77777777" w:rsidR="00350396" w:rsidRPr="004E0FC4" w:rsidRDefault="00350396" w:rsidP="004E0FC4">
      <w:pPr>
        <w:widowControl w:val="0"/>
        <w:spacing w:line="240" w:lineRule="auto"/>
        <w:ind w:firstLine="300"/>
        <w:rPr>
          <w:rFonts w:ascii="Bookman Old Style" w:eastAsia="Bookman Old Style" w:hAnsi="Bookman Old Style" w:cs="Bookman Old Style"/>
          <w:color w:val="231F20"/>
          <w:sz w:val="18"/>
          <w:szCs w:val="18"/>
        </w:rPr>
      </w:pPr>
    </w:p>
    <w:p w14:paraId="37CAE58B" w14:textId="5F7C3694" w:rsidR="00350396" w:rsidRPr="004E0FC4" w:rsidRDefault="00350396" w:rsidP="004E0FC4">
      <w:pPr>
        <w:widowControl w:val="0"/>
        <w:spacing w:line="240" w:lineRule="auto"/>
        <w:ind w:firstLine="300"/>
        <w:rPr>
          <w:rFonts w:ascii="Bookman Old Style" w:eastAsia="Bookman Old Style" w:hAnsi="Bookman Old Style" w:cs="Bookman Old Style"/>
          <w:color w:val="231F20"/>
          <w:sz w:val="18"/>
          <w:szCs w:val="18"/>
        </w:rPr>
      </w:pPr>
      <w:r w:rsidRPr="004E0FC4">
        <w:rPr>
          <w:rFonts w:ascii="Bookman Old Style" w:hAnsi="Bookman Old Style"/>
          <w:noProof/>
          <w:sz w:val="18"/>
          <w:szCs w:val="18"/>
          <w:lang w:bidi="ar-SA"/>
        </w:rPr>
        <mc:AlternateContent>
          <mc:Choice Requires="wps">
            <w:drawing>
              <wp:anchor distT="0" distB="0" distL="63500" distR="63500" simplePos="0" relativeHeight="377534270" behindDoc="1" locked="0" layoutInCell="1" allowOverlap="1" wp14:anchorId="09EEC92F" wp14:editId="0257058A">
                <wp:simplePos x="0" y="0"/>
                <wp:positionH relativeFrom="margin">
                  <wp:posOffset>38100</wp:posOffset>
                </wp:positionH>
                <wp:positionV relativeFrom="paragraph">
                  <wp:posOffset>251460</wp:posOffset>
                </wp:positionV>
                <wp:extent cx="4175760" cy="737870"/>
                <wp:effectExtent l="3175" t="0" r="2540" b="0"/>
                <wp:wrapSquare wrapText="bothSides"/>
                <wp:docPr id="273" name="Надпись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D013E" w14:textId="77777777" w:rsidR="00350396" w:rsidRDefault="00350396" w:rsidP="00350396">
                            <w:pPr>
                              <w:spacing w:line="240" w:lineRule="exact"/>
                            </w:pPr>
                            <w:r>
                              <w:rPr>
                                <w:rStyle w:val="3Exact0"/>
                              </w:rPr>
                              <w:t>Рис. 4.</w:t>
                            </w:r>
                            <w:r w:rsidRPr="006B552E">
                              <w:rPr>
                                <w:rStyle w:val="3Exact0"/>
                                <w:highlight w:val="green"/>
                              </w:rPr>
                              <w:t>9</w:t>
                            </w:r>
                            <w:r>
                              <w:rPr>
                                <w:rStyle w:val="3Exact0"/>
                              </w:rPr>
                              <w:t>.</w:t>
                            </w:r>
                            <w:r>
                              <w:rPr>
                                <w:rStyle w:val="3Exact1"/>
                              </w:rPr>
                              <w:t xml:space="preserve"> Количество проектов ГЧП, прошедших стадию коммерческого закрытия в соответствующем году, и объем частных инвестиций (капитальные затраты) в этих проектах по годам</w:t>
                            </w:r>
                            <w:r>
                              <w:rPr>
                                <w:rStyle w:val="3Exact1"/>
                                <w:vertAlign w:val="superscript"/>
                              </w:rPr>
                              <w:t>1</w:t>
                            </w:r>
                            <w:r>
                              <w:rPr>
                                <w:rStyle w:val="3Exact1"/>
                              </w:rPr>
                              <w:t>:</w:t>
                            </w:r>
                          </w:p>
                          <w:p w14:paraId="6DE55B85" w14:textId="77777777" w:rsidR="00350396" w:rsidRDefault="00350396" w:rsidP="00350396">
                            <w:pPr>
                              <w:tabs>
                                <w:tab w:val="left" w:leader="hyphen" w:pos="1997"/>
                              </w:tabs>
                              <w:spacing w:line="221" w:lineRule="exact"/>
                              <w:ind w:left="1340" w:hanging="1100"/>
                            </w:pPr>
                            <w:r>
                              <w:rPr>
                                <w:rStyle w:val="5Exact1"/>
                              </w:rPr>
                              <w:t xml:space="preserve">— количество проектов ГЧП, прошедших стадию коммерческого закрытия; </w:t>
                            </w:r>
                            <w:r>
                              <w:rPr>
                                <w:rStyle w:val="5Exact1"/>
                              </w:rPr>
                              <w:tab/>
                              <w:t>объем частных инвестиций, млрд руб.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EEC92F" id="Надпись 273" o:spid="_x0000_s1056" type="#_x0000_t202" style="position:absolute;left:0;text-align:left;margin-left:3pt;margin-top:19.8pt;width:328.8pt;height:58.1pt;z-index:-12578221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" filled="f" stroked="f">
                <v:textbox style="mso-fit-shape-to-text:t" inset="0,0,0,0">
                  <w:txbxContent>
                    <w:p w14:paraId="00BD013E" w14:textId="77777777" w:rsidR="00350396" w:rsidRDefault="00350396" w:rsidP="00350396">
                      <w:pPr>
                        <w:spacing w:line="240" w:lineRule="exact"/>
                      </w:pPr>
                      <w:r>
                        <w:rPr>
                          <w:rStyle w:val="3Exact0"/>
                        </w:rPr>
                        <w:t>Рис. 4.</w:t>
                      </w:r>
                      <w:r w:rsidRPr="006B552E">
                        <w:rPr>
                          <w:rStyle w:val="3Exact0"/>
                          <w:highlight w:val="green"/>
                        </w:rPr>
                        <w:t>9</w:t>
                      </w:r>
                      <w:r>
                        <w:rPr>
                          <w:rStyle w:val="3Exact0"/>
                        </w:rPr>
                        <w:t>.</w:t>
                      </w:r>
                      <w:r>
                        <w:rPr>
                          <w:rStyle w:val="3Exact1"/>
                        </w:rPr>
                        <w:t xml:space="preserve"> Количество проектов ГЧП, прошедших стадию коммерческого закрытия в соответствующем году, и объем частных инвестиций (капитальные затраты) в этих проектах по годам</w:t>
                      </w:r>
                      <w:r>
                        <w:rPr>
                          <w:rStyle w:val="3Exact1"/>
                          <w:vertAlign w:val="superscript"/>
                        </w:rPr>
                        <w:t>1</w:t>
                      </w:r>
                      <w:r>
                        <w:rPr>
                          <w:rStyle w:val="3Exact1"/>
                        </w:rPr>
                        <w:t>:</w:t>
                      </w:r>
                    </w:p>
                    <w:p w14:paraId="6DE55B85" w14:textId="77777777" w:rsidR="00350396" w:rsidRDefault="00350396" w:rsidP="00350396">
                      <w:pPr>
                        <w:tabs>
                          <w:tab w:val="left" w:leader="hyphen" w:pos="1997"/>
                        </w:tabs>
                        <w:spacing w:line="221" w:lineRule="exact"/>
                        <w:ind w:left="1340" w:hanging="1100"/>
                      </w:pPr>
                      <w:r>
                        <w:rPr>
                          <w:rStyle w:val="5Exact1"/>
                        </w:rPr>
                        <w:t xml:space="preserve">— количество проектов ГЧП, прошедших стадию коммерческого закрытия; </w:t>
                      </w:r>
                      <w:r>
                        <w:rPr>
                          <w:rStyle w:val="5Exact1"/>
                        </w:rPr>
                        <w:tab/>
                        <w:t>объем частных инвестиций, млрд руб.</w:t>
                      </w:r>
                    </w:p>
                  </w:txbxContent>
                </v:textbox>
                <w10:wrap type="square" anchorx="margin"/>
              </v:shape>
            </w:pict>
          </mc:Fallback>
        </mc:AlternateContent>
      </w:r>
    </w:p>
    <w:p w14:paraId="7DD4D8BD" w14:textId="77777777" w:rsidR="00350396" w:rsidRPr="004E0FC4" w:rsidRDefault="00350396" w:rsidP="004E0FC4">
      <w:pPr>
        <w:widowControl w:val="0"/>
        <w:spacing w:line="240" w:lineRule="auto"/>
        <w:ind w:firstLine="300"/>
        <w:rPr>
          <w:rFonts w:ascii="Bookman Old Style" w:eastAsia="Bookman Old Style" w:hAnsi="Bookman Old Style" w:cs="Bookman Old Style"/>
          <w:color w:val="231F20"/>
          <w:sz w:val="18"/>
          <w:szCs w:val="18"/>
        </w:rPr>
      </w:pPr>
    </w:p>
    <w:p w14:paraId="698BC34B" w14:textId="77777777" w:rsidR="00350396" w:rsidRPr="004E0FC4" w:rsidRDefault="00350396" w:rsidP="004E0FC4">
      <w:pPr>
        <w:widowControl w:val="0"/>
        <w:spacing w:line="240" w:lineRule="auto"/>
        <w:ind w:firstLine="30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green"/>
        </w:rPr>
        <w:t>С</w:t>
      </w:r>
      <w:r w:rsidRPr="004E0FC4">
        <w:rPr>
          <w:rFonts w:ascii="Bookman Old Style" w:eastAsia="Bookman Old Style" w:hAnsi="Bookman Old Style" w:cs="Bookman Old Style"/>
          <w:color w:val="231F20"/>
          <w:sz w:val="18"/>
          <w:szCs w:val="18"/>
        </w:rPr>
        <w:t>нижение количества проектов в 2017 г., но со</w:t>
      </w:r>
      <w:r w:rsidRPr="004E0FC4">
        <w:rPr>
          <w:rFonts w:ascii="Bookman Old Style" w:eastAsia="Bookman Old Style" w:hAnsi="Bookman Old Style" w:cs="Bookman Old Style"/>
          <w:color w:val="231F20"/>
          <w:sz w:val="18"/>
          <w:szCs w:val="18"/>
        </w:rPr>
        <w:softHyphen/>
        <w:t>хранение при этом того же объема «законтрактованных» инвести</w:t>
      </w:r>
      <w:r w:rsidRPr="004E0FC4">
        <w:rPr>
          <w:rFonts w:ascii="Bookman Old Style" w:eastAsia="Bookman Old Style" w:hAnsi="Bookman Old Style" w:cs="Bookman Old Style"/>
          <w:color w:val="231F20"/>
          <w:sz w:val="18"/>
          <w:szCs w:val="18"/>
        </w:rPr>
        <w:softHyphen/>
        <w:t>ционных обязательств связано в первую очередь с введением реги</w:t>
      </w:r>
      <w:r w:rsidRPr="004E0FC4">
        <w:rPr>
          <w:rFonts w:ascii="Bookman Old Style" w:eastAsia="Bookman Old Style" w:hAnsi="Bookman Old Style" w:cs="Bookman Old Style"/>
          <w:color w:val="231F20"/>
          <w:sz w:val="18"/>
          <w:szCs w:val="18"/>
        </w:rPr>
        <w:softHyphen/>
        <w:t>она в качестве стороны концессионного соглашения в отношении централизованных систем теплоснабжения, водоснабжения и во</w:t>
      </w:r>
      <w:r w:rsidRPr="004E0FC4">
        <w:rPr>
          <w:rFonts w:ascii="Bookman Old Style" w:eastAsia="Bookman Old Style" w:hAnsi="Bookman Old Style" w:cs="Bookman Old Style"/>
          <w:color w:val="231F20"/>
          <w:sz w:val="18"/>
          <w:szCs w:val="18"/>
        </w:rPr>
        <w:softHyphen/>
        <w:t>доотведения, что уменьшило количество проектов, но увеличило их «средний размер». В отношении муниципальных проектов ГЧП, которые составля</w:t>
      </w:r>
      <w:r w:rsidRPr="004E0FC4">
        <w:rPr>
          <w:rFonts w:ascii="Bookman Old Style" w:eastAsia="Bookman Old Style" w:hAnsi="Bookman Old Style" w:cs="Bookman Old Style"/>
          <w:color w:val="231F20"/>
          <w:sz w:val="18"/>
          <w:szCs w:val="18"/>
          <w:highlight w:val="green"/>
        </w:rPr>
        <w:t>ли</w:t>
      </w:r>
      <w:r w:rsidRPr="004E0FC4">
        <w:rPr>
          <w:rFonts w:ascii="Bookman Old Style" w:eastAsia="Bookman Old Style" w:hAnsi="Bookman Old Style" w:cs="Bookman Old Style"/>
          <w:color w:val="231F20"/>
          <w:sz w:val="18"/>
          <w:szCs w:val="18"/>
        </w:rPr>
        <w:t xml:space="preserve"> наибольшее число </w:t>
      </w:r>
      <w:r w:rsidRPr="004E0FC4">
        <w:rPr>
          <w:rFonts w:ascii="Bookman Old Style" w:eastAsia="Bookman Old Style" w:hAnsi="Bookman Old Style" w:cs="Bookman Old Style"/>
          <w:color w:val="231F20"/>
          <w:sz w:val="18"/>
          <w:szCs w:val="18"/>
        </w:rPr>
        <w:lastRenderedPageBreak/>
        <w:t>проектов, отмечалось, что «на поток» их реализация была поставлена максимум в 15—20 ре</w:t>
      </w:r>
      <w:r w:rsidRPr="004E0FC4">
        <w:rPr>
          <w:rFonts w:ascii="Bookman Old Style" w:eastAsia="Bookman Old Style" w:hAnsi="Bookman Old Style" w:cs="Bookman Old Style"/>
          <w:color w:val="231F20"/>
          <w:sz w:val="18"/>
          <w:szCs w:val="18"/>
        </w:rPr>
        <w:softHyphen/>
        <w:t>гионах Российской Федерации, где активно применяются концесси</w:t>
      </w:r>
      <w:r w:rsidRPr="004E0FC4">
        <w:rPr>
          <w:rFonts w:ascii="Bookman Old Style" w:eastAsia="Bookman Old Style" w:hAnsi="Bookman Old Style" w:cs="Bookman Old Style"/>
          <w:color w:val="231F20"/>
          <w:sz w:val="18"/>
          <w:szCs w:val="18"/>
        </w:rPr>
        <w:softHyphen/>
        <w:t>онные механизмы</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w:t>
      </w:r>
    </w:p>
    <w:p w14:paraId="31CFFF2C" w14:textId="77777777" w:rsidR="00350396" w:rsidRPr="004E0FC4" w:rsidRDefault="00350396" w:rsidP="004E0FC4">
      <w:pPr>
        <w:widowControl w:val="0"/>
        <w:spacing w:line="240" w:lineRule="auto"/>
        <w:ind w:firstLine="300"/>
        <w:rPr>
          <w:rFonts w:ascii="Bookman Old Style" w:hAnsi="Bookman Old Style"/>
          <w:sz w:val="18"/>
          <w:szCs w:val="18"/>
        </w:rPr>
      </w:pPr>
      <w:r w:rsidRPr="004E0FC4">
        <w:rPr>
          <w:rFonts w:ascii="Bookman Old Style" w:eastAsia="Bookman Old Style" w:hAnsi="Bookman Old Style" w:cs="Bookman Old Style"/>
          <w:color w:val="231F20"/>
          <w:sz w:val="18"/>
          <w:szCs w:val="18"/>
        </w:rPr>
        <w:t>Ядро рынка проектов ГЧП формир</w:t>
      </w:r>
      <w:r w:rsidRPr="004E0FC4">
        <w:rPr>
          <w:rFonts w:ascii="Bookman Old Style" w:eastAsia="Bookman Old Style" w:hAnsi="Bookman Old Style" w:cs="Bookman Old Style"/>
          <w:color w:val="231F20"/>
          <w:sz w:val="18"/>
          <w:szCs w:val="18"/>
          <w:highlight w:val="green"/>
        </w:rPr>
        <w:t>овалось</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уется</w:t>
      </w:r>
      <w:r w:rsidRPr="004E0FC4">
        <w:rPr>
          <w:rFonts w:ascii="Bookman Old Style" w:eastAsia="Bookman Old Style" w:hAnsi="Bookman Old Style" w:cs="Bookman Old Style"/>
          <w:color w:val="231F20"/>
          <w:sz w:val="18"/>
          <w:szCs w:val="18"/>
        </w:rPr>
        <w:t xml:space="preserve"> за счет проектов свыше 1 млрд руб. Таких проектов в 2018 г. </w:t>
      </w:r>
      <w:r w:rsidRPr="004E0FC4">
        <w:rPr>
          <w:rFonts w:ascii="Bookman Old Style" w:eastAsia="Bookman Old Style" w:hAnsi="Bookman Old Style" w:cs="Bookman Old Style"/>
          <w:color w:val="231F20"/>
          <w:sz w:val="18"/>
          <w:szCs w:val="18"/>
          <w:highlight w:val="green"/>
        </w:rPr>
        <w:t>было</w:t>
      </w:r>
      <w:r w:rsidRPr="004E0FC4">
        <w:rPr>
          <w:rFonts w:ascii="Bookman Old Style" w:eastAsia="Bookman Old Style" w:hAnsi="Bookman Old Style" w:cs="Bookman Old Style"/>
          <w:color w:val="231F20"/>
          <w:sz w:val="18"/>
          <w:szCs w:val="18"/>
        </w:rPr>
        <w:t xml:space="preserve"> 158, с суммарным объемом частных инвестиций — 1,7 трлн руб. (рис. 4.</w:t>
      </w:r>
      <w:r w:rsidRPr="004E0FC4">
        <w:rPr>
          <w:rFonts w:ascii="Bookman Old Style" w:eastAsia="Bookman Old Style" w:hAnsi="Bookman Old Style" w:cs="Bookman Old Style"/>
          <w:color w:val="231F20"/>
          <w:sz w:val="18"/>
          <w:szCs w:val="18"/>
          <w:highlight w:val="green"/>
        </w:rPr>
        <w:t>10</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vertAlign w:val="superscript"/>
        </w:rPr>
        <w:footnoteReference w:id="112"/>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13"/>
      </w:r>
      <w:r w:rsidRPr="004E0FC4">
        <w:rPr>
          <w:rFonts w:ascii="Bookman Old Style" w:eastAsia="Bookman Old Style" w:hAnsi="Bookman Old Style" w:cs="Bookman Old Style"/>
          <w:color w:val="231F20"/>
          <w:sz w:val="18"/>
          <w:szCs w:val="18"/>
          <w:vertAlign w:val="superscript"/>
        </w:rPr>
        <w:t xml:space="preserve"> </w:t>
      </w:r>
    </w:p>
    <w:p w14:paraId="137CF62E" w14:textId="77777777" w:rsidR="00350396" w:rsidRPr="004E0FC4" w:rsidRDefault="00350396" w:rsidP="004E0FC4">
      <w:pPr>
        <w:widowControl w:val="0"/>
        <w:spacing w:line="240" w:lineRule="auto"/>
        <w:ind w:firstLine="36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noProof/>
          <w:color w:val="231F20"/>
          <w:sz w:val="18"/>
          <w:szCs w:val="18"/>
          <w:highlight w:val="green"/>
          <w:lang w:bidi="ar-SA"/>
        </w:rPr>
        <w:drawing>
          <wp:inline distT="0" distB="0" distL="0" distR="0" wp14:anchorId="6A51A0EF" wp14:editId="5897D899">
            <wp:extent cx="2358390" cy="1192696"/>
            <wp:effectExtent l="19050" t="0" r="3810" b="0"/>
            <wp:docPr id="222" name="Рисунок 2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7"/>
                    <pic:cNvPicPr>
                      <a:picLocks noChangeAspect="1" noChangeArrowheads="1"/>
                    </pic:cNvPicPr>
                  </pic:nvPicPr>
                  <pic:blipFill>
                    <a:blip r:embed="rId56" cstate="print"/>
                    <a:srcRect/>
                    <a:stretch>
                      <a:fillRect/>
                    </a:stretch>
                  </pic:blipFill>
                  <pic:spPr bwMode="auto">
                    <a:xfrm>
                      <a:off x="0" y="0"/>
                      <a:ext cx="2358390" cy="1192696"/>
                    </a:xfrm>
                    <a:prstGeom prst="rect">
                      <a:avLst/>
                    </a:prstGeom>
                    <a:noFill/>
                  </pic:spPr>
                </pic:pic>
              </a:graphicData>
            </a:graphic>
          </wp:inline>
        </w:drawing>
      </w:r>
    </w:p>
    <w:p w14:paraId="3BFD0938"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b/>
          <w:bCs/>
          <w:i/>
          <w:iCs/>
          <w:color w:val="231F20"/>
          <w:sz w:val="18"/>
          <w:szCs w:val="18"/>
        </w:rPr>
        <w:t>Рис. 4.</w:t>
      </w:r>
      <w:r w:rsidRPr="004E0FC4">
        <w:rPr>
          <w:rFonts w:ascii="Bookman Old Style" w:eastAsia="Arial Narrow" w:hAnsi="Bookman Old Style" w:cs="Arial Narrow"/>
          <w:b/>
          <w:bCs/>
          <w:i/>
          <w:iCs/>
          <w:color w:val="231F20"/>
          <w:sz w:val="18"/>
          <w:szCs w:val="18"/>
          <w:highlight w:val="green"/>
        </w:rPr>
        <w:t>10.</w:t>
      </w:r>
      <w:r w:rsidRPr="004E0FC4">
        <w:rPr>
          <w:rFonts w:ascii="Bookman Old Style" w:eastAsia="Arial Narrow" w:hAnsi="Bookman Old Style" w:cs="Arial Narrow"/>
          <w:sz w:val="18"/>
          <w:szCs w:val="18"/>
        </w:rPr>
        <w:t xml:space="preserve"> Распределение частных инвестиций в проектах ГЧП по категории свыше 1 млрд руб., млрд руб.</w:t>
      </w:r>
      <w:r w:rsidRPr="004E0FC4">
        <w:rPr>
          <w:rFonts w:ascii="Bookman Old Style" w:eastAsia="Arial Narrow" w:hAnsi="Bookman Old Style" w:cs="Arial Narrow"/>
          <w:sz w:val="18"/>
          <w:szCs w:val="18"/>
          <w:vertAlign w:val="superscript"/>
        </w:rPr>
        <w:t>1</w:t>
      </w:r>
    </w:p>
    <w:p w14:paraId="75578042" w14:textId="77777777" w:rsidR="00350396" w:rsidRPr="004E0FC4" w:rsidRDefault="00350396" w:rsidP="004E0FC4">
      <w:pPr>
        <w:widowControl w:val="0"/>
        <w:spacing w:line="240" w:lineRule="auto"/>
        <w:ind w:firstLine="360"/>
        <w:rPr>
          <w:rFonts w:ascii="Bookman Old Style" w:eastAsia="Bookman Old Style" w:hAnsi="Bookman Old Style" w:cs="Bookman Old Style"/>
          <w:color w:val="231F20"/>
          <w:sz w:val="18"/>
          <w:szCs w:val="18"/>
          <w:highlight w:val="green"/>
        </w:rPr>
      </w:pPr>
    </w:p>
    <w:p w14:paraId="38E058CA" w14:textId="77777777" w:rsidR="00350396" w:rsidRPr="004E0FC4" w:rsidRDefault="00350396" w:rsidP="004E0FC4">
      <w:pPr>
        <w:widowControl w:val="0"/>
        <w:spacing w:line="240" w:lineRule="auto"/>
        <w:ind w:firstLine="360"/>
        <w:rPr>
          <w:rFonts w:ascii="Bookman Old Style" w:eastAsia="Bookman Old Style" w:hAnsi="Bookman Old Style" w:cs="Bookman Old Style"/>
          <w:color w:val="231F20"/>
          <w:sz w:val="18"/>
          <w:szCs w:val="18"/>
          <w:highlight w:val="green"/>
        </w:rPr>
      </w:pPr>
    </w:p>
    <w:p w14:paraId="11BB1E1E" w14:textId="78593FB3" w:rsidR="00350396" w:rsidRPr="004E0FC4" w:rsidRDefault="00350396" w:rsidP="004E0FC4">
      <w:pPr>
        <w:widowControl w:val="0"/>
        <w:spacing w:line="240" w:lineRule="auto"/>
        <w:ind w:firstLine="360"/>
        <w:rPr>
          <w:rFonts w:ascii="Bookman Old Style" w:hAnsi="Bookman Old Style"/>
          <w:sz w:val="18"/>
          <w:szCs w:val="18"/>
        </w:rPr>
      </w:pPr>
      <w:r w:rsidRPr="004E0FC4">
        <w:rPr>
          <w:rFonts w:ascii="Bookman Old Style" w:hAnsi="Bookman Old Style"/>
          <w:noProof/>
          <w:sz w:val="18"/>
          <w:szCs w:val="18"/>
          <w:highlight w:val="green"/>
          <w:lang w:bidi="ar-SA"/>
        </w:rPr>
        <mc:AlternateContent>
          <mc:Choice Requires="wps">
            <w:drawing>
              <wp:anchor distT="0" distB="0" distL="63500" distR="231775" simplePos="0" relativeHeight="377537342" behindDoc="1" locked="0" layoutInCell="1" allowOverlap="1" wp14:anchorId="28A8C7D3" wp14:editId="439CFB15">
                <wp:simplePos x="0" y="0"/>
                <wp:positionH relativeFrom="margin">
                  <wp:posOffset>1909445</wp:posOffset>
                </wp:positionH>
                <wp:positionV relativeFrom="paragraph">
                  <wp:posOffset>334645</wp:posOffset>
                </wp:positionV>
                <wp:extent cx="307340" cy="167005"/>
                <wp:effectExtent l="0" t="1270" r="0" b="3175"/>
                <wp:wrapTopAndBottom/>
                <wp:docPr id="272" name="Надпись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F0B9" w14:textId="77777777" w:rsidR="00350396" w:rsidRDefault="00350396" w:rsidP="00350396">
                            <w:pPr>
                              <w:spacing w:line="202" w:lineRule="exact"/>
                            </w:pPr>
                            <w:r>
                              <w:rPr>
                                <w:rStyle w:val="2Exact3"/>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C7D3" id="Надпись 272" o:spid="_x0000_s1057" type="#_x0000_t202" style="position:absolute;left:0;text-align:left;margin-left:150.35pt;margin-top:26.35pt;width:24.2pt;height:13.15pt;z-index:-125779138;visibility:visible;mso-wrap-style:square;mso-width-percent:0;mso-height-percent:0;mso-wrap-distance-left:5pt;mso-wrap-distance-top:0;mso-wrap-distance-right:18.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" filled="f" stroked="f">
                <v:textbox inset="0,0,0,0">
                  <w:txbxContent>
                    <w:p w14:paraId="5C04F0B9" w14:textId="77777777" w:rsidR="00350396" w:rsidRDefault="00350396" w:rsidP="00350396">
                      <w:pPr>
                        <w:spacing w:line="202" w:lineRule="exact"/>
                      </w:pPr>
                      <w:r>
                        <w:rPr>
                          <w:rStyle w:val="2Exact3"/>
                        </w:rPr>
                        <w:t>2017</w:t>
                      </w:r>
                    </w:p>
                  </w:txbxContent>
                </v:textbox>
                <w10:wrap type="topAndBottom" anchorx="margin"/>
              </v:shape>
            </w:pict>
          </mc:Fallback>
        </mc:AlternateContent>
      </w:r>
      <w:r w:rsidRPr="004E0FC4">
        <w:rPr>
          <w:rFonts w:ascii="Bookman Old Style" w:eastAsia="Bookman Old Style" w:hAnsi="Bookman Old Style" w:cs="Bookman Old Style"/>
          <w:color w:val="231F20"/>
          <w:sz w:val="18"/>
          <w:szCs w:val="18"/>
          <w:highlight w:val="green"/>
        </w:rPr>
        <w:t>До 2018 года</w:t>
      </w:r>
      <w:r w:rsidRPr="004E0FC4">
        <w:rPr>
          <w:rFonts w:ascii="Bookman Old Style" w:eastAsia="Bookman Old Style" w:hAnsi="Bookman Old Style" w:cs="Bookman Old Style"/>
          <w:color w:val="231F20"/>
          <w:sz w:val="18"/>
          <w:szCs w:val="18"/>
        </w:rPr>
        <w:t xml:space="preserve"> наблюда</w:t>
      </w:r>
      <w:r w:rsidRPr="004E0FC4">
        <w:rPr>
          <w:rFonts w:ascii="Bookman Old Style" w:eastAsia="Bookman Old Style" w:hAnsi="Bookman Old Style" w:cs="Bookman Old Style"/>
          <w:color w:val="231F20"/>
          <w:sz w:val="18"/>
          <w:szCs w:val="18"/>
          <w:highlight w:val="green"/>
        </w:rPr>
        <w:t>л</w:t>
      </w:r>
      <w:r w:rsidRPr="004E0FC4">
        <w:rPr>
          <w:rFonts w:ascii="Bookman Old Style" w:eastAsia="Bookman Old Style" w:hAnsi="Bookman Old Style" w:cs="Bookman Old Style"/>
          <w:color w:val="231F20"/>
          <w:sz w:val="18"/>
          <w:szCs w:val="18"/>
          <w:highlight w:val="red"/>
        </w:rPr>
        <w:t>ет</w:t>
      </w:r>
      <w:r w:rsidRPr="004E0FC4">
        <w:rPr>
          <w:rFonts w:ascii="Bookman Old Style" w:eastAsia="Bookman Old Style" w:hAnsi="Bookman Old Style" w:cs="Bookman Old Style"/>
          <w:color w:val="231F20"/>
          <w:sz w:val="18"/>
          <w:szCs w:val="18"/>
        </w:rPr>
        <w:t>ся устойчивый рост «законтрактованных» инвестици</w:t>
      </w:r>
      <w:r w:rsidRPr="004E0FC4">
        <w:rPr>
          <w:rFonts w:ascii="Bookman Old Style" w:eastAsia="Bookman Old Style" w:hAnsi="Bookman Old Style" w:cs="Bookman Old Style"/>
          <w:color w:val="231F20"/>
          <w:sz w:val="18"/>
          <w:szCs w:val="18"/>
        </w:rPr>
        <w:softHyphen/>
        <w:t>онных обязательств частных партнеров (рис. 4.</w:t>
      </w:r>
      <w:r w:rsidRPr="004E0FC4">
        <w:rPr>
          <w:rFonts w:ascii="Bookman Old Style" w:eastAsia="Bookman Old Style" w:hAnsi="Bookman Old Style" w:cs="Bookman Old Style"/>
          <w:color w:val="231F20"/>
          <w:sz w:val="18"/>
          <w:szCs w:val="18"/>
          <w:highlight w:val="green"/>
        </w:rPr>
        <w:t>11</w:t>
      </w:r>
      <w:r w:rsidRPr="004E0FC4">
        <w:rPr>
          <w:rFonts w:ascii="Bookman Old Style" w:eastAsia="Bookman Old Style" w:hAnsi="Bookman Old Style" w:cs="Bookman Old Style"/>
          <w:color w:val="231F20"/>
          <w:sz w:val="18"/>
          <w:szCs w:val="18"/>
        </w:rPr>
        <w:t>).</w:t>
      </w:r>
    </w:p>
    <w:p w14:paraId="527F2B7B" w14:textId="7288A39A" w:rsidR="00350396" w:rsidRPr="004E0FC4" w:rsidRDefault="00350396" w:rsidP="004E0FC4">
      <w:pPr>
        <w:widowControl w:val="0"/>
        <w:spacing w:after="232" w:line="240" w:lineRule="auto"/>
        <w:ind w:firstLine="0"/>
        <w:rPr>
          <w:rFonts w:ascii="Bookman Old Style" w:hAnsi="Bookman Old Style"/>
          <w:sz w:val="18"/>
          <w:szCs w:val="18"/>
        </w:rPr>
      </w:pPr>
      <w:r w:rsidRPr="004E0FC4">
        <w:rPr>
          <w:rFonts w:ascii="Bookman Old Style" w:hAnsi="Bookman Old Style"/>
          <w:noProof/>
          <w:sz w:val="18"/>
          <w:szCs w:val="18"/>
          <w:highlight w:val="green"/>
          <w:lang w:bidi="ar-SA"/>
        </w:rPr>
        <mc:AlternateContent>
          <mc:Choice Requires="wps">
            <w:drawing>
              <wp:anchor distT="0" distB="0" distL="63500" distR="389890" simplePos="0" relativeHeight="377536318" behindDoc="1" locked="0" layoutInCell="1" allowOverlap="1" wp14:anchorId="6E06A285" wp14:editId="1846E33F">
                <wp:simplePos x="0" y="0"/>
                <wp:positionH relativeFrom="margin">
                  <wp:posOffset>496570</wp:posOffset>
                </wp:positionH>
                <wp:positionV relativeFrom="paragraph">
                  <wp:posOffset>105410</wp:posOffset>
                </wp:positionV>
                <wp:extent cx="347345" cy="128270"/>
                <wp:effectExtent l="4445" t="2540" r="635" b="2540"/>
                <wp:wrapTopAndBottom/>
                <wp:docPr id="271" name="Надпись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9A55" w14:textId="77777777" w:rsidR="00350396" w:rsidRDefault="00350396" w:rsidP="00350396">
                            <w:pPr>
                              <w:spacing w:line="202" w:lineRule="exact"/>
                            </w:pPr>
                            <w:r>
                              <w:rPr>
                                <w:rStyle w:val="2Exact3"/>
                              </w:rPr>
                              <w:t>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06A285" id="Надпись 271" o:spid="_x0000_s1058" type="#_x0000_t202" style="position:absolute;left:0;text-align:left;margin-left:39.1pt;margin-top:8.3pt;width:27.35pt;height:10.1pt;z-index:-125780162;visibility:visible;mso-wrap-style:square;mso-width-percent:0;mso-height-percent:0;mso-wrap-distance-left:5pt;mso-wrap-distance-top:0;mso-wrap-distance-right:3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" filled="f" stroked="f">
                <v:textbox style="mso-fit-shape-to-text:t" inset="0,0,0,0">
                  <w:txbxContent>
                    <w:p w14:paraId="73389A55" w14:textId="77777777" w:rsidR="00350396" w:rsidRDefault="00350396" w:rsidP="00350396">
                      <w:pPr>
                        <w:spacing w:line="202" w:lineRule="exact"/>
                      </w:pPr>
                      <w:r>
                        <w:rPr>
                          <w:rStyle w:val="2Exact3"/>
                        </w:rPr>
                        <w:t>2015</w:t>
                      </w:r>
                    </w:p>
                  </w:txbxContent>
                </v:textbox>
                <w10:wrap type="topAndBottom" anchorx="margin"/>
              </v:shape>
            </w:pict>
          </mc:Fallback>
        </mc:AlternateContent>
      </w:r>
      <w:r w:rsidRPr="004E0FC4">
        <w:rPr>
          <w:rFonts w:ascii="Bookman Old Style" w:eastAsia="Arial Narrow" w:hAnsi="Bookman Old Style" w:cs="Arial Narrow"/>
          <w:b/>
          <w:bCs/>
          <w:i/>
          <w:iCs/>
          <w:color w:val="231F20"/>
          <w:sz w:val="18"/>
          <w:szCs w:val="18"/>
        </w:rPr>
        <w:t>Рис. 4.</w:t>
      </w:r>
      <w:r w:rsidRPr="004E0FC4">
        <w:rPr>
          <w:rFonts w:ascii="Bookman Old Style" w:eastAsia="Arial Narrow" w:hAnsi="Bookman Old Style" w:cs="Arial Narrow"/>
          <w:b/>
          <w:bCs/>
          <w:i/>
          <w:iCs/>
          <w:color w:val="231F20"/>
          <w:sz w:val="18"/>
          <w:szCs w:val="18"/>
          <w:highlight w:val="green"/>
        </w:rPr>
        <w:t>11</w:t>
      </w:r>
      <w:r w:rsidRPr="004E0FC4">
        <w:rPr>
          <w:rFonts w:ascii="Bookman Old Style" w:eastAsia="Arial Narrow" w:hAnsi="Bookman Old Style" w:cs="Arial Narrow"/>
          <w:b/>
          <w:bCs/>
          <w:i/>
          <w:iCs/>
          <w:color w:val="231F20"/>
          <w:sz w:val="18"/>
          <w:szCs w:val="18"/>
        </w:rPr>
        <w:t>.</w:t>
      </w:r>
      <w:r w:rsidRPr="004E0FC4">
        <w:rPr>
          <w:rFonts w:ascii="Bookman Old Style" w:eastAsia="Arial Narrow" w:hAnsi="Bookman Old Style" w:cs="Arial Narrow"/>
          <w:b/>
          <w:bCs/>
          <w:color w:val="231F20"/>
          <w:sz w:val="18"/>
          <w:szCs w:val="18"/>
        </w:rPr>
        <w:t xml:space="preserve"> «Законтрактованные» инвестиционные обязательства частных партнеров</w:t>
      </w:r>
      <w:r w:rsidRPr="004E0FC4">
        <w:rPr>
          <w:rFonts w:ascii="Bookman Old Style" w:eastAsia="Arial Narrow" w:hAnsi="Bookman Old Style" w:cs="Arial Narrow"/>
          <w:b/>
          <w:bCs/>
          <w:color w:val="231F20"/>
          <w:sz w:val="18"/>
          <w:szCs w:val="18"/>
        </w:rPr>
        <w:br/>
        <w:t>в проектах ГЧП по годам накопленным итогом</w:t>
      </w:r>
      <w:r w:rsidRPr="004E0FC4">
        <w:rPr>
          <w:rFonts w:ascii="Bookman Old Style" w:eastAsia="Bookman Old Style" w:hAnsi="Bookman Old Style" w:cs="Bookman Old Style"/>
          <w:b/>
          <w:bCs/>
          <w:color w:val="231F20"/>
          <w:sz w:val="18"/>
          <w:szCs w:val="18"/>
          <w:vertAlign w:val="superscript"/>
        </w:rPr>
        <w:t>2</w:t>
      </w:r>
    </w:p>
    <w:p w14:paraId="73B3EB91"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При росте накопительным итогом в последние годы, особенно в период 2018-2022 годов, имелась тенденция снижения годового числа проектов и законтрактованных обязательств (рис. 4.12, 4.13)</w:t>
      </w:r>
    </w:p>
    <w:p w14:paraId="58610A5E"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noProof/>
          <w:color w:val="231F20"/>
          <w:sz w:val="18"/>
          <w:szCs w:val="18"/>
          <w:lang w:bidi="ar-SA"/>
        </w:rPr>
        <w:drawing>
          <wp:inline distT="0" distB="0" distL="0" distR="0" wp14:anchorId="545D5560" wp14:editId="1BA11E04">
            <wp:extent cx="3571459" cy="1651000"/>
            <wp:effectExtent l="0" t="0" r="0" b="0"/>
            <wp:docPr id="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2503" t="4115" r="3202" b="3534"/>
                    <a:stretch>
                      <a:fillRect/>
                    </a:stretch>
                  </pic:blipFill>
                  <pic:spPr bwMode="auto">
                    <a:xfrm>
                      <a:off x="0" y="0"/>
                      <a:ext cx="3572506" cy="1651484"/>
                    </a:xfrm>
                    <a:prstGeom prst="rect">
                      <a:avLst/>
                    </a:prstGeom>
                    <a:noFill/>
                    <a:ln w="9525">
                      <a:noFill/>
                      <a:miter lim="800000"/>
                      <a:headEnd/>
                      <a:tailEnd/>
                    </a:ln>
                  </pic:spPr>
                </pic:pic>
              </a:graphicData>
            </a:graphic>
          </wp:inline>
        </w:drawing>
      </w:r>
    </w:p>
    <w:p w14:paraId="1DD7992F"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r w:rsidRPr="004E0FC4">
        <w:rPr>
          <w:rFonts w:ascii="Bookman Old Style" w:eastAsia="Arial Narrow" w:hAnsi="Bookman Old Style" w:cs="Arial Narrow"/>
          <w:b/>
          <w:bCs/>
          <w:i/>
          <w:iCs/>
          <w:color w:val="231F20"/>
          <w:sz w:val="18"/>
          <w:szCs w:val="18"/>
          <w:highlight w:val="green"/>
        </w:rPr>
        <w:t>Рис. 4.12.</w:t>
      </w:r>
      <w:r w:rsidRPr="004E0FC4">
        <w:rPr>
          <w:rFonts w:ascii="Bookman Old Style" w:eastAsia="Arial Narrow" w:hAnsi="Bookman Old Style" w:cs="Arial Narrow"/>
          <w:b/>
          <w:bCs/>
          <w:color w:val="231F20"/>
          <w:sz w:val="18"/>
          <w:szCs w:val="18"/>
          <w:highlight w:val="green"/>
        </w:rPr>
        <w:t xml:space="preserve"> </w:t>
      </w:r>
      <w:r w:rsidRPr="004E0FC4">
        <w:rPr>
          <w:rFonts w:ascii="Bookman Old Style" w:eastAsia="Bookman Old Style" w:hAnsi="Bookman Old Style" w:cs="Bookman Old Style"/>
          <w:bCs/>
          <w:color w:val="231F20"/>
          <w:sz w:val="18"/>
          <w:szCs w:val="18"/>
          <w:highlight w:val="green"/>
        </w:rPr>
        <w:t>Число п</w:t>
      </w:r>
      <w:r w:rsidRPr="004E0FC4">
        <w:rPr>
          <w:rFonts w:ascii="Bookman Old Style" w:eastAsia="Bookman Old Style" w:hAnsi="Bookman Old Style" w:cs="Bookman Old Style"/>
          <w:color w:val="231F20"/>
          <w:sz w:val="18"/>
          <w:szCs w:val="18"/>
          <w:highlight w:val="green"/>
        </w:rPr>
        <w:t>роектов ГЧП в России, прошедших коммерческое закрытие в 2018-2022 годах. Источник: расчеты Национального Центра ГЧП на основе данных платформы «Росинфра», сентябрь 2022 года</w:t>
      </w:r>
      <w:r w:rsidRPr="004E0FC4">
        <w:rPr>
          <w:rFonts w:ascii="Bookman Old Style" w:eastAsia="Bookman Old Style" w:hAnsi="Bookman Old Style" w:cs="Bookman Old Style"/>
          <w:color w:val="231F20"/>
          <w:sz w:val="18"/>
          <w:szCs w:val="18"/>
        </w:rPr>
        <w:t>.</w:t>
      </w:r>
    </w:p>
    <w:p w14:paraId="731C5C2A"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p>
    <w:p w14:paraId="2208AB06"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noProof/>
          <w:color w:val="231F20"/>
          <w:sz w:val="18"/>
          <w:szCs w:val="18"/>
          <w:lang w:bidi="ar-SA"/>
        </w:rPr>
        <w:lastRenderedPageBreak/>
        <w:drawing>
          <wp:inline distT="0" distB="0" distL="0" distR="0" wp14:anchorId="0F0946A3" wp14:editId="71E7A41E">
            <wp:extent cx="3537976" cy="1748394"/>
            <wp:effectExtent l="19050" t="0" r="5324" b="0"/>
            <wp:docPr id="2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3536326" cy="1747579"/>
                    </a:xfrm>
                    <a:prstGeom prst="rect">
                      <a:avLst/>
                    </a:prstGeom>
                    <a:noFill/>
                    <a:ln w="9525">
                      <a:noFill/>
                      <a:miter lim="800000"/>
                      <a:headEnd/>
                      <a:tailEnd/>
                    </a:ln>
                  </pic:spPr>
                </pic:pic>
              </a:graphicData>
            </a:graphic>
          </wp:inline>
        </w:drawing>
      </w:r>
    </w:p>
    <w:p w14:paraId="4195D115"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Arial Narrow" w:hAnsi="Bookman Old Style" w:cs="Arial Narrow"/>
          <w:b/>
          <w:bCs/>
          <w:i/>
          <w:iCs/>
          <w:color w:val="231F20"/>
          <w:sz w:val="18"/>
          <w:szCs w:val="18"/>
          <w:highlight w:val="green"/>
        </w:rPr>
        <w:t>Рис. 4.13.</w:t>
      </w:r>
      <w:r w:rsidRPr="004E0FC4">
        <w:rPr>
          <w:rFonts w:ascii="Bookman Old Style" w:eastAsia="Arial Narrow" w:hAnsi="Bookman Old Style" w:cs="Arial Narrow"/>
          <w:b/>
          <w:bCs/>
          <w:color w:val="231F20"/>
          <w:sz w:val="18"/>
          <w:szCs w:val="18"/>
          <w:highlight w:val="green"/>
        </w:rPr>
        <w:t xml:space="preserve"> О</w:t>
      </w:r>
      <w:r w:rsidRPr="004E0FC4">
        <w:rPr>
          <w:rFonts w:ascii="Bookman Old Style" w:eastAsia="Bookman Old Style" w:hAnsi="Bookman Old Style" w:cs="Bookman Old Style"/>
          <w:color w:val="231F20"/>
          <w:sz w:val="18"/>
          <w:szCs w:val="18"/>
          <w:highlight w:val="green"/>
        </w:rPr>
        <w:t>бъём инвестиций в проекты ГЧП в России в 2018-2022 годах. Источник: расчеты Национального Центра ГЧП на основе данных платформы «Росинфра», сентябрь 2022 года.</w:t>
      </w:r>
    </w:p>
    <w:p w14:paraId="2B82EC8B"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p>
    <w:p w14:paraId="58B96923"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Основной формой реализации проектов в форме государственно</w:t>
      </w:r>
      <w:r w:rsidRPr="004E0FC4">
        <w:rPr>
          <w:rFonts w:ascii="Bookman Old Style" w:eastAsia="Bookman Old Style" w:hAnsi="Bookman Old Style" w:cs="Bookman Old Style"/>
          <w:color w:val="231F20"/>
          <w:sz w:val="18"/>
          <w:szCs w:val="18"/>
        </w:rPr>
        <w:softHyphen/>
        <w:t xml:space="preserve">частного партнерства </w:t>
      </w:r>
      <w:r w:rsidRPr="004E0FC4">
        <w:rPr>
          <w:rFonts w:ascii="Bookman Old Style" w:eastAsia="Bookman Old Style" w:hAnsi="Bookman Old Style" w:cs="Bookman Old Style"/>
          <w:color w:val="231F20"/>
          <w:sz w:val="18"/>
          <w:szCs w:val="18"/>
          <w:highlight w:val="green"/>
        </w:rPr>
        <w:t>на конец 2019 года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продолжала оставаться</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являлась</w:t>
      </w:r>
      <w:r w:rsidRPr="004E0FC4">
        <w:rPr>
          <w:rFonts w:ascii="Bookman Old Style" w:eastAsia="Bookman Old Style" w:hAnsi="Bookman Old Style" w:cs="Bookman Old Style"/>
          <w:color w:val="231F20"/>
          <w:sz w:val="18"/>
          <w:szCs w:val="18"/>
        </w:rPr>
        <w:t xml:space="preserve"> концессия: </w:t>
      </w:r>
      <w:r w:rsidRPr="004E0FC4">
        <w:rPr>
          <w:rFonts w:ascii="Bookman Old Style" w:eastAsia="Bookman Old Style" w:hAnsi="Bookman Old Style" w:cs="Bookman Old Style"/>
          <w:color w:val="231F20"/>
          <w:sz w:val="18"/>
          <w:szCs w:val="18"/>
          <w:highlight w:val="red"/>
        </w:rPr>
        <w:t>на конец 2019 г.</w:t>
      </w:r>
      <w:r w:rsidRPr="004E0FC4">
        <w:rPr>
          <w:rFonts w:ascii="Bookman Old Style" w:eastAsia="Bookman Old Style" w:hAnsi="Bookman Old Style" w:cs="Bookman Old Style"/>
          <w:color w:val="231F20"/>
          <w:sz w:val="18"/>
          <w:szCs w:val="18"/>
        </w:rPr>
        <w:t xml:space="preserve"> почти 3 тыс. проектов (82,5 % от общего числа) в основном в коммунальной и энергетической сфере </w:t>
      </w:r>
      <w:r w:rsidRPr="004E0FC4">
        <w:rPr>
          <w:rFonts w:ascii="Bookman Old Style" w:eastAsia="Bookman Old Style" w:hAnsi="Bookman Old Style" w:cs="Bookman Old Style"/>
          <w:color w:val="231F20"/>
          <w:sz w:val="18"/>
          <w:szCs w:val="18"/>
          <w:highlight w:val="red"/>
        </w:rPr>
        <w:t>на муниципальном уров</w:t>
      </w:r>
      <w:r w:rsidRPr="004E0FC4">
        <w:rPr>
          <w:rFonts w:ascii="Bookman Old Style" w:eastAsia="Bookman Old Style" w:hAnsi="Bookman Old Style" w:cs="Bookman Old Style"/>
          <w:color w:val="231F20"/>
          <w:sz w:val="18"/>
          <w:szCs w:val="18"/>
          <w:highlight w:val="red"/>
        </w:rPr>
        <w:softHyphen/>
        <w:t>не уже реализуются и законтрактованы в форме концессионного соглашения. Термин «частный партнер» по сравнению с термином «концессионер» стал использоваться более активно с 2016 г. по</w:t>
      </w:r>
      <w:r w:rsidRPr="004E0FC4">
        <w:rPr>
          <w:rFonts w:ascii="Bookman Old Style" w:eastAsia="Bookman Old Style" w:hAnsi="Bookman Old Style" w:cs="Bookman Old Style"/>
          <w:color w:val="231F20"/>
          <w:sz w:val="18"/>
          <w:szCs w:val="18"/>
          <w:highlight w:val="red"/>
        </w:rPr>
        <w:softHyphen/>
        <w:t>сле принятия Закона о ГЧП в основном в соглашениях о ГЧП/МЧП в социальной сфере (здравоохранение, образование)</w:t>
      </w:r>
      <w:r w:rsidRPr="004E0FC4">
        <w:rPr>
          <w:rFonts w:ascii="Bookman Old Style" w:eastAsia="Bookman Old Style" w:hAnsi="Bookman Old Style" w:cs="Bookman Old Style"/>
          <w:color w:val="231F20"/>
          <w:sz w:val="18"/>
          <w:szCs w:val="18"/>
        </w:rPr>
        <w:t>. В единой ин</w:t>
      </w:r>
      <w:r w:rsidRPr="004E0FC4">
        <w:rPr>
          <w:rFonts w:ascii="Bookman Old Style" w:eastAsia="Bookman Old Style" w:hAnsi="Bookman Old Style" w:cs="Bookman Old Style"/>
          <w:color w:val="231F20"/>
          <w:sz w:val="18"/>
          <w:szCs w:val="18"/>
        </w:rPr>
        <w:softHyphen/>
        <w:t>формационной базе по инфраструктурным проектам «Росинфра» в конце 2019 г. име</w:t>
      </w:r>
      <w:r w:rsidRPr="004E0FC4">
        <w:rPr>
          <w:rFonts w:ascii="Bookman Old Style" w:eastAsia="Bookman Old Style" w:hAnsi="Bookman Old Style" w:cs="Bookman Old Style"/>
          <w:color w:val="231F20"/>
          <w:sz w:val="18"/>
          <w:szCs w:val="18"/>
          <w:highlight w:val="red"/>
        </w:rPr>
        <w:t>ются</w:t>
      </w:r>
      <w:r w:rsidRPr="004E0FC4">
        <w:rPr>
          <w:rFonts w:ascii="Bookman Old Style" w:eastAsia="Bookman Old Style" w:hAnsi="Bookman Old Style" w:cs="Bookman Old Style"/>
          <w:color w:val="231F20"/>
          <w:sz w:val="18"/>
          <w:szCs w:val="18"/>
          <w:highlight w:val="green"/>
        </w:rPr>
        <w:t>лись</w:t>
      </w:r>
      <w:r w:rsidRPr="004E0FC4">
        <w:rPr>
          <w:rFonts w:ascii="Bookman Old Style" w:eastAsia="Bookman Old Style" w:hAnsi="Bookman Old Style" w:cs="Bookman Old Style"/>
          <w:color w:val="231F20"/>
          <w:sz w:val="18"/>
          <w:szCs w:val="18"/>
        </w:rPr>
        <w:t xml:space="preserve"> сведения о нескольких десятках проектов, заключенных в форме СГЧП/СМЧП</w:t>
      </w:r>
      <w:r w:rsidRPr="004E0FC4">
        <w:rPr>
          <w:rFonts w:ascii="Bookman Old Style" w:eastAsia="Bookman Old Style" w:hAnsi="Bookman Old Style" w:cs="Bookman Old Style"/>
          <w:color w:val="231F20"/>
          <w:sz w:val="18"/>
          <w:szCs w:val="18"/>
          <w:vertAlign w:val="superscript"/>
        </w:rPr>
        <w:t>3</w:t>
      </w:r>
      <w:r w:rsidRPr="004E0FC4">
        <w:rPr>
          <w:rFonts w:ascii="Bookman Old Style" w:eastAsia="Bookman Old Style" w:hAnsi="Bookman Old Style" w:cs="Bookman Old Style"/>
          <w:color w:val="231F20"/>
          <w:sz w:val="18"/>
          <w:szCs w:val="18"/>
        </w:rPr>
        <w:t xml:space="preserve"> (примерно 2 % от общего чис</w:t>
      </w:r>
      <w:r w:rsidRPr="004E0FC4">
        <w:rPr>
          <w:rFonts w:ascii="Bookman Old Style" w:eastAsia="Bookman Old Style" w:hAnsi="Bookman Old Style" w:cs="Bookman Old Style"/>
          <w:color w:val="231F20"/>
          <w:sz w:val="18"/>
          <w:szCs w:val="18"/>
        </w:rPr>
        <w:softHyphen/>
        <w:t xml:space="preserve">ла 3500 проектов). </w:t>
      </w:r>
      <w:r w:rsidRPr="004E0FC4">
        <w:rPr>
          <w:rFonts w:ascii="Bookman Old Style" w:eastAsia="Bookman Old Style" w:hAnsi="Bookman Old Style" w:cs="Bookman Old Style"/>
          <w:color w:val="231F20"/>
          <w:sz w:val="18"/>
          <w:szCs w:val="18"/>
          <w:highlight w:val="green"/>
        </w:rPr>
        <w:t xml:space="preserve">На сентябрь 2022 года в форме концессии заключено около 79% от общего числа соглашений, в форме СГЧП/СМЧП – 106 соглашений или около 18% (рис. </w:t>
      </w:r>
      <w:r w:rsidRPr="004E0FC4">
        <w:rPr>
          <w:rFonts w:ascii="Bookman Old Style" w:eastAsia="Bookman Old Style" w:hAnsi="Bookman Old Style" w:cs="Bookman Old Style"/>
          <w:color w:val="auto"/>
          <w:sz w:val="18"/>
          <w:szCs w:val="18"/>
          <w:highlight w:val="green"/>
        </w:rPr>
        <w:t>4.14</w:t>
      </w:r>
      <w:r w:rsidRPr="004E0FC4">
        <w:rPr>
          <w:rFonts w:ascii="Bookman Old Style" w:eastAsia="Bookman Old Style" w:hAnsi="Bookman Old Style" w:cs="Bookman Old Style"/>
          <w:color w:val="231F20"/>
          <w:sz w:val="18"/>
          <w:szCs w:val="18"/>
          <w:highlight w:val="green"/>
        </w:rPr>
        <w:t>).</w:t>
      </w:r>
    </w:p>
    <w:p w14:paraId="5C0338FB"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p>
    <w:p w14:paraId="02ADEA27"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noProof/>
          <w:color w:val="231F20"/>
          <w:sz w:val="18"/>
          <w:szCs w:val="18"/>
          <w:lang w:bidi="ar-SA"/>
        </w:rPr>
        <w:drawing>
          <wp:inline distT="0" distB="0" distL="0" distR="0" wp14:anchorId="5E9008FC" wp14:editId="56B58F93">
            <wp:extent cx="4261485" cy="1722710"/>
            <wp:effectExtent l="19050" t="0" r="5715" b="0"/>
            <wp:docPr id="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4261485" cy="1722710"/>
                    </a:xfrm>
                    <a:prstGeom prst="rect">
                      <a:avLst/>
                    </a:prstGeom>
                    <a:noFill/>
                    <a:ln w="9525">
                      <a:noFill/>
                      <a:miter lim="800000"/>
                      <a:headEnd/>
                      <a:tailEnd/>
                    </a:ln>
                  </pic:spPr>
                </pic:pic>
              </a:graphicData>
            </a:graphic>
          </wp:inline>
        </w:drawing>
      </w:r>
    </w:p>
    <w:p w14:paraId="64FC7C09"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b/>
          <w:bCs/>
          <w:i/>
          <w:iCs/>
          <w:color w:val="231F20"/>
          <w:sz w:val="18"/>
          <w:szCs w:val="18"/>
          <w:highlight w:val="green"/>
        </w:rPr>
        <w:t>Рис. 4.14.</w:t>
      </w:r>
      <w:r w:rsidRPr="004E0FC4">
        <w:rPr>
          <w:rFonts w:ascii="Bookman Old Style" w:eastAsia="Bookman Old Style" w:hAnsi="Bookman Old Style" w:cs="Bookman Old Style"/>
          <w:b/>
          <w:bCs/>
          <w:color w:val="231F20"/>
          <w:sz w:val="18"/>
          <w:szCs w:val="18"/>
          <w:highlight w:val="green"/>
        </w:rPr>
        <w:t xml:space="preserve"> </w:t>
      </w:r>
      <w:r w:rsidRPr="004E0FC4">
        <w:rPr>
          <w:rFonts w:ascii="Bookman Old Style" w:eastAsia="Bookman Old Style" w:hAnsi="Bookman Old Style" w:cs="Bookman Old Style"/>
          <w:color w:val="231F20"/>
          <w:sz w:val="18"/>
          <w:szCs w:val="18"/>
          <w:highlight w:val="green"/>
        </w:rPr>
        <w:t>Договорные формы реализуемых ГЧП-проектов. Источник: расчеты Национального Центра ГЧП на основе данных платформы «Росинфра», сентябрь 2022 года.</w:t>
      </w:r>
    </w:p>
    <w:p w14:paraId="452F4302"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p>
    <w:p w14:paraId="412A771F"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Таким образом, более чем за </w:t>
      </w:r>
      <w:r w:rsidRPr="004E0FC4">
        <w:rPr>
          <w:rFonts w:ascii="Bookman Old Style" w:eastAsia="Bookman Old Style" w:hAnsi="Bookman Old Style" w:cs="Bookman Old Style"/>
          <w:color w:val="231F20"/>
          <w:sz w:val="18"/>
          <w:szCs w:val="18"/>
          <w:highlight w:val="green"/>
        </w:rPr>
        <w:t>7 лет</w:t>
      </w:r>
      <w:r w:rsidRPr="004E0FC4">
        <w:rPr>
          <w:rFonts w:ascii="Bookman Old Style" w:eastAsia="Bookman Old Style" w:hAnsi="Bookman Old Style" w:cs="Bookman Old Style"/>
          <w:color w:val="231F20"/>
          <w:sz w:val="18"/>
          <w:szCs w:val="18"/>
        </w:rPr>
        <w:t xml:space="preserve"> действия Закона о ГЧП количество проектов на его основе </w:t>
      </w:r>
      <w:r w:rsidRPr="004E0FC4">
        <w:rPr>
          <w:rFonts w:ascii="Bookman Old Style" w:eastAsia="Bookman Old Style" w:hAnsi="Bookman Old Style" w:cs="Bookman Old Style"/>
          <w:color w:val="231F20"/>
          <w:sz w:val="18"/>
          <w:szCs w:val="18"/>
          <w:highlight w:val="green"/>
        </w:rPr>
        <w:t>постепенно повыша</w:t>
      </w:r>
      <w:r w:rsidRPr="004E0FC4">
        <w:rPr>
          <w:rFonts w:ascii="Bookman Old Style" w:eastAsia="Bookman Old Style" w:hAnsi="Bookman Old Style" w:cs="Bookman Old Style"/>
          <w:color w:val="231F20"/>
          <w:sz w:val="18"/>
          <w:szCs w:val="18"/>
        </w:rPr>
        <w:t xml:space="preserve">лось </w:t>
      </w:r>
      <w:r w:rsidRPr="004E0FC4">
        <w:rPr>
          <w:rFonts w:ascii="Bookman Old Style" w:eastAsia="Bookman Old Style" w:hAnsi="Bookman Old Style" w:cs="Bookman Old Style"/>
          <w:color w:val="231F20"/>
          <w:sz w:val="18"/>
          <w:szCs w:val="18"/>
          <w:highlight w:val="red"/>
        </w:rPr>
        <w:t xml:space="preserve">пока является остается </w:t>
      </w:r>
      <w:r w:rsidRPr="004E0FC4">
        <w:rPr>
          <w:rFonts w:ascii="Bookman Old Style" w:eastAsia="Bookman Old Style" w:hAnsi="Bookman Old Style" w:cs="Bookman Old Style"/>
          <w:color w:val="231F20"/>
          <w:sz w:val="18"/>
          <w:szCs w:val="18"/>
          <w:highlight w:val="red"/>
        </w:rPr>
        <w:lastRenderedPageBreak/>
        <w:t xml:space="preserve">не- </w:t>
      </w:r>
      <w:r w:rsidRPr="004E0FC4">
        <w:rPr>
          <w:rFonts w:ascii="Bookman Old Style" w:eastAsia="Bookman Old Style" w:hAnsi="Bookman Old Style" w:cs="Bookman Old Style"/>
          <w:color w:val="231F20"/>
          <w:sz w:val="18"/>
          <w:szCs w:val="18"/>
          <w:highlight w:val="red"/>
          <w:vertAlign w:val="superscript"/>
        </w:rPr>
        <w:footnoteReference w:id="114"/>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15"/>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16"/>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rPr>
        <w:t>значительным</w:t>
      </w:r>
      <w:r w:rsidRPr="004E0FC4">
        <w:rPr>
          <w:rFonts w:ascii="Bookman Old Style" w:eastAsia="Bookman Old Style" w:hAnsi="Bookman Old Style" w:cs="Bookman Old Style"/>
          <w:color w:val="231F20"/>
          <w:sz w:val="18"/>
          <w:szCs w:val="18"/>
        </w:rPr>
        <w:t xml:space="preserve"> по сравнению с числом проектов на основе более «привычного» Закона о концессиях.</w:t>
      </w:r>
    </w:p>
    <w:p w14:paraId="1528C079"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Концессия, таким образом, продолжает оставаться наиболее работоспособной формой ГЧП в России. В 2005-2021 годах в России было заключено порядка 500 крупных концессионных соглашений с объёмом вложений выше 100 млн руб. и общим запланированным объёмом инвестиций около 2,6 трлн. руб. Из-за санкций в 1 квартале 2022 года была приостановлена реализация крупнейшего концессионного соглашения на строительство в арктической Зоне РФ с участием структур «Газпрома» и РЖД железнодорожного коридора «Северный широтный ход» (СШХ). В то же время, проектирование и строительство СШХ было продолжено в рамках других правовых форм соглашений</w:t>
      </w:r>
      <w:r w:rsidRPr="004E0FC4">
        <w:rPr>
          <w:rFonts w:ascii="Bookman Old Style" w:eastAsia="Bookman Old Style" w:hAnsi="Bookman Old Style" w:cs="Bookman Old Style"/>
          <w:color w:val="231F20"/>
          <w:sz w:val="18"/>
          <w:szCs w:val="18"/>
          <w:highlight w:val="green"/>
          <w:vertAlign w:val="superscript"/>
        </w:rPr>
        <w:footnoteReference w:id="117"/>
      </w:r>
      <w:r w:rsidRPr="004E0FC4">
        <w:rPr>
          <w:rFonts w:ascii="Bookman Old Style" w:eastAsia="Bookman Old Style" w:hAnsi="Bookman Old Style" w:cs="Bookman Old Style"/>
          <w:color w:val="231F20"/>
          <w:sz w:val="18"/>
          <w:szCs w:val="18"/>
          <w:highlight w:val="green"/>
        </w:rPr>
        <w:t xml:space="preserve">.  </w:t>
      </w:r>
    </w:p>
    <w:p w14:paraId="576C9E20"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В Докладе отмечалосьется, что</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Необходимо отметить, что для целей получения конечного результата правовая форма конкретного соглашения может быть доработана или разработана индивидуально.</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Р</w:t>
      </w:r>
      <w:r w:rsidRPr="004E0FC4">
        <w:rPr>
          <w:rFonts w:ascii="Bookman Old Style" w:eastAsia="Bookman Old Style" w:hAnsi="Bookman Old Style" w:cs="Bookman Old Style"/>
          <w:color w:val="231F20"/>
          <w:sz w:val="18"/>
          <w:szCs w:val="18"/>
        </w:rPr>
        <w:t xml:space="preserve">яд проектов </w:t>
      </w:r>
      <w:r w:rsidRPr="004E0FC4">
        <w:rPr>
          <w:rFonts w:ascii="Bookman Old Style" w:eastAsia="Bookman Old Style" w:hAnsi="Bookman Old Style" w:cs="Bookman Old Style"/>
          <w:color w:val="231F20"/>
          <w:sz w:val="18"/>
          <w:szCs w:val="18"/>
          <w:highlight w:val="green"/>
        </w:rPr>
        <w:t>в России</w:t>
      </w:r>
      <w:r w:rsidRPr="004E0FC4">
        <w:rPr>
          <w:rFonts w:ascii="Bookman Old Style" w:eastAsia="Bookman Old Style" w:hAnsi="Bookman Old Style" w:cs="Bookman Old Style"/>
          <w:color w:val="231F20"/>
          <w:sz w:val="18"/>
          <w:szCs w:val="18"/>
        </w:rPr>
        <w:t xml:space="preserve"> реализуется сегодня в </w:t>
      </w:r>
      <w:r w:rsidRPr="004E0FC4">
        <w:rPr>
          <w:rFonts w:ascii="Bookman Old Style" w:eastAsia="Bookman Old Style" w:hAnsi="Bookman Old Style" w:cs="Bookman Old Style"/>
          <w:color w:val="231F20"/>
          <w:sz w:val="18"/>
          <w:szCs w:val="18"/>
          <w:highlight w:val="red"/>
        </w:rPr>
        <w:t>иных</w:t>
      </w:r>
      <w:r w:rsidRPr="004E0FC4">
        <w:rPr>
          <w:rFonts w:ascii="Bookman Old Style" w:eastAsia="Bookman Old Style" w:hAnsi="Bookman Old Style" w:cs="Bookman Old Style"/>
          <w:color w:val="231F20"/>
          <w:sz w:val="18"/>
          <w:szCs w:val="18"/>
        </w:rPr>
        <w:t xml:space="preserve"> организационно-правовых формах, близких к ГЧП </w:t>
      </w:r>
      <w:r w:rsidRPr="004E0FC4">
        <w:rPr>
          <w:rFonts w:ascii="Bookman Old Style" w:eastAsia="Bookman Old Style" w:hAnsi="Bookman Old Style" w:cs="Bookman Old Style"/>
          <w:color w:val="231F20"/>
          <w:sz w:val="18"/>
          <w:szCs w:val="18"/>
          <w:highlight w:val="green"/>
        </w:rPr>
        <w:t>и получивших общее название «квази – ГЧП».</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 xml:space="preserve">К проектам </w:t>
      </w:r>
      <w:r w:rsidRPr="004E0FC4">
        <w:rPr>
          <w:rFonts w:ascii="Bookman Old Style" w:eastAsia="Bookman Old Style" w:hAnsi="Bookman Old Style" w:cs="Bookman Old Style"/>
          <w:b/>
          <w:color w:val="231F20"/>
          <w:sz w:val="18"/>
          <w:szCs w:val="18"/>
          <w:highlight w:val="green"/>
        </w:rPr>
        <w:t>«квази-ГЧП»</w:t>
      </w:r>
      <w:r w:rsidRPr="004E0FC4">
        <w:rPr>
          <w:rFonts w:ascii="Bookman Old Style" w:eastAsia="Bookman Old Style" w:hAnsi="Bookman Old Style" w:cs="Bookman Old Style"/>
          <w:color w:val="231F20"/>
          <w:sz w:val="18"/>
          <w:szCs w:val="18"/>
        </w:rPr>
        <w:t xml:space="preserve"> в част</w:t>
      </w:r>
      <w:r w:rsidRPr="004E0FC4">
        <w:rPr>
          <w:rFonts w:ascii="Bookman Old Style" w:eastAsia="Bookman Old Style" w:hAnsi="Bookman Old Style" w:cs="Bookman Old Style"/>
          <w:color w:val="231F20"/>
          <w:sz w:val="18"/>
          <w:szCs w:val="18"/>
        </w:rPr>
        <w:softHyphen/>
        <w:t xml:space="preserve">ности </w:t>
      </w:r>
      <w:r w:rsidRPr="004E0FC4">
        <w:rPr>
          <w:rFonts w:ascii="Bookman Old Style" w:eastAsia="Bookman Old Style" w:hAnsi="Bookman Old Style" w:cs="Bookman Old Style"/>
          <w:color w:val="231F20"/>
          <w:sz w:val="18"/>
          <w:szCs w:val="18"/>
          <w:highlight w:val="green"/>
        </w:rPr>
        <w:t>относят</w:t>
      </w:r>
      <w:r w:rsidRPr="004E0FC4">
        <w:rPr>
          <w:rFonts w:ascii="Bookman Old Style" w:eastAsia="Bookman Old Style" w:hAnsi="Bookman Old Style" w:cs="Bookman Old Style"/>
          <w:color w:val="231F20"/>
          <w:sz w:val="18"/>
          <w:szCs w:val="18"/>
        </w:rPr>
        <w:t>:</w:t>
      </w:r>
    </w:p>
    <w:p w14:paraId="7CFB05FE"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долгосрочное инвестиционное соглашение, контракт жиз</w:t>
      </w:r>
      <w:r w:rsidRPr="004E0FC4">
        <w:rPr>
          <w:rFonts w:ascii="Bookman Old Style" w:eastAsia="Bookman Old Style" w:hAnsi="Bookman Old Style" w:cs="Bookman Old Style"/>
          <w:color w:val="231F20"/>
          <w:sz w:val="18"/>
          <w:szCs w:val="18"/>
        </w:rPr>
        <w:softHyphen/>
        <w:t>ненного цикла, заключаемые в рамках Закона № 223-ФЗ</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w:t>
      </w:r>
    </w:p>
    <w:p w14:paraId="4521CF58"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контракт жизненного цикла, долгосрочный муниципальный контракт и офсетная закупка в рамках Закона № 44-ФЗ</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w:t>
      </w:r>
    </w:p>
    <w:p w14:paraId="3D1C365D"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долгосрочный договор аренды публичной собственности, который подразумевает определенные инвестиционные обязатель</w:t>
      </w:r>
      <w:r w:rsidRPr="004E0FC4">
        <w:rPr>
          <w:rFonts w:ascii="Bookman Old Style" w:eastAsia="Bookman Old Style" w:hAnsi="Bookman Old Style" w:cs="Bookman Old Style"/>
          <w:color w:val="231F20"/>
          <w:sz w:val="18"/>
          <w:szCs w:val="18"/>
        </w:rPr>
        <w:softHyphen/>
        <w:t>ства арендатора (нормы ГК РФ и Закона № 135-ФЗ</w:t>
      </w:r>
      <w:r w:rsidRPr="004E0FC4">
        <w:rPr>
          <w:rFonts w:ascii="Bookman Old Style" w:eastAsia="Bookman Old Style" w:hAnsi="Bookman Old Style" w:cs="Bookman Old Style"/>
          <w:color w:val="231F20"/>
          <w:sz w:val="18"/>
          <w:szCs w:val="18"/>
          <w:vertAlign w:val="superscript"/>
        </w:rPr>
        <w:t>3</w:t>
      </w:r>
      <w:r w:rsidRPr="004E0FC4">
        <w:rPr>
          <w:rFonts w:ascii="Bookman Old Style" w:eastAsia="Bookman Old Style" w:hAnsi="Bookman Old Style" w:cs="Bookman Old Style"/>
          <w:color w:val="231F20"/>
          <w:sz w:val="18"/>
          <w:szCs w:val="18"/>
        </w:rPr>
        <w:t>);</w:t>
      </w:r>
    </w:p>
    <w:p w14:paraId="7E5E6DFD" w14:textId="77777777" w:rsidR="00350396" w:rsidRPr="004E0FC4" w:rsidRDefault="00350396" w:rsidP="004E0FC4">
      <w:pPr>
        <w:widowControl w:val="0"/>
        <w:numPr>
          <w:ilvl w:val="0"/>
          <w:numId w:val="66"/>
        </w:numPr>
        <w:tabs>
          <w:tab w:val="left" w:pos="625"/>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специальный инвестиционный контракт (СПИК) в рамках Закона № 488-ФЗ</w:t>
      </w:r>
      <w:r w:rsidRPr="004E0FC4">
        <w:rPr>
          <w:rFonts w:ascii="Bookman Old Style" w:eastAsia="Bookman Old Style" w:hAnsi="Bookman Old Style" w:cs="Bookman Old Style"/>
          <w:color w:val="231F20"/>
          <w:sz w:val="18"/>
          <w:szCs w:val="18"/>
          <w:vertAlign w:val="superscript"/>
        </w:rPr>
        <w:footnoteReference w:id="118"/>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vertAlign w:val="superscript"/>
        </w:rPr>
        <w:footnoteReference w:id="119"/>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vertAlign w:val="superscript"/>
        </w:rPr>
        <w:footnoteReference w:id="120"/>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vertAlign w:val="superscript"/>
        </w:rPr>
        <w:footnoteReference w:id="121"/>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22"/>
      </w:r>
      <w:r w:rsidRPr="004E0FC4">
        <w:rPr>
          <w:rFonts w:ascii="Bookman Old Style" w:eastAsia="Bookman Old Style" w:hAnsi="Bookman Old Style" w:cs="Bookman Old Style"/>
          <w:color w:val="231F20"/>
          <w:sz w:val="18"/>
          <w:szCs w:val="18"/>
          <w:highlight w:val="red"/>
        </w:rPr>
        <w:t>.</w:t>
      </w:r>
    </w:p>
    <w:p w14:paraId="07AE8BCF" w14:textId="77777777" w:rsidR="00350396" w:rsidRPr="004E0FC4" w:rsidRDefault="00350396" w:rsidP="004E0FC4">
      <w:pPr>
        <w:widowControl w:val="0"/>
        <w:tabs>
          <w:tab w:val="left" w:pos="625"/>
        </w:tabs>
        <w:spacing w:line="240" w:lineRule="auto"/>
        <w:ind w:firstLine="624"/>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i/>
          <w:color w:val="231F20"/>
          <w:sz w:val="18"/>
          <w:szCs w:val="18"/>
          <w:highlight w:val="green"/>
        </w:rPr>
        <w:t>Примечание</w:t>
      </w:r>
      <w:r w:rsidRPr="004E0FC4">
        <w:rPr>
          <w:rFonts w:ascii="Bookman Old Style" w:eastAsia="Bookman Old Style" w:hAnsi="Bookman Old Style" w:cs="Bookman Old Style"/>
          <w:color w:val="231F20"/>
          <w:sz w:val="18"/>
          <w:szCs w:val="18"/>
          <w:highlight w:val="green"/>
        </w:rPr>
        <w:t xml:space="preserve">: Одним из наиболее популярных инструментов реализации промышленных проектов с использованием механизмов </w:t>
      </w:r>
      <w:r w:rsidRPr="004E0FC4">
        <w:rPr>
          <w:rFonts w:ascii="Bookman Old Style" w:eastAsia="Bookman Old Style" w:hAnsi="Bookman Old Style" w:cs="Bookman Old Style"/>
          <w:color w:val="231F20"/>
          <w:sz w:val="18"/>
          <w:szCs w:val="18"/>
          <w:highlight w:val="green"/>
        </w:rPr>
        <w:lastRenderedPageBreak/>
        <w:t xml:space="preserve">квази-ГЧП является </w:t>
      </w:r>
      <w:r w:rsidRPr="004E0FC4">
        <w:rPr>
          <w:rFonts w:ascii="Bookman Old Style" w:eastAsia="Bookman Old Style" w:hAnsi="Bookman Old Style" w:cs="Bookman Old Style"/>
          <w:i/>
          <w:color w:val="231F20"/>
          <w:sz w:val="18"/>
          <w:szCs w:val="18"/>
          <w:highlight w:val="green"/>
        </w:rPr>
        <w:t>офсетный контракт (офсетная закупка)</w:t>
      </w:r>
      <w:r w:rsidRPr="004E0FC4">
        <w:rPr>
          <w:rFonts w:ascii="Bookman Old Style" w:eastAsia="Bookman Old Style" w:hAnsi="Bookman Old Style" w:cs="Bookman Old Style"/>
          <w:color w:val="231F20"/>
          <w:sz w:val="18"/>
          <w:szCs w:val="18"/>
          <w:highlight w:val="green"/>
        </w:rPr>
        <w:t>, который позволяет частной и публичной сторонам выстраивать долгосрочные отношения на срок до 10 лет по созданию новых производств в обмен на обеспечение инвестору долгосрочного гарантированного объема закупок производимой продукции. В июне 2022 года в 44-ФЗ внесены изменения, затрагивающие условия заключения офсетного контракта. Так, минимальный порог инвестиций снижен с 1 млрд до 100 млн руб. Также предусмотрена возможность заключать офсетный контракт совместно с несколькими субъектами РФ. Для таких контрактов предусмотрен минимальный порог в 400 млн руб., однако в ближайшие 2 года будет действовать лимит в 100 млн руб. Кроме того, с ноября 2022 года предусмотрена возможность заключения госкомпаниями офсетных контрактов с субъектами МСП. Ожидается, что указанные меры позволят в течение 2 лет заключить около 20 новых офсетных контрактов в дополнение к семи заключенным на сентябрь 2022 года.</w:t>
      </w:r>
    </w:p>
    <w:p w14:paraId="4E36324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Общее число </w:t>
      </w:r>
      <w:r w:rsidRPr="004E0FC4">
        <w:rPr>
          <w:rFonts w:ascii="Bookman Old Style" w:eastAsia="Bookman Old Style" w:hAnsi="Bookman Old Style" w:cs="Bookman Old Style"/>
          <w:color w:val="231F20"/>
          <w:sz w:val="18"/>
          <w:szCs w:val="18"/>
          <w:highlight w:val="red"/>
        </w:rPr>
        <w:t>таких</w:t>
      </w:r>
      <w:r w:rsidRPr="004E0FC4">
        <w:rPr>
          <w:rFonts w:ascii="Bookman Old Style" w:eastAsia="Bookman Old Style" w:hAnsi="Bookman Old Style" w:cs="Bookman Old Style"/>
          <w:color w:val="231F20"/>
          <w:sz w:val="18"/>
          <w:szCs w:val="18"/>
        </w:rPr>
        <w:t xml:space="preserve"> квази-ГЧП-проектов на 2018 </w:t>
      </w:r>
      <w:r w:rsidRPr="004E0FC4">
        <w:rPr>
          <w:rFonts w:ascii="Bookman Old Style" w:eastAsia="Bookman Old Style" w:hAnsi="Bookman Old Style" w:cs="Bookman Old Style"/>
          <w:color w:val="231F20"/>
          <w:sz w:val="18"/>
          <w:szCs w:val="18"/>
          <w:highlight w:val="green"/>
        </w:rPr>
        <w:t>года</w:t>
      </w:r>
      <w:r w:rsidRPr="004E0FC4">
        <w:rPr>
          <w:rFonts w:ascii="Bookman Old Style" w:eastAsia="Bookman Old Style" w:hAnsi="Bookman Old Style" w:cs="Bookman Old Style"/>
          <w:color w:val="231F20"/>
          <w:sz w:val="18"/>
          <w:szCs w:val="18"/>
        </w:rPr>
        <w:t xml:space="preserve"> составля</w:t>
      </w:r>
      <w:r w:rsidRPr="004E0FC4">
        <w:rPr>
          <w:rFonts w:ascii="Bookman Old Style" w:eastAsia="Bookman Old Style" w:hAnsi="Bookman Old Style" w:cs="Bookman Old Style"/>
          <w:color w:val="231F20"/>
          <w:sz w:val="18"/>
          <w:szCs w:val="18"/>
          <w:highlight w:val="green"/>
        </w:rPr>
        <w:t>ло</w:t>
      </w:r>
      <w:r w:rsidRPr="004E0FC4">
        <w:rPr>
          <w:rFonts w:ascii="Bookman Old Style" w:eastAsia="Bookman Old Style" w:hAnsi="Bookman Old Style" w:cs="Bookman Old Style"/>
          <w:color w:val="231F20"/>
          <w:sz w:val="18"/>
          <w:szCs w:val="18"/>
        </w:rPr>
        <w:t xml:space="preserve"> 410 (15 % от общего числа ГЧП-проектов), а частные инвестиционные обязательства — 871,4 млрд руб. </w:t>
      </w:r>
      <w:r w:rsidRPr="004E0FC4">
        <w:rPr>
          <w:rFonts w:ascii="Bookman Old Style" w:eastAsia="Bookman Old Style" w:hAnsi="Bookman Old Style" w:cs="Bookman Old Style"/>
          <w:color w:val="231F20"/>
          <w:sz w:val="18"/>
          <w:szCs w:val="18"/>
          <w:highlight w:val="green"/>
        </w:rPr>
        <w:t>(на сентябрь 2022 - 685 проектов и 1115 млрд руб.)</w:t>
      </w:r>
      <w:r w:rsidRPr="004E0FC4">
        <w:rPr>
          <w:rFonts w:ascii="Bookman Old Style" w:eastAsia="Bookman Old Style" w:hAnsi="Bookman Old Style" w:cs="Bookman Old Style"/>
          <w:color w:val="231F20"/>
          <w:sz w:val="18"/>
          <w:szCs w:val="18"/>
        </w:rPr>
        <w:t xml:space="preserve"> Наибольший объем частных ин</w:t>
      </w:r>
      <w:r w:rsidRPr="004E0FC4">
        <w:rPr>
          <w:rFonts w:ascii="Bookman Old Style" w:eastAsia="Bookman Old Style" w:hAnsi="Bookman Old Style" w:cs="Bookman Old Style"/>
          <w:color w:val="231F20"/>
          <w:sz w:val="18"/>
          <w:szCs w:val="18"/>
        </w:rPr>
        <w:softHyphen/>
        <w:t>вестиций в такие проекты был привлечен в 2013—2014 и 2016— 2017 гг. (рис. 4.</w:t>
      </w:r>
      <w:r w:rsidRPr="004E0FC4">
        <w:rPr>
          <w:rFonts w:ascii="Bookman Old Style" w:eastAsia="Bookman Old Style" w:hAnsi="Bookman Old Style" w:cs="Bookman Old Style"/>
          <w:color w:val="231F20"/>
          <w:sz w:val="18"/>
          <w:szCs w:val="18"/>
          <w:highlight w:val="green"/>
        </w:rPr>
        <w:t>15</w:t>
      </w:r>
      <w:r w:rsidRPr="004E0FC4">
        <w:rPr>
          <w:rFonts w:ascii="Bookman Old Style" w:eastAsia="Bookman Old Style" w:hAnsi="Bookman Old Style" w:cs="Bookman Old Style"/>
          <w:color w:val="231F20"/>
          <w:sz w:val="18"/>
          <w:szCs w:val="18"/>
        </w:rPr>
        <w:t>).</w:t>
      </w:r>
    </w:p>
    <w:p w14:paraId="1033C2D6" w14:textId="77777777" w:rsidR="00350396" w:rsidRPr="004E0FC4" w:rsidRDefault="00350396" w:rsidP="004E0FC4">
      <w:pPr>
        <w:framePr w:h="2736"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hAnsi="Bookman Old Style"/>
          <w:noProof/>
          <w:sz w:val="18"/>
          <w:szCs w:val="18"/>
          <w:lang w:bidi="ar-SA"/>
        </w:rPr>
        <w:drawing>
          <wp:inline distT="0" distB="0" distL="0" distR="0" wp14:anchorId="0E51E70D" wp14:editId="77199FBB">
            <wp:extent cx="4110990" cy="1741170"/>
            <wp:effectExtent l="19050" t="0" r="3810" b="0"/>
            <wp:docPr id="258" name="Рисунок 258" descr="C:\Users\A2D98~1.SHI\AppData\Local\Temp\433\ABBYY\PDFTransform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D98~1.SHI\AppData\Local\Temp\433\ABBYY\PDFTransformer\12.00\media\image19.jpeg"/>
                    <pic:cNvPicPr>
                      <a:picLocks noChangeAspect="1" noChangeArrowheads="1"/>
                    </pic:cNvPicPr>
                  </pic:nvPicPr>
                  <pic:blipFill>
                    <a:blip r:embed="rId60" cstate="print"/>
                    <a:srcRect/>
                    <a:stretch>
                      <a:fillRect/>
                    </a:stretch>
                  </pic:blipFill>
                  <pic:spPr bwMode="auto">
                    <a:xfrm>
                      <a:off x="0" y="0"/>
                      <a:ext cx="4110990" cy="1741170"/>
                    </a:xfrm>
                    <a:prstGeom prst="rect">
                      <a:avLst/>
                    </a:prstGeom>
                    <a:noFill/>
                    <a:ln w="9525">
                      <a:noFill/>
                      <a:miter lim="800000"/>
                      <a:headEnd/>
                      <a:tailEnd/>
                    </a:ln>
                  </pic:spPr>
                </pic:pic>
              </a:graphicData>
            </a:graphic>
          </wp:inline>
        </w:drawing>
      </w:r>
    </w:p>
    <w:p w14:paraId="2CC63494" w14:textId="77777777" w:rsidR="00350396" w:rsidRPr="004E0FC4" w:rsidRDefault="00350396" w:rsidP="004E0FC4">
      <w:pPr>
        <w:framePr w:h="2736" w:wrap="notBeside" w:vAnchor="text" w:hAnchor="text" w:xAlign="center" w:y="1"/>
        <w:widowControl w:val="0"/>
        <w:spacing w:line="240" w:lineRule="exact"/>
        <w:ind w:firstLine="0"/>
        <w:rPr>
          <w:rFonts w:ascii="Bookman Old Style" w:hAnsi="Bookman Old Style"/>
          <w:sz w:val="18"/>
          <w:szCs w:val="18"/>
        </w:rPr>
      </w:pPr>
      <w:r w:rsidRPr="004E0FC4">
        <w:rPr>
          <w:rFonts w:ascii="Bookman Old Style" w:eastAsia="Arial Narrow" w:hAnsi="Bookman Old Style" w:cs="Arial Narrow"/>
          <w:b/>
          <w:bCs/>
          <w:i/>
          <w:iCs/>
          <w:color w:val="231F20"/>
          <w:sz w:val="18"/>
          <w:szCs w:val="18"/>
        </w:rPr>
        <w:t>Рис. 4.</w:t>
      </w:r>
      <w:r w:rsidRPr="004E0FC4">
        <w:rPr>
          <w:rFonts w:ascii="Bookman Old Style" w:eastAsia="Arial Narrow" w:hAnsi="Bookman Old Style" w:cs="Arial Narrow"/>
          <w:b/>
          <w:bCs/>
          <w:i/>
          <w:iCs/>
          <w:color w:val="231F20"/>
          <w:sz w:val="18"/>
          <w:szCs w:val="18"/>
          <w:highlight w:val="green"/>
        </w:rPr>
        <w:t>15.</w:t>
      </w:r>
      <w:r w:rsidRPr="004E0FC4">
        <w:rPr>
          <w:rFonts w:ascii="Bookman Old Style" w:eastAsia="Arial Narrow" w:hAnsi="Bookman Old Style" w:cs="Arial Narrow"/>
          <w:color w:val="231F20"/>
          <w:sz w:val="18"/>
          <w:szCs w:val="18"/>
        </w:rPr>
        <w:t xml:space="preserve"> Распределение количества и объема частных инвестиций в квази-ГЧП проектах по годам заключения соглашения</w:t>
      </w:r>
      <w:r w:rsidRPr="004E0FC4">
        <w:rPr>
          <w:rFonts w:ascii="Bookman Old Style" w:eastAsia="Bookman Old Style" w:hAnsi="Bookman Old Style" w:cs="Bookman Old Style"/>
          <w:b/>
          <w:bCs/>
          <w:color w:val="231F20"/>
          <w:sz w:val="18"/>
          <w:szCs w:val="18"/>
          <w:vertAlign w:val="superscript"/>
        </w:rPr>
        <w:t>5</w:t>
      </w:r>
    </w:p>
    <w:p w14:paraId="4ADBEB61" w14:textId="77777777" w:rsidR="00350396" w:rsidRPr="004E0FC4" w:rsidRDefault="00350396" w:rsidP="004E0FC4">
      <w:pPr>
        <w:widowControl w:val="0"/>
        <w:spacing w:line="240" w:lineRule="auto"/>
        <w:ind w:firstLine="0"/>
        <w:rPr>
          <w:rFonts w:ascii="Bookman Old Style" w:hAnsi="Bookman Old Style"/>
          <w:sz w:val="18"/>
          <w:szCs w:val="18"/>
        </w:rPr>
      </w:pPr>
    </w:p>
    <w:p w14:paraId="71E1CB5E" w14:textId="77777777" w:rsidR="00350396" w:rsidRPr="004E0FC4" w:rsidRDefault="00350396" w:rsidP="004E0FC4">
      <w:pPr>
        <w:widowControl w:val="0"/>
        <w:spacing w:before="219"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По объёмам вложений на сентябрь 2022 года вложения в квази-ГЧП-проекты (1115 млрд руб.) составляли 20,6% от общего объёма (5412 млрд. руб.).</w:t>
      </w:r>
      <w:r w:rsidRPr="004E0FC4">
        <w:rPr>
          <w:rFonts w:ascii="Bookman Old Style" w:eastAsia="Bookman Old Style" w:hAnsi="Bookman Old Style" w:cs="Bookman Old Style"/>
          <w:color w:val="231F20"/>
          <w:sz w:val="18"/>
          <w:szCs w:val="18"/>
        </w:rPr>
        <w:t xml:space="preserve"> Большинство проектов квази-ГЧП реализуется в регионах с раз</w:t>
      </w:r>
      <w:r w:rsidRPr="004E0FC4">
        <w:rPr>
          <w:rFonts w:ascii="Bookman Old Style" w:eastAsia="Bookman Old Style" w:hAnsi="Bookman Old Style" w:cs="Bookman Old Style"/>
          <w:color w:val="231F20"/>
          <w:sz w:val="18"/>
          <w:szCs w:val="18"/>
        </w:rPr>
        <w:softHyphen/>
        <w:t>витым инвестиционным законодательством. Например, самые крупные квази-ГЧП-проекты реализуются в Москве: контракты жиз</w:t>
      </w:r>
      <w:r w:rsidRPr="004E0FC4">
        <w:rPr>
          <w:rFonts w:ascii="Bookman Old Style" w:eastAsia="Bookman Old Style" w:hAnsi="Bookman Old Style" w:cs="Bookman Old Style"/>
          <w:color w:val="231F20"/>
          <w:sz w:val="18"/>
          <w:szCs w:val="18"/>
        </w:rPr>
        <w:softHyphen/>
        <w:t>ненного цикла в общественном транспорте, комплексный договор на развитие инфраструктуры обращения с твердыми коммунальны</w:t>
      </w:r>
      <w:r w:rsidRPr="004E0FC4">
        <w:rPr>
          <w:rFonts w:ascii="Bookman Old Style" w:eastAsia="Bookman Old Style" w:hAnsi="Bookman Old Style" w:cs="Bookman Old Style"/>
          <w:color w:val="231F20"/>
          <w:sz w:val="18"/>
          <w:szCs w:val="18"/>
        </w:rPr>
        <w:softHyphen/>
        <w:t>ми отходами (ТКО), строительство транспортно-пересадочных уз</w:t>
      </w:r>
      <w:r w:rsidRPr="004E0FC4">
        <w:rPr>
          <w:rFonts w:ascii="Bookman Old Style" w:eastAsia="Bookman Old Style" w:hAnsi="Bookman Old Style" w:cs="Bookman Old Style"/>
          <w:color w:val="231F20"/>
          <w:sz w:val="18"/>
          <w:szCs w:val="18"/>
        </w:rPr>
        <w:softHyphen/>
        <w:t>лов (ТПУ) в рамках корпоративных моделей. В отраслевом разрезе наиболее часто данные формы используются для реализации про</w:t>
      </w:r>
      <w:r w:rsidRPr="004E0FC4">
        <w:rPr>
          <w:rFonts w:ascii="Bookman Old Style" w:eastAsia="Bookman Old Style" w:hAnsi="Bookman Old Style" w:cs="Bookman Old Style"/>
          <w:color w:val="231F20"/>
          <w:sz w:val="18"/>
          <w:szCs w:val="18"/>
        </w:rPr>
        <w:softHyphen/>
        <w:t>ектов в социальной сфере (примерно 40 %).</w:t>
      </w:r>
    </w:p>
    <w:p w14:paraId="7E43BAE6"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Одним из достижений последних лет следует считать тот факт, что отношение объема частных инвестиций в проектах ГЧП к номи</w:t>
      </w:r>
      <w:r w:rsidRPr="004E0FC4">
        <w:rPr>
          <w:rFonts w:ascii="Bookman Old Style" w:eastAsia="Bookman Old Style" w:hAnsi="Bookman Old Style" w:cs="Bookman Old Style"/>
          <w:color w:val="231F20"/>
          <w:sz w:val="18"/>
          <w:szCs w:val="18"/>
        </w:rPr>
        <w:softHyphen/>
        <w:t>нальному ВВП в России в 2014—2017 гг. существенно увеличилось, что позволило приблизиться к уровню стран со схожей структурой экономики (рис. 4.</w:t>
      </w:r>
      <w:r w:rsidRPr="004E0FC4">
        <w:rPr>
          <w:rFonts w:ascii="Bookman Old Style" w:eastAsia="Bookman Old Style" w:hAnsi="Bookman Old Style" w:cs="Bookman Old Style"/>
          <w:color w:val="231F20"/>
          <w:sz w:val="18"/>
          <w:szCs w:val="18"/>
          <w:highlight w:val="green"/>
        </w:rPr>
        <w:t>16</w:t>
      </w:r>
      <w:r w:rsidRPr="004E0FC4">
        <w:rPr>
          <w:rFonts w:ascii="Bookman Old Style" w:eastAsia="Bookman Old Style" w:hAnsi="Bookman Old Style" w:cs="Bookman Old Style"/>
          <w:color w:val="231F20"/>
          <w:sz w:val="18"/>
          <w:szCs w:val="18"/>
        </w:rPr>
        <w:t>).</w:t>
      </w:r>
    </w:p>
    <w:p w14:paraId="0765FD2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p>
    <w:p w14:paraId="6EAE3EF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hAnsi="Bookman Old Style"/>
          <w:noProof/>
          <w:sz w:val="18"/>
          <w:szCs w:val="18"/>
          <w:lang w:bidi="ar-SA"/>
        </w:rPr>
        <w:lastRenderedPageBreak/>
        <w:drawing>
          <wp:inline distT="0" distB="0" distL="0" distR="0" wp14:anchorId="2D11CA1D" wp14:editId="1E8373B5">
            <wp:extent cx="4150360" cy="1932305"/>
            <wp:effectExtent l="19050" t="0" r="2540" b="0"/>
            <wp:docPr id="259" name="Рисунок 7" descr="C:\Users\A2D98~1.SHI\AppData\Local\Temp\433\ABBYY\PDFTransform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2D98~1.SHI\AppData\Local\Temp\433\ABBYY\PDFTransformer\12.00\media\image20.jpeg"/>
                    <pic:cNvPicPr>
                      <a:picLocks noChangeAspect="1" noChangeArrowheads="1"/>
                    </pic:cNvPicPr>
                  </pic:nvPicPr>
                  <pic:blipFill>
                    <a:blip r:embed="rId61" cstate="print"/>
                    <a:srcRect/>
                    <a:stretch>
                      <a:fillRect/>
                    </a:stretch>
                  </pic:blipFill>
                  <pic:spPr bwMode="auto">
                    <a:xfrm>
                      <a:off x="0" y="0"/>
                      <a:ext cx="4150360" cy="1932305"/>
                    </a:xfrm>
                    <a:prstGeom prst="rect">
                      <a:avLst/>
                    </a:prstGeom>
                    <a:noFill/>
                    <a:ln w="9525">
                      <a:noFill/>
                      <a:miter lim="800000"/>
                      <a:headEnd/>
                      <a:tailEnd/>
                    </a:ln>
                  </pic:spPr>
                </pic:pic>
              </a:graphicData>
            </a:graphic>
          </wp:inline>
        </w:drawing>
      </w:r>
    </w:p>
    <w:p w14:paraId="2DB1D26F"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p>
    <w:p w14:paraId="19E2C45E"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Рисунок 4.</w:t>
      </w:r>
      <w:r w:rsidRPr="004E0FC4">
        <w:rPr>
          <w:rFonts w:ascii="Bookman Old Style" w:eastAsia="Bookman Old Style" w:hAnsi="Bookman Old Style" w:cs="Bookman Old Style"/>
          <w:color w:val="231F20"/>
          <w:sz w:val="18"/>
          <w:szCs w:val="18"/>
          <w:highlight w:val="green"/>
        </w:rPr>
        <w:t>16</w:t>
      </w:r>
      <w:r w:rsidRPr="004E0FC4">
        <w:rPr>
          <w:rFonts w:ascii="Bookman Old Style" w:eastAsia="Bookman Old Style" w:hAnsi="Bookman Old Style" w:cs="Bookman Old Style"/>
          <w:color w:val="231F20"/>
          <w:sz w:val="18"/>
          <w:szCs w:val="18"/>
        </w:rPr>
        <w:t xml:space="preserve">  ..</w:t>
      </w:r>
    </w:p>
    <w:p w14:paraId="2B940E09" w14:textId="77777777" w:rsidR="00350396" w:rsidRPr="004E0FC4" w:rsidRDefault="00350396" w:rsidP="004E0FC4">
      <w:pPr>
        <w:widowControl w:val="0"/>
        <w:spacing w:line="240" w:lineRule="auto"/>
        <w:ind w:firstLine="320"/>
        <w:rPr>
          <w:rFonts w:ascii="Bookman Old Style" w:hAnsi="Bookman Old Style"/>
          <w:sz w:val="18"/>
          <w:szCs w:val="18"/>
        </w:rPr>
      </w:pPr>
    </w:p>
    <w:p w14:paraId="69EB387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Однако по объему инвестиций, привлеченных в ГЧП-проектах, в расчете на душу населения Россия </w:t>
      </w:r>
      <w:r w:rsidRPr="004E0FC4">
        <w:rPr>
          <w:rFonts w:ascii="Bookman Old Style" w:eastAsia="Bookman Old Style" w:hAnsi="Bookman Old Style" w:cs="Bookman Old Style"/>
          <w:color w:val="231F20"/>
          <w:sz w:val="18"/>
          <w:szCs w:val="18"/>
          <w:highlight w:val="red"/>
        </w:rPr>
        <w:t>пока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по данным на 2017 год</w:t>
      </w:r>
      <w:r w:rsidRPr="004E0FC4">
        <w:rPr>
          <w:rFonts w:ascii="Bookman Old Style" w:eastAsia="Bookman Old Style" w:hAnsi="Bookman Old Style" w:cs="Bookman Old Style"/>
          <w:color w:val="231F20"/>
          <w:sz w:val="18"/>
          <w:szCs w:val="18"/>
        </w:rPr>
        <w:t xml:space="preserve"> отста</w:t>
      </w:r>
      <w:r w:rsidRPr="004E0FC4">
        <w:rPr>
          <w:rFonts w:ascii="Bookman Old Style" w:eastAsia="Bookman Old Style" w:hAnsi="Bookman Old Style" w:cs="Bookman Old Style"/>
          <w:color w:val="231F20"/>
          <w:sz w:val="18"/>
          <w:szCs w:val="18"/>
          <w:highlight w:val="red"/>
        </w:rPr>
        <w:t>ет</w:t>
      </w:r>
      <w:r w:rsidRPr="004E0FC4">
        <w:rPr>
          <w:rFonts w:ascii="Bookman Old Style" w:eastAsia="Bookman Old Style" w:hAnsi="Bookman Old Style" w:cs="Bookman Old Style"/>
          <w:color w:val="231F20"/>
          <w:sz w:val="18"/>
          <w:szCs w:val="18"/>
          <w:highlight w:val="green"/>
        </w:rPr>
        <w:t>вала</w:t>
      </w:r>
      <w:r w:rsidRPr="004E0FC4">
        <w:rPr>
          <w:rFonts w:ascii="Bookman Old Style" w:eastAsia="Bookman Old Style" w:hAnsi="Bookman Old Style" w:cs="Bookman Old Style"/>
          <w:color w:val="231F20"/>
          <w:sz w:val="18"/>
          <w:szCs w:val="18"/>
        </w:rPr>
        <w:t xml:space="preserve"> от большинства стран (рис. 4.1</w:t>
      </w:r>
      <w:r w:rsidRPr="004E0FC4">
        <w:rPr>
          <w:rFonts w:ascii="Bookman Old Style" w:eastAsia="Bookman Old Style" w:hAnsi="Bookman Old Style" w:cs="Bookman Old Style"/>
          <w:color w:val="231F20"/>
          <w:sz w:val="18"/>
          <w:szCs w:val="18"/>
          <w:highlight w:val="green"/>
        </w:rPr>
        <w:t>7</w:t>
      </w:r>
      <w:r w:rsidRPr="004E0FC4">
        <w:rPr>
          <w:rFonts w:ascii="Bookman Old Style" w:eastAsia="Bookman Old Style" w:hAnsi="Bookman Old Style" w:cs="Bookman Old Style"/>
          <w:color w:val="231F20"/>
          <w:sz w:val="18"/>
          <w:szCs w:val="18"/>
        </w:rPr>
        <w:t>).</w:t>
      </w:r>
    </w:p>
    <w:p w14:paraId="7FE2658D" w14:textId="77777777" w:rsidR="00350396" w:rsidRPr="004E0FC4" w:rsidRDefault="00350396" w:rsidP="004E0FC4">
      <w:pPr>
        <w:widowControl w:val="0"/>
        <w:spacing w:line="240" w:lineRule="auto"/>
        <w:ind w:firstLine="320"/>
        <w:rPr>
          <w:rFonts w:ascii="Bookman Old Style" w:hAnsi="Bookman Old Style"/>
          <w:sz w:val="18"/>
          <w:szCs w:val="18"/>
        </w:rPr>
      </w:pPr>
    </w:p>
    <w:p w14:paraId="2B5ECC22" w14:textId="77777777" w:rsidR="00350396" w:rsidRPr="004E0FC4" w:rsidRDefault="00350396" w:rsidP="004E0FC4">
      <w:pPr>
        <w:framePr w:h="2198"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hAnsi="Bookman Old Style"/>
          <w:noProof/>
          <w:sz w:val="18"/>
          <w:szCs w:val="18"/>
          <w:lang w:bidi="ar-SA"/>
        </w:rPr>
        <w:drawing>
          <wp:inline distT="0" distB="0" distL="0" distR="0" wp14:anchorId="33FAB0EF" wp14:editId="336293EC">
            <wp:extent cx="4118610" cy="1399540"/>
            <wp:effectExtent l="19050" t="0" r="0" b="0"/>
            <wp:docPr id="260" name="Рисунок 4" descr="C:\Users\A2D98~1.SHI\AppData\Local\Temp\433\ABBYY\PDFTransform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2D98~1.SHI\AppData\Local\Temp\433\ABBYY\PDFTransformer\12.00\media\image21.jpeg"/>
                    <pic:cNvPicPr>
                      <a:picLocks noChangeAspect="1" noChangeArrowheads="1"/>
                    </pic:cNvPicPr>
                  </pic:nvPicPr>
                  <pic:blipFill>
                    <a:blip r:embed="rId62" cstate="print"/>
                    <a:srcRect/>
                    <a:stretch>
                      <a:fillRect/>
                    </a:stretch>
                  </pic:blipFill>
                  <pic:spPr bwMode="auto">
                    <a:xfrm>
                      <a:off x="0" y="0"/>
                      <a:ext cx="4118610" cy="1399540"/>
                    </a:xfrm>
                    <a:prstGeom prst="rect">
                      <a:avLst/>
                    </a:prstGeom>
                    <a:noFill/>
                    <a:ln w="9525">
                      <a:noFill/>
                      <a:miter lim="800000"/>
                      <a:headEnd/>
                      <a:tailEnd/>
                    </a:ln>
                  </pic:spPr>
                </pic:pic>
              </a:graphicData>
            </a:graphic>
          </wp:inline>
        </w:drawing>
      </w:r>
    </w:p>
    <w:p w14:paraId="6EC9FC35" w14:textId="77777777" w:rsidR="00350396" w:rsidRPr="004E0FC4" w:rsidRDefault="00350396" w:rsidP="004E0FC4">
      <w:pPr>
        <w:framePr w:h="2198"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британия лия* ция* тина* сика*</w:t>
      </w:r>
    </w:p>
    <w:p w14:paraId="55DD5E83" w14:textId="77777777" w:rsidR="00350396" w:rsidRPr="004E0FC4" w:rsidRDefault="00350396" w:rsidP="004E0FC4">
      <w:pPr>
        <w:framePr w:h="2198" w:wrap="notBeside" w:vAnchor="text" w:hAnchor="text" w:xAlign="center" w:y="1"/>
        <w:widowControl w:val="0"/>
        <w:spacing w:line="240" w:lineRule="exact"/>
        <w:ind w:firstLine="0"/>
        <w:rPr>
          <w:rFonts w:ascii="Bookman Old Style" w:hAnsi="Bookman Old Style"/>
          <w:sz w:val="18"/>
          <w:szCs w:val="18"/>
        </w:rPr>
      </w:pPr>
      <w:r w:rsidRPr="004E0FC4">
        <w:rPr>
          <w:rFonts w:ascii="Bookman Old Style" w:eastAsia="Arial Narrow" w:hAnsi="Bookman Old Style" w:cs="Arial Narrow"/>
          <w:b/>
          <w:bCs/>
          <w:i/>
          <w:iCs/>
          <w:color w:val="231F20"/>
          <w:sz w:val="18"/>
          <w:szCs w:val="18"/>
        </w:rPr>
        <w:t>Рис. 4.1</w:t>
      </w:r>
      <w:r w:rsidRPr="004E0FC4">
        <w:rPr>
          <w:rFonts w:ascii="Bookman Old Style" w:eastAsia="Arial Narrow" w:hAnsi="Bookman Old Style" w:cs="Arial Narrow"/>
          <w:b/>
          <w:bCs/>
          <w:i/>
          <w:iCs/>
          <w:color w:val="231F20"/>
          <w:sz w:val="18"/>
          <w:szCs w:val="18"/>
          <w:highlight w:val="green"/>
        </w:rPr>
        <w:t>7</w:t>
      </w:r>
      <w:r w:rsidRPr="004E0FC4">
        <w:rPr>
          <w:rFonts w:ascii="Bookman Old Style" w:eastAsia="Arial Narrow" w:hAnsi="Bookman Old Style" w:cs="Arial Narrow"/>
          <w:b/>
          <w:bCs/>
          <w:i/>
          <w:iCs/>
          <w:color w:val="231F20"/>
          <w:sz w:val="18"/>
          <w:szCs w:val="18"/>
        </w:rPr>
        <w:t>.</w:t>
      </w:r>
      <w:r w:rsidRPr="004E0FC4">
        <w:rPr>
          <w:rFonts w:ascii="Bookman Old Style" w:eastAsia="Arial Narrow" w:hAnsi="Bookman Old Style" w:cs="Arial Narrow"/>
          <w:color w:val="231F20"/>
          <w:sz w:val="18"/>
          <w:szCs w:val="18"/>
        </w:rPr>
        <w:t xml:space="preserve"> Примерные капитальные затраты в реализуемых в настоящий момент ГЧП-проектах в расчете на душу населения, сравнение по странам, $ США в постоянных ценах 2016 г.</w:t>
      </w:r>
      <w:r w:rsidRPr="004E0FC4">
        <w:rPr>
          <w:rFonts w:ascii="Bookman Old Style" w:eastAsia="Arial Narrow" w:hAnsi="Bookman Old Style" w:cs="Arial Narrow"/>
          <w:color w:val="231F20"/>
          <w:sz w:val="18"/>
          <w:szCs w:val="18"/>
          <w:vertAlign w:val="superscript"/>
        </w:rPr>
        <w:t>2</w:t>
      </w:r>
    </w:p>
    <w:p w14:paraId="287F98B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p>
    <w:p w14:paraId="421359A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Большая часть проектов в формате ГЧП </w:t>
      </w:r>
      <w:r w:rsidRPr="004E0FC4">
        <w:rPr>
          <w:rFonts w:ascii="Bookman Old Style" w:eastAsia="Bookman Old Style" w:hAnsi="Bookman Old Style" w:cs="Bookman Old Style"/>
          <w:color w:val="231F20"/>
          <w:sz w:val="18"/>
          <w:szCs w:val="18"/>
          <w:highlight w:val="green"/>
        </w:rPr>
        <w:t>в 2012-2022 годах</w:t>
      </w:r>
      <w:r w:rsidRPr="004E0FC4">
        <w:rPr>
          <w:rFonts w:ascii="Bookman Old Style" w:eastAsia="Bookman Old Style" w:hAnsi="Bookman Old Style" w:cs="Bookman Old Style"/>
          <w:color w:val="231F20"/>
          <w:sz w:val="18"/>
          <w:szCs w:val="18"/>
        </w:rPr>
        <w:t xml:space="preserve"> реализов</w:t>
      </w:r>
      <w:r w:rsidRPr="004E0FC4">
        <w:rPr>
          <w:rFonts w:ascii="Bookman Old Style" w:eastAsia="Bookman Old Style" w:hAnsi="Bookman Old Style" w:cs="Bookman Old Style"/>
          <w:color w:val="231F20"/>
          <w:sz w:val="18"/>
          <w:szCs w:val="18"/>
          <w:highlight w:val="green"/>
        </w:rPr>
        <w:t>ывалось</w:t>
      </w:r>
      <w:r w:rsidRPr="004E0FC4">
        <w:rPr>
          <w:rFonts w:ascii="Bookman Old Style" w:eastAsia="Bookman Old Style" w:hAnsi="Bookman Old Style" w:cs="Bookman Old Style"/>
          <w:color w:val="231F20"/>
          <w:sz w:val="18"/>
          <w:szCs w:val="18"/>
        </w:rPr>
        <w:t xml:space="preserve"> в России в следующих областях </w:t>
      </w:r>
      <w:r w:rsidRPr="004E0FC4">
        <w:rPr>
          <w:rFonts w:ascii="Bookman Old Style" w:eastAsia="Bookman Old Style" w:hAnsi="Bookman Old Style" w:cs="Bookman Old Style"/>
          <w:color w:val="231F20"/>
          <w:sz w:val="18"/>
          <w:szCs w:val="18"/>
          <w:highlight w:val="red"/>
        </w:rPr>
        <w:t>(рис. 4.12)</w:t>
      </w:r>
      <w:r w:rsidRPr="004E0FC4">
        <w:rPr>
          <w:rFonts w:ascii="Bookman Old Style" w:eastAsia="Bookman Old Style" w:hAnsi="Bookman Old Style" w:cs="Bookman Old Style"/>
          <w:color w:val="231F20"/>
          <w:sz w:val="18"/>
          <w:szCs w:val="18"/>
        </w:rPr>
        <w:t>: коммунально-энергетическая ин</w:t>
      </w:r>
      <w:r w:rsidRPr="004E0FC4">
        <w:rPr>
          <w:rFonts w:ascii="Bookman Old Style" w:eastAsia="Bookman Old Style" w:hAnsi="Bookman Old Style" w:cs="Bookman Old Style"/>
          <w:color w:val="231F20"/>
          <w:sz w:val="18"/>
          <w:szCs w:val="18"/>
        </w:rPr>
        <w:softHyphen/>
        <w:t>фраструктура (82 % по числу проектов и 27 % по объему инвести</w:t>
      </w:r>
      <w:r w:rsidRPr="004E0FC4">
        <w:rPr>
          <w:rFonts w:ascii="Bookman Old Style" w:eastAsia="Bookman Old Style" w:hAnsi="Bookman Old Style" w:cs="Bookman Old Style"/>
          <w:color w:val="231F20"/>
          <w:sz w:val="18"/>
          <w:szCs w:val="18"/>
        </w:rPr>
        <w:softHyphen/>
        <w:t>ций), социальная инфраструктура (13 % по числу проектов и 13,5 % по объему инвестиций), транспортная инфраструктура (3 % по чис</w:t>
      </w:r>
      <w:r w:rsidRPr="004E0FC4">
        <w:rPr>
          <w:rFonts w:ascii="Bookman Old Style" w:eastAsia="Bookman Old Style" w:hAnsi="Bookman Old Style" w:cs="Bookman Old Style"/>
          <w:color w:val="231F20"/>
          <w:sz w:val="18"/>
          <w:szCs w:val="18"/>
        </w:rPr>
        <w:softHyphen/>
        <w:t xml:space="preserve">лу проектов и 56 % по объему инвестиций). </w:t>
      </w:r>
    </w:p>
    <w:p w14:paraId="7B6286E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Проекты в информа</w:t>
      </w:r>
      <w:r w:rsidRPr="004E0FC4">
        <w:rPr>
          <w:rFonts w:ascii="Bookman Old Style" w:eastAsia="Bookman Old Style" w:hAnsi="Bookman Old Style" w:cs="Bookman Old Style"/>
          <w:color w:val="231F20"/>
          <w:sz w:val="18"/>
          <w:szCs w:val="18"/>
        </w:rPr>
        <w:softHyphen/>
        <w:t xml:space="preserve">ционно-коммуникационной сфере </w:t>
      </w:r>
      <w:r w:rsidRPr="004E0FC4">
        <w:rPr>
          <w:rFonts w:ascii="Bookman Old Style" w:eastAsia="Bookman Old Style" w:hAnsi="Bookman Old Style" w:cs="Bookman Old Style"/>
          <w:color w:val="231F20"/>
          <w:sz w:val="18"/>
          <w:szCs w:val="18"/>
          <w:highlight w:val="green"/>
        </w:rPr>
        <w:t>демонстрируют определённый рост</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и прочих сферах ГЧП составляют 2 % по числу проектов и 3,5 % по объему инвестиций</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На сентябрь 2022 года в сфере IT-инфраструктуры реализуется 49 проектов на 278,1 млрд руб. (из них 272,7 млрд руб. – средства частных инвесторов).</w:t>
      </w:r>
      <w:r w:rsidRPr="004E0FC4">
        <w:rPr>
          <w:rFonts w:ascii="Bookman Old Style" w:eastAsia="Bookman Old Style" w:hAnsi="Bookman Old Style" w:cs="Bookman Old Style"/>
          <w:color w:val="231F20"/>
          <w:sz w:val="18"/>
          <w:szCs w:val="18"/>
        </w:rPr>
        <w:t xml:space="preserve">  </w:t>
      </w:r>
    </w:p>
    <w:p w14:paraId="0DDEFB3B"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Технологии и IT часто включены как дополнение к проекту в отношении традиционной инфраструктуры и включают в себя IT -элементы:</w:t>
      </w:r>
    </w:p>
    <w:p w14:paraId="3E58C4B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строительство социальных объектов с «цифровыми» решениями для организации процесса оказания услуг;</w:t>
      </w:r>
    </w:p>
    <w:p w14:paraId="6E7EDEB1"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комплексные IT-системы на автомобильных дорогах;</w:t>
      </w:r>
    </w:p>
    <w:p w14:paraId="14321A1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lastRenderedPageBreak/>
        <w:t>• объекты ЖКХ с системами учета;</w:t>
      </w:r>
    </w:p>
    <w:p w14:paraId="611F026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цифровизация на общественном транспорте («умные» остановки, сбор платы и пр.).</w:t>
      </w:r>
    </w:p>
    <w:p w14:paraId="7DACD9E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Как основа проекта (без привязки к традиционной инфраструктуре)</w:t>
      </w:r>
      <w:r w:rsidRPr="004E0FC4">
        <w:rPr>
          <w:rFonts w:ascii="Bookman Old Style" w:hAnsi="Bookman Old Style"/>
          <w:sz w:val="18"/>
          <w:szCs w:val="18"/>
          <w:highlight w:val="green"/>
        </w:rPr>
        <w:t xml:space="preserve"> </w:t>
      </w:r>
      <w:r w:rsidRPr="004E0FC4">
        <w:rPr>
          <w:rFonts w:ascii="Bookman Old Style" w:eastAsia="Bookman Old Style" w:hAnsi="Bookman Old Style" w:cs="Bookman Old Style"/>
          <w:color w:val="231F20"/>
          <w:sz w:val="18"/>
          <w:szCs w:val="18"/>
          <w:highlight w:val="green"/>
        </w:rPr>
        <w:t>ГЧП в сфере IT заключаются на следующие объекты:</w:t>
      </w:r>
    </w:p>
    <w:p w14:paraId="6B313A21"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линии широкополосной связи;</w:t>
      </w:r>
    </w:p>
    <w:p w14:paraId="5A8FE685"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городская связь (Wi-Fi, навигация);</w:t>
      </w:r>
    </w:p>
    <w:p w14:paraId="5D8B50C2"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аэрофотосъемка (кадастровый учет) для собираемости налогов и контроля за целевым использованием земельных участков;</w:t>
      </w:r>
    </w:p>
    <w:p w14:paraId="44A61784"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государственные информационные системы и перевод госуслуг в цифровой формат.</w:t>
      </w:r>
    </w:p>
    <w:p w14:paraId="32E0F227"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Крупнейшим соглашением о ГЧП / МЧП в отношении объектов IT является создание системы цифровой маркировки и прослеживания (мониторинга) оборота товаров - (общий объем инвестиционных обязательств частного партнера – 220 млрд руб.).</w:t>
      </w:r>
    </w:p>
    <w:p w14:paraId="7AB69BC7"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Другие примеры ГЧП-проектов в сфере IT-инфраструктуры. </w:t>
      </w:r>
    </w:p>
    <w:p w14:paraId="4A832AC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1. В 2021 году заключено уникальное межмуниципальное с региональным участием концессионное соглашение в отношении информационной системы «Цифровое Приморье» (5 млрд руб.). Проект реализуется в рамках национальной программы социально-экономического развития Дальнего Востока и включает в себя создание доступного информационного пространства, учитывающего потребности граждан в получении информации в различных социально-экономических сферах (образование, транспорт, ЖКХ, туризм, досуг и т.д.). </w:t>
      </w:r>
    </w:p>
    <w:p w14:paraId="250D46D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2. В 2021 году распространялась практика цифровизации образовательной среды. Компания «Дневник.ру» (и ее дочерние организации) выступила с предложением ко всем субъектам Российской Федерации о заключении соглашений о ГЧП в отношении региональных информационных систем. В итоге заключено 2 соглашения о ГЧП (ФЗ-224) по созданию, обеспечению функционирования и техническому сопровождению Цифровой образовательной Платформы в Новгородской (10,7 млн руб.) и Архангельской областях (11,8 млн руб.). Проекты направлены на упрощение взаимодействия участников учебного процесса, повышение его прозрачности и создание и развитие единого образовательного пространства в России. </w:t>
      </w:r>
    </w:p>
    <w:p w14:paraId="0963C6E8"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3. Концессионное соглашение в отношении создания базы данных и программного обеспечения для хранения, поиска и обработки информации … о выявленных объектах недвижимости и земельных участках, отсутствующих (не принятых к учету) в налоговых органах… , находящихся на территории г.о. Красногорск Московской области (2019 год).</w:t>
      </w:r>
    </w:p>
    <w:p w14:paraId="53D25E1D"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Концессионные соглашения, где объектом является IT-инфраструктура, заключаются и в рамках более масштабных соглашений на создание и обслуживание «классической» инфраструктуры:</w:t>
      </w:r>
    </w:p>
    <w:p w14:paraId="48716257"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СКБДД (система контроля безопасности правил дорожного движения) – 12 проектов в городах России на конец 2019 года);</w:t>
      </w:r>
    </w:p>
    <w:p w14:paraId="40D67B5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«Платон» – (создание и эксплуатация системы взимания платы в счет возмещения вреда, причиняемого автомобильным дорогам грузовыми автомобилями общим весом более 12 тонн);</w:t>
      </w:r>
    </w:p>
    <w:p w14:paraId="7F46D3B4"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Остановки - 2 проекта;</w:t>
      </w:r>
    </w:p>
    <w:p w14:paraId="5B34A071"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Светофоры – 2 проекта;</w:t>
      </w:r>
    </w:p>
    <w:p w14:paraId="0CFBF93A"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Освещение – 7 проектов.</w:t>
      </w:r>
    </w:p>
    <w:p w14:paraId="3994E84F"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lastRenderedPageBreak/>
        <w:t xml:space="preserve">В таких сферах, </w:t>
      </w:r>
      <w:r w:rsidRPr="004E0FC4">
        <w:rPr>
          <w:rFonts w:ascii="Bookman Old Style" w:eastAsia="Bookman Old Style" w:hAnsi="Bookman Old Style" w:cs="Bookman Old Style"/>
          <w:color w:val="231F20"/>
          <w:sz w:val="18"/>
          <w:szCs w:val="18"/>
          <w:highlight w:val="red"/>
          <w:vertAlign w:val="superscript"/>
        </w:rPr>
        <w:footnoteReference w:id="123"/>
      </w:r>
      <w:r w:rsidRPr="004E0FC4">
        <w:rPr>
          <w:rFonts w:ascii="Bookman Old Style" w:eastAsia="Bookman Old Style" w:hAnsi="Bookman Old Style" w:cs="Bookman Old Style"/>
          <w:color w:val="231F20"/>
          <w:sz w:val="18"/>
          <w:szCs w:val="18"/>
        </w:rPr>
        <w:t xml:space="preserve">  как оборона</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Arial Narrow" w:hAnsi="Bookman Old Style" w:cs="Arial Narrow"/>
          <w:b/>
          <w:bCs/>
          <w:color w:val="231F20"/>
          <w:sz w:val="18"/>
          <w:szCs w:val="18"/>
          <w:vertAlign w:val="superscript"/>
        </w:rPr>
        <w:footnoteReference w:id="124"/>
      </w:r>
      <w:r w:rsidRPr="004E0FC4">
        <w:rPr>
          <w:rFonts w:ascii="Bookman Old Style" w:eastAsia="Bookman Old Style" w:hAnsi="Bookman Old Style" w:cs="Bookman Old Style"/>
          <w:color w:val="231F20"/>
          <w:sz w:val="18"/>
          <w:szCs w:val="18"/>
        </w:rPr>
        <w:t>, поддержание правопорядка, фундаментальная наука, законодательная деятельность и в ряде других сфер ответственно</w:t>
      </w:r>
      <w:r w:rsidRPr="004E0FC4">
        <w:rPr>
          <w:rFonts w:ascii="Bookman Old Style" w:eastAsia="Bookman Old Style" w:hAnsi="Bookman Old Style" w:cs="Bookman Old Style"/>
          <w:color w:val="231F20"/>
          <w:sz w:val="18"/>
          <w:szCs w:val="18"/>
        </w:rPr>
        <w:softHyphen/>
        <w:t>сти государства, ГЧП не используется.</w:t>
      </w:r>
    </w:p>
    <w:p w14:paraId="20A0E80E" w14:textId="77777777" w:rsidR="00350396" w:rsidRPr="004E0FC4" w:rsidRDefault="00350396" w:rsidP="004E0FC4">
      <w:pPr>
        <w:widowControl w:val="0"/>
        <w:spacing w:line="240" w:lineRule="auto"/>
        <w:ind w:firstLine="0"/>
        <w:rPr>
          <w:rFonts w:ascii="Bookman Old Style" w:hAnsi="Bookman Old Style"/>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78"/>
        <w:gridCol w:w="950"/>
        <w:gridCol w:w="1507"/>
        <w:gridCol w:w="1968"/>
        <w:gridCol w:w="1277"/>
      </w:tblGrid>
      <w:tr w:rsidR="00350396" w:rsidRPr="004E0FC4" w14:paraId="2ED3E778" w14:textId="77777777" w:rsidTr="006D7F71">
        <w:trPr>
          <w:trHeight w:hRule="exact" w:val="523"/>
          <w:jc w:val="center"/>
        </w:trPr>
        <w:tc>
          <w:tcPr>
            <w:tcW w:w="878" w:type="dxa"/>
            <w:shd w:val="clear" w:color="auto" w:fill="808080"/>
            <w:vAlign w:val="bottom"/>
          </w:tcPr>
          <w:p w14:paraId="57F33441"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Сфера/</w:t>
            </w:r>
          </w:p>
          <w:p w14:paraId="28289348"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отрасль</w:t>
            </w:r>
          </w:p>
        </w:tc>
        <w:tc>
          <w:tcPr>
            <w:tcW w:w="950" w:type="dxa"/>
            <w:shd w:val="clear" w:color="auto" w:fill="808080"/>
            <w:vAlign w:val="bottom"/>
          </w:tcPr>
          <w:p w14:paraId="37A6F9B0" w14:textId="77777777" w:rsidR="00350396" w:rsidRPr="004E0FC4" w:rsidRDefault="00350396" w:rsidP="004E0FC4">
            <w:pPr>
              <w:framePr w:w="6581" w:wrap="notBeside" w:vAnchor="text" w:hAnchor="text" w:xAlign="center" w:y="1"/>
              <w:widowControl w:val="0"/>
              <w:spacing w:line="176"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Соци</w:t>
            </w:r>
            <w:r w:rsidRPr="004E0FC4">
              <w:rPr>
                <w:rFonts w:ascii="Bookman Old Style" w:eastAsia="Bookman Old Style" w:hAnsi="Bookman Old Style" w:cs="Bookman Old Style"/>
                <w:b/>
                <w:bCs/>
                <w:color w:val="231F20"/>
                <w:sz w:val="18"/>
                <w:szCs w:val="18"/>
                <w:highlight w:val="red"/>
              </w:rPr>
              <w:softHyphen/>
            </w:r>
          </w:p>
          <w:p w14:paraId="1BC5A82F" w14:textId="77777777" w:rsidR="00350396" w:rsidRPr="004E0FC4" w:rsidRDefault="00350396" w:rsidP="004E0FC4">
            <w:pPr>
              <w:framePr w:w="6581" w:wrap="notBeside" w:vAnchor="text" w:hAnchor="text" w:xAlign="center" w:y="1"/>
              <w:widowControl w:val="0"/>
              <w:spacing w:line="176" w:lineRule="exact"/>
              <w:ind w:left="20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альная</w:t>
            </w:r>
          </w:p>
        </w:tc>
        <w:tc>
          <w:tcPr>
            <w:tcW w:w="1507" w:type="dxa"/>
            <w:shd w:val="clear" w:color="auto" w:fill="808080"/>
            <w:vAlign w:val="center"/>
          </w:tcPr>
          <w:p w14:paraId="08D1E559"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Коммунальная</w:t>
            </w:r>
          </w:p>
        </w:tc>
        <w:tc>
          <w:tcPr>
            <w:tcW w:w="1968" w:type="dxa"/>
            <w:shd w:val="clear" w:color="auto" w:fill="808080"/>
            <w:vAlign w:val="center"/>
          </w:tcPr>
          <w:p w14:paraId="77584BBD"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Энергетическая</w:t>
            </w:r>
          </w:p>
        </w:tc>
        <w:tc>
          <w:tcPr>
            <w:tcW w:w="1277" w:type="dxa"/>
            <w:shd w:val="clear" w:color="auto" w:fill="808080"/>
            <w:vAlign w:val="bottom"/>
          </w:tcPr>
          <w:p w14:paraId="115E8BA6" w14:textId="77777777" w:rsidR="00350396" w:rsidRPr="004E0FC4" w:rsidRDefault="00350396" w:rsidP="004E0FC4">
            <w:pPr>
              <w:framePr w:w="6581" w:wrap="notBeside" w:vAnchor="text" w:hAnchor="text" w:xAlign="center" w:y="1"/>
              <w:widowControl w:val="0"/>
              <w:spacing w:line="176" w:lineRule="exact"/>
              <w:ind w:left="140"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Транспорт</w:t>
            </w:r>
            <w:r w:rsidRPr="004E0FC4">
              <w:rPr>
                <w:rFonts w:ascii="Bookman Old Style" w:eastAsia="Bookman Old Style" w:hAnsi="Bookman Old Style" w:cs="Bookman Old Style"/>
                <w:b/>
                <w:bCs/>
                <w:color w:val="231F20"/>
                <w:sz w:val="18"/>
                <w:szCs w:val="18"/>
                <w:highlight w:val="red"/>
              </w:rPr>
              <w:softHyphen/>
            </w:r>
          </w:p>
          <w:p w14:paraId="732007B0"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highlight w:val="red"/>
              </w:rPr>
            </w:pPr>
            <w:r w:rsidRPr="004E0FC4">
              <w:rPr>
                <w:rFonts w:ascii="Bookman Old Style" w:eastAsia="Bookman Old Style" w:hAnsi="Bookman Old Style" w:cs="Bookman Old Style"/>
                <w:b/>
                <w:bCs/>
                <w:color w:val="231F20"/>
                <w:sz w:val="18"/>
                <w:szCs w:val="18"/>
                <w:highlight w:val="red"/>
              </w:rPr>
              <w:t>ная</w:t>
            </w:r>
          </w:p>
        </w:tc>
      </w:tr>
      <w:tr w:rsidR="00350396" w:rsidRPr="004E0FC4" w14:paraId="37937234" w14:textId="77777777" w:rsidTr="006D7F71">
        <w:trPr>
          <w:trHeight w:hRule="exact" w:val="950"/>
          <w:jc w:val="center"/>
        </w:trPr>
        <w:tc>
          <w:tcPr>
            <w:tcW w:w="878" w:type="dxa"/>
            <w:tcBorders>
              <w:left w:val="single" w:sz="4" w:space="0" w:color="auto"/>
            </w:tcBorders>
            <w:shd w:val="clear" w:color="auto" w:fill="E2E2E3"/>
          </w:tcPr>
          <w:p w14:paraId="1263BC3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1</w:t>
            </w:r>
          </w:p>
        </w:tc>
        <w:tc>
          <w:tcPr>
            <w:tcW w:w="950" w:type="dxa"/>
            <w:tcBorders>
              <w:left w:val="single" w:sz="4" w:space="0" w:color="auto"/>
            </w:tcBorders>
            <w:shd w:val="clear" w:color="auto" w:fill="E2E2E3"/>
          </w:tcPr>
          <w:p w14:paraId="17393B3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Здраво-</w:t>
            </w:r>
          </w:p>
          <w:p w14:paraId="09A26D27"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охрание</w:t>
            </w:r>
          </w:p>
        </w:tc>
        <w:tc>
          <w:tcPr>
            <w:tcW w:w="1507" w:type="dxa"/>
            <w:tcBorders>
              <w:left w:val="single" w:sz="4" w:space="0" w:color="auto"/>
            </w:tcBorders>
            <w:shd w:val="clear" w:color="auto" w:fill="E2E2E3"/>
            <w:vAlign w:val="bottom"/>
          </w:tcPr>
          <w:p w14:paraId="37422A6A"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Централизован</w:t>
            </w:r>
            <w:r w:rsidRPr="004E0FC4">
              <w:rPr>
                <w:rFonts w:ascii="Bookman Old Style" w:eastAsia="Bookman Old Style" w:hAnsi="Bookman Old Style" w:cs="Bookman Old Style"/>
                <w:color w:val="231F20"/>
                <w:sz w:val="18"/>
                <w:szCs w:val="18"/>
                <w:highlight w:val="red"/>
              </w:rPr>
              <w:softHyphen/>
              <w:t>ные системы</w:t>
            </w:r>
          </w:p>
          <w:p w14:paraId="0061F5A9"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водоснабжения и водоотведения</w:t>
            </w:r>
          </w:p>
        </w:tc>
        <w:tc>
          <w:tcPr>
            <w:tcW w:w="1968" w:type="dxa"/>
            <w:tcBorders>
              <w:left w:val="single" w:sz="4" w:space="0" w:color="auto"/>
            </w:tcBorders>
            <w:shd w:val="clear" w:color="auto" w:fill="E2E2E3"/>
          </w:tcPr>
          <w:p w14:paraId="4919FD01"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Производство, рас</w:t>
            </w:r>
            <w:r w:rsidRPr="004E0FC4">
              <w:rPr>
                <w:rFonts w:ascii="Bookman Old Style" w:eastAsia="Bookman Old Style" w:hAnsi="Bookman Old Style" w:cs="Bookman Old Style"/>
                <w:color w:val="231F20"/>
                <w:sz w:val="18"/>
                <w:szCs w:val="18"/>
                <w:highlight w:val="red"/>
              </w:rPr>
              <w:softHyphen/>
              <w:t>пределение и переда</w:t>
            </w:r>
            <w:r w:rsidRPr="004E0FC4">
              <w:rPr>
                <w:rFonts w:ascii="Bookman Old Style" w:eastAsia="Bookman Old Style" w:hAnsi="Bookman Old Style" w:cs="Bookman Old Style"/>
                <w:color w:val="231F20"/>
                <w:sz w:val="18"/>
                <w:szCs w:val="18"/>
                <w:highlight w:val="red"/>
              </w:rPr>
              <w:softHyphen/>
              <w:t>ча тепловой энергии</w:t>
            </w:r>
          </w:p>
        </w:tc>
        <w:tc>
          <w:tcPr>
            <w:tcW w:w="1277" w:type="dxa"/>
            <w:tcBorders>
              <w:left w:val="single" w:sz="4" w:space="0" w:color="auto"/>
              <w:right w:val="single" w:sz="4" w:space="0" w:color="auto"/>
            </w:tcBorders>
            <w:shd w:val="clear" w:color="auto" w:fill="E2E2E3"/>
          </w:tcPr>
          <w:p w14:paraId="050BFA71"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Автомобиль</w:t>
            </w:r>
            <w:r w:rsidRPr="004E0FC4">
              <w:rPr>
                <w:rFonts w:ascii="Bookman Old Style" w:eastAsia="Bookman Old Style" w:hAnsi="Bookman Old Style" w:cs="Bookman Old Style"/>
                <w:color w:val="231F20"/>
                <w:sz w:val="18"/>
                <w:szCs w:val="18"/>
                <w:highlight w:val="red"/>
              </w:rPr>
              <w:softHyphen/>
              <w:t>ные дороги</w:t>
            </w:r>
          </w:p>
        </w:tc>
      </w:tr>
      <w:tr w:rsidR="00350396" w:rsidRPr="004E0FC4" w14:paraId="35988BDE" w14:textId="77777777" w:rsidTr="006D7F71">
        <w:trPr>
          <w:trHeight w:hRule="exact" w:val="950"/>
          <w:jc w:val="center"/>
        </w:trPr>
        <w:tc>
          <w:tcPr>
            <w:tcW w:w="878" w:type="dxa"/>
            <w:tcBorders>
              <w:top w:val="single" w:sz="4" w:space="0" w:color="auto"/>
              <w:left w:val="single" w:sz="4" w:space="0" w:color="auto"/>
            </w:tcBorders>
            <w:shd w:val="clear" w:color="auto" w:fill="E2E2E3"/>
          </w:tcPr>
          <w:p w14:paraId="2E9114B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2</w:t>
            </w:r>
          </w:p>
        </w:tc>
        <w:tc>
          <w:tcPr>
            <w:tcW w:w="950" w:type="dxa"/>
            <w:tcBorders>
              <w:top w:val="single" w:sz="4" w:space="0" w:color="auto"/>
              <w:left w:val="single" w:sz="4" w:space="0" w:color="auto"/>
            </w:tcBorders>
            <w:shd w:val="clear" w:color="auto" w:fill="E2E2E3"/>
          </w:tcPr>
          <w:p w14:paraId="0ED4E34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Образо</w:t>
            </w:r>
            <w:r w:rsidRPr="004E0FC4">
              <w:rPr>
                <w:rFonts w:ascii="Bookman Old Style" w:eastAsia="Bookman Old Style" w:hAnsi="Bookman Old Style" w:cs="Bookman Old Style"/>
                <w:color w:val="231F20"/>
                <w:sz w:val="18"/>
                <w:szCs w:val="18"/>
                <w:highlight w:val="red"/>
              </w:rPr>
              <w:softHyphen/>
            </w:r>
          </w:p>
          <w:p w14:paraId="181F43F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вание</w:t>
            </w:r>
          </w:p>
        </w:tc>
        <w:tc>
          <w:tcPr>
            <w:tcW w:w="1507" w:type="dxa"/>
            <w:tcBorders>
              <w:top w:val="single" w:sz="4" w:space="0" w:color="auto"/>
              <w:left w:val="single" w:sz="4" w:space="0" w:color="auto"/>
            </w:tcBorders>
            <w:shd w:val="clear" w:color="auto" w:fill="E2E2E3"/>
            <w:vAlign w:val="center"/>
          </w:tcPr>
          <w:p w14:paraId="027EAD7A"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Переработка и утилиэация ТБО</w:t>
            </w:r>
          </w:p>
        </w:tc>
        <w:tc>
          <w:tcPr>
            <w:tcW w:w="1968" w:type="dxa"/>
            <w:tcBorders>
              <w:top w:val="single" w:sz="4" w:space="0" w:color="auto"/>
              <w:left w:val="single" w:sz="4" w:space="0" w:color="auto"/>
            </w:tcBorders>
            <w:shd w:val="clear" w:color="auto" w:fill="E2E2E3"/>
            <w:vAlign w:val="bottom"/>
          </w:tcPr>
          <w:p w14:paraId="50D1DFE2"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Производство, рас</w:t>
            </w:r>
            <w:r w:rsidRPr="004E0FC4">
              <w:rPr>
                <w:rFonts w:ascii="Bookman Old Style" w:eastAsia="Bookman Old Style" w:hAnsi="Bookman Old Style" w:cs="Bookman Old Style"/>
                <w:color w:val="231F20"/>
                <w:sz w:val="18"/>
                <w:szCs w:val="18"/>
                <w:highlight w:val="red"/>
              </w:rPr>
              <w:softHyphen/>
              <w:t>пределение и пере</w:t>
            </w:r>
            <w:r w:rsidRPr="004E0FC4">
              <w:rPr>
                <w:rFonts w:ascii="Bookman Old Style" w:eastAsia="Bookman Old Style" w:hAnsi="Bookman Old Style" w:cs="Bookman Old Style"/>
                <w:color w:val="231F20"/>
                <w:sz w:val="18"/>
                <w:szCs w:val="18"/>
                <w:highlight w:val="red"/>
              </w:rPr>
              <w:softHyphen/>
              <w:t>дача электрической энергии</w:t>
            </w:r>
          </w:p>
        </w:tc>
        <w:tc>
          <w:tcPr>
            <w:tcW w:w="1277" w:type="dxa"/>
            <w:tcBorders>
              <w:top w:val="single" w:sz="4" w:space="0" w:color="auto"/>
              <w:left w:val="single" w:sz="4" w:space="0" w:color="auto"/>
              <w:right w:val="single" w:sz="4" w:space="0" w:color="auto"/>
            </w:tcBorders>
            <w:shd w:val="clear" w:color="auto" w:fill="E2E2E3"/>
            <w:vAlign w:val="center"/>
          </w:tcPr>
          <w:p w14:paraId="1E86D4A5"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Авиацион</w:t>
            </w:r>
            <w:r w:rsidRPr="004E0FC4">
              <w:rPr>
                <w:rFonts w:ascii="Bookman Old Style" w:eastAsia="Bookman Old Style" w:hAnsi="Bookman Old Style" w:cs="Bookman Old Style"/>
                <w:color w:val="231F20"/>
                <w:sz w:val="18"/>
                <w:szCs w:val="18"/>
                <w:highlight w:val="red"/>
              </w:rPr>
              <w:softHyphen/>
              <w:t>ный транс</w:t>
            </w:r>
            <w:r w:rsidRPr="004E0FC4">
              <w:rPr>
                <w:rFonts w:ascii="Bookman Old Style" w:eastAsia="Bookman Old Style" w:hAnsi="Bookman Old Style" w:cs="Bookman Old Style"/>
                <w:color w:val="231F20"/>
                <w:sz w:val="18"/>
                <w:szCs w:val="18"/>
                <w:highlight w:val="red"/>
              </w:rPr>
              <w:softHyphen/>
              <w:t>порт</w:t>
            </w:r>
          </w:p>
        </w:tc>
      </w:tr>
      <w:tr w:rsidR="00350396" w:rsidRPr="004E0FC4" w14:paraId="3DE83F5A" w14:textId="77777777" w:rsidTr="006D7F71">
        <w:trPr>
          <w:trHeight w:hRule="exact" w:val="734"/>
          <w:jc w:val="center"/>
        </w:trPr>
        <w:tc>
          <w:tcPr>
            <w:tcW w:w="878" w:type="dxa"/>
            <w:tcBorders>
              <w:top w:val="single" w:sz="4" w:space="0" w:color="auto"/>
              <w:left w:val="single" w:sz="4" w:space="0" w:color="auto"/>
            </w:tcBorders>
            <w:shd w:val="clear" w:color="auto" w:fill="E2E2E3"/>
          </w:tcPr>
          <w:p w14:paraId="383A99E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3</w:t>
            </w:r>
          </w:p>
        </w:tc>
        <w:tc>
          <w:tcPr>
            <w:tcW w:w="950" w:type="dxa"/>
            <w:tcBorders>
              <w:top w:val="single" w:sz="4" w:space="0" w:color="auto"/>
              <w:left w:val="single" w:sz="4" w:space="0" w:color="auto"/>
            </w:tcBorders>
            <w:shd w:val="clear" w:color="auto" w:fill="E2E2E3"/>
          </w:tcPr>
          <w:p w14:paraId="3B2E9C4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Спорт</w:t>
            </w:r>
          </w:p>
        </w:tc>
        <w:tc>
          <w:tcPr>
            <w:tcW w:w="1507" w:type="dxa"/>
            <w:tcBorders>
              <w:top w:val="single" w:sz="4" w:space="0" w:color="auto"/>
              <w:left w:val="single" w:sz="4" w:space="0" w:color="auto"/>
            </w:tcBorders>
            <w:shd w:val="clear" w:color="auto" w:fill="E2E2E3"/>
            <w:vAlign w:val="center"/>
          </w:tcPr>
          <w:p w14:paraId="062EA245"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Очистные со</w:t>
            </w:r>
            <w:r w:rsidRPr="004E0FC4">
              <w:rPr>
                <w:rFonts w:ascii="Bookman Old Style" w:eastAsia="Bookman Old Style" w:hAnsi="Bookman Old Style" w:cs="Bookman Old Style"/>
                <w:color w:val="231F20"/>
                <w:sz w:val="18"/>
                <w:szCs w:val="18"/>
                <w:highlight w:val="red"/>
              </w:rPr>
              <w:softHyphen/>
              <w:t>оружения</w:t>
            </w:r>
          </w:p>
        </w:tc>
        <w:tc>
          <w:tcPr>
            <w:tcW w:w="1968" w:type="dxa"/>
            <w:tcBorders>
              <w:top w:val="single" w:sz="4" w:space="0" w:color="auto"/>
              <w:left w:val="single" w:sz="4" w:space="0" w:color="auto"/>
            </w:tcBorders>
            <w:shd w:val="clear" w:color="auto" w:fill="E2E2E3"/>
            <w:vAlign w:val="center"/>
          </w:tcPr>
          <w:p w14:paraId="4613ED4F"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Распределение и передача газа</w:t>
            </w:r>
          </w:p>
        </w:tc>
        <w:tc>
          <w:tcPr>
            <w:tcW w:w="1277" w:type="dxa"/>
            <w:tcBorders>
              <w:top w:val="single" w:sz="4" w:space="0" w:color="auto"/>
              <w:left w:val="single" w:sz="4" w:space="0" w:color="auto"/>
              <w:right w:val="single" w:sz="4" w:space="0" w:color="auto"/>
            </w:tcBorders>
            <w:shd w:val="clear" w:color="auto" w:fill="E2E2E3"/>
            <w:vAlign w:val="bottom"/>
          </w:tcPr>
          <w:p w14:paraId="0583CB0A"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Железно</w:t>
            </w:r>
            <w:r w:rsidRPr="004E0FC4">
              <w:rPr>
                <w:rFonts w:ascii="Bookman Old Style" w:eastAsia="Bookman Old Style" w:hAnsi="Bookman Old Style" w:cs="Bookman Old Style"/>
                <w:color w:val="231F20"/>
                <w:sz w:val="18"/>
                <w:szCs w:val="18"/>
                <w:highlight w:val="red"/>
              </w:rPr>
              <w:softHyphen/>
            </w:r>
          </w:p>
          <w:p w14:paraId="2C110238"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дорожный</w:t>
            </w:r>
          </w:p>
          <w:p w14:paraId="238EF20A"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транспорт</w:t>
            </w:r>
          </w:p>
        </w:tc>
      </w:tr>
      <w:tr w:rsidR="00350396" w:rsidRPr="004E0FC4" w14:paraId="65021075" w14:textId="77777777" w:rsidTr="006D7F71">
        <w:trPr>
          <w:trHeight w:hRule="exact" w:val="734"/>
          <w:jc w:val="center"/>
        </w:trPr>
        <w:tc>
          <w:tcPr>
            <w:tcW w:w="878" w:type="dxa"/>
            <w:tcBorders>
              <w:top w:val="single" w:sz="4" w:space="0" w:color="auto"/>
              <w:left w:val="single" w:sz="4" w:space="0" w:color="auto"/>
            </w:tcBorders>
            <w:shd w:val="clear" w:color="auto" w:fill="E2E2E3"/>
          </w:tcPr>
          <w:p w14:paraId="11D331BF"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Л</w:t>
            </w:r>
          </w:p>
        </w:tc>
        <w:tc>
          <w:tcPr>
            <w:tcW w:w="950" w:type="dxa"/>
            <w:tcBorders>
              <w:top w:val="single" w:sz="4" w:space="0" w:color="auto"/>
              <w:left w:val="single" w:sz="4" w:space="0" w:color="auto"/>
            </w:tcBorders>
            <w:shd w:val="clear" w:color="auto" w:fill="E2E2E3"/>
          </w:tcPr>
          <w:p w14:paraId="6E281BE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Туризм</w:t>
            </w:r>
          </w:p>
        </w:tc>
        <w:tc>
          <w:tcPr>
            <w:tcW w:w="1507" w:type="dxa"/>
            <w:tcBorders>
              <w:top w:val="single" w:sz="4" w:space="0" w:color="auto"/>
              <w:left w:val="single" w:sz="4" w:space="0" w:color="auto"/>
            </w:tcBorders>
            <w:shd w:val="clear" w:color="auto" w:fill="E2E2E3"/>
            <w:vAlign w:val="bottom"/>
          </w:tcPr>
          <w:p w14:paraId="13C2D9D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Гидротехниче</w:t>
            </w:r>
            <w:r w:rsidRPr="004E0FC4">
              <w:rPr>
                <w:rFonts w:ascii="Bookman Old Style" w:eastAsia="Bookman Old Style" w:hAnsi="Bookman Old Style" w:cs="Bookman Old Style"/>
                <w:color w:val="231F20"/>
                <w:sz w:val="18"/>
                <w:szCs w:val="18"/>
                <w:highlight w:val="red"/>
              </w:rPr>
              <w:softHyphen/>
              <w:t>ские сооруже</w:t>
            </w:r>
            <w:r w:rsidRPr="004E0FC4">
              <w:rPr>
                <w:rFonts w:ascii="Bookman Old Style" w:eastAsia="Bookman Old Style" w:hAnsi="Bookman Old Style" w:cs="Bookman Old Style"/>
                <w:color w:val="231F20"/>
                <w:sz w:val="18"/>
                <w:szCs w:val="18"/>
                <w:highlight w:val="red"/>
              </w:rPr>
              <w:softHyphen/>
              <w:t>ния</w:t>
            </w:r>
          </w:p>
        </w:tc>
        <w:tc>
          <w:tcPr>
            <w:tcW w:w="1968" w:type="dxa"/>
            <w:tcBorders>
              <w:top w:val="single" w:sz="4" w:space="0" w:color="auto"/>
              <w:left w:val="single" w:sz="4" w:space="0" w:color="auto"/>
            </w:tcBorders>
            <w:shd w:val="clear" w:color="auto" w:fill="E2E2E3"/>
          </w:tcPr>
          <w:p w14:paraId="352ACE44"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highlight w:val="red"/>
              </w:rPr>
            </w:pPr>
          </w:p>
        </w:tc>
        <w:tc>
          <w:tcPr>
            <w:tcW w:w="1277" w:type="dxa"/>
            <w:tcBorders>
              <w:top w:val="single" w:sz="4" w:space="0" w:color="auto"/>
              <w:left w:val="single" w:sz="4" w:space="0" w:color="auto"/>
              <w:right w:val="single" w:sz="4" w:space="0" w:color="auto"/>
            </w:tcBorders>
            <w:shd w:val="clear" w:color="auto" w:fill="E2E2E3"/>
            <w:vAlign w:val="bottom"/>
          </w:tcPr>
          <w:p w14:paraId="4637C80A"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Морской и речной транспорт</w:t>
            </w:r>
          </w:p>
        </w:tc>
      </w:tr>
      <w:tr w:rsidR="00350396" w:rsidRPr="004E0FC4" w14:paraId="024A9BF5" w14:textId="77777777" w:rsidTr="006D7F71">
        <w:trPr>
          <w:trHeight w:hRule="exact" w:val="734"/>
          <w:jc w:val="center"/>
        </w:trPr>
        <w:tc>
          <w:tcPr>
            <w:tcW w:w="878" w:type="dxa"/>
            <w:tcBorders>
              <w:top w:val="single" w:sz="4" w:space="0" w:color="auto"/>
              <w:left w:val="single" w:sz="4" w:space="0" w:color="auto"/>
            </w:tcBorders>
            <w:shd w:val="clear" w:color="auto" w:fill="E2E2E3"/>
          </w:tcPr>
          <w:p w14:paraId="1B3E36C4"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5</w:t>
            </w:r>
          </w:p>
        </w:tc>
        <w:tc>
          <w:tcPr>
            <w:tcW w:w="950" w:type="dxa"/>
            <w:tcBorders>
              <w:top w:val="single" w:sz="4" w:space="0" w:color="auto"/>
              <w:left w:val="single" w:sz="4" w:space="0" w:color="auto"/>
            </w:tcBorders>
            <w:shd w:val="clear" w:color="auto" w:fill="E2E2E3"/>
          </w:tcPr>
          <w:p w14:paraId="3CC7C403"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Культура</w:t>
            </w:r>
          </w:p>
        </w:tc>
        <w:tc>
          <w:tcPr>
            <w:tcW w:w="1507" w:type="dxa"/>
            <w:tcBorders>
              <w:top w:val="single" w:sz="4" w:space="0" w:color="auto"/>
              <w:left w:val="single" w:sz="4" w:space="0" w:color="auto"/>
            </w:tcBorders>
            <w:shd w:val="clear" w:color="auto" w:fill="E2E2E3"/>
          </w:tcPr>
          <w:p w14:paraId="56B77384"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Городское бла</w:t>
            </w:r>
            <w:r w:rsidRPr="004E0FC4">
              <w:rPr>
                <w:rFonts w:ascii="Bookman Old Style" w:eastAsia="Bookman Old Style" w:hAnsi="Bookman Old Style" w:cs="Bookman Old Style"/>
                <w:color w:val="231F20"/>
                <w:sz w:val="18"/>
                <w:szCs w:val="18"/>
                <w:highlight w:val="red"/>
              </w:rPr>
              <w:softHyphen/>
              <w:t>гоустройство</w:t>
            </w:r>
          </w:p>
        </w:tc>
        <w:tc>
          <w:tcPr>
            <w:tcW w:w="1968" w:type="dxa"/>
            <w:tcBorders>
              <w:top w:val="single" w:sz="4" w:space="0" w:color="auto"/>
              <w:left w:val="single" w:sz="4" w:space="0" w:color="auto"/>
            </w:tcBorders>
            <w:shd w:val="clear" w:color="auto" w:fill="E2E2E3"/>
          </w:tcPr>
          <w:p w14:paraId="56D77348"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highlight w:val="red"/>
              </w:rPr>
            </w:pPr>
          </w:p>
        </w:tc>
        <w:tc>
          <w:tcPr>
            <w:tcW w:w="1277" w:type="dxa"/>
            <w:tcBorders>
              <w:top w:val="single" w:sz="4" w:space="0" w:color="auto"/>
              <w:left w:val="single" w:sz="4" w:space="0" w:color="auto"/>
              <w:right w:val="single" w:sz="4" w:space="0" w:color="auto"/>
            </w:tcBorders>
            <w:shd w:val="clear" w:color="auto" w:fill="E2E2E3"/>
            <w:vAlign w:val="bottom"/>
          </w:tcPr>
          <w:p w14:paraId="226E735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Обществен</w:t>
            </w:r>
            <w:r w:rsidRPr="004E0FC4">
              <w:rPr>
                <w:rFonts w:ascii="Bookman Old Style" w:eastAsia="Bookman Old Style" w:hAnsi="Bookman Old Style" w:cs="Bookman Old Style"/>
                <w:color w:val="231F20"/>
                <w:sz w:val="18"/>
                <w:szCs w:val="18"/>
                <w:highlight w:val="red"/>
              </w:rPr>
              <w:softHyphen/>
              <w:t>ный транс</w:t>
            </w:r>
            <w:r w:rsidRPr="004E0FC4">
              <w:rPr>
                <w:rFonts w:ascii="Bookman Old Style" w:eastAsia="Bookman Old Style" w:hAnsi="Bookman Old Style" w:cs="Bookman Old Style"/>
                <w:color w:val="231F20"/>
                <w:sz w:val="18"/>
                <w:szCs w:val="18"/>
                <w:highlight w:val="red"/>
              </w:rPr>
              <w:softHyphen/>
              <w:t>порт</w:t>
            </w:r>
          </w:p>
        </w:tc>
      </w:tr>
      <w:tr w:rsidR="00350396" w:rsidRPr="004E0FC4" w14:paraId="2696416B" w14:textId="77777777" w:rsidTr="006D7F71">
        <w:trPr>
          <w:trHeight w:hRule="exact" w:val="960"/>
          <w:jc w:val="center"/>
        </w:trPr>
        <w:tc>
          <w:tcPr>
            <w:tcW w:w="878" w:type="dxa"/>
            <w:tcBorders>
              <w:top w:val="single" w:sz="4" w:space="0" w:color="auto"/>
              <w:left w:val="single" w:sz="4" w:space="0" w:color="auto"/>
              <w:bottom w:val="single" w:sz="4" w:space="0" w:color="auto"/>
            </w:tcBorders>
            <w:shd w:val="clear" w:color="auto" w:fill="E2E2E3"/>
          </w:tcPr>
          <w:p w14:paraId="034DBBF5"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6</w:t>
            </w:r>
          </w:p>
        </w:tc>
        <w:tc>
          <w:tcPr>
            <w:tcW w:w="950" w:type="dxa"/>
            <w:tcBorders>
              <w:top w:val="single" w:sz="4" w:space="0" w:color="auto"/>
              <w:left w:val="single" w:sz="4" w:space="0" w:color="auto"/>
              <w:bottom w:val="single" w:sz="4" w:space="0" w:color="auto"/>
            </w:tcBorders>
            <w:shd w:val="clear" w:color="auto" w:fill="E2E2E3"/>
            <w:vAlign w:val="center"/>
          </w:tcPr>
          <w:p w14:paraId="58305117"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Соци</w:t>
            </w:r>
            <w:r w:rsidRPr="004E0FC4">
              <w:rPr>
                <w:rFonts w:ascii="Bookman Old Style" w:eastAsia="Bookman Old Style" w:hAnsi="Bookman Old Style" w:cs="Bookman Old Style"/>
                <w:color w:val="231F20"/>
                <w:sz w:val="18"/>
                <w:szCs w:val="18"/>
                <w:highlight w:val="red"/>
              </w:rPr>
              <w:softHyphen/>
            </w:r>
          </w:p>
          <w:p w14:paraId="50A3BAD6"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альное</w:t>
            </w:r>
          </w:p>
          <w:p w14:paraId="344393FC"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обслужи</w:t>
            </w:r>
            <w:r w:rsidRPr="004E0FC4">
              <w:rPr>
                <w:rFonts w:ascii="Bookman Old Style" w:eastAsia="Bookman Old Style" w:hAnsi="Bookman Old Style" w:cs="Bookman Old Style"/>
                <w:color w:val="231F20"/>
                <w:sz w:val="18"/>
                <w:szCs w:val="18"/>
                <w:highlight w:val="red"/>
              </w:rPr>
              <w:softHyphen/>
            </w:r>
          </w:p>
          <w:p w14:paraId="1F910822"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вание</w:t>
            </w:r>
          </w:p>
        </w:tc>
        <w:tc>
          <w:tcPr>
            <w:tcW w:w="1507" w:type="dxa"/>
            <w:tcBorders>
              <w:top w:val="single" w:sz="4" w:space="0" w:color="auto"/>
              <w:left w:val="single" w:sz="4" w:space="0" w:color="auto"/>
              <w:bottom w:val="single" w:sz="4" w:space="0" w:color="auto"/>
            </w:tcBorders>
            <w:shd w:val="clear" w:color="auto" w:fill="E2E2E3"/>
          </w:tcPr>
          <w:p w14:paraId="19F1D52C"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highlight w:val="red"/>
              </w:rPr>
            </w:pPr>
          </w:p>
        </w:tc>
        <w:tc>
          <w:tcPr>
            <w:tcW w:w="1968" w:type="dxa"/>
            <w:tcBorders>
              <w:top w:val="single" w:sz="4" w:space="0" w:color="auto"/>
              <w:left w:val="single" w:sz="4" w:space="0" w:color="auto"/>
              <w:bottom w:val="single" w:sz="4" w:space="0" w:color="auto"/>
            </w:tcBorders>
            <w:shd w:val="clear" w:color="auto" w:fill="E2E2E3"/>
          </w:tcPr>
          <w:p w14:paraId="6D8BC423"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highlight w:val="red"/>
              </w:rPr>
            </w:pPr>
          </w:p>
        </w:tc>
        <w:tc>
          <w:tcPr>
            <w:tcW w:w="1277" w:type="dxa"/>
            <w:tcBorders>
              <w:top w:val="single" w:sz="4" w:space="0" w:color="auto"/>
              <w:left w:val="single" w:sz="4" w:space="0" w:color="auto"/>
              <w:bottom w:val="single" w:sz="4" w:space="0" w:color="auto"/>
              <w:right w:val="single" w:sz="4" w:space="0" w:color="auto"/>
            </w:tcBorders>
            <w:shd w:val="clear" w:color="auto" w:fill="E2E2E3"/>
          </w:tcPr>
          <w:p w14:paraId="25F053AD"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Трубопро</w:t>
            </w:r>
            <w:r w:rsidRPr="004E0FC4">
              <w:rPr>
                <w:rFonts w:ascii="Bookman Old Style" w:eastAsia="Bookman Old Style" w:hAnsi="Bookman Old Style" w:cs="Bookman Old Style"/>
                <w:color w:val="231F20"/>
                <w:sz w:val="18"/>
                <w:szCs w:val="18"/>
                <w:highlight w:val="red"/>
              </w:rPr>
              <w:softHyphen/>
            </w:r>
          </w:p>
          <w:p w14:paraId="0FC6C92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водный</w:t>
            </w:r>
          </w:p>
          <w:p w14:paraId="581E89B8"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транспорт</w:t>
            </w:r>
          </w:p>
        </w:tc>
      </w:tr>
    </w:tbl>
    <w:p w14:paraId="6D587D16"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highlight w:val="red"/>
        </w:rPr>
      </w:pPr>
    </w:p>
    <w:p w14:paraId="76C39F50" w14:textId="77777777" w:rsidR="00350396" w:rsidRPr="004E0FC4" w:rsidRDefault="00350396" w:rsidP="004E0FC4">
      <w:pPr>
        <w:widowControl w:val="0"/>
        <w:spacing w:line="240" w:lineRule="auto"/>
        <w:ind w:firstLine="0"/>
        <w:rPr>
          <w:rFonts w:ascii="Bookman Old Style" w:hAnsi="Bookman Old Style"/>
          <w:sz w:val="18"/>
          <w:szCs w:val="18"/>
          <w:highlight w:val="red"/>
        </w:rPr>
      </w:pPr>
    </w:p>
    <w:p w14:paraId="49C3B6AC" w14:textId="77777777" w:rsidR="00350396" w:rsidRPr="004E0FC4" w:rsidRDefault="00350396" w:rsidP="004E0FC4">
      <w:pPr>
        <w:widowControl w:val="0"/>
        <w:spacing w:before="264" w:line="194" w:lineRule="exact"/>
        <w:ind w:firstLine="0"/>
        <w:rPr>
          <w:rFonts w:ascii="Bookman Old Style" w:hAnsi="Bookman Old Style"/>
          <w:sz w:val="18"/>
          <w:szCs w:val="18"/>
        </w:rPr>
      </w:pPr>
      <w:r w:rsidRPr="004E0FC4">
        <w:rPr>
          <w:rFonts w:ascii="Bookman Old Style" w:eastAsia="Arial Narrow" w:hAnsi="Bookman Old Style" w:cs="Arial Narrow"/>
          <w:b/>
          <w:bCs/>
          <w:i/>
          <w:iCs/>
          <w:color w:val="231F20"/>
          <w:sz w:val="18"/>
          <w:szCs w:val="18"/>
          <w:highlight w:val="red"/>
        </w:rPr>
        <w:t>Рис. 4.12.</w:t>
      </w:r>
      <w:r w:rsidRPr="004E0FC4">
        <w:rPr>
          <w:rFonts w:ascii="Bookman Old Style" w:eastAsia="Arial Narrow" w:hAnsi="Bookman Old Style" w:cs="Arial Narrow"/>
          <w:b/>
          <w:bCs/>
          <w:color w:val="231F20"/>
          <w:sz w:val="18"/>
          <w:szCs w:val="18"/>
          <w:highlight w:val="red"/>
        </w:rPr>
        <w:t xml:space="preserve"> Основные сферы применения ГЧП в России</w:t>
      </w:r>
      <w:r w:rsidRPr="004E0FC4">
        <w:rPr>
          <w:rFonts w:ascii="Bookman Old Style" w:eastAsia="Arial Narrow" w:hAnsi="Bookman Old Style" w:cs="Arial Narrow"/>
          <w:b/>
          <w:bCs/>
          <w:color w:val="231F20"/>
          <w:sz w:val="18"/>
          <w:szCs w:val="18"/>
          <w:highlight w:val="red"/>
          <w:vertAlign w:val="superscript"/>
        </w:rPr>
        <w:footnoteReference w:id="125"/>
      </w:r>
    </w:p>
    <w:p w14:paraId="7443D300"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p>
    <w:p w14:paraId="6902A42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Первыми массовыми сферами применения ГЧП в России ста</w:t>
      </w:r>
      <w:r w:rsidRPr="004E0FC4">
        <w:rPr>
          <w:rFonts w:ascii="Bookman Old Style" w:eastAsia="Bookman Old Style" w:hAnsi="Bookman Old Style" w:cs="Bookman Old Style"/>
          <w:color w:val="231F20"/>
          <w:sz w:val="18"/>
          <w:szCs w:val="18"/>
        </w:rPr>
        <w:softHyphen/>
        <w:t xml:space="preserve">ли автодорожная и коммунально-энергетическая инфраструктура. </w:t>
      </w:r>
      <w:r w:rsidRPr="004E0FC4">
        <w:rPr>
          <w:rFonts w:ascii="Bookman Old Style" w:eastAsia="Bookman Old Style" w:hAnsi="Bookman Old Style" w:cs="Bookman Old Style"/>
          <w:color w:val="231F20"/>
          <w:sz w:val="18"/>
          <w:szCs w:val="18"/>
          <w:highlight w:val="red"/>
        </w:rPr>
        <w:t>В России один из самых низких показателей среди развитых стран по насыщенности автодорогами, аэропортами, а также иной транс</w:t>
      </w:r>
      <w:r w:rsidRPr="004E0FC4">
        <w:rPr>
          <w:rFonts w:ascii="Bookman Old Style" w:eastAsia="Bookman Old Style" w:hAnsi="Bookman Old Style" w:cs="Bookman Old Style"/>
          <w:color w:val="231F20"/>
          <w:sz w:val="18"/>
          <w:szCs w:val="18"/>
          <w:highlight w:val="red"/>
        </w:rPr>
        <w:softHyphen/>
        <w:t>портно-логистической инфраструктурой, что является серьезным препятствием для ускорения роста российской экономики. Так,</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С</w:t>
      </w:r>
      <w:r w:rsidRPr="004E0FC4">
        <w:rPr>
          <w:rFonts w:ascii="Bookman Old Style" w:eastAsia="Bookman Old Style" w:hAnsi="Bookman Old Style" w:cs="Bookman Old Style"/>
          <w:color w:val="231F20"/>
          <w:sz w:val="18"/>
          <w:szCs w:val="18"/>
        </w:rPr>
        <w:t>о</w:t>
      </w:r>
      <w:r w:rsidRPr="004E0FC4">
        <w:rPr>
          <w:rFonts w:ascii="Bookman Old Style" w:eastAsia="Bookman Old Style" w:hAnsi="Bookman Old Style" w:cs="Bookman Old Style"/>
          <w:color w:val="231F20"/>
          <w:sz w:val="18"/>
          <w:szCs w:val="18"/>
        </w:rPr>
        <w:softHyphen/>
        <w:t xml:space="preserve">стояние транспортной инфраструктуры </w:t>
      </w:r>
      <w:r w:rsidRPr="004E0FC4">
        <w:rPr>
          <w:rFonts w:ascii="Bookman Old Style" w:eastAsia="Bookman Old Style" w:hAnsi="Bookman Old Style" w:cs="Bookman Old Style"/>
          <w:color w:val="231F20"/>
          <w:sz w:val="18"/>
          <w:szCs w:val="18"/>
          <w:highlight w:val="red"/>
        </w:rPr>
        <w:t>в настоящее время</w:t>
      </w:r>
      <w:r w:rsidRPr="004E0FC4">
        <w:rPr>
          <w:rFonts w:ascii="Bookman Old Style" w:eastAsia="Bookman Old Style" w:hAnsi="Bookman Old Style" w:cs="Bookman Old Style"/>
          <w:color w:val="231F20"/>
          <w:sz w:val="18"/>
          <w:szCs w:val="18"/>
        </w:rPr>
        <w:t xml:space="preserve"> не обе</w:t>
      </w:r>
      <w:r w:rsidRPr="004E0FC4">
        <w:rPr>
          <w:rFonts w:ascii="Bookman Old Style" w:eastAsia="Bookman Old Style" w:hAnsi="Bookman Old Style" w:cs="Bookman Old Style"/>
          <w:color w:val="231F20"/>
          <w:sz w:val="18"/>
          <w:szCs w:val="18"/>
        </w:rPr>
        <w:softHyphen/>
        <w:t>спечива</w:t>
      </w:r>
      <w:r w:rsidRPr="004E0FC4">
        <w:rPr>
          <w:rFonts w:ascii="Bookman Old Style" w:eastAsia="Bookman Old Style" w:hAnsi="Bookman Old Style" w:cs="Bookman Old Style"/>
          <w:color w:val="231F20"/>
          <w:sz w:val="18"/>
          <w:szCs w:val="18"/>
          <w:highlight w:val="green"/>
        </w:rPr>
        <w:t>ло</w:t>
      </w:r>
      <w:r w:rsidRPr="004E0FC4">
        <w:rPr>
          <w:rFonts w:ascii="Bookman Old Style" w:eastAsia="Bookman Old Style" w:hAnsi="Bookman Old Style" w:cs="Bookman Old Style"/>
          <w:color w:val="231F20"/>
          <w:sz w:val="18"/>
          <w:szCs w:val="18"/>
          <w:highlight w:val="red"/>
        </w:rPr>
        <w:t>ет</w:t>
      </w:r>
      <w:r w:rsidRPr="004E0FC4">
        <w:rPr>
          <w:rFonts w:ascii="Bookman Old Style" w:eastAsia="Bookman Old Style" w:hAnsi="Bookman Old Style" w:cs="Bookman Old Style"/>
          <w:color w:val="231F20"/>
          <w:sz w:val="18"/>
          <w:szCs w:val="18"/>
        </w:rPr>
        <w:t xml:space="preserve"> в достаточном объеме потребности российской экономи</w:t>
      </w:r>
      <w:r w:rsidRPr="004E0FC4">
        <w:rPr>
          <w:rFonts w:ascii="Bookman Old Style" w:eastAsia="Bookman Old Style" w:hAnsi="Bookman Old Style" w:cs="Bookman Old Style"/>
          <w:color w:val="231F20"/>
          <w:sz w:val="18"/>
          <w:szCs w:val="18"/>
        </w:rPr>
        <w:softHyphen/>
        <w:t>ки и конкурентоспособность международных грузоперевозок через территорию страны. В этой связи в России с начала 2000-х гг. стали активно рассматриваться возможности строительства платных ав</w:t>
      </w:r>
      <w:r w:rsidRPr="004E0FC4">
        <w:rPr>
          <w:rFonts w:ascii="Bookman Old Style" w:eastAsia="Bookman Old Style" w:hAnsi="Bookman Old Style" w:cs="Bookman Old Style"/>
          <w:color w:val="231F20"/>
          <w:sz w:val="18"/>
          <w:szCs w:val="18"/>
        </w:rPr>
        <w:softHyphen/>
        <w:t>тодорог с использованием механизма ГЧП.</w:t>
      </w:r>
    </w:p>
    <w:p w14:paraId="255F6D04"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Применение концессий в дорожном хозяйстве, в основном в строительстве платных автомобильных дорог, обусловлено таки</w:t>
      </w:r>
      <w:r w:rsidRPr="004E0FC4">
        <w:rPr>
          <w:rFonts w:ascii="Bookman Old Style" w:eastAsia="Bookman Old Style" w:hAnsi="Bookman Old Style" w:cs="Bookman Old Style"/>
          <w:color w:val="231F20"/>
          <w:sz w:val="18"/>
          <w:szCs w:val="18"/>
          <w:highlight w:val="red"/>
        </w:rPr>
        <w:softHyphen/>
        <w:t xml:space="preserve">ми </w:t>
      </w:r>
      <w:r w:rsidRPr="004E0FC4">
        <w:rPr>
          <w:rFonts w:ascii="Bookman Old Style" w:eastAsia="Bookman Old Style" w:hAnsi="Bookman Old Style" w:cs="Bookman Old Style"/>
          <w:color w:val="231F20"/>
          <w:sz w:val="18"/>
          <w:szCs w:val="18"/>
          <w:highlight w:val="red"/>
        </w:rPr>
        <w:lastRenderedPageBreak/>
        <w:t>проблемными факторами:</w:t>
      </w:r>
    </w:p>
    <w:p w14:paraId="58E602ED" w14:textId="77777777" w:rsidR="00350396" w:rsidRPr="004E0FC4" w:rsidRDefault="00350396" w:rsidP="004E0FC4">
      <w:pPr>
        <w:widowControl w:val="0"/>
        <w:numPr>
          <w:ilvl w:val="0"/>
          <w:numId w:val="66"/>
        </w:numPr>
        <w:tabs>
          <w:tab w:val="left" w:pos="625"/>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низкой плотностью автомобильных дорог с твердым покры</w:t>
      </w:r>
      <w:r w:rsidRPr="004E0FC4">
        <w:rPr>
          <w:rFonts w:ascii="Bookman Old Style" w:eastAsia="Bookman Old Style" w:hAnsi="Bookman Old Style" w:cs="Bookman Old Style"/>
          <w:color w:val="231F20"/>
          <w:sz w:val="18"/>
          <w:szCs w:val="18"/>
          <w:highlight w:val="red"/>
        </w:rPr>
        <w:softHyphen/>
        <w:t>тием;</w:t>
      </w:r>
    </w:p>
    <w:p w14:paraId="0B0B1B16"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существенным снижением скорости движения. Если в Ев</w:t>
      </w:r>
      <w:r w:rsidRPr="004E0FC4">
        <w:rPr>
          <w:rFonts w:ascii="Bookman Old Style" w:eastAsia="Bookman Old Style" w:hAnsi="Bookman Old Style" w:cs="Bookman Old Style"/>
          <w:color w:val="231F20"/>
          <w:sz w:val="18"/>
          <w:szCs w:val="18"/>
          <w:highlight w:val="red"/>
        </w:rPr>
        <w:softHyphen/>
        <w:t>ропе средняя скорость перемещения грузов равна 1000 км в день, то в России — не более 300 км в день;</w:t>
      </w:r>
    </w:p>
    <w:p w14:paraId="441ADE6D"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увеличением транспортных издержек в экономике. Напри</w:t>
      </w:r>
      <w:r w:rsidRPr="004E0FC4">
        <w:rPr>
          <w:rFonts w:ascii="Bookman Old Style" w:eastAsia="Bookman Old Style" w:hAnsi="Bookman Old Style" w:cs="Bookman Old Style"/>
          <w:color w:val="231F20"/>
          <w:sz w:val="18"/>
          <w:szCs w:val="18"/>
          <w:highlight w:val="red"/>
        </w:rPr>
        <w:softHyphen/>
        <w:t>мер, плохая дорожная инфраструктура приводит к тому, что транс</w:t>
      </w:r>
      <w:r w:rsidRPr="004E0FC4">
        <w:rPr>
          <w:rFonts w:ascii="Bookman Old Style" w:eastAsia="Bookman Old Style" w:hAnsi="Bookman Old Style" w:cs="Bookman Old Style"/>
          <w:color w:val="231F20"/>
          <w:sz w:val="18"/>
          <w:szCs w:val="18"/>
          <w:highlight w:val="red"/>
        </w:rPr>
        <w:softHyphen/>
        <w:t>портная составляющая в себестоимости продукции в России дости</w:t>
      </w:r>
      <w:r w:rsidRPr="004E0FC4">
        <w:rPr>
          <w:rFonts w:ascii="Bookman Old Style" w:eastAsia="Bookman Old Style" w:hAnsi="Bookman Old Style" w:cs="Bookman Old Style"/>
          <w:color w:val="231F20"/>
          <w:sz w:val="18"/>
          <w:szCs w:val="18"/>
          <w:highlight w:val="red"/>
        </w:rPr>
        <w:softHyphen/>
        <w:t>гает в среднем 20 %, тогда как в развитых странах этот показатель не превышает 8 %;</w:t>
      </w:r>
    </w:p>
    <w:p w14:paraId="55D3E7B8"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ухудшением экологической обстановки в населенных пун</w:t>
      </w:r>
      <w:r w:rsidRPr="004E0FC4">
        <w:rPr>
          <w:rFonts w:ascii="Bookman Old Style" w:eastAsia="Bookman Old Style" w:hAnsi="Bookman Old Style" w:cs="Bookman Old Style"/>
          <w:color w:val="231F20"/>
          <w:sz w:val="18"/>
          <w:szCs w:val="18"/>
          <w:highlight w:val="red"/>
        </w:rPr>
        <w:softHyphen/>
        <w:t>ктах. Так, уровень загрязнения воздуха на территории, приле</w:t>
      </w:r>
      <w:r w:rsidRPr="004E0FC4">
        <w:rPr>
          <w:rFonts w:ascii="Bookman Old Style" w:eastAsia="Bookman Old Style" w:hAnsi="Bookman Old Style" w:cs="Bookman Old Style"/>
          <w:color w:val="231F20"/>
          <w:sz w:val="18"/>
          <w:szCs w:val="18"/>
          <w:highlight w:val="red"/>
        </w:rPr>
        <w:softHyphen/>
        <w:t>гающей к федеральной автомобильной дороге М-10, превышает в 3—5 раз принятые в Российской Федерации санитарные нормы. За один час только на одном километре трассы М-10 объем вредных выбросов в атмосферу достигает 247 кг;</w:t>
      </w:r>
    </w:p>
    <w:p w14:paraId="3D6D5BCE" w14:textId="77777777" w:rsidR="00350396" w:rsidRPr="004E0FC4" w:rsidRDefault="00350396" w:rsidP="004E0FC4">
      <w:pPr>
        <w:widowControl w:val="0"/>
        <w:numPr>
          <w:ilvl w:val="0"/>
          <w:numId w:val="66"/>
        </w:numPr>
        <w:tabs>
          <w:tab w:val="left" w:pos="634"/>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снижением безопасности дорожного движения. Например, уровень аварийности на трассе М-10 превышает почти в 3 раза среднее по России нормативное значение;</w:t>
      </w:r>
    </w:p>
    <w:p w14:paraId="2767BF23"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снижением возможностей использования географических преимуществ и транзитного потенциала в регионах России.</w:t>
      </w:r>
    </w:p>
    <w:p w14:paraId="521C5843"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стимулирования развития автодорожной инфраструктуры в России фактически была проведена административная реформа организации управления дорожным хозяйством. В 2009 г. в допол</w:t>
      </w:r>
      <w:r w:rsidRPr="004E0FC4">
        <w:rPr>
          <w:rFonts w:ascii="Bookman Old Style" w:eastAsia="Bookman Old Style" w:hAnsi="Bookman Old Style" w:cs="Bookman Old Style"/>
          <w:color w:val="231F20"/>
          <w:sz w:val="18"/>
          <w:szCs w:val="18"/>
        </w:rPr>
        <w:softHyphen/>
        <w:t>нение к существующему Федеральному дорожному агентству (Ро- савтодор) была создана новая структура — государственная ком</w:t>
      </w:r>
      <w:r w:rsidRPr="004E0FC4">
        <w:rPr>
          <w:rFonts w:ascii="Bookman Old Style" w:eastAsia="Bookman Old Style" w:hAnsi="Bookman Old Style" w:cs="Bookman Old Style"/>
          <w:color w:val="231F20"/>
          <w:sz w:val="18"/>
          <w:szCs w:val="18"/>
        </w:rPr>
        <w:softHyphen/>
        <w:t>пания «Российские автомобильные дороги» (ГК «Автодор»). Одна из основных задач «Автодора» заключается в формировании сети высокоскоростных автомагистралей при помощи механизма госу</w:t>
      </w:r>
      <w:r w:rsidRPr="004E0FC4">
        <w:rPr>
          <w:rFonts w:ascii="Bookman Old Style" w:eastAsia="Bookman Old Style" w:hAnsi="Bookman Old Style" w:cs="Bookman Old Style"/>
          <w:color w:val="231F20"/>
          <w:sz w:val="18"/>
          <w:szCs w:val="18"/>
        </w:rPr>
        <w:softHyphen/>
        <w:t>дарственно-частного партнерства. Большинство построенных плат</w:t>
      </w:r>
      <w:r w:rsidRPr="004E0FC4">
        <w:rPr>
          <w:rFonts w:ascii="Bookman Old Style" w:eastAsia="Bookman Old Style" w:hAnsi="Bookman Old Style" w:cs="Bookman Old Style"/>
          <w:color w:val="231F20"/>
          <w:sz w:val="18"/>
          <w:szCs w:val="18"/>
        </w:rPr>
        <w:softHyphen/>
        <w:t>ных автодорог и часть перегруженных федеральных трасс переданы в бессрочное доверительное управление ГК «Автодор».</w:t>
      </w:r>
    </w:p>
    <w:p w14:paraId="2472E52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федеральном законодательстве с 2007 г.</w:t>
      </w:r>
      <w:r w:rsidRPr="004E0FC4">
        <w:rPr>
          <w:rFonts w:ascii="Bookman Old Style" w:eastAsia="Bookman Old Style" w:hAnsi="Bookman Old Style" w:cs="Bookman Old Style"/>
          <w:color w:val="231F20"/>
          <w:sz w:val="18"/>
          <w:szCs w:val="18"/>
          <w:vertAlign w:val="superscript"/>
        </w:rPr>
        <w:footnoteReference w:id="126"/>
      </w:r>
      <w:r w:rsidRPr="004E0FC4">
        <w:rPr>
          <w:rFonts w:ascii="Bookman Old Style" w:eastAsia="Bookman Old Style" w:hAnsi="Bookman Old Style" w:cs="Bookman Old Style"/>
          <w:color w:val="231F20"/>
          <w:sz w:val="18"/>
          <w:szCs w:val="18"/>
        </w:rPr>
        <w:t xml:space="preserve"> детально определе</w:t>
      </w:r>
      <w:r w:rsidRPr="004E0FC4">
        <w:rPr>
          <w:rFonts w:ascii="Bookman Old Style" w:eastAsia="Bookman Old Style" w:hAnsi="Bookman Old Style" w:cs="Bookman Old Style"/>
          <w:color w:val="231F20"/>
          <w:sz w:val="18"/>
          <w:szCs w:val="18"/>
        </w:rPr>
        <w:softHyphen/>
        <w:t>ны аспекты создания и использования платной автомобильной дороги или участка автомобильной дороги. Реализация инвести</w:t>
      </w:r>
      <w:r w:rsidRPr="004E0FC4">
        <w:rPr>
          <w:rFonts w:ascii="Bookman Old Style" w:eastAsia="Bookman Old Style" w:hAnsi="Bookman Old Style" w:cs="Bookman Old Style"/>
          <w:color w:val="231F20"/>
          <w:sz w:val="18"/>
          <w:szCs w:val="18"/>
        </w:rPr>
        <w:softHyphen/>
        <w:t>ционных проектов в сфере дорожного хозяйства, в том числе с ис</w:t>
      </w:r>
      <w:r w:rsidRPr="004E0FC4">
        <w:rPr>
          <w:rFonts w:ascii="Bookman Old Style" w:eastAsia="Bookman Old Style" w:hAnsi="Bookman Old Style" w:cs="Bookman Old Style"/>
          <w:color w:val="231F20"/>
          <w:sz w:val="18"/>
          <w:szCs w:val="18"/>
        </w:rPr>
        <w:softHyphen/>
        <w:t>пользованием механизмов государственно-частного партнерства, раскрыта в «Методике по структурированию инвестиционного про</w:t>
      </w:r>
      <w:r w:rsidRPr="004E0FC4">
        <w:rPr>
          <w:rFonts w:ascii="Bookman Old Style" w:eastAsia="Bookman Old Style" w:hAnsi="Bookman Old Style" w:cs="Bookman Old Style"/>
          <w:color w:val="231F20"/>
          <w:sz w:val="18"/>
          <w:szCs w:val="18"/>
        </w:rPr>
        <w:softHyphen/>
        <w:t>екта для возможности применения различных инвестиционных механизмов»</w:t>
      </w:r>
      <w:r w:rsidRPr="004E0FC4">
        <w:rPr>
          <w:rFonts w:ascii="Bookman Old Style" w:eastAsia="Bookman Old Style" w:hAnsi="Bookman Old Style" w:cs="Bookman Old Style"/>
          <w:color w:val="231F20"/>
          <w:sz w:val="18"/>
          <w:szCs w:val="18"/>
          <w:vertAlign w:val="superscript"/>
        </w:rPr>
        <w:footnoteReference w:id="127"/>
      </w:r>
      <w:r w:rsidRPr="004E0FC4">
        <w:rPr>
          <w:rFonts w:ascii="Bookman Old Style" w:eastAsia="Bookman Old Style" w:hAnsi="Bookman Old Style" w:cs="Bookman Old Style"/>
          <w:color w:val="231F20"/>
          <w:sz w:val="18"/>
          <w:szCs w:val="18"/>
        </w:rPr>
        <w:t xml:space="preserve"> (далее — Методика). Для реализации инвестицион</w:t>
      </w:r>
      <w:r w:rsidRPr="004E0FC4">
        <w:rPr>
          <w:rFonts w:ascii="Bookman Old Style" w:eastAsia="Bookman Old Style" w:hAnsi="Bookman Old Style" w:cs="Bookman Old Style"/>
          <w:color w:val="231F20"/>
          <w:sz w:val="18"/>
          <w:szCs w:val="18"/>
        </w:rPr>
        <w:softHyphen/>
        <w:t>ных проектов в сфере дорожного хозяйства Методикой рекомендо</w:t>
      </w:r>
      <w:r w:rsidRPr="004E0FC4">
        <w:rPr>
          <w:rFonts w:ascii="Bookman Old Style" w:eastAsia="Bookman Old Style" w:hAnsi="Bookman Old Style" w:cs="Bookman Old Style"/>
          <w:color w:val="231F20"/>
          <w:sz w:val="18"/>
          <w:szCs w:val="18"/>
        </w:rPr>
        <w:softHyphen/>
        <w:t xml:space="preserve">вано 13 форм ГЧП, из них 5 </w:t>
      </w:r>
      <w:r w:rsidRPr="004E0FC4">
        <w:rPr>
          <w:rFonts w:ascii="Bookman Old Style" w:eastAsia="Bookman Old Style" w:hAnsi="Bookman Old Style" w:cs="Bookman Old Style"/>
          <w:color w:val="231F20"/>
          <w:sz w:val="18"/>
          <w:szCs w:val="18"/>
        </w:rPr>
        <w:lastRenderedPageBreak/>
        <w:t>могут быть использованы в случае стро</w:t>
      </w:r>
      <w:r w:rsidRPr="004E0FC4">
        <w:rPr>
          <w:rFonts w:ascii="Bookman Old Style" w:eastAsia="Bookman Old Style" w:hAnsi="Bookman Old Style" w:cs="Bookman Old Style"/>
          <w:color w:val="231F20"/>
          <w:sz w:val="18"/>
          <w:szCs w:val="18"/>
        </w:rPr>
        <w:softHyphen/>
        <w:t>ительства и эксплуатации платной автомобильной дороги на основе концессионных соглашений.</w:t>
      </w:r>
    </w:p>
    <w:p w14:paraId="66CE92DD"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Ряд лет функционируют несколько платных автомобильных до</w:t>
      </w:r>
      <w:r w:rsidRPr="004E0FC4">
        <w:rPr>
          <w:rFonts w:ascii="Bookman Old Style" w:eastAsia="Bookman Old Style" w:hAnsi="Bookman Old Style" w:cs="Bookman Old Style"/>
          <w:color w:val="231F20"/>
          <w:sz w:val="18"/>
          <w:szCs w:val="18"/>
        </w:rPr>
        <w:softHyphen/>
        <w:t>рог и некоторые другие объекты транспортной инфраструктуры, реализованные по схеме ГЧП. К ним относятся:</w:t>
      </w:r>
    </w:p>
    <w:p w14:paraId="1DE505DF" w14:textId="77777777" w:rsidR="00350396" w:rsidRPr="004E0FC4" w:rsidRDefault="00350396" w:rsidP="004E0FC4">
      <w:pPr>
        <w:widowControl w:val="0"/>
        <w:numPr>
          <w:ilvl w:val="0"/>
          <w:numId w:val="66"/>
        </w:numPr>
        <w:tabs>
          <w:tab w:val="left" w:pos="67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«Западный скоростной диаметр» в Санкт-Петербурге;</w:t>
      </w:r>
    </w:p>
    <w:p w14:paraId="761F10D4" w14:textId="77777777" w:rsidR="00350396" w:rsidRPr="004E0FC4" w:rsidRDefault="00350396" w:rsidP="004E0FC4">
      <w:pPr>
        <w:widowControl w:val="0"/>
        <w:numPr>
          <w:ilvl w:val="0"/>
          <w:numId w:val="66"/>
        </w:numPr>
        <w:tabs>
          <w:tab w:val="left" w:pos="67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платные участки дороги на федеральной трассе М-4 «Дон»;</w:t>
      </w:r>
    </w:p>
    <w:p w14:paraId="20D58689" w14:textId="77777777" w:rsidR="00350396" w:rsidRPr="004E0FC4" w:rsidRDefault="00350396" w:rsidP="004E0FC4">
      <w:pPr>
        <w:widowControl w:val="0"/>
        <w:numPr>
          <w:ilvl w:val="0"/>
          <w:numId w:val="66"/>
        </w:numPr>
        <w:tabs>
          <w:tab w:val="left" w:pos="64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платные участки дороги скоростной автомагистрали М-11 «Москва — Санкт-Петербург»;</w:t>
      </w:r>
    </w:p>
    <w:p w14:paraId="3A96F070" w14:textId="77777777" w:rsidR="00350396" w:rsidRPr="004E0FC4" w:rsidRDefault="00350396" w:rsidP="004E0FC4">
      <w:pPr>
        <w:widowControl w:val="0"/>
        <w:numPr>
          <w:ilvl w:val="0"/>
          <w:numId w:val="66"/>
        </w:numPr>
        <w:tabs>
          <w:tab w:val="left" w:pos="64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выходы на МКАД с трассы М-1 «Москва — Минск», в обход г. Одинцово;</w:t>
      </w:r>
    </w:p>
    <w:p w14:paraId="4B92DB25" w14:textId="77777777" w:rsidR="00350396" w:rsidRPr="004E0FC4" w:rsidRDefault="00350396" w:rsidP="004E0FC4">
      <w:pPr>
        <w:widowControl w:val="0"/>
        <w:numPr>
          <w:ilvl w:val="0"/>
          <w:numId w:val="66"/>
        </w:numPr>
        <w:tabs>
          <w:tab w:val="left" w:pos="64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платные участки дороги в Псковской области на подъезде к границе с Эстонией;</w:t>
      </w:r>
    </w:p>
    <w:p w14:paraId="5BEDE7D7" w14:textId="77777777" w:rsidR="00350396" w:rsidRPr="004E0FC4" w:rsidRDefault="00350396" w:rsidP="004E0FC4">
      <w:pPr>
        <w:widowControl w:val="0"/>
        <w:numPr>
          <w:ilvl w:val="0"/>
          <w:numId w:val="66"/>
        </w:numPr>
        <w:tabs>
          <w:tab w:val="left" w:pos="67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трасса «Алтай — Кузбасс»;</w:t>
      </w:r>
    </w:p>
    <w:p w14:paraId="50E4154C" w14:textId="77777777" w:rsidR="00350396" w:rsidRPr="004E0FC4" w:rsidRDefault="00350396" w:rsidP="004E0FC4">
      <w:pPr>
        <w:widowControl w:val="0"/>
        <w:numPr>
          <w:ilvl w:val="0"/>
          <w:numId w:val="66"/>
        </w:numPr>
        <w:tabs>
          <w:tab w:val="left" w:pos="642"/>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rPr>
        <w:t xml:space="preserve">платные мосты (через р. Обь в Барнауле и через р. Каму в районе г. Набережные Челны) </w:t>
      </w:r>
      <w:r w:rsidRPr="004E0FC4">
        <w:rPr>
          <w:rFonts w:ascii="Bookman Old Style" w:eastAsia="Bookman Old Style" w:hAnsi="Bookman Old Style" w:cs="Bookman Old Style"/>
          <w:color w:val="231F20"/>
          <w:sz w:val="18"/>
          <w:szCs w:val="18"/>
          <w:highlight w:val="red"/>
        </w:rPr>
        <w:t>и др.</w:t>
      </w:r>
    </w:p>
    <w:p w14:paraId="5911D78E"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 настоящее время передача автодорог, мостов, путепроводов и тоннелей общего пользования в эксплуатацию на платной основе ведется при условии сохранения их в государственной собственно</w:t>
      </w:r>
      <w:r w:rsidRPr="004E0FC4">
        <w:rPr>
          <w:rFonts w:ascii="Bookman Old Style" w:eastAsia="Bookman Old Style" w:hAnsi="Bookman Old Style" w:cs="Bookman Old Style"/>
          <w:color w:val="231F20"/>
          <w:sz w:val="18"/>
          <w:szCs w:val="18"/>
          <w:highlight w:val="red"/>
        </w:rPr>
        <w:softHyphen/>
        <w:t>сти и контроля со стороны исполнительной власти на основе ис</w:t>
      </w:r>
      <w:r w:rsidRPr="004E0FC4">
        <w:rPr>
          <w:rFonts w:ascii="Bookman Old Style" w:eastAsia="Bookman Old Style" w:hAnsi="Bookman Old Style" w:cs="Bookman Old Style"/>
          <w:color w:val="231F20"/>
          <w:sz w:val="18"/>
          <w:szCs w:val="18"/>
          <w:highlight w:val="red"/>
        </w:rPr>
        <w:softHyphen/>
        <w:t>пользования концессионных соглашений.</w:t>
      </w:r>
    </w:p>
    <w:p w14:paraId="1C873F5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Министерством транспорта РФ разрабатывается несколько пер</w:t>
      </w:r>
      <w:r w:rsidRPr="004E0FC4">
        <w:rPr>
          <w:rFonts w:ascii="Bookman Old Style" w:eastAsia="Bookman Old Style" w:hAnsi="Bookman Old Style" w:cs="Bookman Old Style"/>
          <w:color w:val="231F20"/>
          <w:sz w:val="18"/>
          <w:szCs w:val="18"/>
          <w:highlight w:val="red"/>
        </w:rPr>
        <w:softHyphen/>
        <w:t>воочередных проектов платных автодорог. Наиболее крупными из них являются следующие.</w:t>
      </w:r>
    </w:p>
    <w:p w14:paraId="0B960E3B" w14:textId="77777777" w:rsidR="00350396" w:rsidRPr="004E0FC4" w:rsidRDefault="00350396" w:rsidP="004E0FC4">
      <w:pPr>
        <w:widowControl w:val="0"/>
        <w:numPr>
          <w:ilvl w:val="0"/>
          <w:numId w:val="67"/>
        </w:numPr>
        <w:tabs>
          <w:tab w:val="left" w:pos="62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Достройка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С</w:t>
      </w:r>
      <w:r w:rsidRPr="004E0FC4">
        <w:rPr>
          <w:rFonts w:ascii="Bookman Old Style" w:eastAsia="Bookman Old Style" w:hAnsi="Bookman Old Style" w:cs="Bookman Old Style"/>
          <w:color w:val="231F20"/>
          <w:sz w:val="18"/>
          <w:szCs w:val="18"/>
        </w:rPr>
        <w:t>коростн</w:t>
      </w:r>
      <w:r w:rsidRPr="004E0FC4">
        <w:rPr>
          <w:rFonts w:ascii="Bookman Old Style" w:eastAsia="Bookman Old Style" w:hAnsi="Bookman Old Style" w:cs="Bookman Old Style"/>
          <w:color w:val="231F20"/>
          <w:sz w:val="18"/>
          <w:szCs w:val="18"/>
          <w:highlight w:val="green"/>
        </w:rPr>
        <w:t>ая</w:t>
      </w:r>
      <w:r w:rsidRPr="004E0FC4">
        <w:rPr>
          <w:rFonts w:ascii="Bookman Old Style" w:eastAsia="Bookman Old Style" w:hAnsi="Bookman Old Style" w:cs="Bookman Old Style"/>
          <w:color w:val="231F20"/>
          <w:sz w:val="18"/>
          <w:szCs w:val="18"/>
        </w:rPr>
        <w:t xml:space="preserve"> автомагистрал</w:t>
      </w:r>
      <w:r w:rsidRPr="004E0FC4">
        <w:rPr>
          <w:rFonts w:ascii="Bookman Old Style" w:eastAsia="Bookman Old Style" w:hAnsi="Bookman Old Style" w:cs="Bookman Old Style"/>
          <w:color w:val="231F20"/>
          <w:sz w:val="18"/>
          <w:szCs w:val="18"/>
          <w:highlight w:val="green"/>
        </w:rPr>
        <w:t>ь</w:t>
      </w:r>
      <w:r w:rsidRPr="004E0FC4">
        <w:rPr>
          <w:rFonts w:ascii="Bookman Old Style" w:eastAsia="Bookman Old Style" w:hAnsi="Bookman Old Style" w:cs="Bookman Old Style"/>
          <w:color w:val="231F20"/>
          <w:sz w:val="18"/>
          <w:szCs w:val="18"/>
        </w:rPr>
        <w:t xml:space="preserve"> «Москва — Петер</w:t>
      </w:r>
      <w:r w:rsidRPr="004E0FC4">
        <w:rPr>
          <w:rFonts w:ascii="Bookman Old Style" w:eastAsia="Bookman Old Style" w:hAnsi="Bookman Old Style" w:cs="Bookman Old Style"/>
          <w:color w:val="231F20"/>
          <w:sz w:val="18"/>
          <w:szCs w:val="18"/>
        </w:rPr>
        <w:softHyphen/>
        <w:t>бург» М-11 длиной 650 км;</w:t>
      </w:r>
    </w:p>
    <w:p w14:paraId="16AC9932" w14:textId="77777777" w:rsidR="00350396" w:rsidRPr="004E0FC4" w:rsidRDefault="00350396" w:rsidP="004E0FC4">
      <w:pPr>
        <w:widowControl w:val="0"/>
        <w:numPr>
          <w:ilvl w:val="0"/>
          <w:numId w:val="67"/>
        </w:numPr>
        <w:tabs>
          <w:tab w:val="left" w:pos="62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Завершение</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Р</w:t>
      </w:r>
      <w:r w:rsidRPr="004E0FC4">
        <w:rPr>
          <w:rFonts w:ascii="Bookman Old Style" w:eastAsia="Bookman Old Style" w:hAnsi="Bookman Old Style" w:cs="Bookman Old Style"/>
          <w:color w:val="231F20"/>
          <w:sz w:val="18"/>
          <w:szCs w:val="18"/>
        </w:rPr>
        <w:t>еконструкци</w:t>
      </w:r>
      <w:r w:rsidRPr="004E0FC4">
        <w:rPr>
          <w:rFonts w:ascii="Bookman Old Style" w:eastAsia="Bookman Old Style" w:hAnsi="Bookman Old Style" w:cs="Bookman Old Style"/>
          <w:color w:val="231F20"/>
          <w:sz w:val="18"/>
          <w:szCs w:val="18"/>
          <w:highlight w:val="green"/>
        </w:rPr>
        <w:t>я</w:t>
      </w:r>
      <w:r w:rsidRPr="004E0FC4">
        <w:rPr>
          <w:rFonts w:ascii="Bookman Old Style" w:eastAsia="Bookman Old Style" w:hAnsi="Bookman Old Style" w:cs="Bookman Old Style"/>
          <w:color w:val="231F20"/>
          <w:sz w:val="18"/>
          <w:szCs w:val="18"/>
        </w:rPr>
        <w:t xml:space="preserve"> Центральной кольцевой автомо</w:t>
      </w:r>
      <w:r w:rsidRPr="004E0FC4">
        <w:rPr>
          <w:rFonts w:ascii="Bookman Old Style" w:eastAsia="Bookman Old Style" w:hAnsi="Bookman Old Style" w:cs="Bookman Old Style"/>
          <w:color w:val="231F20"/>
          <w:sz w:val="18"/>
          <w:szCs w:val="18"/>
        </w:rPr>
        <w:softHyphen/>
        <w:t>бильной дороги (ЦКАД) в Московской области;</w:t>
      </w:r>
    </w:p>
    <w:p w14:paraId="767DC9A2" w14:textId="77777777" w:rsidR="00350396" w:rsidRPr="004E0FC4" w:rsidRDefault="00350396" w:rsidP="004E0FC4">
      <w:pPr>
        <w:widowControl w:val="0"/>
        <w:numPr>
          <w:ilvl w:val="0"/>
          <w:numId w:val="67"/>
        </w:numPr>
        <w:tabs>
          <w:tab w:val="left" w:pos="62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Строительство во Владимирской области обхода г. Киржач </w:t>
      </w:r>
      <w:r w:rsidRPr="004E0FC4">
        <w:rPr>
          <w:rFonts w:ascii="Bookman Old Style" w:eastAsia="Bookman Old Style" w:hAnsi="Bookman Old Style" w:cs="Bookman Old Style"/>
          <w:color w:val="231F20"/>
          <w:sz w:val="18"/>
          <w:szCs w:val="18"/>
          <w:highlight w:val="red"/>
        </w:rPr>
        <w:t>и др.</w:t>
      </w:r>
      <w:r w:rsidRPr="004E0FC4">
        <w:rPr>
          <w:rFonts w:ascii="Bookman Old Style" w:eastAsia="Bookman Old Style" w:hAnsi="Bookman Old Style" w:cs="Bookman Old Style"/>
          <w:color w:val="231F20"/>
          <w:sz w:val="18"/>
          <w:szCs w:val="18"/>
        </w:rPr>
        <w:t>;</w:t>
      </w:r>
    </w:p>
    <w:p w14:paraId="52AD4E13" w14:textId="77777777" w:rsidR="00350396" w:rsidRPr="004E0FC4" w:rsidRDefault="00350396" w:rsidP="004E0FC4">
      <w:pPr>
        <w:widowControl w:val="0"/>
        <w:numPr>
          <w:ilvl w:val="0"/>
          <w:numId w:val="67"/>
        </w:numPr>
        <w:tabs>
          <w:tab w:val="left" w:pos="622"/>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green"/>
        </w:rPr>
        <w:t>другие проекты</w:t>
      </w:r>
      <w:r w:rsidRPr="004E0FC4">
        <w:rPr>
          <w:rFonts w:ascii="Bookman Old Style" w:eastAsia="Bookman Old Style" w:hAnsi="Bookman Old Style" w:cs="Bookman Old Style"/>
          <w:color w:val="231F20"/>
          <w:sz w:val="18"/>
          <w:szCs w:val="18"/>
        </w:rPr>
        <w:t>.</w:t>
      </w:r>
    </w:p>
    <w:p w14:paraId="5D99236A"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Помимо вышеперечисленных проектов, Правительство РФ ут</w:t>
      </w:r>
      <w:r w:rsidRPr="004E0FC4">
        <w:rPr>
          <w:rFonts w:ascii="Bookman Old Style" w:eastAsia="Bookman Old Style" w:hAnsi="Bookman Old Style" w:cs="Bookman Old Style"/>
          <w:color w:val="231F20"/>
          <w:sz w:val="18"/>
          <w:szCs w:val="18"/>
        </w:rPr>
        <w:softHyphen/>
        <w:t>вердило проекты по строительству платных автомобильных дорог из Санкт-Петербурга в Хельсинки, автомобильных дорог в районах Новороссийска, Сочи, Адлера, Владивостока, а также в Калинин</w:t>
      </w:r>
      <w:r w:rsidRPr="004E0FC4">
        <w:rPr>
          <w:rFonts w:ascii="Bookman Old Style" w:eastAsia="Bookman Old Style" w:hAnsi="Bookman Old Style" w:cs="Bookman Old Style"/>
          <w:color w:val="231F20"/>
          <w:sz w:val="18"/>
          <w:szCs w:val="18"/>
        </w:rPr>
        <w:softHyphen/>
        <w:t xml:space="preserve">градской и Астраханской областях. Проекты платных автодорог инициируются и на региональном уровне. Например, в Санкт- Петербурге на </w:t>
      </w:r>
      <w:r w:rsidRPr="004E0FC4">
        <w:rPr>
          <w:rFonts w:ascii="Bookman Old Style" w:eastAsia="Bookman Old Style" w:hAnsi="Bookman Old Style" w:cs="Bookman Old Style"/>
          <w:color w:val="231F20"/>
          <w:sz w:val="18"/>
          <w:szCs w:val="18"/>
          <w:highlight w:val="red"/>
        </w:rPr>
        <w:t>этапе проектирования находится</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в 2021 начато строительство Широтной магистрали скоростного движения (ШМСД)</w:t>
      </w:r>
      <w:r w:rsidRPr="004E0FC4">
        <w:rPr>
          <w:rFonts w:ascii="Bookman Old Style" w:eastAsia="Bookman Old Style" w:hAnsi="Bookman Old Style" w:cs="Bookman Old Style"/>
          <w:color w:val="231F20"/>
          <w:sz w:val="18"/>
          <w:szCs w:val="18"/>
        </w:rPr>
        <w:t xml:space="preserve"> (ранее ШВСМ - «Широтная высокоскоростная магистраль») с мостом через Неву</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w:t>
      </w:r>
    </w:p>
    <w:p w14:paraId="56F084A7"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Всего же на автодорожную инфраструктуру (по данным на 202</w:t>
      </w:r>
      <w:r w:rsidRPr="004E0FC4">
        <w:rPr>
          <w:rFonts w:ascii="Bookman Old Style" w:eastAsia="Bookman Old Style" w:hAnsi="Bookman Old Style" w:cs="Bookman Old Style"/>
          <w:color w:val="231F20"/>
          <w:sz w:val="18"/>
          <w:szCs w:val="18"/>
          <w:highlight w:val="green"/>
        </w:rPr>
        <w:t>2</w:t>
      </w:r>
      <w:r w:rsidRPr="004E0FC4">
        <w:rPr>
          <w:rFonts w:ascii="Bookman Old Style" w:eastAsia="Bookman Old Style" w:hAnsi="Bookman Old Style" w:cs="Bookman Old Style"/>
          <w:color w:val="231F20"/>
          <w:sz w:val="18"/>
          <w:szCs w:val="18"/>
        </w:rPr>
        <w:t xml:space="preserve"> г.) приходится около 40 % всех привлеченных через ГЧП частных инвестиций в развитие транспортной сферы. В то же время значительные средства уже направлены или реализуются и в другие сегменты транспортной сферы — общественный городской транс</w:t>
      </w:r>
      <w:r w:rsidRPr="004E0FC4">
        <w:rPr>
          <w:rFonts w:ascii="Bookman Old Style" w:eastAsia="Bookman Old Style" w:hAnsi="Bookman Old Style" w:cs="Bookman Old Style"/>
          <w:color w:val="231F20"/>
          <w:sz w:val="18"/>
          <w:szCs w:val="18"/>
        </w:rPr>
        <w:softHyphen/>
        <w:t>порт, железнодорожную и авиационную инфраструктуру, транс</w:t>
      </w:r>
      <w:r w:rsidRPr="004E0FC4">
        <w:rPr>
          <w:rFonts w:ascii="Bookman Old Style" w:eastAsia="Bookman Old Style" w:hAnsi="Bookman Old Style" w:cs="Bookman Old Style"/>
          <w:color w:val="231F20"/>
          <w:sz w:val="18"/>
          <w:szCs w:val="18"/>
        </w:rPr>
        <w:softHyphen/>
        <w:t>портно-пересадочные узлы, авто- и ж/д вокзалы, многоуровневые парковки в составе ТПУ и другие проекты (табл. 4.11).</w:t>
      </w:r>
    </w:p>
    <w:p w14:paraId="641DF121"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color w:val="231F20"/>
          <w:sz w:val="18"/>
          <w:szCs w:val="18"/>
        </w:rPr>
        <w:lastRenderedPageBreak/>
        <w:t>Таблица 4.11</w:t>
      </w:r>
    </w:p>
    <w:p w14:paraId="6BB85F7E"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Распределение проектов и частных инвестиций в реализуемые проекты ГЧП транспортной сферы в России по отраслям по состоянию на 2018 г.</w:t>
      </w:r>
      <w:r w:rsidRPr="004E0FC4">
        <w:rPr>
          <w:rFonts w:ascii="Bookman Old Style" w:eastAsia="Arial Narrow" w:hAnsi="Bookman Old Style" w:cs="Arial Narrow"/>
          <w:b/>
          <w:bCs/>
          <w:color w:val="231F20"/>
          <w:sz w:val="18"/>
          <w:szCs w:val="18"/>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76"/>
        <w:gridCol w:w="1022"/>
        <w:gridCol w:w="1992"/>
      </w:tblGrid>
      <w:tr w:rsidR="00350396" w:rsidRPr="004E0FC4" w14:paraId="5E436981" w14:textId="77777777" w:rsidTr="006D7F71">
        <w:trPr>
          <w:trHeight w:hRule="exact" w:val="1018"/>
          <w:jc w:val="center"/>
        </w:trPr>
        <w:tc>
          <w:tcPr>
            <w:tcW w:w="3576" w:type="dxa"/>
            <w:tcBorders>
              <w:top w:val="single" w:sz="4" w:space="0" w:color="auto"/>
              <w:left w:val="single" w:sz="4" w:space="0" w:color="auto"/>
            </w:tcBorders>
            <w:shd w:val="clear" w:color="auto" w:fill="FFFFFF"/>
          </w:tcPr>
          <w:p w14:paraId="1B34632E" w14:textId="77777777" w:rsidR="00350396" w:rsidRPr="004E0FC4" w:rsidRDefault="00350396" w:rsidP="004E0FC4">
            <w:pPr>
              <w:framePr w:w="6590" w:wrap="notBeside" w:vAnchor="text" w:hAnchor="text" w:xAlign="center" w:y="1"/>
              <w:widowControl w:val="0"/>
              <w:spacing w:line="176" w:lineRule="exact"/>
              <w:ind w:left="24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Проекты ГЧП транспортной сферы</w:t>
            </w:r>
          </w:p>
        </w:tc>
        <w:tc>
          <w:tcPr>
            <w:tcW w:w="1022" w:type="dxa"/>
            <w:tcBorders>
              <w:top w:val="single" w:sz="4" w:space="0" w:color="auto"/>
              <w:left w:val="single" w:sz="4" w:space="0" w:color="auto"/>
            </w:tcBorders>
            <w:shd w:val="clear" w:color="auto" w:fill="FFFFFF"/>
          </w:tcPr>
          <w:p w14:paraId="43CD9FAC"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w:t>
            </w:r>
            <w:r w:rsidRPr="004E0FC4">
              <w:rPr>
                <w:rFonts w:ascii="Bookman Old Style" w:eastAsia="Bookman Old Style" w:hAnsi="Bookman Old Style" w:cs="Bookman Old Style"/>
                <w:b/>
                <w:bCs/>
                <w:color w:val="231F20"/>
                <w:sz w:val="18"/>
                <w:szCs w:val="18"/>
              </w:rPr>
              <w:softHyphen/>
              <w:t>ство про</w:t>
            </w:r>
            <w:r w:rsidRPr="004E0FC4">
              <w:rPr>
                <w:rFonts w:ascii="Bookman Old Style" w:eastAsia="Bookman Old Style" w:hAnsi="Bookman Old Style" w:cs="Bookman Old Style"/>
                <w:b/>
                <w:bCs/>
                <w:color w:val="231F20"/>
                <w:sz w:val="18"/>
                <w:szCs w:val="18"/>
              </w:rPr>
              <w:softHyphen/>
              <w:t>ектов</w:t>
            </w:r>
          </w:p>
        </w:tc>
        <w:tc>
          <w:tcPr>
            <w:tcW w:w="1992" w:type="dxa"/>
            <w:tcBorders>
              <w:top w:val="single" w:sz="4" w:space="0" w:color="auto"/>
              <w:left w:val="single" w:sz="4" w:space="0" w:color="auto"/>
              <w:right w:val="single" w:sz="4" w:space="0" w:color="auto"/>
            </w:tcBorders>
            <w:shd w:val="clear" w:color="auto" w:fill="FFFFFF"/>
            <w:vAlign w:val="bottom"/>
          </w:tcPr>
          <w:p w14:paraId="427359A8"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 част</w:t>
            </w:r>
            <w:r w:rsidRPr="004E0FC4">
              <w:rPr>
                <w:rFonts w:ascii="Bookman Old Style" w:eastAsia="Bookman Old Style" w:hAnsi="Bookman Old Style" w:cs="Bookman Old Style"/>
                <w:b/>
                <w:bCs/>
                <w:color w:val="231F20"/>
                <w:sz w:val="18"/>
                <w:szCs w:val="18"/>
              </w:rPr>
              <w:softHyphen/>
              <w:t>ных инвестиций на инвестиционном этапе (тыс. руб.)</w:t>
            </w:r>
          </w:p>
        </w:tc>
      </w:tr>
      <w:tr w:rsidR="00350396" w:rsidRPr="004E0FC4" w14:paraId="390225EA" w14:textId="77777777" w:rsidTr="006D7F71">
        <w:trPr>
          <w:trHeight w:hRule="exact" w:val="350"/>
          <w:jc w:val="center"/>
        </w:trPr>
        <w:tc>
          <w:tcPr>
            <w:tcW w:w="3576" w:type="dxa"/>
            <w:tcBorders>
              <w:top w:val="single" w:sz="4" w:space="0" w:color="auto"/>
              <w:left w:val="single" w:sz="4" w:space="0" w:color="auto"/>
            </w:tcBorders>
            <w:shd w:val="clear" w:color="auto" w:fill="FFFFFF"/>
            <w:vAlign w:val="center"/>
          </w:tcPr>
          <w:p w14:paraId="5B337425"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Автодорожная инфраструктура</w:t>
            </w:r>
          </w:p>
        </w:tc>
        <w:tc>
          <w:tcPr>
            <w:tcW w:w="1022" w:type="dxa"/>
            <w:tcBorders>
              <w:top w:val="single" w:sz="4" w:space="0" w:color="auto"/>
              <w:left w:val="single" w:sz="4" w:space="0" w:color="auto"/>
            </w:tcBorders>
            <w:shd w:val="clear" w:color="auto" w:fill="FFFFFF"/>
            <w:vAlign w:val="center"/>
          </w:tcPr>
          <w:p w14:paraId="5FFB9A10"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32</w:t>
            </w:r>
          </w:p>
        </w:tc>
        <w:tc>
          <w:tcPr>
            <w:tcW w:w="1992" w:type="dxa"/>
            <w:tcBorders>
              <w:top w:val="single" w:sz="4" w:space="0" w:color="auto"/>
              <w:left w:val="single" w:sz="4" w:space="0" w:color="auto"/>
              <w:right w:val="single" w:sz="4" w:space="0" w:color="auto"/>
            </w:tcBorders>
            <w:shd w:val="clear" w:color="auto" w:fill="FFFFFF"/>
            <w:vAlign w:val="center"/>
          </w:tcPr>
          <w:p w14:paraId="525243DC"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427 701 863</w:t>
            </w:r>
          </w:p>
        </w:tc>
      </w:tr>
      <w:tr w:rsidR="00350396" w:rsidRPr="004E0FC4" w14:paraId="4F7E12E0" w14:textId="77777777" w:rsidTr="006D7F71">
        <w:trPr>
          <w:trHeight w:hRule="exact" w:val="576"/>
          <w:jc w:val="center"/>
        </w:trPr>
        <w:tc>
          <w:tcPr>
            <w:tcW w:w="3576" w:type="dxa"/>
            <w:tcBorders>
              <w:top w:val="single" w:sz="4" w:space="0" w:color="auto"/>
              <w:left w:val="single" w:sz="4" w:space="0" w:color="auto"/>
            </w:tcBorders>
            <w:shd w:val="clear" w:color="auto" w:fill="FFFFFF"/>
            <w:vAlign w:val="center"/>
          </w:tcPr>
          <w:p w14:paraId="2275576E"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Авиационная инфраструктура и транс</w:t>
            </w:r>
            <w:r w:rsidRPr="004E0FC4">
              <w:rPr>
                <w:rFonts w:ascii="Bookman Old Style" w:eastAsia="Bookman Old Style" w:hAnsi="Bookman Old Style" w:cs="Bookman Old Style"/>
                <w:color w:val="231F20"/>
                <w:sz w:val="18"/>
                <w:szCs w:val="18"/>
              </w:rPr>
              <w:softHyphen/>
              <w:t>порт</w:t>
            </w:r>
          </w:p>
        </w:tc>
        <w:tc>
          <w:tcPr>
            <w:tcW w:w="1022" w:type="dxa"/>
            <w:tcBorders>
              <w:top w:val="single" w:sz="4" w:space="0" w:color="auto"/>
              <w:left w:val="single" w:sz="4" w:space="0" w:color="auto"/>
            </w:tcBorders>
            <w:shd w:val="clear" w:color="auto" w:fill="FFFFFF"/>
            <w:vAlign w:val="center"/>
          </w:tcPr>
          <w:p w14:paraId="0AA7CD2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12</w:t>
            </w:r>
          </w:p>
        </w:tc>
        <w:tc>
          <w:tcPr>
            <w:tcW w:w="1992" w:type="dxa"/>
            <w:tcBorders>
              <w:top w:val="single" w:sz="4" w:space="0" w:color="auto"/>
              <w:left w:val="single" w:sz="4" w:space="0" w:color="auto"/>
              <w:right w:val="single" w:sz="4" w:space="0" w:color="auto"/>
            </w:tcBorders>
            <w:shd w:val="clear" w:color="auto" w:fill="FFFFFF"/>
          </w:tcPr>
          <w:p w14:paraId="627577B4"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106 199 714</w:t>
            </w:r>
          </w:p>
        </w:tc>
      </w:tr>
      <w:tr w:rsidR="00350396" w:rsidRPr="004E0FC4" w14:paraId="45CBD2BE" w14:textId="77777777" w:rsidTr="006D7F71">
        <w:trPr>
          <w:trHeight w:hRule="exact" w:val="792"/>
          <w:jc w:val="center"/>
        </w:trPr>
        <w:tc>
          <w:tcPr>
            <w:tcW w:w="3576" w:type="dxa"/>
            <w:tcBorders>
              <w:top w:val="single" w:sz="4" w:space="0" w:color="auto"/>
              <w:left w:val="single" w:sz="4" w:space="0" w:color="auto"/>
            </w:tcBorders>
            <w:shd w:val="clear" w:color="auto" w:fill="FFFFFF"/>
            <w:vAlign w:val="center"/>
          </w:tcPr>
          <w:p w14:paraId="32A6F717"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Транспортно-пересадочные узлы, авто и ж/д вокзалы, многоуровневые парков</w:t>
            </w:r>
            <w:r w:rsidRPr="004E0FC4">
              <w:rPr>
                <w:rFonts w:ascii="Bookman Old Style" w:eastAsia="Bookman Old Style" w:hAnsi="Bookman Old Style" w:cs="Bookman Old Style"/>
                <w:color w:val="231F20"/>
                <w:sz w:val="18"/>
                <w:szCs w:val="18"/>
              </w:rPr>
              <w:softHyphen/>
              <w:t>ки в составе ТПУ</w:t>
            </w:r>
          </w:p>
        </w:tc>
        <w:tc>
          <w:tcPr>
            <w:tcW w:w="1022" w:type="dxa"/>
            <w:tcBorders>
              <w:top w:val="single" w:sz="4" w:space="0" w:color="auto"/>
              <w:left w:val="single" w:sz="4" w:space="0" w:color="auto"/>
            </w:tcBorders>
            <w:shd w:val="clear" w:color="auto" w:fill="FFFFFF"/>
          </w:tcPr>
          <w:p w14:paraId="4A61ED6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17</w:t>
            </w:r>
          </w:p>
        </w:tc>
        <w:tc>
          <w:tcPr>
            <w:tcW w:w="1992" w:type="dxa"/>
            <w:tcBorders>
              <w:top w:val="single" w:sz="4" w:space="0" w:color="auto"/>
              <w:left w:val="single" w:sz="4" w:space="0" w:color="auto"/>
              <w:right w:val="single" w:sz="4" w:space="0" w:color="auto"/>
            </w:tcBorders>
            <w:shd w:val="clear" w:color="auto" w:fill="FFFFFF"/>
          </w:tcPr>
          <w:p w14:paraId="29DE075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110 594 585</w:t>
            </w:r>
          </w:p>
        </w:tc>
      </w:tr>
      <w:tr w:rsidR="00350396" w:rsidRPr="004E0FC4" w14:paraId="465626FF" w14:textId="77777777" w:rsidTr="006D7F71">
        <w:trPr>
          <w:trHeight w:hRule="exact" w:val="355"/>
          <w:jc w:val="center"/>
        </w:trPr>
        <w:tc>
          <w:tcPr>
            <w:tcW w:w="3576" w:type="dxa"/>
            <w:tcBorders>
              <w:top w:val="single" w:sz="4" w:space="0" w:color="auto"/>
              <w:left w:val="single" w:sz="4" w:space="0" w:color="auto"/>
            </w:tcBorders>
            <w:shd w:val="clear" w:color="auto" w:fill="FFFFFF"/>
            <w:vAlign w:val="center"/>
          </w:tcPr>
          <w:p w14:paraId="3760A9D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Общественный городской транспорт</w:t>
            </w:r>
          </w:p>
        </w:tc>
        <w:tc>
          <w:tcPr>
            <w:tcW w:w="1022" w:type="dxa"/>
            <w:tcBorders>
              <w:top w:val="single" w:sz="4" w:space="0" w:color="auto"/>
              <w:left w:val="single" w:sz="4" w:space="0" w:color="auto"/>
            </w:tcBorders>
            <w:shd w:val="clear" w:color="auto" w:fill="FFFFFF"/>
            <w:vAlign w:val="bottom"/>
          </w:tcPr>
          <w:p w14:paraId="125FE59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w:t>
            </w:r>
          </w:p>
        </w:tc>
        <w:tc>
          <w:tcPr>
            <w:tcW w:w="1992" w:type="dxa"/>
            <w:tcBorders>
              <w:top w:val="single" w:sz="4" w:space="0" w:color="auto"/>
              <w:left w:val="single" w:sz="4" w:space="0" w:color="auto"/>
              <w:right w:val="single" w:sz="4" w:space="0" w:color="auto"/>
            </w:tcBorders>
            <w:shd w:val="clear" w:color="auto" w:fill="FFFFFF"/>
            <w:vAlign w:val="center"/>
          </w:tcPr>
          <w:p w14:paraId="03F76E7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162 671 299</w:t>
            </w:r>
          </w:p>
        </w:tc>
      </w:tr>
      <w:tr w:rsidR="00350396" w:rsidRPr="004E0FC4" w14:paraId="425FFA1A" w14:textId="77777777" w:rsidTr="006D7F71">
        <w:trPr>
          <w:trHeight w:hRule="exact" w:val="571"/>
          <w:jc w:val="center"/>
        </w:trPr>
        <w:tc>
          <w:tcPr>
            <w:tcW w:w="3576" w:type="dxa"/>
            <w:tcBorders>
              <w:top w:val="single" w:sz="4" w:space="0" w:color="auto"/>
              <w:left w:val="single" w:sz="4" w:space="0" w:color="auto"/>
            </w:tcBorders>
            <w:shd w:val="clear" w:color="auto" w:fill="FFFFFF"/>
            <w:vAlign w:val="center"/>
          </w:tcPr>
          <w:p w14:paraId="7222D4F5"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Организация парковочного простран</w:t>
            </w:r>
            <w:r w:rsidRPr="004E0FC4">
              <w:rPr>
                <w:rFonts w:ascii="Bookman Old Style" w:eastAsia="Bookman Old Style" w:hAnsi="Bookman Old Style" w:cs="Bookman Old Style"/>
                <w:color w:val="231F20"/>
                <w:sz w:val="18"/>
                <w:szCs w:val="18"/>
              </w:rPr>
              <w:softHyphen/>
              <w:t>ства и развитие улично-дорожной сети</w:t>
            </w:r>
          </w:p>
        </w:tc>
        <w:tc>
          <w:tcPr>
            <w:tcW w:w="1022" w:type="dxa"/>
            <w:tcBorders>
              <w:top w:val="single" w:sz="4" w:space="0" w:color="auto"/>
              <w:left w:val="single" w:sz="4" w:space="0" w:color="auto"/>
            </w:tcBorders>
            <w:shd w:val="clear" w:color="auto" w:fill="FFFFFF"/>
            <w:vAlign w:val="center"/>
          </w:tcPr>
          <w:p w14:paraId="3D50B06B"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w:t>
            </w:r>
          </w:p>
        </w:tc>
        <w:tc>
          <w:tcPr>
            <w:tcW w:w="1992" w:type="dxa"/>
            <w:tcBorders>
              <w:top w:val="single" w:sz="4" w:space="0" w:color="auto"/>
              <w:left w:val="single" w:sz="4" w:space="0" w:color="auto"/>
              <w:right w:val="single" w:sz="4" w:space="0" w:color="auto"/>
            </w:tcBorders>
            <w:shd w:val="clear" w:color="auto" w:fill="FFFFFF"/>
          </w:tcPr>
          <w:p w14:paraId="5B8CC49F"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2 548 954</w:t>
            </w:r>
          </w:p>
        </w:tc>
      </w:tr>
      <w:tr w:rsidR="00350396" w:rsidRPr="004E0FC4" w14:paraId="4C138D29" w14:textId="77777777" w:rsidTr="006D7F71">
        <w:trPr>
          <w:trHeight w:hRule="exact" w:val="802"/>
          <w:jc w:val="center"/>
        </w:trPr>
        <w:tc>
          <w:tcPr>
            <w:tcW w:w="3576" w:type="dxa"/>
            <w:tcBorders>
              <w:top w:val="single" w:sz="4" w:space="0" w:color="auto"/>
              <w:left w:val="single" w:sz="4" w:space="0" w:color="auto"/>
              <w:bottom w:val="single" w:sz="4" w:space="0" w:color="auto"/>
            </w:tcBorders>
            <w:shd w:val="clear" w:color="auto" w:fill="FFFFFF"/>
            <w:vAlign w:val="center"/>
          </w:tcPr>
          <w:p w14:paraId="770A9853"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Морские и речные суда, порты и со</w:t>
            </w:r>
            <w:r w:rsidRPr="004E0FC4">
              <w:rPr>
                <w:rFonts w:ascii="Bookman Old Style" w:eastAsia="Bookman Old Style" w:hAnsi="Bookman Old Style" w:cs="Bookman Old Style"/>
                <w:color w:val="231F20"/>
                <w:sz w:val="18"/>
                <w:szCs w:val="18"/>
              </w:rPr>
              <w:softHyphen/>
              <w:t>пряженная с ними инженерная инфра</w:t>
            </w:r>
            <w:r w:rsidRPr="004E0FC4">
              <w:rPr>
                <w:rFonts w:ascii="Bookman Old Style" w:eastAsia="Bookman Old Style" w:hAnsi="Bookman Old Style" w:cs="Bookman Old Style"/>
                <w:color w:val="231F20"/>
                <w:sz w:val="18"/>
                <w:szCs w:val="18"/>
              </w:rPr>
              <w:softHyphen/>
              <w:t>структура</w:t>
            </w:r>
          </w:p>
        </w:tc>
        <w:tc>
          <w:tcPr>
            <w:tcW w:w="1022" w:type="dxa"/>
            <w:tcBorders>
              <w:top w:val="single" w:sz="4" w:space="0" w:color="auto"/>
              <w:left w:val="single" w:sz="4" w:space="0" w:color="auto"/>
              <w:bottom w:val="single" w:sz="4" w:space="0" w:color="auto"/>
            </w:tcBorders>
            <w:shd w:val="clear" w:color="auto" w:fill="FFFFFF"/>
          </w:tcPr>
          <w:p w14:paraId="6C82A308"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5</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6AB565E9"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67 169 620</w:t>
            </w:r>
          </w:p>
        </w:tc>
      </w:tr>
    </w:tbl>
    <w:p w14:paraId="251B3EDB"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Доклад. С. 34.</w:t>
      </w:r>
    </w:p>
    <w:p w14:paraId="21470CAF"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p w14:paraId="3DBE6719" w14:textId="77777777" w:rsidR="00350396" w:rsidRPr="004E0FC4" w:rsidRDefault="00350396" w:rsidP="004E0FC4">
      <w:pPr>
        <w:widowControl w:val="0"/>
        <w:spacing w:line="240" w:lineRule="auto"/>
        <w:ind w:firstLine="0"/>
        <w:rPr>
          <w:rFonts w:ascii="Bookman Old Style" w:hAnsi="Bookman Old Style"/>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76"/>
        <w:gridCol w:w="1022"/>
        <w:gridCol w:w="1992"/>
      </w:tblGrid>
      <w:tr w:rsidR="00350396" w:rsidRPr="004E0FC4" w14:paraId="5A238847" w14:textId="77777777" w:rsidTr="006D7F71">
        <w:trPr>
          <w:trHeight w:hRule="exact" w:val="1013"/>
          <w:jc w:val="center"/>
        </w:trPr>
        <w:tc>
          <w:tcPr>
            <w:tcW w:w="3576" w:type="dxa"/>
            <w:tcBorders>
              <w:top w:val="single" w:sz="4" w:space="0" w:color="auto"/>
              <w:left w:val="single" w:sz="4" w:space="0" w:color="auto"/>
            </w:tcBorders>
            <w:shd w:val="clear" w:color="auto" w:fill="FFFFFF"/>
          </w:tcPr>
          <w:p w14:paraId="4C85F589" w14:textId="77777777" w:rsidR="00350396" w:rsidRPr="004E0FC4" w:rsidRDefault="00350396" w:rsidP="004E0FC4">
            <w:pPr>
              <w:framePr w:w="6590" w:wrap="notBeside" w:vAnchor="text" w:hAnchor="text" w:xAlign="center" w:y="1"/>
              <w:widowControl w:val="0"/>
              <w:spacing w:line="176" w:lineRule="exact"/>
              <w:ind w:left="24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Проекты ГЧП транспортной сферы</w:t>
            </w:r>
          </w:p>
        </w:tc>
        <w:tc>
          <w:tcPr>
            <w:tcW w:w="1022" w:type="dxa"/>
            <w:tcBorders>
              <w:top w:val="single" w:sz="4" w:space="0" w:color="auto"/>
              <w:left w:val="single" w:sz="4" w:space="0" w:color="auto"/>
            </w:tcBorders>
            <w:shd w:val="clear" w:color="auto" w:fill="FFFFFF"/>
          </w:tcPr>
          <w:p w14:paraId="4A295F3D"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w:t>
            </w:r>
            <w:r w:rsidRPr="004E0FC4">
              <w:rPr>
                <w:rFonts w:ascii="Bookman Old Style" w:eastAsia="Bookman Old Style" w:hAnsi="Bookman Old Style" w:cs="Bookman Old Style"/>
                <w:b/>
                <w:bCs/>
                <w:color w:val="231F20"/>
                <w:sz w:val="18"/>
                <w:szCs w:val="18"/>
              </w:rPr>
              <w:softHyphen/>
              <w:t>ство про</w:t>
            </w:r>
            <w:r w:rsidRPr="004E0FC4">
              <w:rPr>
                <w:rFonts w:ascii="Bookman Old Style" w:eastAsia="Bookman Old Style" w:hAnsi="Bookman Old Style" w:cs="Bookman Old Style"/>
                <w:b/>
                <w:bCs/>
                <w:color w:val="231F20"/>
                <w:sz w:val="18"/>
                <w:szCs w:val="18"/>
              </w:rPr>
              <w:softHyphen/>
              <w:t>ектов</w:t>
            </w:r>
          </w:p>
        </w:tc>
        <w:tc>
          <w:tcPr>
            <w:tcW w:w="1992" w:type="dxa"/>
            <w:tcBorders>
              <w:top w:val="single" w:sz="4" w:space="0" w:color="auto"/>
              <w:left w:val="single" w:sz="4" w:space="0" w:color="auto"/>
              <w:right w:val="single" w:sz="4" w:space="0" w:color="auto"/>
            </w:tcBorders>
            <w:shd w:val="clear" w:color="auto" w:fill="FFFFFF"/>
            <w:vAlign w:val="bottom"/>
          </w:tcPr>
          <w:p w14:paraId="3037722A"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 част</w:t>
            </w:r>
            <w:r w:rsidRPr="004E0FC4">
              <w:rPr>
                <w:rFonts w:ascii="Bookman Old Style" w:eastAsia="Bookman Old Style" w:hAnsi="Bookman Old Style" w:cs="Bookman Old Style"/>
                <w:b/>
                <w:bCs/>
                <w:color w:val="231F20"/>
                <w:sz w:val="18"/>
                <w:szCs w:val="18"/>
              </w:rPr>
              <w:softHyphen/>
              <w:t>ных инвестиций на инвестиционном этапе (тыс. руб.)</w:t>
            </w:r>
          </w:p>
        </w:tc>
      </w:tr>
      <w:tr w:rsidR="00350396" w:rsidRPr="004E0FC4" w14:paraId="7262A287" w14:textId="77777777" w:rsidTr="006D7F71">
        <w:trPr>
          <w:trHeight w:hRule="exact" w:val="326"/>
          <w:jc w:val="center"/>
        </w:trPr>
        <w:tc>
          <w:tcPr>
            <w:tcW w:w="3576" w:type="dxa"/>
            <w:tcBorders>
              <w:top w:val="single" w:sz="4" w:space="0" w:color="auto"/>
              <w:left w:val="single" w:sz="4" w:space="0" w:color="auto"/>
            </w:tcBorders>
            <w:shd w:val="clear" w:color="auto" w:fill="FFFFFF"/>
            <w:vAlign w:val="center"/>
          </w:tcPr>
          <w:p w14:paraId="202FEF8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Железнодорожная инфраструктура</w:t>
            </w:r>
          </w:p>
        </w:tc>
        <w:tc>
          <w:tcPr>
            <w:tcW w:w="1022" w:type="dxa"/>
            <w:tcBorders>
              <w:top w:val="single" w:sz="4" w:space="0" w:color="auto"/>
              <w:left w:val="single" w:sz="4" w:space="0" w:color="auto"/>
            </w:tcBorders>
            <w:shd w:val="clear" w:color="auto" w:fill="FFFFFF"/>
            <w:vAlign w:val="bottom"/>
          </w:tcPr>
          <w:p w14:paraId="6A04B87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w:t>
            </w:r>
          </w:p>
        </w:tc>
        <w:tc>
          <w:tcPr>
            <w:tcW w:w="1992" w:type="dxa"/>
            <w:tcBorders>
              <w:top w:val="single" w:sz="4" w:space="0" w:color="auto"/>
              <w:left w:val="single" w:sz="4" w:space="0" w:color="auto"/>
              <w:right w:val="single" w:sz="4" w:space="0" w:color="auto"/>
            </w:tcBorders>
            <w:shd w:val="clear" w:color="auto" w:fill="FFFFFF"/>
            <w:vAlign w:val="center"/>
          </w:tcPr>
          <w:p w14:paraId="52250CA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113 641 584</w:t>
            </w:r>
          </w:p>
        </w:tc>
      </w:tr>
      <w:tr w:rsidR="00350396" w:rsidRPr="004E0FC4" w14:paraId="2B169570" w14:textId="77777777" w:rsidTr="006D7F71">
        <w:trPr>
          <w:trHeight w:hRule="exact" w:val="547"/>
          <w:jc w:val="center"/>
        </w:trPr>
        <w:tc>
          <w:tcPr>
            <w:tcW w:w="3576" w:type="dxa"/>
            <w:tcBorders>
              <w:top w:val="single" w:sz="4" w:space="0" w:color="auto"/>
              <w:left w:val="single" w:sz="4" w:space="0" w:color="auto"/>
            </w:tcBorders>
            <w:shd w:val="clear" w:color="auto" w:fill="FFFFFF"/>
            <w:vAlign w:val="bottom"/>
          </w:tcPr>
          <w:p w14:paraId="4D0202AA"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Инфраструктура таможенно-логистиче</w:t>
            </w:r>
            <w:r w:rsidRPr="004E0FC4">
              <w:rPr>
                <w:rFonts w:ascii="Bookman Old Style" w:eastAsia="Bookman Old Style" w:hAnsi="Bookman Old Style" w:cs="Bookman Old Style"/>
                <w:color w:val="231F20"/>
                <w:sz w:val="18"/>
                <w:szCs w:val="18"/>
              </w:rPr>
              <w:softHyphen/>
              <w:t>ского терминала</w:t>
            </w:r>
          </w:p>
        </w:tc>
        <w:tc>
          <w:tcPr>
            <w:tcW w:w="1022" w:type="dxa"/>
            <w:tcBorders>
              <w:top w:val="single" w:sz="4" w:space="0" w:color="auto"/>
              <w:left w:val="single" w:sz="4" w:space="0" w:color="auto"/>
            </w:tcBorders>
            <w:shd w:val="clear" w:color="auto" w:fill="FFFFFF"/>
            <w:vAlign w:val="center"/>
          </w:tcPr>
          <w:p w14:paraId="612D03B4"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w:t>
            </w:r>
          </w:p>
        </w:tc>
        <w:tc>
          <w:tcPr>
            <w:tcW w:w="1992" w:type="dxa"/>
            <w:tcBorders>
              <w:top w:val="single" w:sz="4" w:space="0" w:color="auto"/>
              <w:left w:val="single" w:sz="4" w:space="0" w:color="auto"/>
              <w:right w:val="single" w:sz="4" w:space="0" w:color="auto"/>
            </w:tcBorders>
            <w:shd w:val="clear" w:color="auto" w:fill="FFFFFF"/>
          </w:tcPr>
          <w:p w14:paraId="16F40954"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544 500</w:t>
            </w:r>
          </w:p>
        </w:tc>
      </w:tr>
      <w:tr w:rsidR="00350396" w:rsidRPr="004E0FC4" w14:paraId="4A0F97CD" w14:textId="77777777" w:rsidTr="006D7F71">
        <w:trPr>
          <w:trHeight w:hRule="exact" w:val="326"/>
          <w:jc w:val="center"/>
        </w:trPr>
        <w:tc>
          <w:tcPr>
            <w:tcW w:w="3576" w:type="dxa"/>
            <w:tcBorders>
              <w:top w:val="single" w:sz="4" w:space="0" w:color="auto"/>
              <w:left w:val="single" w:sz="4" w:space="0" w:color="auto"/>
            </w:tcBorders>
            <w:shd w:val="clear" w:color="auto" w:fill="FFFFFF"/>
            <w:vAlign w:val="bottom"/>
          </w:tcPr>
          <w:p w14:paraId="1C6FACD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Иные элементы обустройства дорог</w:t>
            </w:r>
          </w:p>
        </w:tc>
        <w:tc>
          <w:tcPr>
            <w:tcW w:w="1022" w:type="dxa"/>
            <w:tcBorders>
              <w:top w:val="single" w:sz="4" w:space="0" w:color="auto"/>
              <w:left w:val="single" w:sz="4" w:space="0" w:color="auto"/>
            </w:tcBorders>
            <w:shd w:val="clear" w:color="auto" w:fill="FFFFFF"/>
            <w:vAlign w:val="bottom"/>
          </w:tcPr>
          <w:p w14:paraId="0345EAE8"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w:t>
            </w:r>
          </w:p>
        </w:tc>
        <w:tc>
          <w:tcPr>
            <w:tcW w:w="1992" w:type="dxa"/>
            <w:tcBorders>
              <w:top w:val="single" w:sz="4" w:space="0" w:color="auto"/>
              <w:left w:val="single" w:sz="4" w:space="0" w:color="auto"/>
              <w:right w:val="single" w:sz="4" w:space="0" w:color="auto"/>
            </w:tcBorders>
            <w:shd w:val="clear" w:color="auto" w:fill="FFFFFF"/>
            <w:vAlign w:val="bottom"/>
          </w:tcPr>
          <w:p w14:paraId="2C516800"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5 143 301</w:t>
            </w:r>
          </w:p>
        </w:tc>
      </w:tr>
      <w:tr w:rsidR="00350396" w:rsidRPr="004E0FC4" w14:paraId="2BE86308" w14:textId="77777777" w:rsidTr="006D7F71">
        <w:trPr>
          <w:trHeight w:hRule="exact" w:val="322"/>
          <w:jc w:val="center"/>
        </w:trPr>
        <w:tc>
          <w:tcPr>
            <w:tcW w:w="3576" w:type="dxa"/>
            <w:tcBorders>
              <w:top w:val="single" w:sz="4" w:space="0" w:color="auto"/>
              <w:left w:val="single" w:sz="4" w:space="0" w:color="auto"/>
            </w:tcBorders>
            <w:shd w:val="clear" w:color="auto" w:fill="FFFFFF"/>
            <w:vAlign w:val="center"/>
          </w:tcPr>
          <w:p w14:paraId="533F6F1C"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Системы информирования пассажиров</w:t>
            </w:r>
          </w:p>
        </w:tc>
        <w:tc>
          <w:tcPr>
            <w:tcW w:w="1022" w:type="dxa"/>
            <w:tcBorders>
              <w:top w:val="single" w:sz="4" w:space="0" w:color="auto"/>
              <w:left w:val="single" w:sz="4" w:space="0" w:color="auto"/>
            </w:tcBorders>
            <w:shd w:val="clear" w:color="auto" w:fill="FFFFFF"/>
            <w:vAlign w:val="bottom"/>
          </w:tcPr>
          <w:p w14:paraId="439664A1"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w:t>
            </w:r>
          </w:p>
        </w:tc>
        <w:tc>
          <w:tcPr>
            <w:tcW w:w="1992" w:type="dxa"/>
            <w:tcBorders>
              <w:top w:val="single" w:sz="4" w:space="0" w:color="auto"/>
              <w:left w:val="single" w:sz="4" w:space="0" w:color="auto"/>
              <w:right w:val="single" w:sz="4" w:space="0" w:color="auto"/>
            </w:tcBorders>
            <w:shd w:val="clear" w:color="auto" w:fill="FFFFFF"/>
            <w:vAlign w:val="center"/>
          </w:tcPr>
          <w:p w14:paraId="7B9F5E0F"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35 001 200</w:t>
            </w:r>
          </w:p>
        </w:tc>
      </w:tr>
      <w:tr w:rsidR="00350396" w:rsidRPr="004E0FC4" w14:paraId="42580B1F" w14:textId="77777777" w:rsidTr="006D7F71">
        <w:trPr>
          <w:trHeight w:hRule="exact" w:val="336"/>
          <w:jc w:val="center"/>
        </w:trPr>
        <w:tc>
          <w:tcPr>
            <w:tcW w:w="3576" w:type="dxa"/>
            <w:tcBorders>
              <w:top w:val="single" w:sz="4" w:space="0" w:color="auto"/>
              <w:left w:val="single" w:sz="4" w:space="0" w:color="auto"/>
              <w:bottom w:val="single" w:sz="4" w:space="0" w:color="auto"/>
            </w:tcBorders>
            <w:shd w:val="clear" w:color="auto" w:fill="FFFFFF"/>
            <w:vAlign w:val="center"/>
          </w:tcPr>
          <w:p w14:paraId="0D2BEDDF"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Общий итог</w:t>
            </w:r>
          </w:p>
        </w:tc>
        <w:tc>
          <w:tcPr>
            <w:tcW w:w="1022" w:type="dxa"/>
            <w:tcBorders>
              <w:top w:val="single" w:sz="4" w:space="0" w:color="auto"/>
              <w:left w:val="single" w:sz="4" w:space="0" w:color="auto"/>
              <w:bottom w:val="single" w:sz="4" w:space="0" w:color="auto"/>
            </w:tcBorders>
            <w:shd w:val="clear" w:color="auto" w:fill="FFFFFF"/>
            <w:vAlign w:val="center"/>
          </w:tcPr>
          <w:p w14:paraId="69512DD2"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87</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14:paraId="6A57B8C3"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1 031 216 621</w:t>
            </w:r>
          </w:p>
        </w:tc>
      </w:tr>
    </w:tbl>
    <w:p w14:paraId="46AF8EE2"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p w14:paraId="58096026" w14:textId="77777777" w:rsidR="00350396" w:rsidRPr="004E0FC4" w:rsidRDefault="00350396" w:rsidP="004E0FC4">
      <w:pPr>
        <w:widowControl w:val="0"/>
        <w:spacing w:line="240" w:lineRule="auto"/>
        <w:ind w:firstLine="0"/>
        <w:rPr>
          <w:rFonts w:ascii="Bookman Old Style" w:hAnsi="Bookman Old Style"/>
          <w:sz w:val="18"/>
          <w:szCs w:val="18"/>
        </w:rPr>
      </w:pPr>
    </w:p>
    <w:p w14:paraId="7ABA68CB" w14:textId="77777777" w:rsidR="00350396" w:rsidRPr="004E0FC4" w:rsidRDefault="00350396" w:rsidP="004E0FC4">
      <w:pPr>
        <w:widowControl w:val="0"/>
        <w:spacing w:before="98"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Как указывается в Докладе, «масштабное развертывание стро</w:t>
      </w:r>
      <w:r w:rsidRPr="004E0FC4">
        <w:rPr>
          <w:rFonts w:ascii="Bookman Old Style" w:eastAsia="Bookman Old Style" w:hAnsi="Bookman Old Style" w:cs="Bookman Old Style"/>
          <w:color w:val="231F20"/>
          <w:sz w:val="18"/>
          <w:szCs w:val="18"/>
          <w:highlight w:val="red"/>
        </w:rPr>
        <w:softHyphen/>
        <w:t>ительства путепроводов станет безусловным трендом ближайших лет. Данные объекты подразумевают развитие множества сопут</w:t>
      </w:r>
      <w:r w:rsidRPr="004E0FC4">
        <w:rPr>
          <w:rFonts w:ascii="Bookman Old Style" w:eastAsia="Bookman Old Style" w:hAnsi="Bookman Old Style" w:cs="Bookman Old Style"/>
          <w:color w:val="231F20"/>
          <w:sz w:val="18"/>
          <w:szCs w:val="18"/>
          <w:highlight w:val="red"/>
        </w:rPr>
        <w:softHyphen/>
        <w:t>ствующих объектов, таких как авто- и железнодорожные станции, парковки, строительство развязок и подъездов, реконструкция близлежащих улиц, строительство многофункциональных комплек</w:t>
      </w:r>
      <w:r w:rsidRPr="004E0FC4">
        <w:rPr>
          <w:rFonts w:ascii="Bookman Old Style" w:eastAsia="Bookman Old Style" w:hAnsi="Bookman Old Style" w:cs="Bookman Old Style"/>
          <w:color w:val="231F20"/>
          <w:sz w:val="18"/>
          <w:szCs w:val="18"/>
          <w:highlight w:val="red"/>
        </w:rPr>
        <w:softHyphen/>
        <w:t>сов и т. д. Создание именно путепроводов позволит получить значи</w:t>
      </w:r>
      <w:r w:rsidRPr="004E0FC4">
        <w:rPr>
          <w:rFonts w:ascii="Bookman Old Style" w:eastAsia="Bookman Old Style" w:hAnsi="Bookman Old Style" w:cs="Bookman Old Style"/>
          <w:color w:val="231F20"/>
          <w:sz w:val="18"/>
          <w:szCs w:val="18"/>
          <w:highlight w:val="red"/>
        </w:rPr>
        <w:softHyphen/>
        <w:t>мый социально-экономический эффект для региона, а также стать примером для масштабирования такой практики на другие круп</w:t>
      </w:r>
      <w:r w:rsidRPr="004E0FC4">
        <w:rPr>
          <w:rFonts w:ascii="Bookman Old Style" w:eastAsia="Bookman Old Style" w:hAnsi="Bookman Old Style" w:cs="Bookman Old Style"/>
          <w:color w:val="231F20"/>
          <w:sz w:val="18"/>
          <w:szCs w:val="18"/>
          <w:highlight w:val="red"/>
        </w:rPr>
        <w:softHyphen/>
        <w:t>ные регионы.</w:t>
      </w:r>
    </w:p>
    <w:p w14:paraId="5C532F8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2017 г. было заключено 17 соглашений о строительстве ТПУ в </w:t>
      </w:r>
      <w:r w:rsidRPr="004E0FC4">
        <w:rPr>
          <w:rFonts w:ascii="Bookman Old Style" w:eastAsia="Bookman Old Style" w:hAnsi="Bookman Old Style" w:cs="Bookman Old Style"/>
          <w:color w:val="231F20"/>
          <w:sz w:val="18"/>
          <w:szCs w:val="18"/>
        </w:rPr>
        <w:lastRenderedPageBreak/>
        <w:t>Москве. Транспортные проекты ГЧП Московского региона в по</w:t>
      </w:r>
      <w:r w:rsidRPr="004E0FC4">
        <w:rPr>
          <w:rFonts w:ascii="Bookman Old Style" w:eastAsia="Bookman Old Style" w:hAnsi="Bookman Old Style" w:cs="Bookman Old Style"/>
          <w:color w:val="231F20"/>
          <w:sz w:val="18"/>
          <w:szCs w:val="18"/>
        </w:rPr>
        <w:softHyphen/>
        <w:t>следние годы выводят данный регион в лидеры по России и вклю</w:t>
      </w:r>
      <w:r w:rsidRPr="004E0FC4">
        <w:rPr>
          <w:rFonts w:ascii="Bookman Old Style" w:eastAsia="Bookman Old Style" w:hAnsi="Bookman Old Style" w:cs="Bookman Old Style"/>
          <w:color w:val="231F20"/>
          <w:sz w:val="18"/>
          <w:szCs w:val="18"/>
        </w:rPr>
        <w:softHyphen/>
        <w:t>чают: развитие Московского автотранспортного узла (МАУ), созда</w:t>
      </w:r>
      <w:r w:rsidRPr="004E0FC4">
        <w:rPr>
          <w:rFonts w:ascii="Bookman Old Style" w:eastAsia="Bookman Old Style" w:hAnsi="Bookman Old Style" w:cs="Bookman Old Style"/>
          <w:color w:val="231F20"/>
          <w:sz w:val="18"/>
          <w:szCs w:val="18"/>
        </w:rPr>
        <w:softHyphen/>
        <w:t>ние легкорельсового трамвая (ЛРТ), строительство Центральной кольцевой автодороги (ЦКАД) и др., а также проекты значительно меньшей стоимости — сооружение путепроводов, региональных ав</w:t>
      </w:r>
      <w:r w:rsidRPr="004E0FC4">
        <w:rPr>
          <w:rFonts w:ascii="Bookman Old Style" w:eastAsia="Bookman Old Style" w:hAnsi="Bookman Old Style" w:cs="Bookman Old Style"/>
          <w:color w:val="231F20"/>
          <w:sz w:val="18"/>
          <w:szCs w:val="18"/>
        </w:rPr>
        <w:softHyphen/>
        <w:t>томобильных дорог, парковок, пешеходных переходов над железно</w:t>
      </w:r>
      <w:r w:rsidRPr="004E0FC4">
        <w:rPr>
          <w:rFonts w:ascii="Bookman Old Style" w:eastAsia="Bookman Old Style" w:hAnsi="Bookman Old Style" w:cs="Bookman Old Style"/>
          <w:color w:val="231F20"/>
          <w:sz w:val="18"/>
          <w:szCs w:val="18"/>
        </w:rPr>
        <w:softHyphen/>
        <w:t>дорожными путями и дорогами.</w:t>
      </w:r>
    </w:p>
    <w:p w14:paraId="7E532A9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Новый виток развития в 2017 г. получила железнодорожная от</w:t>
      </w:r>
      <w:r w:rsidRPr="004E0FC4">
        <w:rPr>
          <w:rFonts w:ascii="Bookman Old Style" w:eastAsia="Bookman Old Style" w:hAnsi="Bookman Old Style" w:cs="Bookman Old Style"/>
          <w:color w:val="231F20"/>
          <w:sz w:val="18"/>
          <w:szCs w:val="18"/>
        </w:rPr>
        <w:softHyphen/>
        <w:t>расль. Предложение о заключении концессионного соглашения на финансирование, создание и эксплуатацию Уральской высоко</w:t>
      </w:r>
      <w:r w:rsidRPr="004E0FC4">
        <w:rPr>
          <w:rFonts w:ascii="Bookman Old Style" w:eastAsia="Bookman Old Style" w:hAnsi="Bookman Old Style" w:cs="Bookman Old Style"/>
          <w:color w:val="231F20"/>
          <w:sz w:val="18"/>
          <w:szCs w:val="18"/>
        </w:rPr>
        <w:softHyphen/>
        <w:t>скоростной магистрали подало хозяйственное партнерство «Ураль</w:t>
      </w:r>
      <w:r w:rsidRPr="004E0FC4">
        <w:rPr>
          <w:rFonts w:ascii="Bookman Old Style" w:eastAsia="Bookman Old Style" w:hAnsi="Bookman Old Style" w:cs="Bookman Old Style"/>
          <w:color w:val="231F20"/>
          <w:sz w:val="18"/>
          <w:szCs w:val="18"/>
        </w:rPr>
        <w:softHyphen/>
        <w:t>ская скоростная магистраль» в декабре 2017 г. Строительство высо</w:t>
      </w:r>
      <w:r w:rsidRPr="004E0FC4">
        <w:rPr>
          <w:rFonts w:ascii="Bookman Old Style" w:eastAsia="Bookman Old Style" w:hAnsi="Bookman Old Style" w:cs="Bookman Old Style"/>
          <w:color w:val="231F20"/>
          <w:sz w:val="18"/>
          <w:szCs w:val="18"/>
        </w:rPr>
        <w:softHyphen/>
        <w:t xml:space="preserve">коскоростной магистрали «Челябинск — Екатеринбург» объединит потенциал двух уральских </w:t>
      </w:r>
      <w:r w:rsidRPr="004E0FC4">
        <w:rPr>
          <w:rFonts w:ascii="Bookman Old Style" w:eastAsia="Bookman Old Style" w:hAnsi="Bookman Old Style" w:cs="Bookman Old Style"/>
          <w:color w:val="231F20"/>
          <w:sz w:val="18"/>
          <w:szCs w:val="18"/>
          <w:highlight w:val="green"/>
        </w:rPr>
        <w:t>городов-</w:t>
      </w:r>
      <w:r w:rsidRPr="004E0FC4">
        <w:rPr>
          <w:rFonts w:ascii="Bookman Old Style" w:eastAsia="Bookman Old Style" w:hAnsi="Bookman Old Style" w:cs="Bookman Old Style"/>
          <w:color w:val="231F20"/>
          <w:sz w:val="18"/>
          <w:szCs w:val="18"/>
        </w:rPr>
        <w:t>миллионников. Проект предполагает 32-летний срок реализации и включает создание новой высоко</w:t>
      </w:r>
      <w:r w:rsidRPr="004E0FC4">
        <w:rPr>
          <w:rFonts w:ascii="Bookman Old Style" w:eastAsia="Bookman Old Style" w:hAnsi="Bookman Old Style" w:cs="Bookman Old Style"/>
          <w:color w:val="231F20"/>
          <w:sz w:val="18"/>
          <w:szCs w:val="18"/>
        </w:rPr>
        <w:softHyphen/>
        <w:t>скоростной железнодорожной магистрали (ВСМ) протяженностью около 209 км и сопутствующей инфраструктуры.</w:t>
      </w:r>
      <w:r w:rsidRPr="004E0FC4">
        <w:rPr>
          <w:rFonts w:ascii="Bookman Old Style" w:hAnsi="Bookman Old Style"/>
          <w:sz w:val="18"/>
          <w:szCs w:val="18"/>
        </w:rPr>
        <w:t xml:space="preserve"> </w:t>
      </w:r>
      <w:r w:rsidRPr="004E0FC4">
        <w:rPr>
          <w:rFonts w:ascii="Bookman Old Style" w:eastAsia="Bookman Old Style" w:hAnsi="Bookman Old Style" w:cs="Bookman Old Style"/>
          <w:color w:val="231F20"/>
          <w:sz w:val="18"/>
          <w:szCs w:val="18"/>
          <w:highlight w:val="green"/>
        </w:rPr>
        <w:t>Стоимость ВСМ оценена в 365,9 млрд рублей, строительство запланировано на 2021—2025 годы. Благодаря ВСМ время в пути между Челябинском и Екатеринбургом займет один час 10 минут</w:t>
      </w:r>
    </w:p>
    <w:p w14:paraId="5795561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марте 2018 г. Правительство Ямало-Ненецкого автономного округа и ООО «Уренгой-аэроинвест», входящее в холдинг «Аэропор</w:t>
      </w:r>
      <w:r w:rsidRPr="004E0FC4">
        <w:rPr>
          <w:rFonts w:ascii="Bookman Old Style" w:eastAsia="Bookman Old Style" w:hAnsi="Bookman Old Style" w:cs="Bookman Old Style"/>
          <w:color w:val="231F20"/>
          <w:sz w:val="18"/>
          <w:szCs w:val="18"/>
        </w:rPr>
        <w:softHyphen/>
        <w:t>ты Регионов», подписали концессионное соглашение о модерниза-ции аэропорта в Новом Уренгое. Проект предусматривает возведе</w:t>
      </w:r>
      <w:r w:rsidRPr="004E0FC4">
        <w:rPr>
          <w:rFonts w:ascii="Bookman Old Style" w:eastAsia="Bookman Old Style" w:hAnsi="Bookman Old Style" w:cs="Bookman Old Style"/>
          <w:color w:val="231F20"/>
          <w:sz w:val="18"/>
          <w:szCs w:val="18"/>
        </w:rPr>
        <w:softHyphen/>
        <w:t>ние в аэропорту «нового пассажирского терминала, отвечающего современным требованиям, обустройство парковочного простран</w:t>
      </w:r>
      <w:r w:rsidRPr="004E0FC4">
        <w:rPr>
          <w:rFonts w:ascii="Bookman Old Style" w:eastAsia="Bookman Old Style" w:hAnsi="Bookman Old Style" w:cs="Bookman Old Style"/>
          <w:color w:val="231F20"/>
          <w:sz w:val="18"/>
          <w:szCs w:val="18"/>
        </w:rPr>
        <w:softHyphen/>
        <w:t>ства и привокзальной площади, а также полноценную реконструк</w:t>
      </w:r>
      <w:r w:rsidRPr="004E0FC4">
        <w:rPr>
          <w:rFonts w:ascii="Bookman Old Style" w:eastAsia="Bookman Old Style" w:hAnsi="Bookman Old Style" w:cs="Bookman Old Style"/>
          <w:color w:val="231F20"/>
          <w:sz w:val="18"/>
          <w:szCs w:val="18"/>
        </w:rPr>
        <w:softHyphen/>
        <w:t>цию аэродрома. Объем инвестиций компании в модернизацию аэ</w:t>
      </w:r>
      <w:r w:rsidRPr="004E0FC4">
        <w:rPr>
          <w:rFonts w:ascii="Bookman Old Style" w:eastAsia="Bookman Old Style" w:hAnsi="Bookman Old Style" w:cs="Bookman Old Style"/>
          <w:color w:val="231F20"/>
          <w:sz w:val="18"/>
          <w:szCs w:val="18"/>
        </w:rPr>
        <w:softHyphen/>
        <w:t>ропорта на первом этапе превысит 7,2 млрд руб.»</w:t>
      </w:r>
      <w:r w:rsidRPr="004E0FC4">
        <w:rPr>
          <w:rFonts w:ascii="Bookman Old Style" w:eastAsia="Bookman Old Style" w:hAnsi="Bookman Old Style" w:cs="Bookman Old Style"/>
          <w:color w:val="231F20"/>
          <w:sz w:val="18"/>
          <w:szCs w:val="18"/>
          <w:highlight w:val="red"/>
          <w:vertAlign w:val="superscript"/>
        </w:rPr>
        <w:footnoteReference w:id="128"/>
      </w:r>
      <w:r w:rsidRPr="004E0FC4">
        <w:rPr>
          <w:rFonts w:ascii="Bookman Old Style" w:eastAsia="Bookman Old Style" w:hAnsi="Bookman Old Style" w:cs="Bookman Old Style"/>
          <w:color w:val="231F20"/>
          <w:sz w:val="18"/>
          <w:szCs w:val="18"/>
          <w:highlight w:val="red"/>
        </w:rPr>
        <w:t>.</w:t>
      </w:r>
    </w:p>
    <w:p w14:paraId="17159B89"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green"/>
        </w:rPr>
        <w:t>Не все заявленные проекты реализуются в намеченные сроки. В Санкт-Петербурге</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Готовятся</w:t>
      </w:r>
      <w:r w:rsidRPr="004E0FC4">
        <w:rPr>
          <w:rFonts w:ascii="Bookman Old Style" w:eastAsia="Bookman Old Style" w:hAnsi="Bookman Old Style" w:cs="Bookman Old Style"/>
          <w:color w:val="231F20"/>
          <w:sz w:val="18"/>
          <w:szCs w:val="18"/>
        </w:rPr>
        <w:t xml:space="preserve"> к запуску в 2019—2020 гг. </w:t>
      </w:r>
      <w:r w:rsidRPr="004E0FC4">
        <w:rPr>
          <w:rFonts w:ascii="Bookman Old Style" w:eastAsia="Bookman Old Style" w:hAnsi="Bookman Old Style" w:cs="Bookman Old Style"/>
          <w:color w:val="231F20"/>
          <w:sz w:val="18"/>
          <w:szCs w:val="18"/>
          <w:highlight w:val="green"/>
        </w:rPr>
        <w:t>были подготовлены</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в частности,</w:t>
      </w:r>
      <w:r w:rsidRPr="004E0FC4">
        <w:rPr>
          <w:rFonts w:ascii="Bookman Old Style" w:eastAsia="Bookman Old Style" w:hAnsi="Bookman Old Style" w:cs="Bookman Old Style"/>
          <w:color w:val="231F20"/>
          <w:sz w:val="18"/>
          <w:szCs w:val="18"/>
        </w:rPr>
        <w:t xml:space="preserve"> следующие проекты </w:t>
      </w:r>
      <w:r w:rsidRPr="004E0FC4">
        <w:rPr>
          <w:rFonts w:ascii="Bookman Old Style" w:eastAsia="Bookman Old Style" w:hAnsi="Bookman Old Style" w:cs="Bookman Old Style"/>
          <w:color w:val="231F20"/>
          <w:sz w:val="18"/>
          <w:szCs w:val="18"/>
          <w:highlight w:val="green"/>
        </w:rPr>
        <w:t>ГЧП в сфере транспорта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(выход на коммерческое закрытие)</w:t>
      </w:r>
      <w:r w:rsidRPr="004E0FC4">
        <w:rPr>
          <w:rFonts w:ascii="Bookman Old Style" w:eastAsia="Bookman Old Style" w:hAnsi="Bookman Old Style" w:cs="Bookman Old Style"/>
          <w:color w:val="231F20"/>
          <w:sz w:val="18"/>
          <w:szCs w:val="18"/>
        </w:rPr>
        <w:t>.</w:t>
      </w:r>
    </w:p>
    <w:p w14:paraId="32FC9A0E" w14:textId="77777777" w:rsidR="00350396" w:rsidRPr="004E0FC4" w:rsidRDefault="00350396" w:rsidP="004E0FC4">
      <w:pPr>
        <w:widowControl w:val="0"/>
        <w:numPr>
          <w:ilvl w:val="0"/>
          <w:numId w:val="67"/>
        </w:numPr>
        <w:tabs>
          <w:tab w:val="left" w:pos="62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Создание и эксплуатация трамвайной сети по маршруту «станция метро “Купчино” — пос. Шушары — Славянка» в Санкт- Петербурге. Стоимость — 25,9 млрд руб.</w:t>
      </w:r>
    </w:p>
    <w:p w14:paraId="1FAEE946" w14:textId="77777777" w:rsidR="00350396" w:rsidRPr="004E0FC4" w:rsidRDefault="00350396" w:rsidP="004E0FC4">
      <w:pPr>
        <w:widowControl w:val="0"/>
        <w:numPr>
          <w:ilvl w:val="0"/>
          <w:numId w:val="67"/>
        </w:numPr>
        <w:tabs>
          <w:tab w:val="left" w:pos="62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Создание и эксплуатация трамвайной сети по маршруту «г. Петергоф — станция метро “Кировский завод” (“Путиловская”)» на территории Санкт-Петербурга. Стоимость — 14,4 млрд руб.</w:t>
      </w:r>
    </w:p>
    <w:p w14:paraId="1437E246" w14:textId="77777777" w:rsidR="00350396" w:rsidRPr="004E0FC4" w:rsidRDefault="00350396" w:rsidP="004E0FC4">
      <w:pPr>
        <w:widowControl w:val="0"/>
        <w:numPr>
          <w:ilvl w:val="0"/>
          <w:numId w:val="67"/>
        </w:numPr>
        <w:tabs>
          <w:tab w:val="left" w:pos="629"/>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Создание, реконструкция и эксплуатация объектов, входящих в систему фотовидеофиксации нарушений правил дорожного дви</w:t>
      </w:r>
      <w:r w:rsidRPr="004E0FC4">
        <w:rPr>
          <w:rFonts w:ascii="Bookman Old Style" w:eastAsia="Bookman Old Style" w:hAnsi="Bookman Old Style" w:cs="Bookman Old Style"/>
          <w:color w:val="231F20"/>
          <w:sz w:val="18"/>
          <w:szCs w:val="18"/>
        </w:rPr>
        <w:softHyphen/>
        <w:t>жения (ПДД) в Санкт-Петербурге. Стоимость — 28,7 млрд руб.»</w:t>
      </w:r>
      <w:r w:rsidRPr="004E0FC4">
        <w:rPr>
          <w:rFonts w:ascii="Bookman Old Style" w:eastAsia="Bookman Old Style" w:hAnsi="Bookman Old Style" w:cs="Bookman Old Style"/>
          <w:color w:val="231F20"/>
          <w:sz w:val="18"/>
          <w:szCs w:val="18"/>
          <w:highlight w:val="red"/>
          <w:vertAlign w:val="superscript"/>
        </w:rPr>
        <w:t>2</w:t>
      </w:r>
      <w:r w:rsidRPr="004E0FC4">
        <w:rPr>
          <w:rFonts w:ascii="Bookman Old Style" w:eastAsia="Bookman Old Style" w:hAnsi="Bookman Old Style" w:cs="Bookman Old Style"/>
          <w:color w:val="231F20"/>
          <w:sz w:val="18"/>
          <w:szCs w:val="18"/>
          <w:highlight w:val="red"/>
        </w:rPr>
        <w:t>.</w:t>
      </w:r>
    </w:p>
    <w:p w14:paraId="3EF0419D"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Однако, сроки их реализации были перенесены на 2023-2025 годы.</w:t>
      </w:r>
      <w:r w:rsidRPr="004E0FC4">
        <w:rPr>
          <w:rFonts w:ascii="Bookman Old Style" w:eastAsia="Bookman Old Style" w:hAnsi="Bookman Old Style" w:cs="Bookman Old Style"/>
          <w:color w:val="231F20"/>
          <w:sz w:val="18"/>
          <w:szCs w:val="18"/>
        </w:rPr>
        <w:t xml:space="preserve"> </w:t>
      </w:r>
    </w:p>
    <w:p w14:paraId="221207FE" w14:textId="77777777" w:rsidR="00350396" w:rsidRPr="004E0FC4" w:rsidRDefault="00350396" w:rsidP="004E0FC4">
      <w:pPr>
        <w:widowControl w:val="0"/>
        <w:spacing w:line="240" w:lineRule="auto"/>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С 2013 года многократно откладывался и вновь возобновлялся проект создания линии высокоскоростного железнодорожного сообщения Москва-Санкт-Петербург. На сентябрь 2022 года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применение того или иного формата ГЧП к данному проекту не согласовано</w:t>
      </w:r>
      <w:r w:rsidRPr="004E0FC4">
        <w:rPr>
          <w:rFonts w:ascii="Bookman Old Style" w:eastAsia="Bookman Old Style" w:hAnsi="Bookman Old Style" w:cs="Bookman Old Style"/>
          <w:color w:val="231F20"/>
          <w:sz w:val="18"/>
          <w:szCs w:val="18"/>
          <w:highlight w:val="green"/>
          <w:vertAlign w:val="superscript"/>
        </w:rPr>
        <w:footnoteReference w:id="129"/>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w:t>
      </w:r>
    </w:p>
    <w:p w14:paraId="28C95A97"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Другой привлекательной для государства сферой развития ГЧП </w:t>
      </w:r>
      <w:r w:rsidRPr="004E0FC4">
        <w:rPr>
          <w:rFonts w:ascii="Bookman Old Style" w:eastAsia="Bookman Old Style" w:hAnsi="Bookman Old Style" w:cs="Bookman Old Style"/>
          <w:color w:val="231F20"/>
          <w:sz w:val="18"/>
          <w:szCs w:val="18"/>
        </w:rPr>
        <w:lastRenderedPageBreak/>
        <w:t xml:space="preserve">является жилищно-коммунальное хозяйство. </w:t>
      </w:r>
      <w:r w:rsidRPr="004E0FC4">
        <w:rPr>
          <w:rFonts w:ascii="Bookman Old Style" w:eastAsia="Bookman Old Style" w:hAnsi="Bookman Old Style" w:cs="Bookman Old Style"/>
          <w:color w:val="231F20"/>
          <w:sz w:val="18"/>
          <w:szCs w:val="18"/>
          <w:highlight w:val="red"/>
        </w:rPr>
        <w:t>Основные проблемы ЖКХ в России — недостаток бюджетных ресурсов, их неэффектив</w:t>
      </w:r>
      <w:r w:rsidRPr="004E0FC4">
        <w:rPr>
          <w:rFonts w:ascii="Bookman Old Style" w:eastAsia="Bookman Old Style" w:hAnsi="Bookman Old Style" w:cs="Bookman Old Style"/>
          <w:color w:val="231F20"/>
          <w:sz w:val="18"/>
          <w:szCs w:val="18"/>
          <w:highlight w:val="red"/>
        </w:rPr>
        <w:softHyphen/>
        <w:t>ное использование.</w:t>
      </w:r>
      <w:r w:rsidRPr="004E0FC4">
        <w:rPr>
          <w:rFonts w:ascii="Bookman Old Style" w:eastAsia="Bookman Old Style" w:hAnsi="Bookman Old Style" w:cs="Bookman Old Style"/>
          <w:color w:val="231F20"/>
          <w:sz w:val="18"/>
          <w:szCs w:val="18"/>
        </w:rPr>
        <w:t xml:space="preserve"> </w:t>
      </w:r>
    </w:p>
    <w:p w14:paraId="4FA518FD"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Разработано множество проектов привлечения частных операторов к управлению ЖКХ через механизм концессий.</w:t>
      </w:r>
      <w:r w:rsidRPr="004E0FC4">
        <w:rPr>
          <w:rFonts w:ascii="Bookman Old Style" w:eastAsia="Bookman Old Style" w:hAnsi="Bookman Old Style" w:cs="Bookman Old Style"/>
          <w:color w:val="231F20"/>
          <w:sz w:val="18"/>
          <w:szCs w:val="18"/>
          <w:highlight w:val="green"/>
        </w:rPr>
        <w:t xml:space="preserve"> В одной из немногих работ российских авторов, получивших международное признание, по вопросам регулирования и управления проектами ГЧП в России под редакцией О.В. Иванова и А.О. Иншаковой «Государственно-частное партнёрство в России. Институциональные механизмы и передовая практика»</w:t>
      </w:r>
      <w:r w:rsidRPr="004E0FC4">
        <w:rPr>
          <w:rFonts w:ascii="Bookman Old Style" w:eastAsia="Bookman Old Style" w:hAnsi="Bookman Old Style" w:cs="Bookman Old Style"/>
          <w:color w:val="231F20"/>
          <w:sz w:val="18"/>
          <w:szCs w:val="18"/>
          <w:highlight w:val="green"/>
          <w:vertAlign w:val="superscript"/>
        </w:rPr>
        <w:footnoteReference w:id="130"/>
      </w:r>
      <w:r w:rsidRPr="004E0FC4">
        <w:rPr>
          <w:rFonts w:ascii="Bookman Old Style" w:eastAsia="Bookman Old Style" w:hAnsi="Bookman Old Style" w:cs="Bookman Old Style"/>
          <w:color w:val="231F20"/>
          <w:sz w:val="18"/>
          <w:szCs w:val="18"/>
          <w:highlight w:val="green"/>
        </w:rPr>
        <w:t xml:space="preserve">, отмечено, что такой подход вызвал «взрывной росте ГЧП в сфере ЖКХ». В то же время, другие авторы призывают учитывать, что данный рост в России объясняется </w:t>
      </w:r>
      <w:r w:rsidRPr="004E0FC4">
        <w:rPr>
          <w:rFonts w:ascii="Bookman Old Style" w:eastAsia="Bookman Old Style" w:hAnsi="Bookman Old Style" w:cs="Bookman Old Style"/>
          <w:i/>
          <w:color w:val="231F20"/>
          <w:sz w:val="18"/>
          <w:szCs w:val="18"/>
          <w:highlight w:val="green"/>
        </w:rPr>
        <w:t>искусственным переводом арендных соглашений в концессии</w:t>
      </w:r>
      <w:r w:rsidRPr="004E0FC4">
        <w:rPr>
          <w:rFonts w:ascii="Bookman Old Style" w:eastAsia="Bookman Old Style" w:hAnsi="Bookman Old Style" w:cs="Bookman Old Style"/>
          <w:color w:val="231F20"/>
          <w:sz w:val="18"/>
          <w:szCs w:val="18"/>
          <w:highlight w:val="green"/>
        </w:rPr>
        <w:t>, чего не знает международная практика ГЧП, и это, скорее, является недостатком существующей системы, когда без оценки проектов их формально на массовой основе «переводят» в модель ГЧП.</w:t>
      </w:r>
    </w:p>
    <w:p w14:paraId="0BBC7C5A"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Всего коммунальных проектов ГЧП в 2018 г. насчитывалось 2429 (82 % от общего числа всех проектов). Общий объем «законтрак</w:t>
      </w:r>
      <w:r w:rsidRPr="004E0FC4">
        <w:rPr>
          <w:rFonts w:ascii="Bookman Old Style" w:eastAsia="Bookman Old Style" w:hAnsi="Bookman Old Style" w:cs="Bookman Old Style"/>
          <w:color w:val="231F20"/>
          <w:sz w:val="18"/>
          <w:szCs w:val="18"/>
        </w:rPr>
        <w:softHyphen/>
        <w:t>тованных» в них инвестиционных обязательств (накопленным ито</w:t>
      </w:r>
      <w:r w:rsidRPr="004E0FC4">
        <w:rPr>
          <w:rFonts w:ascii="Bookman Old Style" w:eastAsia="Bookman Old Style" w:hAnsi="Bookman Old Style" w:cs="Bookman Old Style"/>
          <w:color w:val="231F20"/>
          <w:sz w:val="18"/>
          <w:szCs w:val="18"/>
        </w:rPr>
        <w:softHyphen/>
        <w:t xml:space="preserve">гом) составил </w:t>
      </w:r>
      <w:r w:rsidRPr="004E0FC4">
        <w:rPr>
          <w:rFonts w:ascii="Bookman Old Style" w:eastAsia="Bookman Old Style" w:hAnsi="Bookman Old Style" w:cs="Bookman Old Style"/>
          <w:color w:val="231F20"/>
          <w:sz w:val="18"/>
          <w:szCs w:val="18"/>
          <w:highlight w:val="green"/>
        </w:rPr>
        <w:t>на начало 2018 года</w:t>
      </w:r>
      <w:r w:rsidRPr="004E0FC4">
        <w:rPr>
          <w:rFonts w:ascii="Bookman Old Style" w:eastAsia="Bookman Old Style" w:hAnsi="Bookman Old Style" w:cs="Bookman Old Style"/>
          <w:color w:val="231F20"/>
          <w:sz w:val="18"/>
          <w:szCs w:val="18"/>
        </w:rPr>
        <w:t xml:space="preserve"> 488 млрд руб. (табл. 4.12).</w:t>
      </w:r>
    </w:p>
    <w:p w14:paraId="58FB4563"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color w:val="231F20"/>
          <w:sz w:val="18"/>
          <w:szCs w:val="18"/>
        </w:rPr>
        <w:t>Таблица 4.12</w:t>
      </w:r>
    </w:p>
    <w:p w14:paraId="3AA1C5C0"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Распределение проектов и частных инвестиций в реализуемые проекты ГЧП коммунальной сферы по отраслям</w:t>
      </w:r>
      <w:r w:rsidRPr="004E0FC4">
        <w:rPr>
          <w:rFonts w:ascii="Bookman Old Style" w:eastAsia="Arial Narrow" w:hAnsi="Bookman Old Style" w:cs="Arial Narrow"/>
          <w:b/>
          <w:bCs/>
          <w:color w:val="231F20"/>
          <w:sz w:val="18"/>
          <w:szCs w:val="18"/>
          <w:vertAlign w:val="superscript"/>
        </w:rPr>
        <w:t>3</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1008"/>
        <w:gridCol w:w="2453"/>
      </w:tblGrid>
      <w:tr w:rsidR="00350396" w:rsidRPr="004E0FC4" w14:paraId="192FFF1B" w14:textId="77777777" w:rsidTr="006D7F71">
        <w:trPr>
          <w:trHeight w:hRule="exact" w:val="802"/>
          <w:jc w:val="center"/>
        </w:trPr>
        <w:tc>
          <w:tcPr>
            <w:tcW w:w="3120" w:type="dxa"/>
            <w:tcBorders>
              <w:top w:val="single" w:sz="4" w:space="0" w:color="auto"/>
              <w:left w:val="single" w:sz="4" w:space="0" w:color="auto"/>
            </w:tcBorders>
            <w:shd w:val="clear" w:color="auto" w:fill="FFFFFF"/>
          </w:tcPr>
          <w:p w14:paraId="6B2C27F8"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Проекты ГЧП коммунально</w:t>
            </w:r>
            <w:r w:rsidRPr="004E0FC4">
              <w:rPr>
                <w:rFonts w:ascii="Bookman Old Style" w:eastAsia="Bookman Old Style" w:hAnsi="Bookman Old Style" w:cs="Bookman Old Style"/>
                <w:b/>
                <w:bCs/>
                <w:color w:val="231F20"/>
                <w:sz w:val="18"/>
                <w:szCs w:val="18"/>
              </w:rPr>
              <w:softHyphen/>
              <w:t>энергетической сферы</w:t>
            </w:r>
          </w:p>
        </w:tc>
        <w:tc>
          <w:tcPr>
            <w:tcW w:w="1008" w:type="dxa"/>
            <w:tcBorders>
              <w:top w:val="single" w:sz="4" w:space="0" w:color="auto"/>
              <w:left w:val="single" w:sz="4" w:space="0" w:color="auto"/>
            </w:tcBorders>
            <w:shd w:val="clear" w:color="auto" w:fill="FFFFFF"/>
            <w:vAlign w:val="center"/>
          </w:tcPr>
          <w:p w14:paraId="18065167"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w:t>
            </w:r>
            <w:r w:rsidRPr="004E0FC4">
              <w:rPr>
                <w:rFonts w:ascii="Bookman Old Style" w:eastAsia="Bookman Old Style" w:hAnsi="Bookman Old Style" w:cs="Bookman Old Style"/>
                <w:b/>
                <w:bCs/>
                <w:color w:val="231F20"/>
                <w:sz w:val="18"/>
                <w:szCs w:val="18"/>
              </w:rPr>
              <w:softHyphen/>
              <w:t>ство про</w:t>
            </w:r>
            <w:r w:rsidRPr="004E0FC4">
              <w:rPr>
                <w:rFonts w:ascii="Bookman Old Style" w:eastAsia="Bookman Old Style" w:hAnsi="Bookman Old Style" w:cs="Bookman Old Style"/>
                <w:b/>
                <w:bCs/>
                <w:color w:val="231F20"/>
                <w:sz w:val="18"/>
                <w:szCs w:val="18"/>
              </w:rPr>
              <w:softHyphen/>
              <w:t>ектов</w:t>
            </w:r>
          </w:p>
        </w:tc>
        <w:tc>
          <w:tcPr>
            <w:tcW w:w="2453" w:type="dxa"/>
            <w:tcBorders>
              <w:top w:val="single" w:sz="4" w:space="0" w:color="auto"/>
              <w:left w:val="single" w:sz="4" w:space="0" w:color="auto"/>
              <w:right w:val="single" w:sz="4" w:space="0" w:color="auto"/>
            </w:tcBorders>
            <w:shd w:val="clear" w:color="auto" w:fill="FFFFFF"/>
            <w:vAlign w:val="center"/>
          </w:tcPr>
          <w:p w14:paraId="456D9D15"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 частных инвести</w:t>
            </w:r>
            <w:r w:rsidRPr="004E0FC4">
              <w:rPr>
                <w:rFonts w:ascii="Bookman Old Style" w:eastAsia="Bookman Old Style" w:hAnsi="Bookman Old Style" w:cs="Bookman Old Style"/>
                <w:b/>
                <w:bCs/>
                <w:color w:val="231F20"/>
                <w:sz w:val="18"/>
                <w:szCs w:val="18"/>
              </w:rPr>
              <w:softHyphen/>
              <w:t>ций на инвестиционном этапе (тыс. руб.)</w:t>
            </w:r>
          </w:p>
        </w:tc>
      </w:tr>
      <w:tr w:rsidR="00350396" w:rsidRPr="004E0FC4" w14:paraId="526A578B" w14:textId="77777777" w:rsidTr="006D7F71">
        <w:trPr>
          <w:trHeight w:hRule="exact" w:val="442"/>
          <w:jc w:val="center"/>
        </w:trPr>
        <w:tc>
          <w:tcPr>
            <w:tcW w:w="3120" w:type="dxa"/>
            <w:tcBorders>
              <w:top w:val="single" w:sz="4" w:space="0" w:color="auto"/>
              <w:left w:val="single" w:sz="4" w:space="0" w:color="auto"/>
            </w:tcBorders>
            <w:shd w:val="clear" w:color="auto" w:fill="FFFFFF"/>
            <w:vAlign w:val="center"/>
          </w:tcPr>
          <w:p w14:paraId="615A656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Водоснабжение и водоотведение</w:t>
            </w:r>
          </w:p>
        </w:tc>
        <w:tc>
          <w:tcPr>
            <w:tcW w:w="1008" w:type="dxa"/>
            <w:tcBorders>
              <w:top w:val="single" w:sz="4" w:space="0" w:color="auto"/>
              <w:left w:val="single" w:sz="4" w:space="0" w:color="auto"/>
            </w:tcBorders>
            <w:shd w:val="clear" w:color="auto" w:fill="FFFFFF"/>
            <w:vAlign w:val="center"/>
          </w:tcPr>
          <w:p w14:paraId="63F216C2"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1063</w:t>
            </w:r>
          </w:p>
        </w:tc>
        <w:tc>
          <w:tcPr>
            <w:tcW w:w="2453" w:type="dxa"/>
            <w:tcBorders>
              <w:top w:val="single" w:sz="4" w:space="0" w:color="auto"/>
              <w:left w:val="single" w:sz="4" w:space="0" w:color="auto"/>
              <w:right w:val="single" w:sz="4" w:space="0" w:color="auto"/>
            </w:tcBorders>
            <w:shd w:val="clear" w:color="auto" w:fill="FFFFFF"/>
            <w:vAlign w:val="center"/>
          </w:tcPr>
          <w:p w14:paraId="595FFC9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169 683 435</w:t>
            </w:r>
          </w:p>
        </w:tc>
      </w:tr>
      <w:tr w:rsidR="00350396" w:rsidRPr="004E0FC4" w14:paraId="60C1232A" w14:textId="77777777" w:rsidTr="006D7F71">
        <w:trPr>
          <w:trHeight w:hRule="exact" w:val="355"/>
          <w:jc w:val="center"/>
        </w:trPr>
        <w:tc>
          <w:tcPr>
            <w:tcW w:w="3120" w:type="dxa"/>
            <w:tcBorders>
              <w:top w:val="single" w:sz="4" w:space="0" w:color="auto"/>
              <w:left w:val="single" w:sz="4" w:space="0" w:color="auto"/>
            </w:tcBorders>
            <w:shd w:val="clear" w:color="auto" w:fill="FFFFFF"/>
            <w:vAlign w:val="center"/>
          </w:tcPr>
          <w:p w14:paraId="54AD40CB"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Теплоснабжение</w:t>
            </w:r>
          </w:p>
        </w:tc>
        <w:tc>
          <w:tcPr>
            <w:tcW w:w="1008" w:type="dxa"/>
            <w:tcBorders>
              <w:top w:val="single" w:sz="4" w:space="0" w:color="auto"/>
              <w:left w:val="single" w:sz="4" w:space="0" w:color="auto"/>
            </w:tcBorders>
            <w:shd w:val="clear" w:color="auto" w:fill="FFFFFF"/>
            <w:vAlign w:val="center"/>
          </w:tcPr>
          <w:p w14:paraId="159B88A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1145</w:t>
            </w:r>
          </w:p>
        </w:tc>
        <w:tc>
          <w:tcPr>
            <w:tcW w:w="2453" w:type="dxa"/>
            <w:tcBorders>
              <w:top w:val="single" w:sz="4" w:space="0" w:color="auto"/>
              <w:left w:val="single" w:sz="4" w:space="0" w:color="auto"/>
              <w:right w:val="single" w:sz="4" w:space="0" w:color="auto"/>
            </w:tcBorders>
            <w:shd w:val="clear" w:color="auto" w:fill="FFFFFF"/>
            <w:vAlign w:val="center"/>
          </w:tcPr>
          <w:p w14:paraId="0AD677D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86 006 675</w:t>
            </w:r>
          </w:p>
        </w:tc>
      </w:tr>
      <w:tr w:rsidR="00350396" w:rsidRPr="004E0FC4" w14:paraId="49CDBA4D" w14:textId="77777777" w:rsidTr="006D7F71">
        <w:trPr>
          <w:trHeight w:hRule="exact" w:val="519"/>
          <w:jc w:val="center"/>
        </w:trPr>
        <w:tc>
          <w:tcPr>
            <w:tcW w:w="3120" w:type="dxa"/>
            <w:tcBorders>
              <w:top w:val="single" w:sz="4" w:space="0" w:color="auto"/>
              <w:left w:val="single" w:sz="4" w:space="0" w:color="auto"/>
            </w:tcBorders>
            <w:shd w:val="clear" w:color="auto" w:fill="FFFFFF"/>
            <w:vAlign w:val="center"/>
          </w:tcPr>
          <w:p w14:paraId="6C6EDFD7"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Обращение с твердыми комму</w:t>
            </w:r>
            <w:r w:rsidRPr="004E0FC4">
              <w:rPr>
                <w:rFonts w:ascii="Bookman Old Style" w:eastAsia="Bookman Old Style" w:hAnsi="Bookman Old Style" w:cs="Bookman Old Style"/>
                <w:color w:val="231F20"/>
                <w:sz w:val="18"/>
                <w:szCs w:val="18"/>
              </w:rPr>
              <w:softHyphen/>
              <w:t>нальными отходами</w:t>
            </w:r>
          </w:p>
        </w:tc>
        <w:tc>
          <w:tcPr>
            <w:tcW w:w="1008" w:type="dxa"/>
            <w:tcBorders>
              <w:top w:val="single" w:sz="4" w:space="0" w:color="auto"/>
              <w:left w:val="single" w:sz="4" w:space="0" w:color="auto"/>
            </w:tcBorders>
            <w:shd w:val="clear" w:color="auto" w:fill="FFFFFF"/>
          </w:tcPr>
          <w:p w14:paraId="748E364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65</w:t>
            </w:r>
          </w:p>
        </w:tc>
        <w:tc>
          <w:tcPr>
            <w:tcW w:w="2453" w:type="dxa"/>
            <w:tcBorders>
              <w:top w:val="single" w:sz="4" w:space="0" w:color="auto"/>
              <w:left w:val="single" w:sz="4" w:space="0" w:color="auto"/>
              <w:right w:val="single" w:sz="4" w:space="0" w:color="auto"/>
            </w:tcBorders>
            <w:shd w:val="clear" w:color="auto" w:fill="FFFFFF"/>
          </w:tcPr>
          <w:p w14:paraId="0EC5800A"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170 448 123</w:t>
            </w:r>
          </w:p>
        </w:tc>
      </w:tr>
      <w:tr w:rsidR="00350396" w:rsidRPr="004E0FC4" w14:paraId="32276FDA" w14:textId="77777777" w:rsidTr="006D7F71">
        <w:trPr>
          <w:trHeight w:hRule="exact" w:val="370"/>
          <w:jc w:val="center"/>
        </w:trPr>
        <w:tc>
          <w:tcPr>
            <w:tcW w:w="3120" w:type="dxa"/>
            <w:tcBorders>
              <w:top w:val="single" w:sz="4" w:space="0" w:color="auto"/>
              <w:left w:val="single" w:sz="4" w:space="0" w:color="auto"/>
              <w:bottom w:val="single" w:sz="4" w:space="0" w:color="auto"/>
            </w:tcBorders>
            <w:shd w:val="clear" w:color="auto" w:fill="FFFFFF"/>
            <w:vAlign w:val="center"/>
          </w:tcPr>
          <w:p w14:paraId="7470FE6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Электроснабжение</w:t>
            </w:r>
          </w:p>
        </w:tc>
        <w:tc>
          <w:tcPr>
            <w:tcW w:w="1008" w:type="dxa"/>
            <w:tcBorders>
              <w:top w:val="single" w:sz="4" w:space="0" w:color="auto"/>
              <w:left w:val="single" w:sz="4" w:space="0" w:color="auto"/>
              <w:bottom w:val="single" w:sz="4" w:space="0" w:color="auto"/>
            </w:tcBorders>
            <w:shd w:val="clear" w:color="auto" w:fill="FFFFFF"/>
            <w:vAlign w:val="center"/>
          </w:tcPr>
          <w:p w14:paraId="2DDD8F5D"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89</w:t>
            </w:r>
          </w:p>
        </w:tc>
        <w:tc>
          <w:tcPr>
            <w:tcW w:w="2453" w:type="dxa"/>
            <w:tcBorders>
              <w:top w:val="single" w:sz="4" w:space="0" w:color="auto"/>
              <w:left w:val="single" w:sz="4" w:space="0" w:color="auto"/>
              <w:bottom w:val="single" w:sz="4" w:space="0" w:color="auto"/>
              <w:right w:val="single" w:sz="4" w:space="0" w:color="auto"/>
            </w:tcBorders>
            <w:shd w:val="clear" w:color="auto" w:fill="FFFFFF"/>
            <w:vAlign w:val="center"/>
          </w:tcPr>
          <w:p w14:paraId="27D1AEB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58 661 866</w:t>
            </w:r>
          </w:p>
        </w:tc>
      </w:tr>
    </w:tbl>
    <w:p w14:paraId="2DFAD6D6" w14:textId="77777777" w:rsidR="00350396" w:rsidRPr="004E0FC4" w:rsidRDefault="00350396" w:rsidP="004E0FC4">
      <w:pPr>
        <w:framePr w:w="6581" w:wrap="notBeside" w:vAnchor="text" w:hAnchor="text" w:xAlign="center" w:y="1"/>
        <w:widowControl w:val="0"/>
        <w:numPr>
          <w:ilvl w:val="0"/>
          <w:numId w:val="68"/>
        </w:numPr>
        <w:tabs>
          <w:tab w:val="left" w:pos="469"/>
        </w:tabs>
        <w:spacing w:line="240" w:lineRule="auto"/>
        <w:rPr>
          <w:rFonts w:ascii="Bookman Old Style" w:hAnsi="Bookman Old Style"/>
          <w:sz w:val="18"/>
          <w:szCs w:val="18"/>
        </w:rPr>
      </w:pPr>
      <w:r w:rsidRPr="004E0FC4">
        <w:rPr>
          <w:rFonts w:ascii="Bookman Old Style" w:eastAsia="Bookman Old Style" w:hAnsi="Bookman Old Style" w:cs="Bookman Old Style"/>
          <w:color w:val="231F20"/>
          <w:sz w:val="18"/>
          <w:szCs w:val="18"/>
        </w:rPr>
        <w:t>Доклад. С. 34—3</w:t>
      </w:r>
      <w:r w:rsidRPr="004E0FC4">
        <w:rPr>
          <w:rFonts w:ascii="Bookman Old Style" w:eastAsia="Bookman Old Style" w:hAnsi="Bookman Old Style" w:cs="Bookman Old Style"/>
          <w:color w:val="231F20"/>
          <w:sz w:val="18"/>
          <w:szCs w:val="18"/>
          <w:highlight w:val="green"/>
        </w:rPr>
        <w:t>6</w:t>
      </w:r>
      <w:r w:rsidRPr="004E0FC4">
        <w:rPr>
          <w:rFonts w:ascii="Bookman Old Style" w:eastAsia="Bookman Old Style" w:hAnsi="Bookman Old Style" w:cs="Bookman Old Style"/>
          <w:color w:val="231F20"/>
          <w:sz w:val="18"/>
          <w:szCs w:val="18"/>
        </w:rPr>
        <w:t>.</w:t>
      </w:r>
    </w:p>
    <w:p w14:paraId="0B10A504" w14:textId="77777777" w:rsidR="00350396" w:rsidRPr="004E0FC4" w:rsidRDefault="00350396" w:rsidP="004E0FC4">
      <w:pPr>
        <w:framePr w:w="6581" w:wrap="notBeside" w:vAnchor="text" w:hAnchor="text" w:xAlign="center" w:y="1"/>
        <w:widowControl w:val="0"/>
        <w:numPr>
          <w:ilvl w:val="0"/>
          <w:numId w:val="68"/>
        </w:numPr>
        <w:tabs>
          <w:tab w:val="left" w:pos="451"/>
        </w:tabs>
        <w:spacing w:line="240" w:lineRule="auto"/>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 xml:space="preserve">Итоги 2018 ГЧП-года: проекты, события и инициативы. </w:t>
      </w:r>
      <w:r w:rsidRPr="004E0FC4">
        <w:rPr>
          <w:rFonts w:ascii="Bookman Old Style" w:eastAsia="Bookman Old Style" w:hAnsi="Bookman Old Style" w:cs="Bookman Old Style"/>
          <w:color w:val="231F20"/>
          <w:sz w:val="18"/>
          <w:szCs w:val="18"/>
          <w:highlight w:val="red"/>
          <w:lang w:val="en-US" w:eastAsia="en-US" w:bidi="en-US"/>
        </w:rPr>
        <w:t>URL</w:t>
      </w:r>
      <w:r w:rsidRPr="004E0FC4">
        <w:rPr>
          <w:rFonts w:ascii="Bookman Old Style" w:eastAsia="Bookman Old Style" w:hAnsi="Bookman Old Style" w:cs="Bookman Old Style"/>
          <w:color w:val="231F20"/>
          <w:sz w:val="18"/>
          <w:szCs w:val="18"/>
          <w:highlight w:val="red"/>
          <w:lang w:eastAsia="en-US" w:bidi="en-US"/>
        </w:rPr>
        <w:t xml:space="preserve">: </w:t>
      </w:r>
      <w:hyperlink r:id="rId63" w:history="1">
        <w:r w:rsidRPr="004E0FC4">
          <w:rPr>
            <w:rFonts w:ascii="Bookman Old Style" w:eastAsia="Bookman Old Style" w:hAnsi="Bookman Old Style" w:cs="Bookman Old Style"/>
            <w:color w:val="231F20"/>
            <w:sz w:val="18"/>
            <w:szCs w:val="18"/>
            <w:highlight w:val="red"/>
            <w:lang w:val="en-US" w:eastAsia="en-US" w:bidi="en-US"/>
          </w:rPr>
          <w:t>http</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www</w:t>
        </w:r>
      </w:hyperlink>
      <w:r w:rsidRPr="004E0FC4">
        <w:rPr>
          <w:rFonts w:ascii="Bookman Old Style" w:eastAsia="Bookman Old Style" w:hAnsi="Bookman Old Style" w:cs="Bookman Old Style"/>
          <w:color w:val="231F20"/>
          <w:sz w:val="18"/>
          <w:szCs w:val="18"/>
          <w:highlight w:val="red"/>
          <w:lang w:eastAsia="en-US" w:bidi="en-US"/>
        </w:rPr>
        <w:t xml:space="preserve">. </w:t>
      </w:r>
      <w:r w:rsidRPr="004E0FC4">
        <w:rPr>
          <w:rFonts w:ascii="Bookman Old Style" w:eastAsia="Bookman Old Style" w:hAnsi="Bookman Old Style" w:cs="Bookman Old Style"/>
          <w:color w:val="231F20"/>
          <w:sz w:val="18"/>
          <w:szCs w:val="18"/>
          <w:highlight w:val="red"/>
          <w:lang w:val="en-US" w:eastAsia="en-US" w:bidi="en-US"/>
        </w:rPr>
        <w:t>pppi</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ru</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news</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itogi</w:t>
      </w:r>
      <w:r w:rsidRPr="004E0FC4">
        <w:rPr>
          <w:rFonts w:ascii="Bookman Old Style" w:eastAsia="Bookman Old Style" w:hAnsi="Bookman Old Style" w:cs="Bookman Old Style"/>
          <w:color w:val="231F20"/>
          <w:sz w:val="18"/>
          <w:szCs w:val="18"/>
          <w:highlight w:val="red"/>
          <w:lang w:eastAsia="en-US" w:bidi="en-US"/>
        </w:rPr>
        <w:t>-2018-</w:t>
      </w:r>
      <w:r w:rsidRPr="004E0FC4">
        <w:rPr>
          <w:rFonts w:ascii="Bookman Old Style" w:eastAsia="Bookman Old Style" w:hAnsi="Bookman Old Style" w:cs="Bookman Old Style"/>
          <w:color w:val="231F20"/>
          <w:sz w:val="18"/>
          <w:szCs w:val="18"/>
          <w:highlight w:val="red"/>
          <w:lang w:val="en-US" w:eastAsia="en-US" w:bidi="en-US"/>
        </w:rPr>
        <w:t>gchp</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goda</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proekty</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sobytiya</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i</w:t>
      </w:r>
      <w:r w:rsidRPr="004E0FC4">
        <w:rPr>
          <w:rFonts w:ascii="Bookman Old Style" w:eastAsia="Bookman Old Style" w:hAnsi="Bookman Old Style" w:cs="Bookman Old Style"/>
          <w:color w:val="231F20"/>
          <w:sz w:val="18"/>
          <w:szCs w:val="18"/>
          <w:highlight w:val="red"/>
          <w:lang w:eastAsia="en-US" w:bidi="en-US"/>
        </w:rPr>
        <w:t>-</w:t>
      </w:r>
      <w:r w:rsidRPr="004E0FC4">
        <w:rPr>
          <w:rFonts w:ascii="Bookman Old Style" w:eastAsia="Bookman Old Style" w:hAnsi="Bookman Old Style" w:cs="Bookman Old Style"/>
          <w:color w:val="231F20"/>
          <w:sz w:val="18"/>
          <w:szCs w:val="18"/>
          <w:highlight w:val="red"/>
          <w:lang w:val="en-US" w:eastAsia="en-US" w:bidi="en-US"/>
        </w:rPr>
        <w:t>iniciativy</w:t>
      </w:r>
      <w:r w:rsidRPr="004E0FC4">
        <w:rPr>
          <w:rFonts w:ascii="Bookman Old Style" w:eastAsia="Bookman Old Style" w:hAnsi="Bookman Old Style" w:cs="Bookman Old Style"/>
          <w:color w:val="231F20"/>
          <w:sz w:val="18"/>
          <w:szCs w:val="18"/>
          <w:highlight w:val="red"/>
          <w:lang w:eastAsia="en-US" w:bidi="en-US"/>
        </w:rPr>
        <w:t xml:space="preserve"> </w:t>
      </w:r>
      <w:r w:rsidRPr="004E0FC4">
        <w:rPr>
          <w:rFonts w:ascii="Bookman Old Style" w:eastAsia="Bookman Old Style" w:hAnsi="Bookman Old Style" w:cs="Bookman Old Style"/>
          <w:color w:val="231F20"/>
          <w:sz w:val="18"/>
          <w:szCs w:val="18"/>
          <w:highlight w:val="red"/>
        </w:rPr>
        <w:t>(дата обращения: 31.01.2019).</w:t>
      </w:r>
    </w:p>
    <w:p w14:paraId="189732B1" w14:textId="77777777" w:rsidR="00350396" w:rsidRPr="004E0FC4" w:rsidRDefault="00350396" w:rsidP="004E0FC4">
      <w:pPr>
        <w:framePr w:w="6581" w:wrap="notBeside" w:vAnchor="text" w:hAnchor="text" w:xAlign="center" w:y="1"/>
        <w:widowControl w:val="0"/>
        <w:numPr>
          <w:ilvl w:val="0"/>
          <w:numId w:val="68"/>
        </w:numPr>
        <w:tabs>
          <w:tab w:val="left" w:pos="474"/>
        </w:tabs>
        <w:spacing w:line="240" w:lineRule="auto"/>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Доклад. С. 36.</w:t>
      </w:r>
    </w:p>
    <w:p w14:paraId="7B807887"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0A9CD725" w14:textId="77777777" w:rsidR="00350396" w:rsidRPr="004E0FC4" w:rsidRDefault="00350396" w:rsidP="004E0FC4">
      <w:pPr>
        <w:widowControl w:val="0"/>
        <w:spacing w:line="240" w:lineRule="auto"/>
        <w:ind w:firstLine="0"/>
        <w:rPr>
          <w:rFonts w:ascii="Bookman Old Style" w:hAnsi="Bookman Old Style"/>
          <w:sz w:val="18"/>
          <w:szCs w:val="18"/>
        </w:rPr>
      </w:pPr>
    </w:p>
    <w:p w14:paraId="3DF662E9"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headerReference w:type="default" r:id="rId64"/>
          <w:footerReference w:type="even" r:id="rId65"/>
          <w:footerReference w:type="default" r:id="rId66"/>
          <w:headerReference w:type="first" r:id="rId67"/>
          <w:footerReference w:type="first" r:id="rId68"/>
          <w:pgSz w:w="8789" w:h="13493"/>
          <w:pgMar w:top="953" w:right="1075" w:bottom="953" w:left="107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20"/>
        <w:gridCol w:w="1008"/>
        <w:gridCol w:w="2453"/>
      </w:tblGrid>
      <w:tr w:rsidR="00350396" w:rsidRPr="004E0FC4" w14:paraId="2AE638D6" w14:textId="77777777" w:rsidTr="006D7F71">
        <w:trPr>
          <w:trHeight w:hRule="exact" w:val="806"/>
          <w:jc w:val="center"/>
        </w:trPr>
        <w:tc>
          <w:tcPr>
            <w:tcW w:w="3120" w:type="dxa"/>
            <w:tcBorders>
              <w:top w:val="single" w:sz="4" w:space="0" w:color="auto"/>
              <w:left w:val="single" w:sz="4" w:space="0" w:color="auto"/>
            </w:tcBorders>
            <w:shd w:val="clear" w:color="auto" w:fill="FFFFFF"/>
          </w:tcPr>
          <w:p w14:paraId="303D4E86"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Проекты ГЧП коммунально</w:t>
            </w:r>
            <w:r w:rsidRPr="004E0FC4">
              <w:rPr>
                <w:rFonts w:ascii="Bookman Old Style" w:eastAsia="Bookman Old Style" w:hAnsi="Bookman Old Style" w:cs="Bookman Old Style"/>
                <w:b/>
                <w:bCs/>
                <w:color w:val="231F20"/>
                <w:sz w:val="18"/>
                <w:szCs w:val="18"/>
              </w:rPr>
              <w:softHyphen/>
              <w:t>энергетической сферы</w:t>
            </w:r>
          </w:p>
        </w:tc>
        <w:tc>
          <w:tcPr>
            <w:tcW w:w="1008" w:type="dxa"/>
            <w:tcBorders>
              <w:top w:val="single" w:sz="4" w:space="0" w:color="auto"/>
              <w:left w:val="single" w:sz="4" w:space="0" w:color="auto"/>
            </w:tcBorders>
            <w:shd w:val="clear" w:color="auto" w:fill="FFFFFF"/>
            <w:vAlign w:val="center"/>
          </w:tcPr>
          <w:p w14:paraId="3AFA4844"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Количе</w:t>
            </w:r>
            <w:r w:rsidRPr="004E0FC4">
              <w:rPr>
                <w:rFonts w:ascii="Bookman Old Style" w:eastAsia="Bookman Old Style" w:hAnsi="Bookman Old Style" w:cs="Bookman Old Style"/>
                <w:b/>
                <w:bCs/>
                <w:color w:val="231F20"/>
                <w:sz w:val="18"/>
                <w:szCs w:val="18"/>
              </w:rPr>
              <w:softHyphen/>
              <w:t>ство про</w:t>
            </w:r>
            <w:r w:rsidRPr="004E0FC4">
              <w:rPr>
                <w:rFonts w:ascii="Bookman Old Style" w:eastAsia="Bookman Old Style" w:hAnsi="Bookman Old Style" w:cs="Bookman Old Style"/>
                <w:b/>
                <w:bCs/>
                <w:color w:val="231F20"/>
                <w:sz w:val="18"/>
                <w:szCs w:val="18"/>
              </w:rPr>
              <w:softHyphen/>
              <w:t>ектов</w:t>
            </w:r>
          </w:p>
        </w:tc>
        <w:tc>
          <w:tcPr>
            <w:tcW w:w="2453" w:type="dxa"/>
            <w:tcBorders>
              <w:top w:val="single" w:sz="4" w:space="0" w:color="auto"/>
              <w:left w:val="single" w:sz="4" w:space="0" w:color="auto"/>
              <w:right w:val="single" w:sz="4" w:space="0" w:color="auto"/>
            </w:tcBorders>
            <w:shd w:val="clear" w:color="auto" w:fill="FFFFFF"/>
            <w:vAlign w:val="center"/>
          </w:tcPr>
          <w:p w14:paraId="2EB32D86"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Объем частных инвести</w:t>
            </w:r>
            <w:r w:rsidRPr="004E0FC4">
              <w:rPr>
                <w:rFonts w:ascii="Bookman Old Style" w:eastAsia="Bookman Old Style" w:hAnsi="Bookman Old Style" w:cs="Bookman Old Style"/>
                <w:b/>
                <w:bCs/>
                <w:color w:val="231F20"/>
                <w:sz w:val="18"/>
                <w:szCs w:val="18"/>
              </w:rPr>
              <w:softHyphen/>
              <w:t>ций на инвестиционном этапе (тыс. руб.)</w:t>
            </w:r>
          </w:p>
        </w:tc>
      </w:tr>
      <w:tr w:rsidR="00350396" w:rsidRPr="004E0FC4" w14:paraId="651650F4" w14:textId="77777777" w:rsidTr="006D7F71">
        <w:trPr>
          <w:trHeight w:hRule="exact" w:val="302"/>
          <w:jc w:val="center"/>
        </w:trPr>
        <w:tc>
          <w:tcPr>
            <w:tcW w:w="3120" w:type="dxa"/>
            <w:tcBorders>
              <w:top w:val="single" w:sz="4" w:space="0" w:color="auto"/>
              <w:left w:val="single" w:sz="4" w:space="0" w:color="auto"/>
            </w:tcBorders>
            <w:shd w:val="clear" w:color="auto" w:fill="FFFFFF"/>
            <w:vAlign w:val="bottom"/>
          </w:tcPr>
          <w:p w14:paraId="5D1F2456"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Теплоснабжение, водоснабжение,</w:t>
            </w:r>
          </w:p>
        </w:tc>
        <w:tc>
          <w:tcPr>
            <w:tcW w:w="1008" w:type="dxa"/>
            <w:tcBorders>
              <w:top w:val="single" w:sz="4" w:space="0" w:color="auto"/>
              <w:left w:val="single" w:sz="4" w:space="0" w:color="auto"/>
            </w:tcBorders>
            <w:shd w:val="clear" w:color="auto" w:fill="FFFFFF"/>
            <w:vAlign w:val="bottom"/>
          </w:tcPr>
          <w:p w14:paraId="0EC1D2BC"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64</w:t>
            </w:r>
          </w:p>
        </w:tc>
        <w:tc>
          <w:tcPr>
            <w:tcW w:w="2453" w:type="dxa"/>
            <w:tcBorders>
              <w:top w:val="single" w:sz="4" w:space="0" w:color="auto"/>
              <w:left w:val="single" w:sz="4" w:space="0" w:color="auto"/>
              <w:right w:val="single" w:sz="4" w:space="0" w:color="auto"/>
            </w:tcBorders>
            <w:shd w:val="clear" w:color="auto" w:fill="FFFFFF"/>
            <w:vAlign w:val="bottom"/>
          </w:tcPr>
          <w:p w14:paraId="3CBE2175"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3 212 247</w:t>
            </w:r>
          </w:p>
        </w:tc>
      </w:tr>
      <w:tr w:rsidR="00350396" w:rsidRPr="004E0FC4" w14:paraId="065306B3" w14:textId="77777777" w:rsidTr="006D7F71">
        <w:trPr>
          <w:trHeight w:hRule="exact" w:val="274"/>
          <w:jc w:val="center"/>
        </w:trPr>
        <w:tc>
          <w:tcPr>
            <w:tcW w:w="3120" w:type="dxa"/>
            <w:tcBorders>
              <w:left w:val="single" w:sz="4" w:space="0" w:color="auto"/>
            </w:tcBorders>
            <w:shd w:val="clear" w:color="auto" w:fill="FFFFFF"/>
          </w:tcPr>
          <w:p w14:paraId="242C9D79"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Водоотведение</w:t>
            </w:r>
          </w:p>
        </w:tc>
        <w:tc>
          <w:tcPr>
            <w:tcW w:w="1008" w:type="dxa"/>
            <w:tcBorders>
              <w:left w:val="single" w:sz="4" w:space="0" w:color="auto"/>
            </w:tcBorders>
            <w:shd w:val="clear" w:color="auto" w:fill="FFFFFF"/>
          </w:tcPr>
          <w:p w14:paraId="5EA1F5F5"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2453" w:type="dxa"/>
            <w:tcBorders>
              <w:left w:val="single" w:sz="4" w:space="0" w:color="auto"/>
              <w:right w:val="single" w:sz="4" w:space="0" w:color="auto"/>
            </w:tcBorders>
            <w:shd w:val="clear" w:color="auto" w:fill="FFFFFF"/>
          </w:tcPr>
          <w:p w14:paraId="0665B164"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r>
      <w:tr w:rsidR="00350396" w:rsidRPr="004E0FC4" w14:paraId="697AA195" w14:textId="77777777" w:rsidTr="006D7F71">
        <w:trPr>
          <w:trHeight w:hRule="exact" w:val="360"/>
          <w:jc w:val="center"/>
        </w:trPr>
        <w:tc>
          <w:tcPr>
            <w:tcW w:w="3120" w:type="dxa"/>
            <w:tcBorders>
              <w:top w:val="single" w:sz="4" w:space="0" w:color="auto"/>
              <w:left w:val="single" w:sz="4" w:space="0" w:color="auto"/>
            </w:tcBorders>
            <w:shd w:val="clear" w:color="auto" w:fill="FFFFFF"/>
            <w:vAlign w:val="center"/>
          </w:tcPr>
          <w:p w14:paraId="3A34AB7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Газоснабжение</w:t>
            </w:r>
          </w:p>
        </w:tc>
        <w:tc>
          <w:tcPr>
            <w:tcW w:w="1008" w:type="dxa"/>
            <w:tcBorders>
              <w:top w:val="single" w:sz="4" w:space="0" w:color="auto"/>
              <w:left w:val="single" w:sz="4" w:space="0" w:color="auto"/>
            </w:tcBorders>
            <w:shd w:val="clear" w:color="auto" w:fill="FFFFFF"/>
            <w:vAlign w:val="center"/>
          </w:tcPr>
          <w:p w14:paraId="11A1BA30"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w:t>
            </w:r>
          </w:p>
        </w:tc>
        <w:tc>
          <w:tcPr>
            <w:tcW w:w="2453" w:type="dxa"/>
            <w:tcBorders>
              <w:top w:val="single" w:sz="4" w:space="0" w:color="auto"/>
              <w:left w:val="single" w:sz="4" w:space="0" w:color="auto"/>
              <w:right w:val="single" w:sz="4" w:space="0" w:color="auto"/>
            </w:tcBorders>
            <w:shd w:val="clear" w:color="auto" w:fill="FFFFFF"/>
            <w:vAlign w:val="center"/>
          </w:tcPr>
          <w:p w14:paraId="04707665"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30 650</w:t>
            </w:r>
          </w:p>
        </w:tc>
      </w:tr>
      <w:tr w:rsidR="00350396" w:rsidRPr="004E0FC4" w14:paraId="530E0F4B" w14:textId="77777777" w:rsidTr="006D7F71">
        <w:trPr>
          <w:trHeight w:hRule="exact" w:val="370"/>
          <w:jc w:val="center"/>
        </w:trPr>
        <w:tc>
          <w:tcPr>
            <w:tcW w:w="3120" w:type="dxa"/>
            <w:tcBorders>
              <w:top w:val="single" w:sz="4" w:space="0" w:color="auto"/>
              <w:left w:val="single" w:sz="4" w:space="0" w:color="auto"/>
              <w:bottom w:val="single" w:sz="4" w:space="0" w:color="auto"/>
            </w:tcBorders>
            <w:shd w:val="clear" w:color="auto" w:fill="FFFFFF"/>
            <w:vAlign w:val="center"/>
          </w:tcPr>
          <w:p w14:paraId="2095C75E"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Общий итог</w:t>
            </w:r>
          </w:p>
        </w:tc>
        <w:tc>
          <w:tcPr>
            <w:tcW w:w="1008" w:type="dxa"/>
            <w:tcBorders>
              <w:top w:val="single" w:sz="4" w:space="0" w:color="auto"/>
              <w:left w:val="single" w:sz="4" w:space="0" w:color="auto"/>
              <w:bottom w:val="single" w:sz="4" w:space="0" w:color="auto"/>
            </w:tcBorders>
            <w:shd w:val="clear" w:color="auto" w:fill="FFFFFF"/>
            <w:vAlign w:val="center"/>
          </w:tcPr>
          <w:p w14:paraId="2D0E2CC1"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2429</w:t>
            </w:r>
          </w:p>
        </w:tc>
        <w:tc>
          <w:tcPr>
            <w:tcW w:w="2453" w:type="dxa"/>
            <w:tcBorders>
              <w:top w:val="single" w:sz="4" w:space="0" w:color="auto"/>
              <w:left w:val="single" w:sz="4" w:space="0" w:color="auto"/>
              <w:bottom w:val="single" w:sz="4" w:space="0" w:color="auto"/>
              <w:right w:val="single" w:sz="4" w:space="0" w:color="auto"/>
            </w:tcBorders>
            <w:shd w:val="clear" w:color="auto" w:fill="FFFFFF"/>
            <w:vAlign w:val="center"/>
          </w:tcPr>
          <w:p w14:paraId="13D7A628" w14:textId="77777777" w:rsidR="00350396" w:rsidRPr="004E0FC4" w:rsidRDefault="00350396" w:rsidP="004E0FC4">
            <w:pPr>
              <w:framePr w:w="6581"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488 042 997</w:t>
            </w:r>
          </w:p>
        </w:tc>
      </w:tr>
    </w:tbl>
    <w:p w14:paraId="5D6D8404"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4D6E6A24" w14:textId="77777777" w:rsidR="00350396" w:rsidRPr="004E0FC4" w:rsidRDefault="00350396" w:rsidP="004E0FC4">
      <w:pPr>
        <w:widowControl w:val="0"/>
        <w:spacing w:line="240" w:lineRule="auto"/>
        <w:ind w:firstLine="0"/>
        <w:rPr>
          <w:rFonts w:ascii="Bookman Old Style" w:hAnsi="Bookman Old Style"/>
          <w:sz w:val="18"/>
          <w:szCs w:val="18"/>
        </w:rPr>
      </w:pPr>
    </w:p>
    <w:p w14:paraId="1FEAB501" w14:textId="77777777" w:rsidR="00350396" w:rsidRPr="004E0FC4" w:rsidRDefault="00350396" w:rsidP="004E0FC4">
      <w:pPr>
        <w:widowControl w:val="0"/>
        <w:spacing w:before="98"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По данным Счетной палаты России, общий объем принятых ин</w:t>
      </w:r>
      <w:r w:rsidRPr="004E0FC4">
        <w:rPr>
          <w:rFonts w:ascii="Bookman Old Style" w:eastAsia="Bookman Old Style" w:hAnsi="Bookman Old Style" w:cs="Bookman Old Style"/>
          <w:color w:val="231F20"/>
          <w:sz w:val="18"/>
          <w:szCs w:val="18"/>
          <w:highlight w:val="red"/>
        </w:rPr>
        <w:softHyphen/>
        <w:t>вестиционных обязательств составляет лишь около 14 % от необ</w:t>
      </w:r>
      <w:r w:rsidRPr="004E0FC4">
        <w:rPr>
          <w:rFonts w:ascii="Bookman Old Style" w:eastAsia="Bookman Old Style" w:hAnsi="Bookman Old Style" w:cs="Bookman Old Style"/>
          <w:color w:val="231F20"/>
          <w:sz w:val="18"/>
          <w:szCs w:val="18"/>
          <w:highlight w:val="red"/>
        </w:rPr>
        <w:softHyphen/>
        <w:t>ходимой оценочной потребности в инвестициях в инфраструктуру коммунальной сферы. Для обеспечения стабильной работы систе</w:t>
      </w:r>
      <w:r w:rsidRPr="004E0FC4">
        <w:rPr>
          <w:rFonts w:ascii="Bookman Old Style" w:eastAsia="Bookman Old Style" w:hAnsi="Bookman Old Style" w:cs="Bookman Old Style"/>
          <w:color w:val="231F20"/>
          <w:sz w:val="18"/>
          <w:szCs w:val="18"/>
          <w:highlight w:val="red"/>
        </w:rPr>
        <w:softHyphen/>
        <w:t>мы ЖКХ требуется «привлечение примерно 500 млрд руб. частных инвестиций ежегодно (реалистичный прогноз — 300 млрд руб.)»</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highlight w:val="red"/>
        </w:rPr>
        <w:t>. При этом в 2013—2017 гг. этот уровень составлял 70—90 млрд руб. в год.</w:t>
      </w:r>
    </w:p>
    <w:p w14:paraId="0A2EBD9C"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По состоянию на сентябрь 2022 года на коммунальный сектор приходилось около 80% ГЧП-проектов, реализуемых в России (78,5% или 2386 из 3038 проектов). Общий объем инвестиций в эти проекты составил почти 680 млрд руб., из которых более 620 млрд руб. – это частные средства. Большая часть проектов, как и ранее, реализуется в отраслях теплоснабжения, водоснабжения и водоотведения, а также обращения с ТКО, а на отрасли газоснабжения и электроснабжения приходится лишь около 5 процентов.</w:t>
      </w:r>
    </w:p>
    <w:p w14:paraId="3E2CBFC5"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Рынок коммунальных ГЧП-проектов в 2022 году столкнулся с рядом трудностей, связанных не только с санкционными рисками, удорожанием стройматериалов и необходимостью замены импортного оборудования, но и с несовершенством регулирования. Так, большая часть правовых ограничений развития сферы связана с пробелами в Законе о концессионных соглашениях, мероприятиями по утверждению и реализации инвестиционной программы. Среди основных проблем можно выделить: </w:t>
      </w:r>
    </w:p>
    <w:p w14:paraId="55C5C7F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 низкие входные барьеры для участников рынка, включая отсутствие законодательных критериев отбора потенциальных концессионеров; </w:t>
      </w:r>
    </w:p>
    <w:p w14:paraId="1F9497E3"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 практика заключения концессионных соглашений с</w:t>
      </w:r>
      <w:r w:rsidRPr="004E0FC4">
        <w:rPr>
          <w:rFonts w:ascii="Bookman Old Style" w:hAnsi="Bookman Old Style"/>
          <w:sz w:val="18"/>
          <w:szCs w:val="18"/>
          <w:highlight w:val="green"/>
        </w:rPr>
        <w:t xml:space="preserve"> </w:t>
      </w:r>
      <w:r w:rsidRPr="004E0FC4">
        <w:rPr>
          <w:rFonts w:ascii="Bookman Old Style" w:eastAsia="Bookman Old Style" w:hAnsi="Bookman Old Style" w:cs="Bookman Old Style"/>
          <w:color w:val="231F20"/>
          <w:sz w:val="18"/>
          <w:szCs w:val="18"/>
          <w:highlight w:val="green"/>
        </w:rPr>
        <w:t>унитарными предприятиями и бюджетными учреждениями в качестве концессионера;</w:t>
      </w:r>
    </w:p>
    <w:p w14:paraId="22939471"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auto"/>
          <w:sz w:val="18"/>
          <w:szCs w:val="18"/>
        </w:rPr>
      </w:pPr>
      <w:r w:rsidRPr="004E0FC4">
        <w:rPr>
          <w:rFonts w:ascii="Bookman Old Style" w:eastAsia="Bookman Old Style" w:hAnsi="Bookman Old Style" w:cs="Bookman Old Style"/>
          <w:color w:val="auto"/>
          <w:sz w:val="18"/>
          <w:szCs w:val="18"/>
          <w:highlight w:val="red"/>
        </w:rPr>
        <w:t>Реализация в массовом порядке концессий в ЖКХ наталкивается на следующие проблемы:</w:t>
      </w:r>
    </w:p>
    <w:p w14:paraId="12B276A4"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существует недоверие муниципальных органов власти к част</w:t>
      </w:r>
      <w:r w:rsidRPr="004E0FC4">
        <w:rPr>
          <w:rFonts w:ascii="Bookman Old Style" w:eastAsia="Bookman Old Style" w:hAnsi="Bookman Old Style" w:cs="Bookman Old Style"/>
          <w:color w:val="231F20"/>
          <w:sz w:val="18"/>
          <w:szCs w:val="18"/>
          <w:highlight w:val="red"/>
        </w:rPr>
        <w:softHyphen/>
        <w:t>ным операторам;</w:t>
      </w:r>
    </w:p>
    <w:p w14:paraId="637E1EE8"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муниципальные активы не всегда зарегистрированы в уста</w:t>
      </w:r>
      <w:r w:rsidRPr="004E0FC4">
        <w:rPr>
          <w:rFonts w:ascii="Bookman Old Style" w:eastAsia="Bookman Old Style" w:hAnsi="Bookman Old Style" w:cs="Bookman Old Style"/>
          <w:color w:val="231F20"/>
          <w:sz w:val="18"/>
          <w:szCs w:val="18"/>
        </w:rPr>
        <w:softHyphen/>
        <w:t>новленном порядке и поэтому не могут быть переданы в управле</w:t>
      </w:r>
      <w:r w:rsidRPr="004E0FC4">
        <w:rPr>
          <w:rFonts w:ascii="Bookman Old Style" w:eastAsia="Bookman Old Style" w:hAnsi="Bookman Old Style" w:cs="Bookman Old Style"/>
          <w:color w:val="231F20"/>
          <w:sz w:val="18"/>
          <w:szCs w:val="18"/>
        </w:rPr>
        <w:softHyphen/>
        <w:t>ние частному оператору;</w:t>
      </w:r>
    </w:p>
    <w:p w14:paraId="7874A65C" w14:textId="77777777" w:rsidR="00350396" w:rsidRPr="004E0FC4" w:rsidRDefault="00350396" w:rsidP="004E0FC4">
      <w:pPr>
        <w:widowControl w:val="0"/>
        <w:numPr>
          <w:ilvl w:val="0"/>
          <w:numId w:val="66"/>
        </w:numPr>
        <w:tabs>
          <w:tab w:val="left" w:pos="628"/>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ограниченный перечень активов, которые могут принимать</w:t>
      </w:r>
      <w:r w:rsidRPr="004E0FC4">
        <w:rPr>
          <w:rFonts w:ascii="Bookman Old Style" w:eastAsia="Bookman Old Style" w:hAnsi="Bookman Old Style" w:cs="Bookman Old Style"/>
          <w:color w:val="231F20"/>
          <w:sz w:val="18"/>
          <w:szCs w:val="18"/>
        </w:rPr>
        <w:softHyphen/>
        <w:t>ся российскими банками в качестве залогового обеспечения;</w:t>
      </w:r>
    </w:p>
    <w:p w14:paraId="2E1F0FD5"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отсутствует ясность в вопросе выполнения обязательств му</w:t>
      </w:r>
      <w:r w:rsidRPr="004E0FC4">
        <w:rPr>
          <w:rFonts w:ascii="Bookman Old Style" w:eastAsia="Bookman Old Style" w:hAnsi="Bookman Old Style" w:cs="Bookman Old Style"/>
          <w:color w:val="231F20"/>
          <w:sz w:val="18"/>
          <w:szCs w:val="18"/>
        </w:rPr>
        <w:softHyphen/>
        <w:t>ниципалитета перед частным оператором в случае нарушения со</w:t>
      </w:r>
      <w:r w:rsidRPr="004E0FC4">
        <w:rPr>
          <w:rFonts w:ascii="Bookman Old Style" w:eastAsia="Bookman Old Style" w:hAnsi="Bookman Old Style" w:cs="Bookman Old Style"/>
          <w:color w:val="231F20"/>
          <w:sz w:val="18"/>
          <w:szCs w:val="18"/>
        </w:rPr>
        <w:softHyphen/>
        <w:t>глашения, другие юридические проблемы;</w:t>
      </w:r>
    </w:p>
    <w:p w14:paraId="78AF3452"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существующий механизм ценообразования в области муни</w:t>
      </w:r>
      <w:r w:rsidRPr="004E0FC4">
        <w:rPr>
          <w:rFonts w:ascii="Bookman Old Style" w:eastAsia="Bookman Old Style" w:hAnsi="Bookman Old Style" w:cs="Bookman Old Style"/>
          <w:color w:val="231F20"/>
          <w:sz w:val="18"/>
          <w:szCs w:val="18"/>
        </w:rPr>
        <w:softHyphen/>
        <w:t xml:space="preserve">ципальных услуг, наличие естественных монополий не позволяют </w:t>
      </w:r>
      <w:r w:rsidRPr="004E0FC4">
        <w:rPr>
          <w:rFonts w:ascii="Bookman Old Style" w:eastAsia="Bookman Old Style" w:hAnsi="Bookman Old Style" w:cs="Bookman Old Style"/>
          <w:color w:val="231F20"/>
          <w:sz w:val="18"/>
          <w:szCs w:val="18"/>
          <w:highlight w:val="green"/>
        </w:rPr>
        <w:t>достаточно достоверно</w:t>
      </w:r>
      <w:r w:rsidRPr="004E0FC4">
        <w:rPr>
          <w:rFonts w:ascii="Bookman Old Style" w:eastAsia="Bookman Old Style" w:hAnsi="Bookman Old Style" w:cs="Bookman Old Style"/>
          <w:color w:val="231F20"/>
          <w:sz w:val="18"/>
          <w:szCs w:val="18"/>
        </w:rPr>
        <w:t xml:space="preserve"> прогнозировать эффективность деятельности частных операторов.</w:t>
      </w:r>
    </w:p>
    <w:p w14:paraId="747714BD"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 1 января 2017 г. Федеральным законом от 03.07.2016 № 275-ФЗ были введены новые особенности заключения концессионных со</w:t>
      </w:r>
      <w:r w:rsidRPr="004E0FC4">
        <w:rPr>
          <w:rFonts w:ascii="Bookman Old Style" w:eastAsia="Bookman Old Style" w:hAnsi="Bookman Old Style" w:cs="Bookman Old Style"/>
          <w:color w:val="231F20"/>
          <w:sz w:val="18"/>
          <w:szCs w:val="18"/>
          <w:highlight w:val="red"/>
        </w:rPr>
        <w:softHyphen/>
        <w:t>глашений в сфере ЖКХ.</w:t>
      </w:r>
    </w:p>
    <w:p w14:paraId="176386AE" w14:textId="77777777" w:rsidR="00350396" w:rsidRPr="004E0FC4" w:rsidRDefault="00350396" w:rsidP="004E0FC4">
      <w:pPr>
        <w:widowControl w:val="0"/>
        <w:numPr>
          <w:ilvl w:val="0"/>
          <w:numId w:val="69"/>
        </w:numPr>
        <w:tabs>
          <w:tab w:val="left" w:pos="629"/>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Обязательное участие субъекта РФ в качестве самостоятель</w:t>
      </w:r>
      <w:r w:rsidRPr="004E0FC4">
        <w:rPr>
          <w:rFonts w:ascii="Bookman Old Style" w:eastAsia="Bookman Old Style" w:hAnsi="Bookman Old Style" w:cs="Bookman Old Style"/>
          <w:color w:val="231F20"/>
          <w:sz w:val="18"/>
          <w:szCs w:val="18"/>
          <w:highlight w:val="red"/>
        </w:rPr>
        <w:softHyphen/>
        <w:t>ной стороны в муниципальных концессиях в отношении объектов теплоснабжения, централизованных систем горячего, холодного водоснабжения и (или) водоотведения, отдельных объектов таких систем в случае, если полномочия по государственному регулирова</w:t>
      </w:r>
      <w:r w:rsidRPr="004E0FC4">
        <w:rPr>
          <w:rFonts w:ascii="Bookman Old Style" w:eastAsia="Bookman Old Style" w:hAnsi="Bookman Old Style" w:cs="Bookman Old Style"/>
          <w:color w:val="231F20"/>
          <w:sz w:val="18"/>
          <w:szCs w:val="18"/>
          <w:highlight w:val="red"/>
        </w:rPr>
        <w:softHyphen/>
        <w:t>нию тарифов в соответствующей сфере не переданы муниципально</w:t>
      </w:r>
      <w:r w:rsidRPr="004E0FC4">
        <w:rPr>
          <w:rFonts w:ascii="Bookman Old Style" w:eastAsia="Bookman Old Style" w:hAnsi="Bookman Old Style" w:cs="Bookman Old Style"/>
          <w:color w:val="231F20"/>
          <w:sz w:val="18"/>
          <w:szCs w:val="18"/>
          <w:highlight w:val="red"/>
        </w:rPr>
        <w:softHyphen/>
        <w:t>му образованию. Возможность передачи в концессию имущества, часть кото</w:t>
      </w:r>
      <w:r w:rsidRPr="004E0FC4">
        <w:rPr>
          <w:rFonts w:ascii="Bookman Old Style" w:eastAsia="Bookman Old Style" w:hAnsi="Bookman Old Style" w:cs="Bookman Old Style"/>
          <w:color w:val="231F20"/>
          <w:sz w:val="18"/>
          <w:szCs w:val="18"/>
          <w:highlight w:val="red"/>
        </w:rPr>
        <w:softHyphen/>
        <w:t>рого не была зарегистрирована в установленном порядке.</w:t>
      </w:r>
    </w:p>
    <w:p w14:paraId="603289F7"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Крупных концессий свыше 500 млн руб. примерно 100 на рын</w:t>
      </w:r>
      <w:r w:rsidRPr="004E0FC4">
        <w:rPr>
          <w:rFonts w:ascii="Bookman Old Style" w:eastAsia="Bookman Old Style" w:hAnsi="Bookman Old Style" w:cs="Bookman Old Style"/>
          <w:color w:val="231F20"/>
          <w:sz w:val="18"/>
          <w:szCs w:val="18"/>
          <w:highlight w:val="red"/>
        </w:rPr>
        <w:softHyphen/>
        <w:t>ке. Проектов свыше 10 млрд руб. на рынке проектов ЖКХ — еди</w:t>
      </w:r>
      <w:r w:rsidRPr="004E0FC4">
        <w:rPr>
          <w:rFonts w:ascii="Bookman Old Style" w:eastAsia="Bookman Old Style" w:hAnsi="Bookman Old Style" w:cs="Bookman Old Style"/>
          <w:color w:val="231F20"/>
          <w:sz w:val="18"/>
          <w:szCs w:val="18"/>
          <w:highlight w:val="red"/>
        </w:rPr>
        <w:softHyphen/>
        <w:t>ницы (как правило, это реконструкция систем водоснабжения, во</w:t>
      </w:r>
      <w:r w:rsidRPr="004E0FC4">
        <w:rPr>
          <w:rFonts w:ascii="Bookman Old Style" w:eastAsia="Bookman Old Style" w:hAnsi="Bookman Old Style" w:cs="Bookman Old Style"/>
          <w:color w:val="231F20"/>
          <w:sz w:val="18"/>
          <w:szCs w:val="18"/>
          <w:highlight w:val="red"/>
        </w:rPr>
        <w:softHyphen/>
        <w:t>доотведения и отчистки сточных вод в крупных городах России). Такие проекты заключены в Волгограде, Саратове, Самаре, Тюме</w:t>
      </w:r>
      <w:r w:rsidRPr="004E0FC4">
        <w:rPr>
          <w:rFonts w:ascii="Bookman Old Style" w:eastAsia="Bookman Old Style" w:hAnsi="Bookman Old Style" w:cs="Bookman Old Style"/>
          <w:color w:val="231F20"/>
          <w:sz w:val="18"/>
          <w:szCs w:val="18"/>
          <w:highlight w:val="red"/>
        </w:rPr>
        <w:softHyphen/>
        <w:t>ни, Архангельске. По экспертным данным, средний срок реализа</w:t>
      </w:r>
      <w:r w:rsidRPr="004E0FC4">
        <w:rPr>
          <w:rFonts w:ascii="Bookman Old Style" w:eastAsia="Bookman Old Style" w:hAnsi="Bookman Old Style" w:cs="Bookman Old Style"/>
          <w:color w:val="231F20"/>
          <w:sz w:val="18"/>
          <w:szCs w:val="18"/>
          <w:highlight w:val="red"/>
        </w:rPr>
        <w:softHyphen/>
        <w:t>ции проекта ГЧП в сфере ЖКХ составляет до 10 лет и только около 10 % заключают на 15 и более лет, средняя стоимость концессии в ЖКХ — примерно 150 млн руб.</w:t>
      </w:r>
    </w:p>
    <w:p w14:paraId="0DE3B0E2"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Средний срок реализации ГЧП проекта в сфере ЖКХ в России составляет 12,5 лет. Активный рост инвестиций в ГЧП-проекты, реализуемые в сфере ЖКХ, начался с 2015 года, когда ежегодные вложения частных инвесторов стали превышать 50 млрд руб. Максимальный объем инвестиций был зафиксирован в 2021 году и составил 192,9 млрд руб. (рис. 4.18).</w:t>
      </w:r>
    </w:p>
    <w:p w14:paraId="73059402"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noProof/>
          <w:color w:val="231F20"/>
          <w:sz w:val="18"/>
          <w:szCs w:val="18"/>
          <w:lang w:bidi="ar-SA"/>
        </w:rPr>
        <w:lastRenderedPageBreak/>
        <w:drawing>
          <wp:inline distT="0" distB="0" distL="0" distR="0" wp14:anchorId="67D18911" wp14:editId="6C844430">
            <wp:extent cx="4218305" cy="2849213"/>
            <wp:effectExtent l="19050" t="0" r="0" b="0"/>
            <wp:docPr id="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218305" cy="2849213"/>
                    </a:xfrm>
                    <a:prstGeom prst="rect">
                      <a:avLst/>
                    </a:prstGeom>
                    <a:noFill/>
                    <a:ln w="9525">
                      <a:noFill/>
                      <a:miter lim="800000"/>
                      <a:headEnd/>
                      <a:tailEnd/>
                    </a:ln>
                  </pic:spPr>
                </pic:pic>
              </a:graphicData>
            </a:graphic>
          </wp:inline>
        </w:drawing>
      </w:r>
    </w:p>
    <w:p w14:paraId="380BFCA0" w14:textId="77777777" w:rsidR="00350396" w:rsidRPr="004E0FC4" w:rsidRDefault="00350396" w:rsidP="004E0FC4">
      <w:pPr>
        <w:widowControl w:val="0"/>
        <w:spacing w:line="240" w:lineRule="exact"/>
        <w:ind w:firstLine="0"/>
        <w:rPr>
          <w:rFonts w:ascii="Bookman Old Style" w:eastAsia="Arial Narrow" w:hAnsi="Bookman Old Style" w:cs="Arial Narrow"/>
          <w:bCs/>
          <w:color w:val="231F20"/>
          <w:sz w:val="18"/>
          <w:szCs w:val="18"/>
          <w:highlight w:val="green"/>
        </w:rPr>
      </w:pPr>
      <w:r w:rsidRPr="004E0FC4">
        <w:rPr>
          <w:rFonts w:ascii="Bookman Old Style" w:eastAsia="Arial Narrow" w:hAnsi="Bookman Old Style" w:cs="Arial Narrow"/>
          <w:b/>
          <w:bCs/>
          <w:i/>
          <w:iCs/>
          <w:color w:val="231F20"/>
          <w:sz w:val="18"/>
          <w:szCs w:val="18"/>
          <w:highlight w:val="green"/>
        </w:rPr>
        <w:t>Рис. 4.18.</w:t>
      </w:r>
      <w:r w:rsidRPr="004E0FC4">
        <w:rPr>
          <w:rFonts w:ascii="Bookman Old Style" w:eastAsia="Arial Narrow" w:hAnsi="Bookman Old Style" w:cs="Arial Narrow"/>
          <w:color w:val="231F20"/>
          <w:sz w:val="18"/>
          <w:szCs w:val="18"/>
          <w:highlight w:val="green"/>
        </w:rPr>
        <w:t xml:space="preserve"> Объём и</w:t>
      </w:r>
      <w:r w:rsidRPr="004E0FC4">
        <w:rPr>
          <w:rFonts w:ascii="Bookman Old Style" w:eastAsia="Bookman Old Style" w:hAnsi="Bookman Old Style" w:cs="Bookman Old Style"/>
          <w:color w:val="231F20"/>
          <w:sz w:val="18"/>
          <w:szCs w:val="18"/>
          <w:highlight w:val="green"/>
        </w:rPr>
        <w:t>нвестиций в ГЧП-проекты, реализуемые в сфере ЖКХ, в 2012-2022 годах.</w:t>
      </w:r>
      <w:r w:rsidRPr="004E0FC4">
        <w:rPr>
          <w:rFonts w:ascii="Bookman Old Style" w:eastAsia="Arial Narrow" w:hAnsi="Bookman Old Style" w:cs="Arial Narrow"/>
          <w:color w:val="231F20"/>
          <w:sz w:val="18"/>
          <w:szCs w:val="18"/>
        </w:rPr>
        <w:t xml:space="preserve"> </w:t>
      </w:r>
      <w:r w:rsidRPr="004E0FC4">
        <w:rPr>
          <w:rFonts w:ascii="Bookman Old Style" w:eastAsia="Arial Narrow" w:hAnsi="Bookman Old Style" w:cs="Arial Narrow"/>
          <w:color w:val="231F20"/>
          <w:sz w:val="18"/>
          <w:szCs w:val="18"/>
          <w:highlight w:val="green"/>
        </w:rPr>
        <w:t xml:space="preserve">Источник: </w:t>
      </w:r>
      <w:r w:rsidRPr="004E0FC4">
        <w:rPr>
          <w:rFonts w:ascii="Bookman Old Style" w:eastAsia="Arial Narrow" w:hAnsi="Bookman Old Style" w:cs="Arial Narrow"/>
          <w:bCs/>
          <w:color w:val="231F20"/>
          <w:sz w:val="18"/>
          <w:szCs w:val="18"/>
          <w:highlight w:val="green"/>
        </w:rPr>
        <w:t>расчеты Национального Центра ГЧП на основе данных платформы «Росинфра»</w:t>
      </w:r>
      <w:r w:rsidRPr="004E0FC4">
        <w:rPr>
          <w:rFonts w:ascii="Bookman Old Style" w:eastAsia="Arial Narrow" w:hAnsi="Bookman Old Style" w:cs="Arial Narrow"/>
          <w:color w:val="231F20"/>
          <w:sz w:val="18"/>
          <w:szCs w:val="18"/>
          <w:highlight w:val="green"/>
        </w:rPr>
        <w:t xml:space="preserve"> </w:t>
      </w:r>
    </w:p>
    <w:p w14:paraId="3EE74F2E"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highlight w:val="green"/>
        </w:rPr>
      </w:pPr>
    </w:p>
    <w:p w14:paraId="4AD5755F"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За первое полугодие 2022 года общий объем инвестиций в коммунальную инфраструктуру – 11,8 млрд руб., что на 73,7% ниже, чем за аналогичный период 2021 года (44,8 млрд руб.).</w:t>
      </w:r>
    </w:p>
    <w:p w14:paraId="7A04994C"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целом проекты в коммунальном секторе отличаются невысо</w:t>
      </w:r>
      <w:r w:rsidRPr="004E0FC4">
        <w:rPr>
          <w:rFonts w:ascii="Bookman Old Style" w:eastAsia="Bookman Old Style" w:hAnsi="Bookman Old Style" w:cs="Bookman Old Style"/>
          <w:color w:val="231F20"/>
          <w:sz w:val="18"/>
          <w:szCs w:val="18"/>
        </w:rPr>
        <w:softHyphen/>
        <w:t>кой стоимостью капитальных затрат, понятной схемой возврата ин</w:t>
      </w:r>
      <w:r w:rsidRPr="004E0FC4">
        <w:rPr>
          <w:rFonts w:ascii="Bookman Old Style" w:eastAsia="Bookman Old Style" w:hAnsi="Bookman Old Style" w:cs="Bookman Old Style"/>
          <w:color w:val="231F20"/>
          <w:sz w:val="18"/>
          <w:szCs w:val="18"/>
        </w:rPr>
        <w:softHyphen/>
        <w:t>вестиций и гарантированным спросом. Но эта схема работает толь</w:t>
      </w:r>
      <w:r w:rsidRPr="004E0FC4">
        <w:rPr>
          <w:rFonts w:ascii="Bookman Old Style" w:eastAsia="Bookman Old Style" w:hAnsi="Bookman Old Style" w:cs="Bookman Old Style"/>
          <w:color w:val="231F20"/>
          <w:sz w:val="18"/>
          <w:szCs w:val="18"/>
        </w:rPr>
        <w:softHyphen/>
        <w:t>ко в случае с населенными пунктами свыше 250 тыс. человек. Если говорить о малых поселениях, то их привлекательность не столь очевидна. Поддержание системы ЖКХ осуществляется в пределах средств, предусмотренных тарифами на коммунальные ресурсы, но этих средств не хватает, а износ инфраструктуры обгоняет вло</w:t>
      </w:r>
      <w:r w:rsidRPr="004E0FC4">
        <w:rPr>
          <w:rFonts w:ascii="Bookman Old Style" w:eastAsia="Bookman Old Style" w:hAnsi="Bookman Old Style" w:cs="Bookman Old Style"/>
          <w:color w:val="231F20"/>
          <w:sz w:val="18"/>
          <w:szCs w:val="18"/>
        </w:rPr>
        <w:softHyphen/>
        <w:t>женные средства. Практика заключения концессионных соглаше</w:t>
      </w:r>
      <w:r w:rsidRPr="004E0FC4">
        <w:rPr>
          <w:rFonts w:ascii="Bookman Old Style" w:eastAsia="Bookman Old Style" w:hAnsi="Bookman Old Style" w:cs="Bookman Old Style"/>
          <w:color w:val="231F20"/>
          <w:sz w:val="18"/>
          <w:szCs w:val="18"/>
        </w:rPr>
        <w:softHyphen/>
        <w:t>ний показывает, что частный партнер в основном инициирует уча</w:t>
      </w:r>
      <w:r w:rsidRPr="004E0FC4">
        <w:rPr>
          <w:rFonts w:ascii="Bookman Old Style" w:eastAsia="Bookman Old Style" w:hAnsi="Bookman Old Style" w:cs="Bookman Old Style"/>
          <w:color w:val="231F20"/>
          <w:sz w:val="18"/>
          <w:szCs w:val="18"/>
        </w:rPr>
        <w:softHyphen/>
        <w:t>стие в инвестировании объектов коммунальной инфраструктуры, не имеющих значительного процента износа.</w:t>
      </w:r>
    </w:p>
    <w:p w14:paraId="1D79E60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сегменте коммунальной инфраструктуры работает специаль</w:t>
      </w:r>
      <w:r w:rsidRPr="004E0FC4">
        <w:rPr>
          <w:rFonts w:ascii="Bookman Old Style" w:eastAsia="Bookman Old Style" w:hAnsi="Bookman Old Style" w:cs="Bookman Old Style"/>
          <w:color w:val="231F20"/>
          <w:sz w:val="18"/>
          <w:szCs w:val="18"/>
        </w:rPr>
        <w:softHyphen/>
        <w:t>ный инструмент господдержки — программа Фонда содействия реформированию ЖКХ, позволяющая получить бюджетное софи- нансирование на «посевной» (подготовительной) стадии проекта или субсидирование процентной ставки. Возможность приобрести дополнительные средства на подготовку проекта — существенное условие для рынка проектов ГЧП коммунальной сферы. Но важ</w:t>
      </w:r>
      <w:r w:rsidRPr="004E0FC4">
        <w:rPr>
          <w:rFonts w:ascii="Bookman Old Style" w:eastAsia="Bookman Old Style" w:hAnsi="Bookman Old Style" w:cs="Bookman Old Style"/>
          <w:color w:val="231F20"/>
          <w:sz w:val="18"/>
          <w:szCs w:val="18"/>
        </w:rPr>
        <w:softHyphen/>
        <w:t>ным фактором дальнейшего развития данного рынка является по</w:t>
      </w:r>
      <w:r w:rsidRPr="004E0FC4">
        <w:rPr>
          <w:rFonts w:ascii="Bookman Old Style" w:eastAsia="Bookman Old Style" w:hAnsi="Bookman Old Style" w:cs="Bookman Old Style"/>
          <w:color w:val="231F20"/>
          <w:sz w:val="18"/>
          <w:szCs w:val="18"/>
        </w:rPr>
        <w:softHyphen/>
        <w:t>явление полноценного «института развития», который позволит получить доступ к дополнительным финансовым источникам для предоставления «бюджетного плеча» в коммунальных концессиях, особенно в малых городах. Существенным импульсом 2017 г. стала разработка и внедрение коробочных решений от Сбербанка.</w:t>
      </w:r>
    </w:p>
    <w:p w14:paraId="687995B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Рынок ГЧП в России в 2018 г. пополнился новым направлени</w:t>
      </w:r>
      <w:r w:rsidRPr="004E0FC4">
        <w:rPr>
          <w:rFonts w:ascii="Bookman Old Style" w:eastAsia="Bookman Old Style" w:hAnsi="Bookman Old Style" w:cs="Bookman Old Style"/>
          <w:color w:val="231F20"/>
          <w:sz w:val="18"/>
          <w:szCs w:val="18"/>
        </w:rPr>
        <w:softHyphen/>
        <w:t>ем: созданием объектов инфраструктуры в сфере обороны и без</w:t>
      </w:r>
      <w:r w:rsidRPr="004E0FC4">
        <w:rPr>
          <w:rFonts w:ascii="Bookman Old Style" w:eastAsia="Bookman Old Style" w:hAnsi="Bookman Old Style" w:cs="Bookman Old Style"/>
          <w:color w:val="231F20"/>
          <w:sz w:val="18"/>
          <w:szCs w:val="18"/>
        </w:rPr>
        <w:softHyphen/>
        <w:t>опасности. Первый подобный проект был запущен в 2018 г. вслед за внесением в 2015 г. поправок в концессионное законодательство, сделавших возможным заключение соглашений в отношении объ</w:t>
      </w:r>
      <w:r w:rsidRPr="004E0FC4">
        <w:rPr>
          <w:rFonts w:ascii="Bookman Old Style" w:eastAsia="Bookman Old Style" w:hAnsi="Bookman Old Style" w:cs="Bookman Old Style"/>
          <w:color w:val="231F20"/>
          <w:sz w:val="18"/>
          <w:szCs w:val="18"/>
        </w:rPr>
        <w:softHyphen/>
        <w:t>ектов инфраструктуры для складирования, хранения и ремонта имущества Вооруженных сил РФ. В сентябре 2018 г. между Минобо</w:t>
      </w:r>
      <w:r w:rsidRPr="004E0FC4">
        <w:rPr>
          <w:rFonts w:ascii="Bookman Old Style" w:eastAsia="Bookman Old Style" w:hAnsi="Bookman Old Style" w:cs="Bookman Old Style"/>
          <w:color w:val="231F20"/>
          <w:sz w:val="18"/>
          <w:szCs w:val="18"/>
        </w:rPr>
        <w:softHyphen/>
        <w:t>роны России и ООО «ПЛК Архангельск» (подконтролен НИЦ «Кур</w:t>
      </w:r>
      <w:r w:rsidRPr="004E0FC4">
        <w:rPr>
          <w:rFonts w:ascii="Bookman Old Style" w:eastAsia="Bookman Old Style" w:hAnsi="Bookman Old Style" w:cs="Bookman Old Style"/>
          <w:color w:val="231F20"/>
          <w:sz w:val="18"/>
          <w:szCs w:val="18"/>
        </w:rPr>
        <w:softHyphen/>
        <w:t>чатовский институт») было подписано концессионное соглашение по проекту создания производственно-логистического комплекса для складирования, хранения и ремонта имущества Вооруженных сил РФ в Архангельской области. Общий объем инвестиций в созда</w:t>
      </w:r>
      <w:r w:rsidRPr="004E0FC4">
        <w:rPr>
          <w:rFonts w:ascii="Bookman Old Style" w:eastAsia="Bookman Old Style" w:hAnsi="Bookman Old Style" w:cs="Bookman Old Style"/>
          <w:color w:val="231F20"/>
          <w:sz w:val="18"/>
          <w:szCs w:val="18"/>
        </w:rPr>
        <w:softHyphen/>
        <w:t>ние объекта состави</w:t>
      </w:r>
      <w:r w:rsidRPr="004E0FC4">
        <w:rPr>
          <w:rFonts w:ascii="Bookman Old Style" w:eastAsia="Bookman Old Style" w:hAnsi="Bookman Old Style" w:cs="Bookman Old Style"/>
          <w:color w:val="231F20"/>
          <w:sz w:val="18"/>
          <w:szCs w:val="18"/>
          <w:highlight w:val="green"/>
        </w:rPr>
        <w:t>ли</w:t>
      </w:r>
      <w:r w:rsidRPr="004E0FC4">
        <w:rPr>
          <w:rFonts w:ascii="Bookman Old Style" w:eastAsia="Bookman Old Style" w:hAnsi="Bookman Old Style" w:cs="Bookman Old Style"/>
          <w:color w:val="231F20"/>
          <w:sz w:val="18"/>
          <w:szCs w:val="18"/>
        </w:rPr>
        <w:t xml:space="preserve"> 15 млрд руб., а затраты инвестора </w:t>
      </w:r>
      <w:r w:rsidRPr="004E0FC4">
        <w:rPr>
          <w:rFonts w:ascii="Bookman Old Style" w:eastAsia="Bookman Old Style" w:hAnsi="Bookman Old Style" w:cs="Bookman Old Style"/>
          <w:color w:val="231F20"/>
          <w:sz w:val="18"/>
          <w:szCs w:val="18"/>
          <w:highlight w:val="green"/>
        </w:rPr>
        <w:t>были</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будут</w:t>
      </w:r>
      <w:r w:rsidRPr="004E0FC4">
        <w:rPr>
          <w:rFonts w:ascii="Bookman Old Style" w:eastAsia="Bookman Old Style" w:hAnsi="Bookman Old Style" w:cs="Bookman Old Style"/>
          <w:color w:val="231F20"/>
          <w:sz w:val="18"/>
          <w:szCs w:val="18"/>
        </w:rPr>
        <w:t xml:space="preserve"> ком</w:t>
      </w:r>
      <w:r w:rsidRPr="004E0FC4">
        <w:rPr>
          <w:rFonts w:ascii="Bookman Old Style" w:eastAsia="Bookman Old Style" w:hAnsi="Bookman Old Style" w:cs="Bookman Old Style"/>
          <w:color w:val="231F20"/>
          <w:sz w:val="18"/>
          <w:szCs w:val="18"/>
        </w:rPr>
        <w:softHyphen/>
        <w:t>пенсированы «платой за доступность»</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w:t>
      </w:r>
    </w:p>
    <w:p w14:paraId="1B70A5A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силу масштабных инвестиционных программ Минобороны России выход ведомства на рынок ГЧП может предвещать запуск целого портфеля инвестиционных проектов. Также ожидаются пер</w:t>
      </w:r>
      <w:r w:rsidRPr="004E0FC4">
        <w:rPr>
          <w:rFonts w:ascii="Bookman Old Style" w:eastAsia="Bookman Old Style" w:hAnsi="Bookman Old Style" w:cs="Bookman Old Style"/>
          <w:color w:val="231F20"/>
          <w:sz w:val="18"/>
          <w:szCs w:val="18"/>
        </w:rPr>
        <w:softHyphen/>
        <w:t>вые концессии и соглашения о ГЧП в отношении пунктов пропуска через границу. В свете расширения перечня объектов ГЧП в сторону сферы сельского хозяйства впервые в течение 2017 г. были заключе</w:t>
      </w:r>
      <w:r w:rsidRPr="004E0FC4">
        <w:rPr>
          <w:rFonts w:ascii="Bookman Old Style" w:eastAsia="Bookman Old Style" w:hAnsi="Bookman Old Style" w:cs="Bookman Old Style"/>
          <w:color w:val="231F20"/>
          <w:sz w:val="18"/>
          <w:szCs w:val="18"/>
        </w:rPr>
        <w:softHyphen/>
        <w:t>ны проекты ГЧП в форме корпоративного партнерства в Дагестане и Ямало-Ненецком автономном округе.</w:t>
      </w:r>
    </w:p>
    <w:p w14:paraId="4B8EF4C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то же время анализ объектов соглашений ГЧП позволяет кон</w:t>
      </w:r>
      <w:r w:rsidRPr="004E0FC4">
        <w:rPr>
          <w:rFonts w:ascii="Bookman Old Style" w:eastAsia="Bookman Old Style" w:hAnsi="Bookman Old Style" w:cs="Bookman Old Style"/>
          <w:color w:val="231F20"/>
          <w:sz w:val="18"/>
          <w:szCs w:val="18"/>
        </w:rPr>
        <w:softHyphen/>
        <w:t>статировать факт отсутствия использования механизмов ГЧП в сфе</w:t>
      </w:r>
      <w:r w:rsidRPr="004E0FC4">
        <w:rPr>
          <w:rFonts w:ascii="Bookman Old Style" w:eastAsia="Bookman Old Style" w:hAnsi="Bookman Old Style" w:cs="Bookman Old Style"/>
          <w:color w:val="231F20"/>
          <w:sz w:val="18"/>
          <w:szCs w:val="18"/>
        </w:rPr>
        <w:softHyphen/>
        <w:t>ре НИОКР и инновационной деятельности. Несмотря на то что в значительном числе реализуемых проектов ГЧП используют</w:t>
      </w:r>
      <w:r w:rsidRPr="004E0FC4">
        <w:rPr>
          <w:rFonts w:ascii="Bookman Old Style" w:eastAsia="Bookman Old Style" w:hAnsi="Bookman Old Style" w:cs="Bookman Old Style"/>
          <w:color w:val="231F20"/>
          <w:sz w:val="18"/>
          <w:szCs w:val="18"/>
        </w:rPr>
        <w:softHyphen/>
        <w:t>ся современные инновационные технологии, материалы и (или) оборудование, научные исследования и создание инноваций пока не стали самостоятельным объектом ГЧП в России. При этом в ряде развитых стран сфера инноваций считается приоритетным направ</w:t>
      </w:r>
      <w:r w:rsidRPr="004E0FC4">
        <w:rPr>
          <w:rFonts w:ascii="Bookman Old Style" w:eastAsia="Bookman Old Style" w:hAnsi="Bookman Old Style" w:cs="Bookman Old Style"/>
          <w:color w:val="231F20"/>
          <w:sz w:val="18"/>
          <w:szCs w:val="18"/>
        </w:rPr>
        <w:softHyphen/>
        <w:t>лением развития ГЧП (см. параграф 4.8).</w:t>
      </w:r>
    </w:p>
    <w:p w14:paraId="4650F6E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качестве потенциально проблемной сферы ГЧП также можно выделить коммуникации с населением и пользователями систем, вводимых в эксплуатацию с использованием ГЧП. Так, в 2015 г. стартовали нововведения, связанные с созданием систем контроля безопасности ПДД, весогабаритного контроля, комплексной систе</w:t>
      </w:r>
      <w:r w:rsidRPr="004E0FC4">
        <w:rPr>
          <w:rFonts w:ascii="Bookman Old Style" w:eastAsia="Bookman Old Style" w:hAnsi="Bookman Old Style" w:cs="Bookman Old Style"/>
          <w:color w:val="231F20"/>
          <w:sz w:val="18"/>
          <w:szCs w:val="18"/>
        </w:rPr>
        <w:softHyphen/>
        <w:t>мы взимания платы по проекту «Платон» с финансовым партнером в лице АО «Газпромбанк». В ходе последовавших масштабных про</w:t>
      </w:r>
      <w:r w:rsidRPr="004E0FC4">
        <w:rPr>
          <w:rFonts w:ascii="Bookman Old Style" w:eastAsia="Bookman Old Style" w:hAnsi="Bookman Old Style" w:cs="Bookman Old Style"/>
          <w:color w:val="231F20"/>
          <w:sz w:val="18"/>
          <w:szCs w:val="18"/>
        </w:rPr>
        <w:softHyphen/>
        <w:t>тестов водителей и владельцев большегрузов выявилась ситуация, что, помимо соблюдения финансово-экономических показателей проекта (объем и норма возврата инвестиций, срок окупаемости и др.), к сферам, где частному партнеру требуются тщательно раз</w:t>
      </w:r>
      <w:r w:rsidRPr="004E0FC4">
        <w:rPr>
          <w:rFonts w:ascii="Bookman Old Style" w:eastAsia="Bookman Old Style" w:hAnsi="Bookman Old Style" w:cs="Bookman Old Style"/>
          <w:color w:val="231F20"/>
          <w:sz w:val="18"/>
          <w:szCs w:val="18"/>
        </w:rPr>
        <w:softHyphen/>
        <w:t>работанные механизмы управления рисками, относятся информа</w:t>
      </w:r>
      <w:r w:rsidRPr="004E0FC4">
        <w:rPr>
          <w:rFonts w:ascii="Bookman Old Style" w:eastAsia="Bookman Old Style" w:hAnsi="Bookman Old Style" w:cs="Bookman Old Style"/>
          <w:color w:val="231F20"/>
          <w:sz w:val="18"/>
          <w:szCs w:val="18"/>
        </w:rPr>
        <w:softHyphen/>
        <w:t>ционные коммуникации вокруг проекта.</w:t>
      </w:r>
    </w:p>
    <w:p w14:paraId="2B1C740D"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Обоснованность затрат на создание системы взимания платы за проезд в размере 27 млрд руб. осталась «коммуникационно не</w:t>
      </w:r>
      <w:r w:rsidRPr="004E0FC4">
        <w:rPr>
          <w:rFonts w:ascii="Bookman Old Style" w:eastAsia="Bookman Old Style" w:hAnsi="Bookman Old Style" w:cs="Bookman Old Style"/>
          <w:color w:val="231F20"/>
          <w:sz w:val="18"/>
          <w:szCs w:val="18"/>
        </w:rPr>
        <w:softHyphen/>
        <w:t>урегулированной» для широкой общественности проблемой. Реали</w:t>
      </w:r>
      <w:r w:rsidRPr="004E0FC4">
        <w:rPr>
          <w:rFonts w:ascii="Bookman Old Style" w:eastAsia="Bookman Old Style" w:hAnsi="Bookman Old Style" w:cs="Bookman Old Style"/>
          <w:color w:val="231F20"/>
          <w:sz w:val="18"/>
          <w:szCs w:val="18"/>
        </w:rPr>
        <w:softHyphen/>
        <w:t xml:space="preserve">зация проекта «Платон» вызвала негативную реакцию у пользова- </w:t>
      </w:r>
      <w:r w:rsidRPr="004E0FC4">
        <w:rPr>
          <w:rFonts w:ascii="Bookman Old Style" w:eastAsia="Bookman Old Style" w:hAnsi="Bookman Old Style" w:cs="Bookman Old Style"/>
          <w:color w:val="231F20"/>
          <w:sz w:val="18"/>
          <w:szCs w:val="18"/>
          <w:vertAlign w:val="superscript"/>
        </w:rPr>
        <w:footnoteReference w:id="131"/>
      </w:r>
      <w:r w:rsidRPr="004E0FC4">
        <w:rPr>
          <w:rFonts w:ascii="Bookman Old Style" w:eastAsia="Bookman Old Style" w:hAnsi="Bookman Old Style" w:cs="Bookman Old Style"/>
          <w:color w:val="231F20"/>
          <w:sz w:val="18"/>
          <w:szCs w:val="18"/>
        </w:rPr>
        <w:t xml:space="preserve"> телей </w:t>
      </w:r>
      <w:r w:rsidRPr="004E0FC4">
        <w:rPr>
          <w:rFonts w:ascii="Bookman Old Style" w:eastAsia="Bookman Old Style" w:hAnsi="Bookman Old Style" w:cs="Bookman Old Style"/>
          <w:color w:val="231F20"/>
          <w:sz w:val="18"/>
          <w:szCs w:val="18"/>
        </w:rPr>
        <w:lastRenderedPageBreak/>
        <w:t>системы — владельцев большегрузных автомобилей, а акции протестующих освещалась в важнейших СМИ федерального уровня. Широкий общественный резонанс позиции противников реализа</w:t>
      </w:r>
      <w:r w:rsidRPr="004E0FC4">
        <w:rPr>
          <w:rFonts w:ascii="Bookman Old Style" w:eastAsia="Bookman Old Style" w:hAnsi="Bookman Old Style" w:cs="Bookman Old Style"/>
          <w:color w:val="231F20"/>
          <w:sz w:val="18"/>
          <w:szCs w:val="18"/>
        </w:rPr>
        <w:softHyphen/>
        <w:t>ции проекта стал указанием на необходимость взаимодействия с общественными организациями, СМИ и профессиональным сооб</w:t>
      </w:r>
      <w:r w:rsidRPr="004E0FC4">
        <w:rPr>
          <w:rFonts w:ascii="Bookman Old Style" w:eastAsia="Bookman Old Style" w:hAnsi="Bookman Old Style" w:cs="Bookman Old Style"/>
          <w:color w:val="231F20"/>
          <w:sz w:val="18"/>
          <w:szCs w:val="18"/>
        </w:rPr>
        <w:softHyphen/>
        <w:t>ществом, а также практическим примером по управлению инфор</w:t>
      </w:r>
      <w:r w:rsidRPr="004E0FC4">
        <w:rPr>
          <w:rFonts w:ascii="Bookman Old Style" w:eastAsia="Bookman Old Style" w:hAnsi="Bookman Old Style" w:cs="Bookman Old Style"/>
          <w:color w:val="231F20"/>
          <w:sz w:val="18"/>
          <w:szCs w:val="18"/>
        </w:rPr>
        <w:softHyphen/>
        <w:t>мационными рисками проекта ГЧП</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w:t>
      </w:r>
    </w:p>
    <w:p w14:paraId="7D9CEDC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highlight w:val="red"/>
        </w:rPr>
      </w:pPr>
      <w:r w:rsidRPr="004E0FC4">
        <w:rPr>
          <w:rFonts w:ascii="Bookman Old Style" w:eastAsia="Bookman Old Style" w:hAnsi="Bookman Old Style" w:cs="Bookman Old Style"/>
          <w:b/>
          <w:color w:val="231F20"/>
          <w:sz w:val="18"/>
          <w:szCs w:val="18"/>
        </w:rPr>
        <w:t>Региональные особенности развития ГЧП в России</w:t>
      </w:r>
      <w:r w:rsidRPr="004E0FC4">
        <w:rPr>
          <w:rFonts w:ascii="Bookman Old Style" w:eastAsia="Bookman Old Style" w:hAnsi="Bookman Old Style" w:cs="Bookman Old Style"/>
          <w:color w:val="231F20"/>
          <w:sz w:val="18"/>
          <w:szCs w:val="18"/>
        </w:rPr>
        <w:t>. Опыт разработки и реализации проектов ГЧП к 2</w:t>
      </w:r>
      <w:r w:rsidRPr="004E0FC4">
        <w:rPr>
          <w:rFonts w:ascii="Bookman Old Style" w:eastAsia="Bookman Old Style" w:hAnsi="Bookman Old Style" w:cs="Bookman Old Style"/>
          <w:color w:val="231F20"/>
          <w:sz w:val="18"/>
          <w:szCs w:val="18"/>
          <w:highlight w:val="green"/>
        </w:rPr>
        <w:t>022</w:t>
      </w:r>
      <w:r w:rsidRPr="004E0FC4">
        <w:rPr>
          <w:rFonts w:ascii="Bookman Old Style" w:eastAsia="Bookman Old Style" w:hAnsi="Bookman Old Style" w:cs="Bookman Old Style"/>
          <w:color w:val="231F20"/>
          <w:sz w:val="18"/>
          <w:szCs w:val="18"/>
        </w:rPr>
        <w:t xml:space="preserve"> г. имелся во всех субъектах Российской Федерации, </w:t>
      </w:r>
      <w:r w:rsidRPr="004E0FC4">
        <w:rPr>
          <w:rFonts w:ascii="Bookman Old Style" w:eastAsia="Bookman Old Style" w:hAnsi="Bookman Old Style" w:cs="Bookman Old Style"/>
          <w:color w:val="231F20"/>
          <w:sz w:val="18"/>
          <w:szCs w:val="18"/>
          <w:highlight w:val="green"/>
        </w:rPr>
        <w:t>кроме республик Калмыкия и Марий Эл</w:t>
      </w:r>
      <w:r w:rsidRPr="004E0FC4">
        <w:rPr>
          <w:rFonts w:ascii="Bookman Old Style" w:eastAsia="Bookman Old Style" w:hAnsi="Bookman Old Style" w:cs="Bookman Old Style"/>
          <w:color w:val="231F20"/>
          <w:sz w:val="18"/>
          <w:szCs w:val="18"/>
        </w:rPr>
        <w:t>. Однако дифференциация регионов по количеству проектов и объему вложений является существенной. В большей части российских регионов проекты ГЧП единичны или только на</w:t>
      </w:r>
      <w:r w:rsidRPr="004E0FC4">
        <w:rPr>
          <w:rFonts w:ascii="Bookman Old Style" w:eastAsia="Bookman Old Style" w:hAnsi="Bookman Old Style" w:cs="Bookman Old Style"/>
          <w:color w:val="231F20"/>
          <w:sz w:val="18"/>
          <w:szCs w:val="18"/>
        </w:rPr>
        <w:softHyphen/>
        <w:t xml:space="preserve">чинают «ставиться на поток». Лидерами по объему привлеченных частных средств в проекты на региональном уровне являются </w:t>
      </w:r>
      <w:r w:rsidRPr="004E0FC4">
        <w:rPr>
          <w:rFonts w:ascii="Bookman Old Style" w:eastAsia="Bookman Old Style" w:hAnsi="Bookman Old Style" w:cs="Bookman Old Style"/>
          <w:color w:val="231F20"/>
          <w:sz w:val="18"/>
          <w:szCs w:val="18"/>
          <w:highlight w:val="red"/>
        </w:rPr>
        <w:t>Мо</w:t>
      </w:r>
      <w:r w:rsidRPr="004E0FC4">
        <w:rPr>
          <w:rFonts w:ascii="Bookman Old Style" w:eastAsia="Bookman Old Style" w:hAnsi="Bookman Old Style" w:cs="Bookman Old Style"/>
          <w:color w:val="231F20"/>
          <w:sz w:val="18"/>
          <w:szCs w:val="18"/>
          <w:highlight w:val="red"/>
        </w:rPr>
        <w:softHyphen/>
        <w:t>сква (582 млрд руб.), Санкт-Петербург (320 млрд руб.), Ямало-Не</w:t>
      </w:r>
      <w:r w:rsidRPr="004E0FC4">
        <w:rPr>
          <w:rFonts w:ascii="Bookman Old Style" w:eastAsia="Bookman Old Style" w:hAnsi="Bookman Old Style" w:cs="Bookman Old Style"/>
          <w:color w:val="231F20"/>
          <w:sz w:val="18"/>
          <w:szCs w:val="18"/>
          <w:highlight w:val="red"/>
        </w:rPr>
        <w:softHyphen/>
        <w:t>нецкий автономный округ (129 млрд руб.), Волгоградская область (90 млрд руб.), Московская, Ростовская, Самарская и Свердловская области (от 47 млрд до 76 млрд руб.).</w:t>
      </w:r>
    </w:p>
    <w:p w14:paraId="085B3AC6" w14:textId="77777777" w:rsidR="00350396" w:rsidRPr="004E0FC4" w:rsidRDefault="00350396" w:rsidP="004E0FC4">
      <w:pPr>
        <w:framePr w:w="6581" w:wrap="notBeside" w:vAnchor="text" w:hAnchor="page" w:x="1078" w:y="1903"/>
        <w:widowControl w:val="0"/>
        <w:spacing w:line="240" w:lineRule="auto"/>
        <w:ind w:firstLine="0"/>
        <w:rPr>
          <w:rFonts w:ascii="Bookman Old Style" w:hAnsi="Bookman Old Style"/>
          <w:sz w:val="18"/>
          <w:szCs w:val="18"/>
          <w:highlight w:val="green"/>
        </w:rPr>
      </w:pPr>
      <w:r w:rsidRPr="004E0FC4">
        <w:rPr>
          <w:rFonts w:ascii="Bookman Old Style" w:eastAsia="Arial Narrow" w:hAnsi="Bookman Old Style" w:cs="Arial Narrow"/>
          <w:color w:val="231F20"/>
          <w:sz w:val="18"/>
          <w:szCs w:val="18"/>
          <w:highlight w:val="green"/>
        </w:rPr>
        <w:t xml:space="preserve">Таблица 4.13 </w:t>
      </w:r>
    </w:p>
    <w:p w14:paraId="2EEA700F" w14:textId="77777777" w:rsidR="00350396" w:rsidRPr="004E0FC4" w:rsidRDefault="00350396" w:rsidP="004E0FC4">
      <w:pPr>
        <w:framePr w:w="6581" w:wrap="notBeside" w:vAnchor="text" w:hAnchor="page" w:x="1078" w:y="1903"/>
        <w:widowControl w:val="0"/>
        <w:spacing w:line="240" w:lineRule="auto"/>
        <w:ind w:firstLine="0"/>
        <w:rPr>
          <w:rFonts w:ascii="Bookman Old Style" w:eastAsia="Arial Narrow" w:hAnsi="Bookman Old Style" w:cs="Arial Narrow"/>
          <w:b/>
          <w:iCs/>
          <w:color w:val="231F20"/>
          <w:sz w:val="18"/>
          <w:szCs w:val="18"/>
          <w:highlight w:val="green"/>
        </w:rPr>
      </w:pPr>
      <w:r w:rsidRPr="004E0FC4">
        <w:rPr>
          <w:rFonts w:ascii="Bookman Old Style" w:eastAsia="Arial Narrow" w:hAnsi="Bookman Old Style" w:cs="Arial Narrow"/>
          <w:b/>
          <w:iCs/>
          <w:color w:val="231F20"/>
          <w:sz w:val="18"/>
          <w:szCs w:val="18"/>
          <w:highlight w:val="green"/>
        </w:rPr>
        <w:t>Оценка накопленного опыта реализации проектов ГЧП в субъектах Российской Федерации</w:t>
      </w:r>
      <w:r w:rsidRPr="004E0FC4">
        <w:rPr>
          <w:rFonts w:ascii="Bookman Old Style" w:eastAsia="Arial Narrow" w:hAnsi="Bookman Old Style" w:cs="Arial Narrow"/>
          <w:b/>
          <w:iCs/>
          <w:color w:val="231F20"/>
          <w:sz w:val="18"/>
          <w:szCs w:val="18"/>
          <w:highlight w:val="green"/>
          <w:vertAlign w:val="superscript"/>
        </w:rPr>
        <w:footnoteReference w:id="132"/>
      </w:r>
    </w:p>
    <w:p w14:paraId="72D9B6C7"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red"/>
        </w:rPr>
        <w:t>В целом по результатам исследования Министерства эконо</w:t>
      </w:r>
      <w:r w:rsidRPr="004E0FC4">
        <w:rPr>
          <w:rFonts w:ascii="Bookman Old Style" w:eastAsia="Bookman Old Style" w:hAnsi="Bookman Old Style" w:cs="Bookman Old Style"/>
          <w:color w:val="231F20"/>
          <w:sz w:val="18"/>
          <w:szCs w:val="18"/>
          <w:highlight w:val="red"/>
        </w:rPr>
        <w:softHyphen/>
        <w:t>мического развития РФ и АНО «Национальный Центр ГЧП» (ра</w:t>
      </w:r>
      <w:r w:rsidRPr="004E0FC4">
        <w:rPr>
          <w:rFonts w:ascii="Bookman Old Style" w:eastAsia="Bookman Old Style" w:hAnsi="Bookman Old Style" w:cs="Bookman Old Style"/>
          <w:color w:val="231F20"/>
          <w:sz w:val="18"/>
          <w:szCs w:val="18"/>
          <w:highlight w:val="red"/>
        </w:rPr>
        <w:softHyphen/>
        <w:t>нее — АНО «Центр развития ГЧП»), посвященного комплексной оценке развития института государственно-частного партнерства в регионах России, лидирующие позиции по уровню развития ГЧП на 201 гг. занимали</w:t>
      </w:r>
      <w:r w:rsidRPr="004E0FC4">
        <w:rPr>
          <w:rFonts w:ascii="Bookman Old Style" w:eastAsia="Bookman Old Style" w:hAnsi="Bookman Old Style" w:cs="Bookman Old Style"/>
          <w:color w:val="231F20"/>
          <w:sz w:val="18"/>
          <w:szCs w:val="18"/>
          <w:highlight w:val="red"/>
          <w:vertAlign w:val="superscript"/>
        </w:rPr>
        <w:t>2</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 xml:space="preserve"> Москва, Санкт-Петербург, Москов</w:t>
      </w:r>
      <w:r w:rsidRPr="004E0FC4">
        <w:rPr>
          <w:rFonts w:ascii="Bookman Old Style" w:eastAsia="Bookman Old Style" w:hAnsi="Bookman Old Style" w:cs="Bookman Old Style"/>
          <w:color w:val="231F20"/>
          <w:sz w:val="18"/>
          <w:szCs w:val="18"/>
        </w:rPr>
        <w:softHyphen/>
        <w:t xml:space="preserve">ская, Самарская области, Республика Саха, башкортыстан, Удмуртия, Пермский край, ЯНАО (Ханты-Мансийский автономный округ — Югра), Тамбовская, Нижегородская и Новосибирская области </w:t>
      </w:r>
      <w:r w:rsidRPr="004E0FC4">
        <w:rPr>
          <w:rFonts w:ascii="Bookman Old Style" w:eastAsia="Bookman Old Style" w:hAnsi="Bookman Old Style" w:cs="Bookman Old Style"/>
          <w:color w:val="231F20"/>
          <w:sz w:val="18"/>
          <w:szCs w:val="18"/>
          <w:highlight w:val="green"/>
        </w:rPr>
        <w:t>(табл. 4.13)</w:t>
      </w:r>
      <w:r w:rsidRPr="004E0FC4">
        <w:rPr>
          <w:rFonts w:ascii="Bookman Old Style" w:eastAsia="Bookman Old Style" w:hAnsi="Bookman Old Style" w:cs="Bookman Old Style"/>
          <w:color w:val="231F20"/>
          <w:sz w:val="18"/>
          <w:szCs w:val="18"/>
        </w:rPr>
        <w:t xml:space="preserve"> . </w:t>
      </w:r>
    </w:p>
    <w:tbl>
      <w:tblPr>
        <w:tblStyle w:val="1c"/>
        <w:tblW w:w="0" w:type="auto"/>
        <w:tblLook w:val="04A0" w:firstRow="1" w:lastRow="0" w:firstColumn="1" w:lastColumn="0" w:noHBand="0" w:noVBand="1"/>
      </w:tblPr>
      <w:tblGrid>
        <w:gridCol w:w="1956"/>
        <w:gridCol w:w="1471"/>
        <w:gridCol w:w="1603"/>
        <w:gridCol w:w="1603"/>
      </w:tblGrid>
      <w:tr w:rsidR="00350396" w:rsidRPr="004E0FC4" w14:paraId="4B7507DC" w14:textId="77777777" w:rsidTr="006D7F71">
        <w:tc>
          <w:tcPr>
            <w:tcW w:w="2235" w:type="dxa"/>
            <w:vMerge w:val="restart"/>
            <w:vAlign w:val="center"/>
          </w:tcPr>
          <w:p w14:paraId="2545ED80"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Место (2021) Субъект Российской Федерации</w:t>
            </w:r>
          </w:p>
        </w:tc>
        <w:tc>
          <w:tcPr>
            <w:tcW w:w="1378" w:type="dxa"/>
            <w:vMerge w:val="restart"/>
            <w:vAlign w:val="center"/>
          </w:tcPr>
          <w:p w14:paraId="06B50F0F"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Оценка накопленного опыта, баллы</w:t>
            </w:r>
          </w:p>
        </w:tc>
        <w:tc>
          <w:tcPr>
            <w:tcW w:w="3158" w:type="dxa"/>
            <w:gridSpan w:val="2"/>
          </w:tcPr>
          <w:p w14:paraId="6B0F77D5"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Объём инвестиций по проектам ГЧП, млн. руб</w:t>
            </w:r>
          </w:p>
        </w:tc>
      </w:tr>
      <w:tr w:rsidR="00350396" w:rsidRPr="004E0FC4" w14:paraId="6245C8AC" w14:textId="77777777" w:rsidTr="006D7F71">
        <w:tc>
          <w:tcPr>
            <w:tcW w:w="2235" w:type="dxa"/>
            <w:vMerge/>
            <w:vAlign w:val="center"/>
          </w:tcPr>
          <w:p w14:paraId="63BB68E6" w14:textId="77777777" w:rsidR="00350396" w:rsidRPr="004E0FC4" w:rsidRDefault="00350396" w:rsidP="004E0FC4">
            <w:pPr>
              <w:widowControl w:val="0"/>
              <w:jc w:val="both"/>
              <w:rPr>
                <w:rFonts w:ascii="Bookman Old Style" w:hAnsi="Bookman Old Style"/>
                <w:sz w:val="18"/>
                <w:szCs w:val="18"/>
                <w:highlight w:val="green"/>
              </w:rPr>
            </w:pPr>
          </w:p>
        </w:tc>
        <w:tc>
          <w:tcPr>
            <w:tcW w:w="1378" w:type="dxa"/>
            <w:vMerge/>
            <w:vAlign w:val="center"/>
          </w:tcPr>
          <w:p w14:paraId="27B42190" w14:textId="77777777" w:rsidR="00350396" w:rsidRPr="004E0FC4" w:rsidRDefault="00350396" w:rsidP="004E0FC4">
            <w:pPr>
              <w:widowControl w:val="0"/>
              <w:jc w:val="both"/>
              <w:rPr>
                <w:rFonts w:ascii="Bookman Old Style" w:hAnsi="Bookman Old Style"/>
                <w:sz w:val="18"/>
                <w:szCs w:val="18"/>
                <w:highlight w:val="green"/>
              </w:rPr>
            </w:pPr>
          </w:p>
        </w:tc>
        <w:tc>
          <w:tcPr>
            <w:tcW w:w="1598" w:type="dxa"/>
          </w:tcPr>
          <w:p w14:paraId="44785B44"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Без корректировок</w:t>
            </w:r>
          </w:p>
        </w:tc>
        <w:tc>
          <w:tcPr>
            <w:tcW w:w="1560" w:type="dxa"/>
          </w:tcPr>
          <w:p w14:paraId="58522441"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После корректировок</w:t>
            </w:r>
          </w:p>
        </w:tc>
      </w:tr>
      <w:tr w:rsidR="00350396" w:rsidRPr="004E0FC4" w14:paraId="4A66CCFB" w14:textId="77777777" w:rsidTr="006D7F71">
        <w:tc>
          <w:tcPr>
            <w:tcW w:w="2235" w:type="dxa"/>
          </w:tcPr>
          <w:p w14:paraId="2A306061"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 г. Москва</w:t>
            </w:r>
          </w:p>
        </w:tc>
        <w:tc>
          <w:tcPr>
            <w:tcW w:w="1378" w:type="dxa"/>
            <w:vAlign w:val="center"/>
          </w:tcPr>
          <w:p w14:paraId="1CEE2050"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100,0</w:t>
            </w:r>
          </w:p>
        </w:tc>
        <w:tc>
          <w:tcPr>
            <w:tcW w:w="1598" w:type="dxa"/>
            <w:vAlign w:val="center"/>
          </w:tcPr>
          <w:p w14:paraId="765A63F1"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518 236</w:t>
            </w:r>
          </w:p>
        </w:tc>
        <w:tc>
          <w:tcPr>
            <w:tcW w:w="1560" w:type="dxa"/>
            <w:vAlign w:val="center"/>
          </w:tcPr>
          <w:p w14:paraId="04B90E50"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296 025</w:t>
            </w:r>
          </w:p>
        </w:tc>
      </w:tr>
      <w:tr w:rsidR="00350396" w:rsidRPr="004E0FC4" w14:paraId="067B5476" w14:textId="77777777" w:rsidTr="006D7F71">
        <w:tc>
          <w:tcPr>
            <w:tcW w:w="2235" w:type="dxa"/>
          </w:tcPr>
          <w:p w14:paraId="64D2A2AE"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 г. Санкт-Петербург</w:t>
            </w:r>
          </w:p>
        </w:tc>
        <w:tc>
          <w:tcPr>
            <w:tcW w:w="1378" w:type="dxa"/>
            <w:vAlign w:val="center"/>
          </w:tcPr>
          <w:p w14:paraId="7FB7E3D2"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99,8</w:t>
            </w:r>
          </w:p>
        </w:tc>
        <w:tc>
          <w:tcPr>
            <w:tcW w:w="1598" w:type="dxa"/>
            <w:vAlign w:val="center"/>
          </w:tcPr>
          <w:p w14:paraId="4CABDDBC"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317 589</w:t>
            </w:r>
          </w:p>
        </w:tc>
        <w:tc>
          <w:tcPr>
            <w:tcW w:w="1560" w:type="dxa"/>
            <w:vAlign w:val="center"/>
          </w:tcPr>
          <w:p w14:paraId="7866453E"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295 419</w:t>
            </w:r>
          </w:p>
        </w:tc>
      </w:tr>
      <w:tr w:rsidR="00350396" w:rsidRPr="004E0FC4" w14:paraId="25DACD04" w14:textId="77777777" w:rsidTr="006D7F71">
        <w:tc>
          <w:tcPr>
            <w:tcW w:w="2235" w:type="dxa"/>
          </w:tcPr>
          <w:p w14:paraId="4463ECF0"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3 Московская область</w:t>
            </w:r>
          </w:p>
        </w:tc>
        <w:tc>
          <w:tcPr>
            <w:tcW w:w="1378" w:type="dxa"/>
            <w:vAlign w:val="center"/>
          </w:tcPr>
          <w:p w14:paraId="48858442"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36,4</w:t>
            </w:r>
          </w:p>
        </w:tc>
        <w:tc>
          <w:tcPr>
            <w:tcW w:w="1598" w:type="dxa"/>
            <w:vAlign w:val="center"/>
          </w:tcPr>
          <w:p w14:paraId="452FC659"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201 920</w:t>
            </w:r>
          </w:p>
        </w:tc>
        <w:tc>
          <w:tcPr>
            <w:tcW w:w="1560" w:type="dxa"/>
            <w:vAlign w:val="center"/>
          </w:tcPr>
          <w:p w14:paraId="54D90D29"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107 828</w:t>
            </w:r>
          </w:p>
        </w:tc>
      </w:tr>
      <w:tr w:rsidR="00350396" w:rsidRPr="004E0FC4" w14:paraId="7700577A" w14:textId="77777777" w:rsidTr="006D7F71">
        <w:tc>
          <w:tcPr>
            <w:tcW w:w="2235" w:type="dxa"/>
          </w:tcPr>
          <w:p w14:paraId="55F7D43D"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4 Самарская область</w:t>
            </w:r>
          </w:p>
        </w:tc>
        <w:tc>
          <w:tcPr>
            <w:tcW w:w="1378" w:type="dxa"/>
            <w:vAlign w:val="center"/>
          </w:tcPr>
          <w:p w14:paraId="1F96146F"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27,0</w:t>
            </w:r>
          </w:p>
        </w:tc>
        <w:tc>
          <w:tcPr>
            <w:tcW w:w="1598" w:type="dxa"/>
            <w:vAlign w:val="center"/>
          </w:tcPr>
          <w:p w14:paraId="5B9AABDB"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161 278</w:t>
            </w:r>
          </w:p>
        </w:tc>
        <w:tc>
          <w:tcPr>
            <w:tcW w:w="1560" w:type="dxa"/>
            <w:vAlign w:val="center"/>
          </w:tcPr>
          <w:p w14:paraId="57BFDFFA"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79 940</w:t>
            </w:r>
          </w:p>
        </w:tc>
      </w:tr>
      <w:tr w:rsidR="00350396" w:rsidRPr="004E0FC4" w14:paraId="7BA328F7" w14:textId="77777777" w:rsidTr="006D7F71">
        <w:tc>
          <w:tcPr>
            <w:tcW w:w="2235" w:type="dxa"/>
          </w:tcPr>
          <w:p w14:paraId="6328E578"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5 Пермский край</w:t>
            </w:r>
          </w:p>
        </w:tc>
        <w:tc>
          <w:tcPr>
            <w:tcW w:w="1378" w:type="dxa"/>
            <w:vAlign w:val="center"/>
          </w:tcPr>
          <w:p w14:paraId="32F81A11"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22,6</w:t>
            </w:r>
          </w:p>
        </w:tc>
        <w:tc>
          <w:tcPr>
            <w:tcW w:w="1598" w:type="dxa"/>
            <w:vAlign w:val="center"/>
          </w:tcPr>
          <w:p w14:paraId="730CC01C"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159 457</w:t>
            </w:r>
          </w:p>
        </w:tc>
        <w:tc>
          <w:tcPr>
            <w:tcW w:w="1560" w:type="dxa"/>
            <w:vAlign w:val="center"/>
          </w:tcPr>
          <w:p w14:paraId="4B32EC61"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66 809</w:t>
            </w:r>
          </w:p>
        </w:tc>
      </w:tr>
      <w:tr w:rsidR="00350396" w:rsidRPr="004E0FC4" w14:paraId="2D1D8AA7" w14:textId="77777777" w:rsidTr="006D7F71">
        <w:tc>
          <w:tcPr>
            <w:tcW w:w="2235" w:type="dxa"/>
          </w:tcPr>
          <w:p w14:paraId="3D6782DE"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6 Республика Саха (Якутия)</w:t>
            </w:r>
          </w:p>
        </w:tc>
        <w:tc>
          <w:tcPr>
            <w:tcW w:w="1378" w:type="dxa"/>
            <w:vAlign w:val="center"/>
          </w:tcPr>
          <w:p w14:paraId="4714514B"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20,3</w:t>
            </w:r>
          </w:p>
        </w:tc>
        <w:tc>
          <w:tcPr>
            <w:tcW w:w="1598" w:type="dxa"/>
            <w:vAlign w:val="center"/>
          </w:tcPr>
          <w:p w14:paraId="717F917F"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119 196</w:t>
            </w:r>
          </w:p>
        </w:tc>
        <w:tc>
          <w:tcPr>
            <w:tcW w:w="1560" w:type="dxa"/>
            <w:vAlign w:val="center"/>
          </w:tcPr>
          <w:p w14:paraId="45FD9A84"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60 212</w:t>
            </w:r>
          </w:p>
        </w:tc>
      </w:tr>
      <w:tr w:rsidR="00350396" w:rsidRPr="004E0FC4" w14:paraId="5884F95A" w14:textId="77777777" w:rsidTr="006D7F71">
        <w:tc>
          <w:tcPr>
            <w:tcW w:w="2235" w:type="dxa"/>
          </w:tcPr>
          <w:p w14:paraId="615CF432"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7 Волгоградская область</w:t>
            </w:r>
          </w:p>
        </w:tc>
        <w:tc>
          <w:tcPr>
            <w:tcW w:w="1378" w:type="dxa"/>
            <w:vAlign w:val="center"/>
          </w:tcPr>
          <w:p w14:paraId="4610FF99"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16,1</w:t>
            </w:r>
          </w:p>
        </w:tc>
        <w:tc>
          <w:tcPr>
            <w:tcW w:w="1598" w:type="dxa"/>
            <w:vAlign w:val="center"/>
          </w:tcPr>
          <w:p w14:paraId="152A7DD5"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91 276</w:t>
            </w:r>
          </w:p>
        </w:tc>
        <w:tc>
          <w:tcPr>
            <w:tcW w:w="1560" w:type="dxa"/>
            <w:vAlign w:val="center"/>
          </w:tcPr>
          <w:p w14:paraId="1A2A016A"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47 646</w:t>
            </w:r>
          </w:p>
        </w:tc>
      </w:tr>
      <w:tr w:rsidR="00350396" w:rsidRPr="004E0FC4" w14:paraId="22461685" w14:textId="77777777" w:rsidTr="006D7F71">
        <w:tc>
          <w:tcPr>
            <w:tcW w:w="2235" w:type="dxa"/>
          </w:tcPr>
          <w:p w14:paraId="005ED43B"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8 Новосибирская область</w:t>
            </w:r>
          </w:p>
        </w:tc>
        <w:tc>
          <w:tcPr>
            <w:tcW w:w="1378" w:type="dxa"/>
            <w:vAlign w:val="center"/>
          </w:tcPr>
          <w:p w14:paraId="51008970"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10,0</w:t>
            </w:r>
          </w:p>
        </w:tc>
        <w:tc>
          <w:tcPr>
            <w:tcW w:w="1598" w:type="dxa"/>
            <w:vAlign w:val="center"/>
          </w:tcPr>
          <w:p w14:paraId="1CA57BC3"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60 208</w:t>
            </w:r>
          </w:p>
        </w:tc>
        <w:tc>
          <w:tcPr>
            <w:tcW w:w="1560" w:type="dxa"/>
            <w:vAlign w:val="center"/>
          </w:tcPr>
          <w:p w14:paraId="1389A330"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29 578</w:t>
            </w:r>
          </w:p>
        </w:tc>
      </w:tr>
      <w:tr w:rsidR="00350396" w:rsidRPr="004E0FC4" w14:paraId="09533D45" w14:textId="77777777" w:rsidTr="006D7F71">
        <w:tc>
          <w:tcPr>
            <w:tcW w:w="2235" w:type="dxa"/>
          </w:tcPr>
          <w:p w14:paraId="75DABAFD"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lastRenderedPageBreak/>
              <w:t>9 Ямало-Ненецкий автономный округ</w:t>
            </w:r>
          </w:p>
        </w:tc>
        <w:tc>
          <w:tcPr>
            <w:tcW w:w="1378" w:type="dxa"/>
            <w:vAlign w:val="center"/>
          </w:tcPr>
          <w:p w14:paraId="63447179"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8,6</w:t>
            </w:r>
          </w:p>
        </w:tc>
        <w:tc>
          <w:tcPr>
            <w:tcW w:w="1598" w:type="dxa"/>
            <w:vAlign w:val="center"/>
          </w:tcPr>
          <w:p w14:paraId="53C208A5"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36 293</w:t>
            </w:r>
          </w:p>
        </w:tc>
        <w:tc>
          <w:tcPr>
            <w:tcW w:w="1560" w:type="dxa"/>
            <w:vAlign w:val="center"/>
          </w:tcPr>
          <w:p w14:paraId="55D28C0A"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25 333</w:t>
            </w:r>
          </w:p>
        </w:tc>
      </w:tr>
      <w:tr w:rsidR="00350396" w:rsidRPr="004E0FC4" w14:paraId="64B0A120" w14:textId="77777777" w:rsidTr="006D7F71">
        <w:tc>
          <w:tcPr>
            <w:tcW w:w="2235" w:type="dxa"/>
          </w:tcPr>
          <w:p w14:paraId="5962272E"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10 Удмуртская Республика</w:t>
            </w:r>
          </w:p>
        </w:tc>
        <w:tc>
          <w:tcPr>
            <w:tcW w:w="1378" w:type="dxa"/>
            <w:vAlign w:val="center"/>
          </w:tcPr>
          <w:p w14:paraId="2585E282"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8,5</w:t>
            </w:r>
          </w:p>
        </w:tc>
        <w:tc>
          <w:tcPr>
            <w:tcW w:w="1598" w:type="dxa"/>
            <w:vAlign w:val="center"/>
          </w:tcPr>
          <w:p w14:paraId="1C4F640E"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26 117</w:t>
            </w:r>
          </w:p>
        </w:tc>
        <w:tc>
          <w:tcPr>
            <w:tcW w:w="1560" w:type="dxa"/>
            <w:vAlign w:val="center"/>
          </w:tcPr>
          <w:p w14:paraId="2CBE23DC" w14:textId="77777777" w:rsidR="00350396" w:rsidRPr="004E0FC4" w:rsidRDefault="00350396" w:rsidP="004E0FC4">
            <w:pPr>
              <w:widowControl w:val="0"/>
              <w:jc w:val="both"/>
              <w:rPr>
                <w:rFonts w:ascii="Bookman Old Style" w:hAnsi="Bookman Old Style"/>
                <w:sz w:val="18"/>
                <w:szCs w:val="18"/>
                <w:highlight w:val="green"/>
              </w:rPr>
            </w:pPr>
            <w:r w:rsidRPr="004E0FC4">
              <w:rPr>
                <w:rFonts w:ascii="Bookman Old Style" w:hAnsi="Bookman Old Style"/>
                <w:sz w:val="18"/>
                <w:szCs w:val="18"/>
                <w:highlight w:val="green"/>
              </w:rPr>
              <w:t>25 063</w:t>
            </w:r>
          </w:p>
          <w:p w14:paraId="1572804C" w14:textId="77777777" w:rsidR="00350396" w:rsidRPr="004E0FC4" w:rsidRDefault="00350396" w:rsidP="004E0FC4">
            <w:pPr>
              <w:widowControl w:val="0"/>
              <w:jc w:val="both"/>
              <w:rPr>
                <w:rFonts w:ascii="Bookman Old Style" w:hAnsi="Bookman Old Style"/>
                <w:sz w:val="18"/>
                <w:szCs w:val="18"/>
                <w:highlight w:val="green"/>
              </w:rPr>
            </w:pPr>
          </w:p>
        </w:tc>
      </w:tr>
    </w:tbl>
    <w:p w14:paraId="67222755"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hAnsi="Bookman Old Style"/>
          <w:sz w:val="18"/>
          <w:szCs w:val="18"/>
          <w:highlight w:val="green"/>
        </w:rPr>
        <w:t>Примечание: оцениваются результаты реализации проектов ГЧП до 2021 года (запуск проектов, выход на стадию эксплуатации, успешное завершение), также взвешенные по объёму инвестиций по проектам.</w:t>
      </w:r>
    </w:p>
    <w:p w14:paraId="244BD880"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rPr>
      </w:pPr>
    </w:p>
    <w:p w14:paraId="0CBD5A3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Для </w:t>
      </w:r>
      <w:r w:rsidRPr="004E0FC4">
        <w:rPr>
          <w:rFonts w:ascii="Bookman Old Style" w:eastAsia="Bookman Old Style" w:hAnsi="Bookman Old Style" w:cs="Bookman Old Style"/>
          <w:color w:val="231F20"/>
          <w:sz w:val="18"/>
          <w:szCs w:val="18"/>
          <w:highlight w:val="red"/>
        </w:rPr>
        <w:t>них</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наиболее «опытных» регионов</w:t>
      </w:r>
      <w:r w:rsidRPr="004E0FC4">
        <w:rPr>
          <w:rFonts w:ascii="Bookman Old Style" w:eastAsia="Bookman Old Style" w:hAnsi="Bookman Old Style" w:cs="Bookman Old Style"/>
          <w:color w:val="231F20"/>
          <w:sz w:val="18"/>
          <w:szCs w:val="18"/>
        </w:rPr>
        <w:t xml:space="preserve"> характерны </w:t>
      </w:r>
      <w:r w:rsidRPr="004E0FC4">
        <w:rPr>
          <w:rFonts w:ascii="Bookman Old Style" w:eastAsia="Bookman Old Style" w:hAnsi="Bookman Old Style" w:cs="Bookman Old Style"/>
          <w:color w:val="231F20"/>
          <w:sz w:val="18"/>
          <w:szCs w:val="18"/>
          <w:highlight w:val="red"/>
        </w:rPr>
        <w:t>успешный опыт реализации проектов на региональном и муници</w:t>
      </w:r>
      <w:r w:rsidRPr="004E0FC4">
        <w:rPr>
          <w:rFonts w:ascii="Bookman Old Style" w:eastAsia="Bookman Old Style" w:hAnsi="Bookman Old Style" w:cs="Bookman Old Style"/>
          <w:color w:val="231F20"/>
          <w:sz w:val="18"/>
          <w:szCs w:val="18"/>
          <w:highlight w:val="red"/>
        </w:rPr>
        <w:softHyphen/>
        <w:t>пальном уровнях,</w:t>
      </w:r>
      <w:r w:rsidRPr="004E0FC4">
        <w:rPr>
          <w:rFonts w:ascii="Bookman Old Style" w:eastAsia="Bookman Old Style" w:hAnsi="Bookman Old Style" w:cs="Bookman Old Style"/>
          <w:color w:val="231F20"/>
          <w:sz w:val="18"/>
          <w:szCs w:val="18"/>
        </w:rPr>
        <w:t xml:space="preserve"> высокий инвестиционный потенциал, развитая нормативная правовая база, регулирующая вопросы организации ГЧП. Наименее развита практика ГЧП в национальных субъектах РФ — республиках Калмыкия, Северная Осетия — Алания, Тыва, Адыгея, Карачаево-Черкесия, Ненецкий автономный округ, Ингу</w:t>
      </w:r>
      <w:r w:rsidRPr="004E0FC4">
        <w:rPr>
          <w:rFonts w:ascii="Bookman Old Style" w:eastAsia="Bookman Old Style" w:hAnsi="Bookman Old Style" w:cs="Bookman Old Style"/>
          <w:color w:val="231F20"/>
          <w:sz w:val="18"/>
          <w:szCs w:val="18"/>
        </w:rPr>
        <w:softHyphen/>
        <w:t>шетия, Чечня, а также в Орловской, Тверской, Брянской и Курской областях.</w:t>
      </w:r>
    </w:p>
    <w:p w14:paraId="573A3D1A"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Согласно анализу, который Центр ГЧП проводил ранее, нерав</w:t>
      </w:r>
      <w:r w:rsidRPr="004E0FC4">
        <w:rPr>
          <w:rFonts w:ascii="Bookman Old Style" w:eastAsia="Bookman Old Style" w:hAnsi="Bookman Old Style" w:cs="Bookman Old Style"/>
          <w:color w:val="231F20"/>
          <w:sz w:val="18"/>
          <w:szCs w:val="18"/>
          <w:highlight w:val="red"/>
        </w:rPr>
        <w:softHyphen/>
        <w:t>номерное развитие института ГЧП в различных регионах и другие сложности с внедрением ГЧП в России в 2000—2010-е гг. обуслов</w:t>
      </w:r>
      <w:r w:rsidRPr="004E0FC4">
        <w:rPr>
          <w:rFonts w:ascii="Bookman Old Style" w:eastAsia="Bookman Old Style" w:hAnsi="Bookman Old Style" w:cs="Bookman Old Style"/>
          <w:color w:val="231F20"/>
          <w:sz w:val="18"/>
          <w:szCs w:val="18"/>
          <w:highlight w:val="red"/>
        </w:rPr>
        <w:softHyphen/>
        <w:t>лены рядом причин, среди которых немаловажное место занима</w:t>
      </w:r>
      <w:r w:rsidRPr="004E0FC4">
        <w:rPr>
          <w:rFonts w:ascii="Bookman Old Style" w:eastAsia="Bookman Old Style" w:hAnsi="Bookman Old Style" w:cs="Bookman Old Style"/>
          <w:color w:val="231F20"/>
          <w:sz w:val="18"/>
          <w:szCs w:val="18"/>
          <w:highlight w:val="red"/>
        </w:rPr>
        <w:softHyphen/>
        <w:t xml:space="preserve">ют </w:t>
      </w:r>
      <w:r w:rsidRPr="004E0FC4">
        <w:rPr>
          <w:rFonts w:ascii="Bookman Old Style" w:eastAsia="Bookman Old Style" w:hAnsi="Bookman Old Style" w:cs="Bookman Old Style"/>
          <w:i/>
          <w:iCs/>
          <w:color w:val="231F20"/>
          <w:sz w:val="18"/>
          <w:szCs w:val="18"/>
          <w:highlight w:val="red"/>
        </w:rPr>
        <w:t>различия в интересах сторон.</w:t>
      </w:r>
      <w:r w:rsidRPr="004E0FC4">
        <w:rPr>
          <w:rFonts w:ascii="Bookman Old Style" w:eastAsia="Bookman Old Style" w:hAnsi="Bookman Old Style" w:cs="Bookman Old Style"/>
          <w:color w:val="231F20"/>
          <w:sz w:val="18"/>
          <w:szCs w:val="18"/>
          <w:highlight w:val="red"/>
        </w:rPr>
        <w:t xml:space="preserve"> Так, региональные чиновники </w:t>
      </w:r>
      <w:r w:rsidRPr="004E0FC4">
        <w:rPr>
          <w:rFonts w:ascii="Bookman Old Style" w:eastAsia="Bookman Old Style" w:hAnsi="Bookman Old Style" w:cs="Bookman Old Style"/>
          <w:color w:val="231F20"/>
          <w:sz w:val="18"/>
          <w:szCs w:val="18"/>
          <w:highlight w:val="red"/>
          <w:vertAlign w:val="superscript"/>
        </w:rPr>
        <w:footnoteReference w:id="133"/>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34"/>
      </w:r>
      <w:r w:rsidRPr="004E0FC4">
        <w:rPr>
          <w:rFonts w:ascii="Bookman Old Style" w:eastAsia="Bookman Old Style" w:hAnsi="Bookman Old Style" w:cs="Bookman Old Style"/>
          <w:color w:val="231F20"/>
          <w:sz w:val="18"/>
          <w:szCs w:val="18"/>
          <w:highlight w:val="red"/>
        </w:rPr>
        <w:t xml:space="preserve"> хотели бы переложить бремя содержания изношенной инфраструк</w:t>
      </w:r>
      <w:r w:rsidRPr="004E0FC4">
        <w:rPr>
          <w:rFonts w:ascii="Bookman Old Style" w:eastAsia="Bookman Old Style" w:hAnsi="Bookman Old Style" w:cs="Bookman Old Style"/>
          <w:color w:val="231F20"/>
          <w:sz w:val="18"/>
          <w:szCs w:val="18"/>
          <w:highlight w:val="red"/>
        </w:rPr>
        <w:softHyphen/>
        <w:t>туры на бизнес, не имея возможности софинансирования проектов, либо привлечь в регион деньги из федеральных источников. Бизнес рассматривает ГЧП как способ получения преференций со стороны органов власти или канал доступа к перспективным с точки зре</w:t>
      </w:r>
      <w:r w:rsidRPr="004E0FC4">
        <w:rPr>
          <w:rFonts w:ascii="Bookman Old Style" w:eastAsia="Bookman Old Style" w:hAnsi="Bookman Old Style" w:cs="Bookman Old Style"/>
          <w:color w:val="231F20"/>
          <w:sz w:val="18"/>
          <w:szCs w:val="18"/>
          <w:highlight w:val="red"/>
        </w:rPr>
        <w:softHyphen/>
        <w:t>ния быстрой окупаемости и прибыли инфраструктурных объектов, находящихся в государственной и муниципальной собственности (земли, водоканалы, объекты теплоснабжения, здания и др.)</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highlight w:val="red"/>
        </w:rPr>
        <w:t>.</w:t>
      </w:r>
    </w:p>
    <w:p w14:paraId="704701D5"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Возможности федеральных властей по финансированию всех проектов ограничены, поэтому с их точки зрения большинство про</w:t>
      </w:r>
      <w:r w:rsidRPr="004E0FC4">
        <w:rPr>
          <w:rFonts w:ascii="Bookman Old Style" w:eastAsia="Bookman Old Style" w:hAnsi="Bookman Old Style" w:cs="Bookman Old Style"/>
          <w:color w:val="231F20"/>
          <w:sz w:val="18"/>
          <w:szCs w:val="18"/>
          <w:highlight w:val="red"/>
        </w:rPr>
        <w:softHyphen/>
        <w:t>ектов регионального масштаба должно реализовываться без уча</w:t>
      </w:r>
      <w:r w:rsidRPr="004E0FC4">
        <w:rPr>
          <w:rFonts w:ascii="Bookman Old Style" w:eastAsia="Bookman Old Style" w:hAnsi="Bookman Old Style" w:cs="Bookman Old Style"/>
          <w:color w:val="231F20"/>
          <w:sz w:val="18"/>
          <w:szCs w:val="18"/>
          <w:highlight w:val="red"/>
        </w:rPr>
        <w:softHyphen/>
        <w:t>стия федерального бюджета и средств ИФ. Однако зачастую имен</w:t>
      </w:r>
      <w:r w:rsidRPr="004E0FC4">
        <w:rPr>
          <w:rFonts w:ascii="Bookman Old Style" w:eastAsia="Bookman Old Style" w:hAnsi="Bookman Old Style" w:cs="Bookman Old Style"/>
          <w:color w:val="231F20"/>
          <w:sz w:val="18"/>
          <w:szCs w:val="18"/>
          <w:highlight w:val="red"/>
        </w:rPr>
        <w:softHyphen/>
        <w:t>но</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i/>
          <w:iCs/>
          <w:color w:val="231F20"/>
          <w:sz w:val="18"/>
          <w:szCs w:val="18"/>
          <w:highlight w:val="green"/>
        </w:rPr>
        <w:t>Ф</w:t>
      </w:r>
      <w:r w:rsidRPr="004E0FC4">
        <w:rPr>
          <w:rFonts w:ascii="Bookman Old Style" w:eastAsia="Bookman Old Style" w:hAnsi="Bookman Old Style" w:cs="Bookman Old Style"/>
          <w:i/>
          <w:iCs/>
          <w:color w:val="231F20"/>
          <w:sz w:val="18"/>
          <w:szCs w:val="18"/>
        </w:rPr>
        <w:t>инансовое участие федерального бюджета создает уверенность частного сектора в реализуемости проекта</w:t>
      </w:r>
      <w:r w:rsidRPr="004E0FC4">
        <w:rPr>
          <w:rFonts w:ascii="Bookman Old Style" w:eastAsia="Bookman Old Style" w:hAnsi="Bookman Old Style" w:cs="Bookman Old Style"/>
          <w:color w:val="231F20"/>
          <w:sz w:val="18"/>
          <w:szCs w:val="18"/>
        </w:rPr>
        <w:t xml:space="preserve"> и достижении приемле</w:t>
      </w:r>
      <w:r w:rsidRPr="004E0FC4">
        <w:rPr>
          <w:rFonts w:ascii="Bookman Old Style" w:eastAsia="Bookman Old Style" w:hAnsi="Bookman Old Style" w:cs="Bookman Old Style"/>
          <w:color w:val="231F20"/>
          <w:sz w:val="18"/>
          <w:szCs w:val="18"/>
        </w:rPr>
        <w:softHyphen/>
        <w:t>мых экономических и финансовых результатов. Частные инвесторы в проектах регионального масштаба стараются не вкладывать в про</w:t>
      </w:r>
      <w:r w:rsidRPr="004E0FC4">
        <w:rPr>
          <w:rFonts w:ascii="Bookman Old Style" w:eastAsia="Bookman Old Style" w:hAnsi="Bookman Old Style" w:cs="Bookman Old Style"/>
          <w:color w:val="231F20"/>
          <w:sz w:val="18"/>
          <w:szCs w:val="18"/>
        </w:rPr>
        <w:softHyphen/>
        <w:t xml:space="preserve">ект в основном собственные средства и таким образом не брать на себя ответственность за результаты реализации проектов ГЧП. </w:t>
      </w:r>
      <w:r w:rsidRPr="004E0FC4">
        <w:rPr>
          <w:rFonts w:ascii="Bookman Old Style" w:eastAsia="Bookman Old Style" w:hAnsi="Bookman Old Style" w:cs="Bookman Old Style"/>
          <w:color w:val="231F20"/>
          <w:sz w:val="18"/>
          <w:szCs w:val="18"/>
          <w:highlight w:val="red"/>
        </w:rPr>
        <w:t>Ситуацию с частными вложениями инвесторов характеризует ста</w:t>
      </w:r>
      <w:r w:rsidRPr="004E0FC4">
        <w:rPr>
          <w:rFonts w:ascii="Bookman Old Style" w:eastAsia="Bookman Old Style" w:hAnsi="Bookman Old Style" w:cs="Bookman Old Style"/>
          <w:color w:val="231F20"/>
          <w:sz w:val="18"/>
          <w:szCs w:val="18"/>
          <w:highlight w:val="red"/>
        </w:rPr>
        <w:softHyphen/>
        <w:t>тистика по предоставлению капитальных грантов из бюджета (со- финансирование части затрат на создание объекта инфраструктуры на инвестиционном этапе). Так, по состоянию на 2018 г. «капгрант» предусмотрен</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highlight w:val="red"/>
        </w:rPr>
        <w:t>:</w:t>
      </w:r>
    </w:p>
    <w:p w14:paraId="6F1E3E17"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 12 из 17 (70 %) федеральных проектов ГЧП, прошедших стадию коммерческого закрытия, при этом соотношение бюджет</w:t>
      </w:r>
      <w:r w:rsidRPr="004E0FC4">
        <w:rPr>
          <w:rFonts w:ascii="Bookman Old Style" w:eastAsia="Bookman Old Style" w:hAnsi="Bookman Old Style" w:cs="Bookman Old Style"/>
          <w:color w:val="231F20"/>
          <w:sz w:val="18"/>
          <w:szCs w:val="18"/>
          <w:highlight w:val="red"/>
        </w:rPr>
        <w:softHyphen/>
        <w:t>ного участия к частному — 1 : 0,43;</w:t>
      </w:r>
    </w:p>
    <w:p w14:paraId="7640DFFA"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63 из 321 (19,6 %) регионального проекта ГЧП, прошедших стадию коммерческого закрытия, при этом соотношение бюджетно</w:t>
      </w:r>
      <w:r w:rsidRPr="004E0FC4">
        <w:rPr>
          <w:rFonts w:ascii="Bookman Old Style" w:eastAsia="Bookman Old Style" w:hAnsi="Bookman Old Style" w:cs="Bookman Old Style"/>
          <w:color w:val="231F20"/>
          <w:sz w:val="18"/>
          <w:szCs w:val="18"/>
          <w:highlight w:val="red"/>
        </w:rPr>
        <w:softHyphen/>
        <w:t xml:space="preserve">го </w:t>
      </w:r>
      <w:r w:rsidRPr="004E0FC4">
        <w:rPr>
          <w:rFonts w:ascii="Bookman Old Style" w:eastAsia="Bookman Old Style" w:hAnsi="Bookman Old Style" w:cs="Bookman Old Style"/>
          <w:color w:val="231F20"/>
          <w:sz w:val="18"/>
          <w:szCs w:val="18"/>
          <w:highlight w:val="red"/>
        </w:rPr>
        <w:lastRenderedPageBreak/>
        <w:t>участия к частному — 1 : 3,95;</w:t>
      </w:r>
    </w:p>
    <w:p w14:paraId="31DD821E" w14:textId="77777777" w:rsidR="00350396" w:rsidRPr="004E0FC4" w:rsidRDefault="00350396" w:rsidP="004E0FC4">
      <w:pPr>
        <w:widowControl w:val="0"/>
        <w:numPr>
          <w:ilvl w:val="0"/>
          <w:numId w:val="66"/>
        </w:numPr>
        <w:tabs>
          <w:tab w:val="left" w:pos="630"/>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238 из 2634 (9 %) муниципальных проектов ГЧП, прошедших стадию коммерческого закрытия, при этом соотношение бюджетно</w:t>
      </w:r>
      <w:r w:rsidRPr="004E0FC4">
        <w:rPr>
          <w:rFonts w:ascii="Bookman Old Style" w:eastAsia="Bookman Old Style" w:hAnsi="Bookman Old Style" w:cs="Bookman Old Style"/>
          <w:color w:val="231F20"/>
          <w:sz w:val="18"/>
          <w:szCs w:val="18"/>
          <w:highlight w:val="red"/>
        </w:rPr>
        <w:softHyphen/>
        <w:t>го участия к частному — 1 : 10,2.</w:t>
      </w:r>
    </w:p>
    <w:p w14:paraId="19D57BF6"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Данная ситуация свидетельствует о том, что</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Ч</w:t>
      </w:r>
      <w:r w:rsidRPr="004E0FC4">
        <w:rPr>
          <w:rFonts w:ascii="Bookman Old Style" w:eastAsia="Bookman Old Style" w:hAnsi="Bookman Old Style" w:cs="Bookman Old Style"/>
          <w:color w:val="231F20"/>
          <w:sz w:val="18"/>
          <w:szCs w:val="18"/>
        </w:rPr>
        <w:t>ем крупнее проект, тем сложнее привлечение частного финансирования в достаточном объеме.</w:t>
      </w:r>
    </w:p>
    <w:p w14:paraId="2E0155A6"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Традиционно выделяют несколько препятствий на пути развития практики ГЧП в регионах России</w:t>
      </w:r>
      <w:r w:rsidRPr="004E0FC4">
        <w:rPr>
          <w:rFonts w:ascii="Bookman Old Style" w:eastAsia="Bookman Old Style" w:hAnsi="Bookman Old Style" w:cs="Bookman Old Style"/>
          <w:color w:val="231F20"/>
          <w:sz w:val="18"/>
          <w:szCs w:val="18"/>
          <w:highlight w:val="red"/>
          <w:vertAlign w:val="superscript"/>
        </w:rPr>
        <w:t>2</w:t>
      </w:r>
      <w:r w:rsidRPr="004E0FC4">
        <w:rPr>
          <w:rFonts w:ascii="Bookman Old Style" w:eastAsia="Bookman Old Style" w:hAnsi="Bookman Old Style" w:cs="Bookman Old Style"/>
          <w:color w:val="231F20"/>
          <w:sz w:val="18"/>
          <w:szCs w:val="18"/>
          <w:highlight w:val="red"/>
        </w:rPr>
        <w:t>.</w:t>
      </w:r>
    </w:p>
    <w:p w14:paraId="043F8D83" w14:textId="77777777" w:rsidR="00350396" w:rsidRPr="004E0FC4" w:rsidRDefault="00350396" w:rsidP="004E0FC4">
      <w:pPr>
        <w:widowControl w:val="0"/>
        <w:spacing w:line="240" w:lineRule="auto"/>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1. Риски и опасения частных компаний, ограничивающие вло</w:t>
      </w:r>
      <w:r w:rsidRPr="004E0FC4">
        <w:rPr>
          <w:rFonts w:ascii="Bookman Old Style" w:eastAsia="Bookman Old Style" w:hAnsi="Bookman Old Style" w:cs="Bookman Old Style"/>
          <w:color w:val="231F20"/>
          <w:sz w:val="18"/>
          <w:szCs w:val="18"/>
          <w:highlight w:val="red"/>
        </w:rPr>
        <w:softHyphen/>
        <w:t>жение средств в инфраструктурные проекты, включая коррупцион</w:t>
      </w:r>
      <w:r w:rsidRPr="004E0FC4">
        <w:rPr>
          <w:rFonts w:ascii="Bookman Old Style" w:eastAsia="Bookman Old Style" w:hAnsi="Bookman Old Style" w:cs="Bookman Old Style"/>
          <w:color w:val="231F20"/>
          <w:sz w:val="18"/>
          <w:szCs w:val="18"/>
          <w:highlight w:val="red"/>
        </w:rPr>
        <w:softHyphen/>
        <w:t>ные риски и внеэкономические ограничения для иностранных ин</w:t>
      </w:r>
      <w:r w:rsidRPr="004E0FC4">
        <w:rPr>
          <w:rFonts w:ascii="Bookman Old Style" w:eastAsia="Bookman Old Style" w:hAnsi="Bookman Old Style" w:cs="Bookman Old Style"/>
          <w:color w:val="231F20"/>
          <w:sz w:val="18"/>
          <w:szCs w:val="18"/>
          <w:highlight w:val="red"/>
        </w:rPr>
        <w:softHyphen/>
        <w:t xml:space="preserve">вестиций. </w:t>
      </w:r>
      <w:r w:rsidRPr="004E0FC4">
        <w:rPr>
          <w:rFonts w:ascii="Bookman Old Style" w:eastAsia="Bookman Old Style" w:hAnsi="Bookman Old Style" w:cs="Bookman Old Style"/>
          <w:color w:val="231F20"/>
          <w:sz w:val="18"/>
          <w:szCs w:val="18"/>
          <w:highlight w:val="red"/>
          <w:vertAlign w:val="superscript"/>
        </w:rPr>
        <w:footnoteReference w:id="135"/>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36"/>
      </w:r>
    </w:p>
    <w:p w14:paraId="152483A7" w14:textId="77777777" w:rsidR="00350396" w:rsidRPr="004E0FC4" w:rsidRDefault="00350396" w:rsidP="004E0FC4">
      <w:pPr>
        <w:widowControl w:val="0"/>
        <w:numPr>
          <w:ilvl w:val="0"/>
          <w:numId w:val="70"/>
        </w:numPr>
        <w:tabs>
          <w:tab w:val="left" w:pos="626"/>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«Барьер компетентности»: недостаток квалифицированных кадров в частных компаниях, владеющих ГЧП-инструментарием, а также чиновников регионального уровня, способных подготовить и «упаковать» проект для инвесторов.</w:t>
      </w:r>
    </w:p>
    <w:p w14:paraId="34DB65D3" w14:textId="77777777" w:rsidR="00350396" w:rsidRPr="004E0FC4" w:rsidRDefault="00350396" w:rsidP="004E0FC4">
      <w:pPr>
        <w:widowControl w:val="0"/>
        <w:numPr>
          <w:ilvl w:val="0"/>
          <w:numId w:val="70"/>
        </w:numPr>
        <w:tabs>
          <w:tab w:val="left" w:pos="626"/>
        </w:tabs>
        <w:spacing w:line="250"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Недостаток долгосрочного финансирования: снижение до</w:t>
      </w:r>
      <w:r w:rsidRPr="004E0FC4">
        <w:rPr>
          <w:rFonts w:ascii="Bookman Old Style" w:eastAsia="Bookman Old Style" w:hAnsi="Bookman Old Style" w:cs="Bookman Old Style"/>
          <w:color w:val="231F20"/>
          <w:sz w:val="18"/>
          <w:szCs w:val="18"/>
          <w:highlight w:val="red"/>
        </w:rPr>
        <w:softHyphen/>
        <w:t>ступности финансовых средств в период после 2014 г., сокращение объемов финансирования в регионы в условиях кризиса.</w:t>
      </w:r>
    </w:p>
    <w:p w14:paraId="5FDE266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Опыт реализации проектов ГЧП на территории РФ показал, что перспективным инструментом финансирования инфраструктурных проектов с помощью ГЧП являются инфраструктурные облигации. </w:t>
      </w:r>
      <w:r w:rsidRPr="004E0FC4">
        <w:rPr>
          <w:rFonts w:ascii="Bookman Old Style" w:eastAsia="Bookman Old Style" w:hAnsi="Bookman Old Style" w:cs="Bookman Old Style"/>
          <w:i/>
          <w:iCs/>
          <w:color w:val="231F20"/>
          <w:sz w:val="18"/>
          <w:szCs w:val="18"/>
        </w:rPr>
        <w:t>Инфраструктурные облигации</w:t>
      </w:r>
      <w:r w:rsidRPr="004E0FC4">
        <w:rPr>
          <w:rFonts w:ascii="Bookman Old Style" w:eastAsia="Bookman Old Style" w:hAnsi="Bookman Old Style" w:cs="Bookman Old Style"/>
          <w:color w:val="231F20"/>
          <w:sz w:val="18"/>
          <w:szCs w:val="18"/>
        </w:rPr>
        <w:t xml:space="preserve"> — это чаще всего долгосрочные (из- за длительного срока окупаемости ГЧП-проектов) эмиссионные долговые ценные бумаги, владелец которых имеет право получить от выпустившего их эмитента (частных корпораций или государ</w:t>
      </w:r>
      <w:r w:rsidRPr="004E0FC4">
        <w:rPr>
          <w:rFonts w:ascii="Bookman Old Style" w:eastAsia="Bookman Old Style" w:hAnsi="Bookman Old Style" w:cs="Bookman Old Style"/>
          <w:color w:val="231F20"/>
          <w:sz w:val="18"/>
          <w:szCs w:val="18"/>
        </w:rPr>
        <w:softHyphen/>
        <w:t>ственных компаний) для финансирования строительства инфра</w:t>
      </w:r>
      <w:r w:rsidRPr="004E0FC4">
        <w:rPr>
          <w:rFonts w:ascii="Bookman Old Style" w:eastAsia="Bookman Old Style" w:hAnsi="Bookman Old Style" w:cs="Bookman Old Style"/>
          <w:color w:val="231F20"/>
          <w:sz w:val="18"/>
          <w:szCs w:val="18"/>
        </w:rPr>
        <w:softHyphen/>
        <w:t>структурного объекта в оговоренный срок их номинальную стои</w:t>
      </w:r>
      <w:r w:rsidRPr="004E0FC4">
        <w:rPr>
          <w:rFonts w:ascii="Bookman Old Style" w:eastAsia="Bookman Old Style" w:hAnsi="Bookman Old Style" w:cs="Bookman Old Style"/>
          <w:color w:val="231F20"/>
          <w:sz w:val="18"/>
          <w:szCs w:val="18"/>
        </w:rPr>
        <w:softHyphen/>
        <w:t>мость деньгами (или в виде иного имущественного эквивалента) и процент (купон) от их номинальной стоимости (либо иные иму</w:t>
      </w:r>
      <w:r w:rsidRPr="004E0FC4">
        <w:rPr>
          <w:rFonts w:ascii="Bookman Old Style" w:eastAsia="Bookman Old Style" w:hAnsi="Bookman Old Style" w:cs="Bookman Old Style"/>
          <w:color w:val="231F20"/>
          <w:sz w:val="18"/>
          <w:szCs w:val="18"/>
        </w:rPr>
        <w:softHyphen/>
        <w:t>щественные права). Государственные органы власти также предо</w:t>
      </w:r>
      <w:r w:rsidRPr="004E0FC4">
        <w:rPr>
          <w:rFonts w:ascii="Bookman Old Style" w:eastAsia="Bookman Old Style" w:hAnsi="Bookman Old Style" w:cs="Bookman Old Style"/>
          <w:color w:val="231F20"/>
          <w:sz w:val="18"/>
          <w:szCs w:val="18"/>
        </w:rPr>
        <w:softHyphen/>
        <w:t>ставляют гарантии по выпускаемым облигациям, что делает их при</w:t>
      </w:r>
      <w:r w:rsidRPr="004E0FC4">
        <w:rPr>
          <w:rFonts w:ascii="Bookman Old Style" w:eastAsia="Bookman Old Style" w:hAnsi="Bookman Old Style" w:cs="Bookman Old Style"/>
          <w:color w:val="231F20"/>
          <w:sz w:val="18"/>
          <w:szCs w:val="18"/>
        </w:rPr>
        <w:softHyphen/>
        <w:t>влекательными для большего числа участников рынка, так как снижается риск. Покупателями таких облигаций чаще всего стано</w:t>
      </w:r>
      <w:r w:rsidRPr="004E0FC4">
        <w:rPr>
          <w:rFonts w:ascii="Bookman Old Style" w:eastAsia="Bookman Old Style" w:hAnsi="Bookman Old Style" w:cs="Bookman Old Style"/>
          <w:color w:val="231F20"/>
          <w:sz w:val="18"/>
          <w:szCs w:val="18"/>
        </w:rPr>
        <w:softHyphen/>
        <w:t>вятся инвесторы (пенсионные фонды, страховые компании и т. д.), которые при их покупке закладывают долгосрочную доходность без риска для собственного капитала.</w:t>
      </w:r>
    </w:p>
    <w:p w14:paraId="6874BDBF" w14:textId="77777777" w:rsidR="00350396" w:rsidRPr="004E0FC4" w:rsidRDefault="00350396" w:rsidP="004E0FC4">
      <w:pPr>
        <w:spacing w:line="240" w:lineRule="auto"/>
        <w:ind w:firstLine="709"/>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Кредитный риск по таким инструментам оценивается с учетом кредитного качества эмитента облигаций, а не конкретного проекта. Кредитное качество эмитента рассчитывается АКРА по </w:t>
      </w:r>
      <w:hyperlink r:id="rId70" w:tgtFrame="_blank" w:history="1">
        <w:r w:rsidRPr="004E0FC4">
          <w:rPr>
            <w:rFonts w:ascii="Bookman Old Style" w:eastAsia="Bookman Old Style" w:hAnsi="Bookman Old Style" w:cs="Bookman Old Style"/>
            <w:color w:val="231F20"/>
            <w:sz w:val="18"/>
            <w:szCs w:val="18"/>
            <w:highlight w:val="green"/>
          </w:rPr>
          <w:t>«Методологии присвоения кредитных рейтингов нефинансовым компаниям по национальной шкале для Российской Федерации».</w:t>
        </w:r>
      </w:hyperlink>
    </w:p>
    <w:p w14:paraId="61A03149" w14:textId="77777777" w:rsidR="00350396" w:rsidRPr="004E0FC4" w:rsidRDefault="00350396" w:rsidP="004E0FC4">
      <w:pPr>
        <w:spacing w:line="240" w:lineRule="auto"/>
        <w:ind w:firstLine="709"/>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У субъектов РФ также есть возможности для финансирования инфраструктурных ГЧП-проектов, в том числе с использованием инфраструктурных и зеленых облигаций. Пока что единственный пример последних — зеленые облигации, выпущенные Москвой на 70 млрд рублей. Привлеченные таким образом средства будут направлены на финансирование городских экологических проектов — пополнение парка общественного транспорта электробусами </w:t>
      </w:r>
      <w:r w:rsidRPr="004E0FC4">
        <w:rPr>
          <w:rFonts w:ascii="Bookman Old Style" w:eastAsia="Bookman Old Style" w:hAnsi="Bookman Old Style" w:cs="Bookman Old Style"/>
          <w:color w:val="231F20"/>
          <w:sz w:val="18"/>
          <w:szCs w:val="18"/>
          <w:highlight w:val="green"/>
        </w:rPr>
        <w:lastRenderedPageBreak/>
        <w:t>и строительство большой кольцевой линии метро. При размещении инфраструктурных облигаций субъект выступает не эмитентом, а публичным партнером.</w:t>
      </w:r>
    </w:p>
    <w:p w14:paraId="598FA2BF" w14:textId="77777777" w:rsidR="00350396" w:rsidRPr="004E0FC4" w:rsidRDefault="00350396" w:rsidP="004E0FC4">
      <w:pPr>
        <w:widowControl w:val="0"/>
        <w:spacing w:line="240" w:lineRule="auto"/>
        <w:ind w:firstLine="709"/>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В настоящее время в России имеют место ограничения, препят</w:t>
      </w:r>
      <w:r w:rsidRPr="004E0FC4">
        <w:rPr>
          <w:rFonts w:ascii="Bookman Old Style" w:eastAsia="Bookman Old Style" w:hAnsi="Bookman Old Style" w:cs="Bookman Old Style"/>
          <w:color w:val="231F20"/>
          <w:sz w:val="18"/>
          <w:szCs w:val="18"/>
        </w:rPr>
        <w:softHyphen/>
        <w:t>ствующие широкому использованию института инфраструктурных облигаций для финансирования проектов ГЧП. Например, инфра</w:t>
      </w:r>
      <w:r w:rsidRPr="004E0FC4">
        <w:rPr>
          <w:rFonts w:ascii="Bookman Old Style" w:eastAsia="Bookman Old Style" w:hAnsi="Bookman Old Style" w:cs="Bookman Old Style"/>
          <w:color w:val="231F20"/>
          <w:sz w:val="18"/>
          <w:szCs w:val="18"/>
        </w:rPr>
        <w:softHyphen/>
        <w:t>структурные облигации допускается использовать для привлечения инвестиций лишь в том случае, если потенциальный объект ГЧП находится в собственности субъекта РФ, а не муниципальных об- разований</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Одной из целей образования Национальной ассоциа</w:t>
      </w:r>
      <w:r w:rsidRPr="004E0FC4">
        <w:rPr>
          <w:rFonts w:ascii="Bookman Old Style" w:eastAsia="Bookman Old Style" w:hAnsi="Bookman Old Style" w:cs="Bookman Old Style"/>
          <w:color w:val="231F20"/>
          <w:sz w:val="18"/>
          <w:szCs w:val="18"/>
        </w:rPr>
        <w:softHyphen/>
        <w:t xml:space="preserve">ции концессионеров и долгосрочных инвесторов в инфраструктуру (НАКДИ) </w:t>
      </w:r>
      <w:r w:rsidRPr="004E0FC4">
        <w:rPr>
          <w:rFonts w:ascii="Bookman Old Style" w:eastAsia="Bookman Old Style" w:hAnsi="Bookman Old Style" w:cs="Bookman Old Style"/>
          <w:color w:val="231F20"/>
          <w:sz w:val="18"/>
          <w:szCs w:val="18"/>
          <w:highlight w:val="red"/>
        </w:rPr>
        <w:t>в 2015 г.</w:t>
      </w:r>
      <w:r w:rsidRPr="004E0FC4">
        <w:rPr>
          <w:rFonts w:ascii="Bookman Old Style" w:eastAsia="Bookman Old Style" w:hAnsi="Bookman Old Style" w:cs="Bookman Old Style"/>
          <w:color w:val="231F20"/>
          <w:sz w:val="18"/>
          <w:szCs w:val="18"/>
        </w:rPr>
        <w:t xml:space="preserve"> является преодоление существующих ограниче</w:t>
      </w:r>
      <w:r w:rsidRPr="004E0FC4">
        <w:rPr>
          <w:rFonts w:ascii="Bookman Old Style" w:eastAsia="Bookman Old Style" w:hAnsi="Bookman Old Style" w:cs="Bookman Old Style"/>
          <w:color w:val="231F20"/>
          <w:sz w:val="18"/>
          <w:szCs w:val="18"/>
        </w:rPr>
        <w:softHyphen/>
        <w:t>ний и расширение возможностей применения инфраструктурных облигаций. НАКДИ объединила основных участников рынка кон</w:t>
      </w:r>
      <w:r w:rsidRPr="004E0FC4">
        <w:rPr>
          <w:rFonts w:ascii="Bookman Old Style" w:eastAsia="Bookman Old Style" w:hAnsi="Bookman Old Style" w:cs="Bookman Old Style"/>
          <w:color w:val="231F20"/>
          <w:sz w:val="18"/>
          <w:szCs w:val="18"/>
        </w:rPr>
        <w:softHyphen/>
        <w:t>цессионных проектов, в структуре финансирования которых пред</w:t>
      </w:r>
      <w:r w:rsidRPr="004E0FC4">
        <w:rPr>
          <w:rFonts w:ascii="Bookman Old Style" w:eastAsia="Bookman Old Style" w:hAnsi="Bookman Old Style" w:cs="Bookman Old Style"/>
          <w:color w:val="231F20"/>
          <w:sz w:val="18"/>
          <w:szCs w:val="18"/>
        </w:rPr>
        <w:softHyphen/>
        <w:t>усматриваются концессионные облигации (частный случай инфра</w:t>
      </w:r>
      <w:r w:rsidRPr="004E0FC4">
        <w:rPr>
          <w:rFonts w:ascii="Bookman Old Style" w:eastAsia="Bookman Old Style" w:hAnsi="Bookman Old Style" w:cs="Bookman Old Style"/>
          <w:color w:val="231F20"/>
          <w:sz w:val="18"/>
          <w:szCs w:val="18"/>
        </w:rPr>
        <w:softHyphen/>
        <w:t>структурных облигаций).</w:t>
      </w:r>
    </w:p>
    <w:p w14:paraId="7663626F" w14:textId="77777777" w:rsidR="00350396" w:rsidRPr="004E0FC4" w:rsidRDefault="00350396" w:rsidP="004E0FC4">
      <w:pPr>
        <w:widowControl w:val="0"/>
        <w:spacing w:line="240" w:lineRule="auto"/>
        <w:ind w:firstLine="709"/>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Для совершенствования действующих и выработки новых меха</w:t>
      </w:r>
      <w:r w:rsidRPr="004E0FC4">
        <w:rPr>
          <w:rFonts w:ascii="Bookman Old Style" w:eastAsia="Bookman Old Style" w:hAnsi="Bookman Old Style" w:cs="Bookman Old Style"/>
          <w:color w:val="231F20"/>
          <w:sz w:val="18"/>
          <w:szCs w:val="18"/>
        </w:rPr>
        <w:softHyphen/>
        <w:t>низмов развития ГЧП в 2018 г. была утверждена дорожная карта по развитию инструментария государственно-частного партнер</w:t>
      </w:r>
      <w:r w:rsidRPr="004E0FC4">
        <w:rPr>
          <w:rFonts w:ascii="Bookman Old Style" w:eastAsia="Bookman Old Style" w:hAnsi="Bookman Old Style" w:cs="Bookman Old Style"/>
          <w:color w:val="231F20"/>
          <w:sz w:val="18"/>
          <w:szCs w:val="18"/>
        </w:rPr>
        <w:softHyphen/>
      </w:r>
      <w:bookmarkStart w:id="68" w:name="bookmark61"/>
      <w:r w:rsidRPr="004E0FC4">
        <w:rPr>
          <w:rFonts w:ascii="Bookman Old Style" w:eastAsia="Bookman Old Style" w:hAnsi="Bookman Old Style" w:cs="Bookman Old Style"/>
          <w:color w:val="231F20"/>
          <w:sz w:val="18"/>
          <w:szCs w:val="18"/>
        </w:rPr>
        <w:t>ства («инфраструктурная ипотека»)</w:t>
      </w:r>
      <w:r w:rsidRPr="004E0FC4">
        <w:rPr>
          <w:rFonts w:ascii="Bookman Old Style" w:eastAsia="Bookman Old Style" w:hAnsi="Bookman Old Style" w:cs="Bookman Old Style"/>
          <w:color w:val="231F20"/>
          <w:sz w:val="18"/>
          <w:szCs w:val="18"/>
          <w:vertAlign w:val="superscript"/>
        </w:rPr>
        <w:footnoteReference w:id="137"/>
      </w:r>
      <w:r w:rsidRPr="004E0FC4">
        <w:rPr>
          <w:rFonts w:ascii="Bookman Old Style" w:eastAsia="Bookman Old Style" w:hAnsi="Bookman Old Style" w:cs="Bookman Old Style"/>
          <w:color w:val="231F20"/>
          <w:sz w:val="18"/>
          <w:szCs w:val="18"/>
        </w:rPr>
        <w:t>. Документ содержит 16 ме</w:t>
      </w:r>
      <w:r w:rsidRPr="004E0FC4">
        <w:rPr>
          <w:rFonts w:ascii="Bookman Old Style" w:eastAsia="Bookman Old Style" w:hAnsi="Bookman Old Style" w:cs="Bookman Old Style"/>
          <w:color w:val="231F20"/>
          <w:sz w:val="18"/>
          <w:szCs w:val="18"/>
        </w:rPr>
        <w:softHyphen/>
        <w:t>роприятий, направленных на развитие механизмов строительства и реконструкции инфраструктуры в России, совершенствование законодательства в сфере ГЧП и институциональной среды ГЧП в целях реализации долгосрочных инфраструктурных проектов и повышения их инвестиционной привлекательности для частных инвесторов.</w:t>
      </w:r>
      <w:bookmarkEnd w:id="68"/>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Фактически, данный подход к ГЧП предусматривает следующее:  инфраструктурный объект, который не может за свои деньги позволить себе регион, фактически строится в кредит, полученный от частных инвесторов, а пользователь объекта этот кредит постепенно гасит</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На сентябрь 2022 года «инфраструктурная ипотека» (или «ГЧП 2.0» как её ещё называют) полноценно не заработала.</w:t>
      </w:r>
    </w:p>
    <w:p w14:paraId="5DC42F7D" w14:textId="77777777" w:rsidR="00350396" w:rsidRPr="004E0FC4" w:rsidRDefault="00350396" w:rsidP="004E0FC4">
      <w:pPr>
        <w:widowControl w:val="0"/>
        <w:spacing w:line="240" w:lineRule="auto"/>
        <w:ind w:firstLine="709"/>
        <w:rPr>
          <w:rFonts w:ascii="Bookman Old Style" w:hAnsi="Bookman Old Style"/>
          <w:sz w:val="18"/>
          <w:szCs w:val="18"/>
        </w:rPr>
      </w:pPr>
    </w:p>
    <w:p w14:paraId="4A5EAF4B"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69" w:name="bookmark62"/>
      <w:bookmarkStart w:id="70" w:name="_Toc118131270"/>
      <w:r w:rsidRPr="004E0FC4">
        <w:rPr>
          <w:rFonts w:ascii="Bookman Old Style" w:eastAsia="Arial Narrow" w:hAnsi="Bookman Old Style" w:cs="Arial Narrow"/>
          <w:i/>
          <w:iCs/>
          <w:color w:val="231F20"/>
          <w:sz w:val="18"/>
          <w:szCs w:val="18"/>
        </w:rPr>
        <w:t xml:space="preserve">4.8. </w:t>
      </w:r>
      <w:r w:rsidRPr="004E0FC4">
        <w:rPr>
          <w:rFonts w:ascii="Bookman Old Style" w:eastAsia="Arial Narrow" w:hAnsi="Bookman Old Style" w:cs="Arial Narrow"/>
          <w:b/>
          <w:bCs/>
          <w:i/>
          <w:iCs/>
          <w:color w:val="231F20"/>
          <w:sz w:val="18"/>
          <w:szCs w:val="18"/>
        </w:rPr>
        <w:t>Государственно-частное партнерство в инновационной сфере</w:t>
      </w:r>
      <w:bookmarkEnd w:id="69"/>
      <w:bookmarkEnd w:id="70"/>
    </w:p>
    <w:p w14:paraId="2D77A4C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Инновационная сфера для государственно-частных партнерств является относительно новым предметом сотрудничества по срав</w:t>
      </w:r>
      <w:r w:rsidRPr="004E0FC4">
        <w:rPr>
          <w:rFonts w:ascii="Bookman Old Style" w:eastAsia="Bookman Old Style" w:hAnsi="Bookman Old Style" w:cs="Bookman Old Style"/>
          <w:color w:val="231F20"/>
          <w:sz w:val="18"/>
          <w:szCs w:val="18"/>
        </w:rPr>
        <w:softHyphen/>
        <w:t>нению с общественной инфраструктурой. Развитие инновационной деятельности в развитых странах осуществляется усилиями и госу</w:t>
      </w:r>
      <w:r w:rsidRPr="004E0FC4">
        <w:rPr>
          <w:rFonts w:ascii="Bookman Old Style" w:eastAsia="Bookman Old Style" w:hAnsi="Bookman Old Style" w:cs="Bookman Old Style"/>
          <w:color w:val="231F20"/>
          <w:sz w:val="18"/>
          <w:szCs w:val="18"/>
        </w:rPr>
        <w:softHyphen/>
        <w:t>дарства, и частного сектора. В результате интенсивное развитие от</w:t>
      </w:r>
      <w:r w:rsidRPr="004E0FC4">
        <w:rPr>
          <w:rFonts w:ascii="Bookman Old Style" w:eastAsia="Bookman Old Style" w:hAnsi="Bookman Old Style" w:cs="Bookman Old Style"/>
          <w:color w:val="231F20"/>
          <w:sz w:val="18"/>
          <w:szCs w:val="18"/>
        </w:rPr>
        <w:softHyphen/>
        <w:t>раслей инновационной экономики в передовых странах опирается сегодня именно на эффективное государственно-частное партнер</w:t>
      </w:r>
      <w:r w:rsidRPr="004E0FC4">
        <w:rPr>
          <w:rFonts w:ascii="Bookman Old Style" w:eastAsia="Bookman Old Style" w:hAnsi="Bookman Old Style" w:cs="Bookman Old Style"/>
          <w:color w:val="231F20"/>
          <w:sz w:val="18"/>
          <w:szCs w:val="18"/>
        </w:rPr>
        <w:softHyphen/>
        <w:t>ство как по сути, так и во многих случаях по форме.</w:t>
      </w:r>
    </w:p>
    <w:p w14:paraId="61F8C8D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Создание инновационной системы в развитых странах сформи</w:t>
      </w:r>
      <w:r w:rsidRPr="004E0FC4">
        <w:rPr>
          <w:rFonts w:ascii="Bookman Old Style" w:eastAsia="Bookman Old Style" w:hAnsi="Bookman Old Style" w:cs="Bookman Old Style"/>
          <w:color w:val="231F20"/>
          <w:sz w:val="18"/>
          <w:szCs w:val="18"/>
        </w:rPr>
        <w:softHyphen/>
        <w:t>ровало следующее представление о ролях участников. Государство содействует производству фундаментальных знаний и задает на</w:t>
      </w:r>
      <w:r w:rsidRPr="004E0FC4">
        <w:rPr>
          <w:rFonts w:ascii="Bookman Old Style" w:eastAsia="Bookman Old Style" w:hAnsi="Bookman Old Style" w:cs="Bookman Old Style"/>
          <w:color w:val="231F20"/>
          <w:sz w:val="18"/>
          <w:szCs w:val="18"/>
        </w:rPr>
        <w:softHyphen/>
        <w:t>правления развития технологиям стратегического характера, созда</w:t>
      </w:r>
      <w:r w:rsidRPr="004E0FC4">
        <w:rPr>
          <w:rFonts w:ascii="Bookman Old Style" w:eastAsia="Bookman Old Style" w:hAnsi="Bookman Old Style" w:cs="Bookman Old Style"/>
          <w:color w:val="231F20"/>
          <w:sz w:val="18"/>
          <w:szCs w:val="18"/>
        </w:rPr>
        <w:softHyphen/>
        <w:t>ет инновационную инфраструктуру и обеспечивает благоприятный режим для инновационной деятельности частных компаний, а част</w:t>
      </w:r>
      <w:r w:rsidRPr="004E0FC4">
        <w:rPr>
          <w:rFonts w:ascii="Bookman Old Style" w:eastAsia="Bookman Old Style" w:hAnsi="Bookman Old Style" w:cs="Bookman Old Style"/>
          <w:color w:val="231F20"/>
          <w:sz w:val="18"/>
          <w:szCs w:val="18"/>
        </w:rPr>
        <w:softHyphen/>
        <w:t xml:space="preserve">ный бизнес, выбирая для себя благоприятную среду, создает новые технологии на </w:t>
      </w:r>
      <w:r w:rsidRPr="004E0FC4">
        <w:rPr>
          <w:rFonts w:ascii="Bookman Old Style" w:eastAsia="Bookman Old Style" w:hAnsi="Bookman Old Style" w:cs="Bookman Old Style"/>
          <w:color w:val="231F20"/>
          <w:sz w:val="18"/>
          <w:szCs w:val="18"/>
        </w:rPr>
        <w:lastRenderedPageBreak/>
        <w:t>основе передовых исследований и разработок, уча</w:t>
      </w:r>
      <w:r w:rsidRPr="004E0FC4">
        <w:rPr>
          <w:rFonts w:ascii="Bookman Old Style" w:eastAsia="Bookman Old Style" w:hAnsi="Bookman Old Style" w:cs="Bookman Old Style"/>
          <w:color w:val="231F20"/>
          <w:sz w:val="18"/>
          <w:szCs w:val="18"/>
        </w:rPr>
        <w:softHyphen/>
        <w:t>ствует в трансфере и занимается коммерциализацией инноваций.</w:t>
      </w:r>
    </w:p>
    <w:p w14:paraId="203DF7E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Инновационную деятельность отождествляют прежде всего с фундаментальными и прикладными НИОКР. Фундаментальные исследования в абсолютном большинстве стран финансируются государством, в то время как прикладные — частными компания</w:t>
      </w:r>
      <w:r w:rsidRPr="004E0FC4">
        <w:rPr>
          <w:rFonts w:ascii="Bookman Old Style" w:eastAsia="Bookman Old Style" w:hAnsi="Bookman Old Style" w:cs="Bookman Old Style"/>
          <w:color w:val="231F20"/>
          <w:sz w:val="18"/>
          <w:szCs w:val="18"/>
        </w:rPr>
        <w:softHyphen/>
        <w:t>ми, осуществляющими коммерциализацию разработок. Выделяют четыре основных способа присутствия государства в инновацион</w:t>
      </w:r>
      <w:r w:rsidRPr="004E0FC4">
        <w:rPr>
          <w:rFonts w:ascii="Bookman Old Style" w:eastAsia="Bookman Old Style" w:hAnsi="Bookman Old Style" w:cs="Bookman Old Style"/>
          <w:color w:val="231F20"/>
          <w:sz w:val="18"/>
          <w:szCs w:val="18"/>
        </w:rPr>
        <w:softHyphen/>
        <w:t>ной деятельности: через прямое участие (финансирование госу</w:t>
      </w:r>
      <w:r w:rsidRPr="004E0FC4">
        <w:rPr>
          <w:rFonts w:ascii="Bookman Old Style" w:eastAsia="Bookman Old Style" w:hAnsi="Bookman Old Style" w:cs="Bookman Old Style"/>
          <w:color w:val="231F20"/>
          <w:sz w:val="18"/>
          <w:szCs w:val="18"/>
        </w:rPr>
        <w:softHyphen/>
        <w:t>дарственных структур, занимающихся инновациями); посредством государственного заказа и организациям, исследовательским лабо</w:t>
      </w:r>
      <w:r w:rsidRPr="004E0FC4">
        <w:rPr>
          <w:rFonts w:ascii="Bookman Old Style" w:eastAsia="Bookman Old Style" w:hAnsi="Bookman Old Style" w:cs="Bookman Old Style"/>
          <w:color w:val="231F20"/>
          <w:sz w:val="18"/>
          <w:szCs w:val="18"/>
        </w:rPr>
        <w:softHyphen/>
        <w:t>раториям и центрам разных форм собственности; путем предостав</w:t>
      </w:r>
      <w:r w:rsidRPr="004E0FC4">
        <w:rPr>
          <w:rFonts w:ascii="Bookman Old Style" w:eastAsia="Bookman Old Style" w:hAnsi="Bookman Old Style" w:cs="Bookman Old Style"/>
          <w:color w:val="231F20"/>
          <w:sz w:val="18"/>
          <w:szCs w:val="18"/>
        </w:rPr>
        <w:softHyphen/>
        <w:t>ления безвозмездных субсидий (грантов) на проведение фундамен</w:t>
      </w:r>
      <w:r w:rsidRPr="004E0FC4">
        <w:rPr>
          <w:rFonts w:ascii="Bookman Old Style" w:eastAsia="Bookman Old Style" w:hAnsi="Bookman Old Style" w:cs="Bookman Old Style"/>
          <w:color w:val="231F20"/>
          <w:sz w:val="18"/>
          <w:szCs w:val="18"/>
        </w:rPr>
        <w:softHyphen/>
        <w:t>тальных научных исследований организациям, исследовательским лабораториям и научным центрам разных форм собственности; на</w:t>
      </w:r>
      <w:r w:rsidRPr="004E0FC4">
        <w:rPr>
          <w:rFonts w:ascii="Bookman Old Style" w:eastAsia="Bookman Old Style" w:hAnsi="Bookman Old Style" w:cs="Bookman Old Style"/>
          <w:color w:val="231F20"/>
          <w:sz w:val="18"/>
          <w:szCs w:val="18"/>
        </w:rPr>
        <w:softHyphen/>
        <w:t>логовые, имущественные и иные льготы предприятиям и организа</w:t>
      </w:r>
      <w:r w:rsidRPr="004E0FC4">
        <w:rPr>
          <w:rFonts w:ascii="Bookman Old Style" w:eastAsia="Bookman Old Style" w:hAnsi="Bookman Old Style" w:cs="Bookman Old Style"/>
          <w:color w:val="231F20"/>
          <w:sz w:val="18"/>
          <w:szCs w:val="18"/>
        </w:rPr>
        <w:softHyphen/>
        <w:t>циям, осуществляющим научную и инновационную деятельность.</w:t>
      </w:r>
    </w:p>
    <w:p w14:paraId="045C7FA3"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Такие формы взаимодействия, как государственный заказ, пре</w:t>
      </w:r>
      <w:r w:rsidRPr="004E0FC4">
        <w:rPr>
          <w:rFonts w:ascii="Bookman Old Style" w:eastAsia="Bookman Old Style" w:hAnsi="Bookman Old Style" w:cs="Bookman Old Style"/>
          <w:color w:val="231F20"/>
          <w:sz w:val="18"/>
          <w:szCs w:val="18"/>
        </w:rPr>
        <w:softHyphen/>
        <w:t>доставление грантов, предоставление льгот, широко используют</w:t>
      </w:r>
      <w:r w:rsidRPr="004E0FC4">
        <w:rPr>
          <w:rFonts w:ascii="Bookman Old Style" w:eastAsia="Bookman Old Style" w:hAnsi="Bookman Old Style" w:cs="Bookman Old Style"/>
          <w:color w:val="231F20"/>
          <w:sz w:val="18"/>
          <w:szCs w:val="18"/>
        </w:rPr>
        <w:softHyphen/>
        <w:t>ся государством для стимулирования инновационной деятельно</w:t>
      </w:r>
      <w:r w:rsidRPr="004E0FC4">
        <w:rPr>
          <w:rFonts w:ascii="Bookman Old Style" w:eastAsia="Bookman Old Style" w:hAnsi="Bookman Old Style" w:cs="Bookman Old Style"/>
          <w:color w:val="231F20"/>
          <w:sz w:val="18"/>
          <w:szCs w:val="18"/>
        </w:rPr>
        <w:softHyphen/>
        <w:t>сти частным бизнесом, однако их неверно было бы отождествлять с практикой ГЧП. Совокупность различных инструментов государ</w:t>
      </w:r>
      <w:r w:rsidRPr="004E0FC4">
        <w:rPr>
          <w:rFonts w:ascii="Bookman Old Style" w:eastAsia="Bookman Old Style" w:hAnsi="Bookman Old Style" w:cs="Bookman Old Style"/>
          <w:color w:val="231F20"/>
          <w:sz w:val="18"/>
          <w:szCs w:val="18"/>
        </w:rPr>
        <w:softHyphen/>
        <w:t>ственной поддержки инноваций формирует эффективную модель взаимодействия государства и частного бизнеса в инновационной сфере, при этом в ряде наиболее передовых стран ГЧП становится центральным механизмом этого инструментария.</w:t>
      </w:r>
    </w:p>
    <w:p w14:paraId="6B994975"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 в мире, так и в России наличие других устоявшихся форм поддержки инноваций в целом пока еще превалирует над фор</w:t>
      </w:r>
      <w:r w:rsidRPr="004E0FC4">
        <w:rPr>
          <w:rFonts w:ascii="Bookman Old Style" w:eastAsia="Bookman Old Style" w:hAnsi="Bookman Old Style" w:cs="Bookman Old Style"/>
          <w:color w:val="231F20"/>
          <w:sz w:val="18"/>
          <w:szCs w:val="18"/>
        </w:rPr>
        <w:softHyphen/>
        <w:t xml:space="preserve">мой отношений в виде ГЧП в инновационной сфере. В частности, лишь очень небольшую часть проектов ГЧП, реализуемых сегодня в России, можно напрямую отнести к инновационной сфере, </w:t>
      </w:r>
      <w:r w:rsidRPr="004E0FC4">
        <w:rPr>
          <w:rFonts w:ascii="Bookman Old Style" w:eastAsia="Bookman Old Style" w:hAnsi="Bookman Old Style" w:cs="Bookman Old Style"/>
          <w:color w:val="231F20"/>
          <w:sz w:val="18"/>
          <w:szCs w:val="18"/>
          <w:highlight w:val="green"/>
        </w:rPr>
        <w:t>а</w:t>
      </w:r>
      <w:r w:rsidRPr="004E0FC4">
        <w:rPr>
          <w:rFonts w:ascii="Bookman Old Style" w:eastAsia="Bookman Old Style" w:hAnsi="Bookman Old Style" w:cs="Bookman Old Style"/>
          <w:color w:val="231F20"/>
          <w:sz w:val="18"/>
          <w:szCs w:val="18"/>
        </w:rPr>
        <w:t xml:space="preserve"> в наи</w:t>
      </w:r>
      <w:r w:rsidRPr="004E0FC4">
        <w:rPr>
          <w:rFonts w:ascii="Bookman Old Style" w:eastAsia="Bookman Old Style" w:hAnsi="Bookman Old Style" w:cs="Bookman Old Style"/>
          <w:color w:val="231F20"/>
          <w:sz w:val="18"/>
          <w:szCs w:val="18"/>
        </w:rPr>
        <w:softHyphen/>
        <w:t xml:space="preserve">более развитых </w:t>
      </w:r>
      <w:r w:rsidRPr="004E0FC4">
        <w:rPr>
          <w:rFonts w:ascii="Bookman Old Style" w:eastAsia="Bookman Old Style" w:hAnsi="Bookman Old Style" w:cs="Bookman Old Style"/>
          <w:color w:val="231F20"/>
          <w:sz w:val="18"/>
          <w:szCs w:val="18"/>
          <w:highlight w:val="green"/>
        </w:rPr>
        <w:t>экономически</w:t>
      </w:r>
      <w:r w:rsidRPr="004E0FC4">
        <w:rPr>
          <w:rFonts w:ascii="Bookman Old Style" w:eastAsia="Bookman Old Style" w:hAnsi="Bookman Old Style" w:cs="Bookman Old Style"/>
          <w:color w:val="231F20"/>
          <w:sz w:val="18"/>
          <w:szCs w:val="18"/>
        </w:rPr>
        <w:t xml:space="preserve"> странах доля таких проектов гораздо выше. </w:t>
      </w:r>
      <w:r w:rsidRPr="004E0FC4">
        <w:rPr>
          <w:rFonts w:ascii="Bookman Old Style" w:eastAsia="Bookman Old Style" w:hAnsi="Bookman Old Style" w:cs="Bookman Old Style"/>
          <w:color w:val="231F20"/>
          <w:sz w:val="18"/>
          <w:szCs w:val="18"/>
          <w:highlight w:val="red"/>
        </w:rPr>
        <w:t>Одна</w:t>
      </w:r>
      <w:r w:rsidRPr="004E0FC4">
        <w:rPr>
          <w:rFonts w:ascii="Bookman Old Style" w:eastAsia="Bookman Old Style" w:hAnsi="Bookman Old Style" w:cs="Bookman Old Style"/>
          <w:color w:val="231F20"/>
          <w:sz w:val="18"/>
          <w:szCs w:val="18"/>
          <w:highlight w:val="red"/>
        </w:rPr>
        <w:softHyphen/>
        <w:t>ко наличие общего предмета для партнерства и опыт применения ГЧП в России на федеральном уровне и в регионах в ряде отрас</w:t>
      </w:r>
      <w:r w:rsidRPr="004E0FC4">
        <w:rPr>
          <w:rFonts w:ascii="Bookman Old Style" w:eastAsia="Bookman Old Style" w:hAnsi="Bookman Old Style" w:cs="Bookman Old Style"/>
          <w:color w:val="231F20"/>
          <w:sz w:val="18"/>
          <w:szCs w:val="18"/>
          <w:highlight w:val="red"/>
        </w:rPr>
        <w:softHyphen/>
        <w:t>лей</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w:t>
      </w:r>
      <w:r w:rsidRPr="004E0FC4">
        <w:rPr>
          <w:rFonts w:ascii="Bookman Old Style" w:eastAsia="Bookman Old Style" w:hAnsi="Bookman Old Style" w:cs="Bookman Old Style"/>
          <w:color w:val="231F20"/>
          <w:sz w:val="18"/>
          <w:szCs w:val="18"/>
        </w:rPr>
        <w:t xml:space="preserve">ринятие Закона о ГЧП </w:t>
      </w:r>
      <w:r w:rsidRPr="004E0FC4">
        <w:rPr>
          <w:rFonts w:ascii="Bookman Old Style" w:eastAsia="Bookman Old Style" w:hAnsi="Bookman Old Style" w:cs="Bookman Old Style"/>
          <w:color w:val="231F20"/>
          <w:sz w:val="18"/>
          <w:szCs w:val="18"/>
          <w:highlight w:val="green"/>
        </w:rPr>
        <w:t>расширяет</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позволяют предполагать</w:t>
      </w:r>
      <w:r w:rsidRPr="004E0FC4">
        <w:rPr>
          <w:rFonts w:ascii="Bookman Old Style" w:eastAsia="Bookman Old Style" w:hAnsi="Bookman Old Style" w:cs="Bookman Old Style"/>
          <w:color w:val="231F20"/>
          <w:sz w:val="18"/>
          <w:szCs w:val="18"/>
        </w:rPr>
        <w:t xml:space="preserve"> возможности появления </w:t>
      </w:r>
      <w:r w:rsidRPr="004E0FC4">
        <w:rPr>
          <w:rFonts w:ascii="Bookman Old Style" w:eastAsia="Bookman Old Style" w:hAnsi="Bookman Old Style" w:cs="Bookman Old Style"/>
          <w:color w:val="231F20"/>
          <w:sz w:val="18"/>
          <w:szCs w:val="18"/>
          <w:highlight w:val="red"/>
        </w:rPr>
        <w:t>отношений и</w:t>
      </w:r>
      <w:r w:rsidRPr="004E0FC4">
        <w:rPr>
          <w:rFonts w:ascii="Bookman Old Style" w:eastAsia="Bookman Old Style" w:hAnsi="Bookman Old Style" w:cs="Bookman Old Style"/>
          <w:color w:val="231F20"/>
          <w:sz w:val="18"/>
          <w:szCs w:val="18"/>
        </w:rPr>
        <w:t xml:space="preserve"> проектов ГЧП </w:t>
      </w:r>
      <w:r w:rsidRPr="004E0FC4">
        <w:rPr>
          <w:rFonts w:ascii="Bookman Old Style" w:eastAsia="Bookman Old Style" w:hAnsi="Bookman Old Style" w:cs="Bookman Old Style"/>
          <w:color w:val="231F20"/>
          <w:sz w:val="18"/>
          <w:szCs w:val="18"/>
          <w:highlight w:val="green"/>
        </w:rPr>
        <w:t>в некоторых инновационных областях.</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и в инновационной сфере, как ранее это произошло в отраслях создания общественных благ (транспортная, социальная инфраструктура).</w:t>
      </w:r>
    </w:p>
    <w:p w14:paraId="72A40503"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За рубежом ГЧП в инновационной сфере наиболее часто ре</w:t>
      </w:r>
      <w:r w:rsidRPr="004E0FC4">
        <w:rPr>
          <w:rFonts w:ascii="Bookman Old Style" w:eastAsia="Bookman Old Style" w:hAnsi="Bookman Old Style" w:cs="Bookman Old Style"/>
          <w:color w:val="231F20"/>
          <w:sz w:val="18"/>
          <w:szCs w:val="18"/>
        </w:rPr>
        <w:softHyphen/>
        <w:t>ализуются в форме среднесрочных программ исследований (на 3—10 лет). В качестве примеров можно привести «Программу кооперативных исследовательских центров» в Австралии, програм</w:t>
      </w:r>
      <w:r w:rsidRPr="004E0FC4">
        <w:rPr>
          <w:rFonts w:ascii="Bookman Old Style" w:eastAsia="Bookman Old Style" w:hAnsi="Bookman Old Style" w:cs="Bookman Old Style"/>
          <w:color w:val="231F20"/>
          <w:sz w:val="18"/>
          <w:szCs w:val="18"/>
        </w:rPr>
        <w:softHyphen/>
        <w:t>мы центров компетенции в Австрии, «Национальные центры тех</w:t>
      </w:r>
      <w:r w:rsidRPr="004E0FC4">
        <w:rPr>
          <w:rFonts w:ascii="Bookman Old Style" w:eastAsia="Bookman Old Style" w:hAnsi="Bookman Old Style" w:cs="Bookman Old Style"/>
          <w:color w:val="231F20"/>
          <w:sz w:val="18"/>
          <w:szCs w:val="18"/>
        </w:rPr>
        <w:softHyphen/>
        <w:t>нологических исследований и инноваций» во Франции, программу «Ведущие технологические институты в Нидерландах, «Программу технологических центров поддержки» в Испании и др.</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При этом значительная часть средств на инвестиции в сферу НИОКР в рам</w:t>
      </w:r>
      <w:r w:rsidRPr="004E0FC4">
        <w:rPr>
          <w:rFonts w:ascii="Bookman Old Style" w:eastAsia="Bookman Old Style" w:hAnsi="Bookman Old Style" w:cs="Bookman Old Style"/>
          <w:color w:val="231F20"/>
          <w:sz w:val="18"/>
          <w:szCs w:val="18"/>
        </w:rPr>
        <w:softHyphen/>
        <w:t>ках партнерств государства и частного бизнеса в наиболее развитых странах привлекается из-за рубежа (рис. 4.1</w:t>
      </w:r>
      <w:r w:rsidRPr="004E0FC4">
        <w:rPr>
          <w:rFonts w:ascii="Bookman Old Style" w:eastAsia="Bookman Old Style" w:hAnsi="Bookman Old Style" w:cs="Bookman Old Style"/>
          <w:color w:val="231F20"/>
          <w:sz w:val="18"/>
          <w:szCs w:val="18"/>
          <w:highlight w:val="green"/>
        </w:rPr>
        <w:t>9</w:t>
      </w:r>
      <w:r w:rsidRPr="004E0FC4">
        <w:rPr>
          <w:rFonts w:ascii="Bookman Old Style" w:eastAsia="Bookman Old Style" w:hAnsi="Bookman Old Style" w:cs="Bookman Old Style"/>
          <w:color w:val="231F20"/>
          <w:sz w:val="18"/>
          <w:szCs w:val="18"/>
          <w:highlight w:val="red"/>
        </w:rPr>
        <w:t>3</w:t>
      </w:r>
      <w:r w:rsidRPr="004E0FC4">
        <w:rPr>
          <w:rFonts w:ascii="Bookman Old Style" w:eastAsia="Bookman Old Style" w:hAnsi="Bookman Old Style" w:cs="Bookman Old Style"/>
          <w:color w:val="231F20"/>
          <w:sz w:val="18"/>
          <w:szCs w:val="18"/>
        </w:rPr>
        <w:t>).</w:t>
      </w:r>
    </w:p>
    <w:p w14:paraId="1961398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В западных странах уже сформировалась определенная модель использования ГЧП при решении задач финансирования иннова</w:t>
      </w:r>
      <w:r w:rsidRPr="004E0FC4">
        <w:rPr>
          <w:rFonts w:ascii="Bookman Old Style" w:eastAsia="Bookman Old Style" w:hAnsi="Bookman Old Style" w:cs="Bookman Old Style"/>
          <w:color w:val="231F20"/>
          <w:sz w:val="18"/>
          <w:szCs w:val="18"/>
        </w:rPr>
        <w:softHyphen/>
        <w:t xml:space="preserve">ционных проектов и развития инновационной инфраструктуры. Общим местом при финансировании совместных инновационных проектов </w:t>
      </w:r>
      <w:r w:rsidRPr="004E0FC4">
        <w:rPr>
          <w:rFonts w:ascii="Bookman Old Style" w:eastAsia="Bookman Old Style" w:hAnsi="Bookman Old Style" w:cs="Bookman Old Style"/>
          <w:color w:val="231F20"/>
          <w:sz w:val="18"/>
          <w:szCs w:val="18"/>
        </w:rPr>
        <w:lastRenderedPageBreak/>
        <w:t>является то, что государственное субсидирование домини</w:t>
      </w:r>
      <w:r w:rsidRPr="004E0FC4">
        <w:rPr>
          <w:rFonts w:ascii="Bookman Old Style" w:eastAsia="Bookman Old Style" w:hAnsi="Bookman Old Style" w:cs="Bookman Old Style"/>
          <w:color w:val="231F20"/>
          <w:sz w:val="18"/>
          <w:szCs w:val="18"/>
        </w:rPr>
        <w:softHyphen/>
        <w:t>рует на ранней, наиболее рискованной стадии финансирования ин</w:t>
      </w:r>
      <w:r w:rsidRPr="004E0FC4">
        <w:rPr>
          <w:rFonts w:ascii="Bookman Old Style" w:eastAsia="Bookman Old Style" w:hAnsi="Bookman Old Style" w:cs="Bookman Old Style"/>
          <w:color w:val="231F20"/>
          <w:sz w:val="18"/>
          <w:szCs w:val="18"/>
        </w:rPr>
        <w:softHyphen/>
        <w:t xml:space="preserve">новационных проектов, когда требуются «деньги для посева»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seed</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money</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дальнейшем научные результаты, полученные на ранних стадиях НИОКР, должны быть использованы частным сектором</w:t>
      </w:r>
    </w:p>
    <w:p w14:paraId="41E7D59E" w14:textId="0724D2E3"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hAnsi="Bookman Old Style"/>
          <w:noProof/>
          <w:sz w:val="18"/>
          <w:szCs w:val="18"/>
          <w:lang w:bidi="ar-SA"/>
        </w:rPr>
        <mc:AlternateContent>
          <mc:Choice Requires="wps">
            <w:drawing>
              <wp:anchor distT="0" distB="0" distL="63500" distR="63500" simplePos="0" relativeHeight="377538366" behindDoc="1" locked="0" layoutInCell="1" allowOverlap="1" wp14:anchorId="0F95C35A" wp14:editId="1B0AC499">
                <wp:simplePos x="0" y="0"/>
                <wp:positionH relativeFrom="margin">
                  <wp:posOffset>804545</wp:posOffset>
                </wp:positionH>
                <wp:positionV relativeFrom="paragraph">
                  <wp:posOffset>396240</wp:posOffset>
                </wp:positionV>
                <wp:extent cx="1978025" cy="463550"/>
                <wp:effectExtent l="0" t="2540" r="4445" b="635"/>
                <wp:wrapTopAndBottom/>
                <wp:docPr id="270" name="Надпись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9285" w14:textId="77777777" w:rsidR="00350396" w:rsidRDefault="00350396" w:rsidP="00350396">
                            <w:pPr>
                              <w:pStyle w:val="af0"/>
                              <w:shd w:val="clear" w:color="auto" w:fill="auto"/>
                              <w:spacing w:line="365" w:lineRule="exact"/>
                              <w:jc w:val="right"/>
                            </w:pPr>
                            <w:r>
                              <w:rPr>
                                <w:rStyle w:val="Exact1"/>
                              </w:rPr>
                              <w:t>Общие расходы на НИОКР — 9,322 Другие источники — 0,152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95C35A" id="Надпись 270" o:spid="_x0000_s1059" type="#_x0000_t202" style="position:absolute;left:0;text-align:left;margin-left:63.35pt;margin-top:31.2pt;width:155.75pt;height:36.5pt;z-index:-12577811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" filled="f" stroked="f">
                <v:textbox style="mso-fit-shape-to-text:t" inset="0,0,0,0">
                  <w:txbxContent>
                    <w:p w14:paraId="691C9285" w14:textId="77777777" w:rsidR="00350396" w:rsidRDefault="00350396" w:rsidP="00350396">
                      <w:pPr>
                        <w:pStyle w:val="af0"/>
                        <w:shd w:val="clear" w:color="auto" w:fill="auto"/>
                        <w:spacing w:line="365" w:lineRule="exact"/>
                        <w:jc w:val="right"/>
                      </w:pPr>
                      <w:r>
                        <w:rPr>
                          <w:rStyle w:val="Exact1"/>
                        </w:rPr>
                        <w:t>Общие расходы на НИОКР — 9,322 Другие источники — 0,152</w:t>
                      </w:r>
                    </w:p>
                  </w:txbxContent>
                </v:textbox>
                <w10:wrap type="topAndBottom" anchorx="margin"/>
              </v:shape>
            </w:pict>
          </mc:Fallback>
        </mc:AlternateContent>
      </w:r>
      <w:r w:rsidRPr="004E0FC4">
        <w:rPr>
          <w:rFonts w:ascii="Bookman Old Style" w:hAnsi="Bookman Old Style"/>
          <w:noProof/>
          <w:sz w:val="18"/>
          <w:szCs w:val="18"/>
          <w:lang w:bidi="ar-SA"/>
        </w:rPr>
        <mc:AlternateContent>
          <mc:Choice Requires="wps">
            <w:drawing>
              <wp:anchor distT="0" distB="0" distL="63500" distR="63500" simplePos="0" relativeHeight="377539390" behindDoc="1" locked="0" layoutInCell="1" allowOverlap="1" wp14:anchorId="7F74110F" wp14:editId="03BCB8E7">
                <wp:simplePos x="0" y="0"/>
                <wp:positionH relativeFrom="margin">
                  <wp:posOffset>204470</wp:posOffset>
                </wp:positionH>
                <wp:positionV relativeFrom="paragraph">
                  <wp:posOffset>1014095</wp:posOffset>
                </wp:positionV>
                <wp:extent cx="1048385" cy="438150"/>
                <wp:effectExtent l="0" t="1270" r="635" b="0"/>
                <wp:wrapTopAndBottom/>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9FF3" w14:textId="77777777" w:rsidR="00350396" w:rsidRDefault="00350396" w:rsidP="00350396">
                            <w:pPr>
                              <w:pStyle w:val="af0"/>
                              <w:shd w:val="clear" w:color="auto" w:fill="auto"/>
                              <w:spacing w:line="230" w:lineRule="exact"/>
                              <w:jc w:val="right"/>
                            </w:pPr>
                            <w:r>
                              <w:rPr>
                                <w:rStyle w:val="Exact1"/>
                              </w:rPr>
                              <w:t>Зарубежные источники — 1,527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74110F" id="Надпись 269" o:spid="_x0000_s1060" type="#_x0000_t202" style="position:absolute;left:0;text-align:left;margin-left:16.1pt;margin-top:79.85pt;width:82.55pt;height:34.5pt;z-index:-12577709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" filled="f" stroked="f">
                <v:textbox style="mso-fit-shape-to-text:t" inset="0,0,0,0">
                  <w:txbxContent>
                    <w:p w14:paraId="632B9FF3" w14:textId="77777777" w:rsidR="00350396" w:rsidRDefault="00350396" w:rsidP="00350396">
                      <w:pPr>
                        <w:pStyle w:val="af0"/>
                        <w:shd w:val="clear" w:color="auto" w:fill="auto"/>
                        <w:spacing w:line="230" w:lineRule="exact"/>
                        <w:jc w:val="right"/>
                      </w:pPr>
                      <w:r>
                        <w:rPr>
                          <w:rStyle w:val="Exact1"/>
                        </w:rPr>
                        <w:t>Зарубежные источники — 1,527</w:t>
                      </w:r>
                    </w:p>
                  </w:txbxContent>
                </v:textbox>
                <w10:wrap type="topAndBottom" anchorx="margin"/>
              </v:shape>
            </w:pict>
          </mc:Fallback>
        </mc:AlternateContent>
      </w:r>
      <w:r w:rsidRPr="004E0FC4">
        <w:rPr>
          <w:rFonts w:ascii="Bookman Old Style" w:hAnsi="Bookman Old Style"/>
          <w:noProof/>
          <w:sz w:val="18"/>
          <w:szCs w:val="18"/>
          <w:lang w:bidi="ar-SA"/>
        </w:rPr>
        <mc:AlternateContent>
          <mc:Choice Requires="wps">
            <w:drawing>
              <wp:anchor distT="0" distB="0" distL="63500" distR="63500" simplePos="0" relativeHeight="377540414" behindDoc="1" locked="0" layoutInCell="1" allowOverlap="1" wp14:anchorId="22BF6396" wp14:editId="20968458">
                <wp:simplePos x="0" y="0"/>
                <wp:positionH relativeFrom="margin">
                  <wp:posOffset>3175</wp:posOffset>
                </wp:positionH>
                <wp:positionV relativeFrom="paragraph">
                  <wp:posOffset>2430145</wp:posOffset>
                </wp:positionV>
                <wp:extent cx="4212590" cy="128270"/>
                <wp:effectExtent l="0" t="0" r="0" b="0"/>
                <wp:wrapTopAndBottom/>
                <wp:docPr id="268" name="Надпись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2F8A" w14:textId="77777777" w:rsidR="00350396" w:rsidRDefault="00350396" w:rsidP="00350396">
                            <w:pPr>
                              <w:spacing w:line="202" w:lineRule="exact"/>
                            </w:pPr>
                            <w:r>
                              <w:rPr>
                                <w:rStyle w:val="3Exact0"/>
                              </w:rPr>
                              <w:t>Рис. 4.1</w:t>
                            </w:r>
                            <w:r w:rsidRPr="00A2160D">
                              <w:rPr>
                                <w:rStyle w:val="3Exact0"/>
                                <w:highlight w:val="green"/>
                              </w:rPr>
                              <w:t>9</w:t>
                            </w:r>
                            <w:r w:rsidRPr="00A2160D">
                              <w:rPr>
                                <w:rStyle w:val="3Exact0"/>
                                <w:highlight w:val="red"/>
                              </w:rPr>
                              <w:t>3</w:t>
                            </w:r>
                            <w:r>
                              <w:rPr>
                                <w:rStyle w:val="3Exact0"/>
                              </w:rPr>
                              <w:t>.</w:t>
                            </w:r>
                            <w:r>
                              <w:rPr>
                                <w:rStyle w:val="3Exact1"/>
                              </w:rPr>
                              <w:t xml:space="preserve"> Инвестиции в сферу НИОКР в Австрии в 2014 г. (оценочно), млн евро</w:t>
                            </w:r>
                            <w:r>
                              <w:rPr>
                                <w:rStyle w:val="3BookmanOldStyle9ptExact0"/>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F6396" id="Надпись 268" o:spid="_x0000_s1061" type="#_x0000_t202" style="position:absolute;left:0;text-align:left;margin-left:.25pt;margin-top:191.35pt;width:331.7pt;height:10.1pt;z-index:-12577606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" filled="f" stroked="f">
                <v:textbox style="mso-fit-shape-to-text:t" inset="0,0,0,0">
                  <w:txbxContent>
                    <w:p w14:paraId="7FBD2F8A" w14:textId="77777777" w:rsidR="00350396" w:rsidRDefault="00350396" w:rsidP="00350396">
                      <w:pPr>
                        <w:spacing w:line="202" w:lineRule="exact"/>
                      </w:pPr>
                      <w:r>
                        <w:rPr>
                          <w:rStyle w:val="3Exact0"/>
                        </w:rPr>
                        <w:t>Рис. 4.1</w:t>
                      </w:r>
                      <w:r w:rsidRPr="00A2160D">
                        <w:rPr>
                          <w:rStyle w:val="3Exact0"/>
                          <w:highlight w:val="green"/>
                        </w:rPr>
                        <w:t>9</w:t>
                      </w:r>
                      <w:r w:rsidRPr="00A2160D">
                        <w:rPr>
                          <w:rStyle w:val="3Exact0"/>
                          <w:highlight w:val="red"/>
                        </w:rPr>
                        <w:t>3</w:t>
                      </w:r>
                      <w:r>
                        <w:rPr>
                          <w:rStyle w:val="3Exact0"/>
                        </w:rPr>
                        <w:t>.</w:t>
                      </w:r>
                      <w:r>
                        <w:rPr>
                          <w:rStyle w:val="3Exact1"/>
                        </w:rPr>
                        <w:t xml:space="preserve"> Инвестиции в сферу НИОКР в Австрии в 2014 г. (оценочно), млн евро</w:t>
                      </w:r>
                      <w:r>
                        <w:rPr>
                          <w:rStyle w:val="3BookmanOldStyle9ptExact0"/>
                          <w:vertAlign w:val="superscript"/>
                        </w:rPr>
                        <w:t>1</w:t>
                      </w:r>
                    </w:p>
                  </w:txbxContent>
                </v:textbox>
                <w10:wrap type="topAndBottom" anchorx="margin"/>
              </v:shape>
            </w:pict>
          </mc:Fallback>
        </mc:AlternateContent>
      </w:r>
      <w:r w:rsidRPr="004E0FC4">
        <w:rPr>
          <w:rFonts w:ascii="Bookman Old Style" w:hAnsi="Bookman Old Style"/>
          <w:noProof/>
          <w:sz w:val="18"/>
          <w:szCs w:val="18"/>
          <w:lang w:bidi="ar-SA"/>
        </w:rPr>
        <w:drawing>
          <wp:anchor distT="0" distB="0" distL="63500" distR="63500" simplePos="0" relativeHeight="377541438" behindDoc="1" locked="0" layoutInCell="1" allowOverlap="1" wp14:anchorId="2938DEAC" wp14:editId="05C3426E">
            <wp:simplePos x="0" y="0"/>
            <wp:positionH relativeFrom="margin">
              <wp:posOffset>1130935</wp:posOffset>
            </wp:positionH>
            <wp:positionV relativeFrom="paragraph">
              <wp:posOffset>762000</wp:posOffset>
            </wp:positionV>
            <wp:extent cx="1469390" cy="1432560"/>
            <wp:effectExtent l="19050" t="0" r="0" b="0"/>
            <wp:wrapTopAndBottom/>
            <wp:docPr id="262" name="Рисунок 26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22"/>
                    <pic:cNvPicPr>
                      <a:picLocks noChangeAspect="1" noChangeArrowheads="1"/>
                    </pic:cNvPicPr>
                  </pic:nvPicPr>
                  <pic:blipFill>
                    <a:blip r:embed="rId71" cstate="print"/>
                    <a:srcRect/>
                    <a:stretch>
                      <a:fillRect/>
                    </a:stretch>
                  </pic:blipFill>
                  <pic:spPr bwMode="auto">
                    <a:xfrm>
                      <a:off x="0" y="0"/>
                      <a:ext cx="1469390" cy="1432560"/>
                    </a:xfrm>
                    <a:prstGeom prst="rect">
                      <a:avLst/>
                    </a:prstGeom>
                    <a:noFill/>
                  </pic:spPr>
                </pic:pic>
              </a:graphicData>
            </a:graphic>
          </wp:anchor>
        </w:drawing>
      </w:r>
      <w:r w:rsidRPr="004E0FC4">
        <w:rPr>
          <w:rFonts w:ascii="Bookman Old Style" w:hAnsi="Bookman Old Style"/>
          <w:noProof/>
          <w:sz w:val="18"/>
          <w:szCs w:val="18"/>
          <w:lang w:bidi="ar-SA"/>
        </w:rPr>
        <mc:AlternateContent>
          <mc:Choice Requires="wps">
            <w:drawing>
              <wp:anchor distT="0" distB="0" distL="63500" distR="63500" simplePos="0" relativeHeight="377542462" behindDoc="1" locked="0" layoutInCell="1" allowOverlap="1" wp14:anchorId="235C4424" wp14:editId="36F4E4A7">
                <wp:simplePos x="0" y="0"/>
                <wp:positionH relativeFrom="margin">
                  <wp:posOffset>2401570</wp:posOffset>
                </wp:positionH>
                <wp:positionV relativeFrom="paragraph">
                  <wp:posOffset>885825</wp:posOffset>
                </wp:positionV>
                <wp:extent cx="1545590" cy="292100"/>
                <wp:effectExtent l="0" t="0" r="1905" b="0"/>
                <wp:wrapTopAndBottom/>
                <wp:docPr id="267" name="Надпись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F231" w14:textId="77777777" w:rsidR="00350396" w:rsidRDefault="00350396" w:rsidP="00350396">
                            <w:pPr>
                              <w:spacing w:line="230" w:lineRule="exact"/>
                            </w:pPr>
                            <w:r>
                              <w:rPr>
                                <w:rStyle w:val="8Exact0"/>
                              </w:rPr>
                              <w:t>Государство и федеральные земли — 3,496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5C4424" id="Надпись 267" o:spid="_x0000_s1062" type="#_x0000_t202" style="position:absolute;left:0;text-align:left;margin-left:189.1pt;margin-top:69.75pt;width:121.7pt;height:23pt;z-index:-12577401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" filled="f" stroked="f">
                <v:textbox style="mso-fit-shape-to-text:t" inset="0,0,0,0">
                  <w:txbxContent>
                    <w:p w14:paraId="7E63F231" w14:textId="77777777" w:rsidR="00350396" w:rsidRDefault="00350396" w:rsidP="00350396">
                      <w:pPr>
                        <w:spacing w:line="230" w:lineRule="exact"/>
                      </w:pPr>
                      <w:r>
                        <w:rPr>
                          <w:rStyle w:val="8Exact0"/>
                        </w:rPr>
                        <w:t>Государство и федеральные земли — 3,496</w:t>
                      </w:r>
                    </w:p>
                  </w:txbxContent>
                </v:textbox>
                <w10:wrap type="topAndBottom" anchorx="margin"/>
              </v:shape>
            </w:pict>
          </mc:Fallback>
        </mc:AlternateContent>
      </w:r>
      <w:r w:rsidRPr="004E0FC4">
        <w:rPr>
          <w:rFonts w:ascii="Bookman Old Style" w:hAnsi="Bookman Old Style"/>
          <w:noProof/>
          <w:sz w:val="18"/>
          <w:szCs w:val="18"/>
          <w:lang w:bidi="ar-SA"/>
        </w:rPr>
        <mc:AlternateContent>
          <mc:Choice Requires="wps">
            <w:drawing>
              <wp:anchor distT="0" distB="0" distL="63500" distR="63500" simplePos="0" relativeHeight="377543486" behindDoc="1" locked="0" layoutInCell="1" allowOverlap="1" wp14:anchorId="25AED9F8" wp14:editId="11C0F3D4">
                <wp:simplePos x="0" y="0"/>
                <wp:positionH relativeFrom="margin">
                  <wp:posOffset>2142490</wp:posOffset>
                </wp:positionH>
                <wp:positionV relativeFrom="paragraph">
                  <wp:posOffset>2175510</wp:posOffset>
                </wp:positionV>
                <wp:extent cx="1200785" cy="243840"/>
                <wp:effectExtent l="3175" t="635" r="0" b="3175"/>
                <wp:wrapTopAndBottom/>
                <wp:docPr id="266" name="Надпись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B603" w14:textId="77777777" w:rsidR="00350396" w:rsidRDefault="00350396" w:rsidP="00350396">
                            <w:pPr>
                              <w:spacing w:line="192" w:lineRule="exact"/>
                            </w:pPr>
                            <w:r>
                              <w:rPr>
                                <w:rStyle w:val="8Exact0"/>
                              </w:rPr>
                              <w:t>Предприятия — 4,147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AED9F8" id="Надпись 266" o:spid="_x0000_s1063" type="#_x0000_t202" style="position:absolute;left:0;text-align:left;margin-left:168.7pt;margin-top:171.3pt;width:94.55pt;height:19.2pt;z-index:-12577299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" filled="f" stroked="f">
                <v:textbox style="mso-fit-shape-to-text:t" inset="0,0,0,0">
                  <w:txbxContent>
                    <w:p w14:paraId="0787B603" w14:textId="77777777" w:rsidR="00350396" w:rsidRDefault="00350396" w:rsidP="00350396">
                      <w:pPr>
                        <w:spacing w:line="192" w:lineRule="exact"/>
                      </w:pPr>
                      <w:r>
                        <w:rPr>
                          <w:rStyle w:val="8Exact0"/>
                        </w:rPr>
                        <w:t>Предприятия — 4,147</w:t>
                      </w:r>
                    </w:p>
                  </w:txbxContent>
                </v:textbox>
                <w10:wrap type="topAndBottom" anchorx="margin"/>
              </v:shape>
            </w:pict>
          </mc:Fallback>
        </mc:AlternateContent>
      </w:r>
      <w:r w:rsidRPr="004E0FC4">
        <w:rPr>
          <w:rFonts w:ascii="Bookman Old Style" w:eastAsia="Bookman Old Style" w:hAnsi="Bookman Old Style" w:cs="Bookman Old Style"/>
          <w:color w:val="231F20"/>
          <w:sz w:val="18"/>
          <w:szCs w:val="18"/>
        </w:rPr>
        <w:t>на стадиях их прикладного доведения, промышленного освоения и реализации потребителям.</w:t>
      </w:r>
    </w:p>
    <w:p w14:paraId="75FADA5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Исходя из этого, суть ГЧП в инновационной сфере часто опре</w:t>
      </w:r>
      <w:r w:rsidRPr="004E0FC4">
        <w:rPr>
          <w:rFonts w:ascii="Bookman Old Style" w:eastAsia="Bookman Old Style" w:hAnsi="Bookman Old Style" w:cs="Bookman Old Style"/>
          <w:color w:val="231F20"/>
          <w:sz w:val="18"/>
          <w:szCs w:val="18"/>
        </w:rPr>
        <w:softHyphen/>
        <w:t>деляют как «координацию интересов и действий государствен</w:t>
      </w:r>
      <w:r w:rsidRPr="004E0FC4">
        <w:rPr>
          <w:rFonts w:ascii="Bookman Old Style" w:eastAsia="Bookman Old Style" w:hAnsi="Bookman Old Style" w:cs="Bookman Old Style"/>
          <w:color w:val="231F20"/>
          <w:sz w:val="18"/>
          <w:szCs w:val="18"/>
        </w:rPr>
        <w:softHyphen/>
        <w:t>ных и частных участников при доведении научных результатов до инноваций»</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highlight w:val="red"/>
        </w:rPr>
        <w:t>. По другому определению, ГЧП в инновационной сфере является «институциональным и организационным альянсом между государством и бизнесом в целях реализации инновацион</w:t>
      </w:r>
      <w:r w:rsidRPr="004E0FC4">
        <w:rPr>
          <w:rFonts w:ascii="Bookman Old Style" w:eastAsia="Bookman Old Style" w:hAnsi="Bookman Old Style" w:cs="Bookman Old Style"/>
          <w:color w:val="231F20"/>
          <w:sz w:val="18"/>
          <w:szCs w:val="18"/>
          <w:highlight w:val="red"/>
        </w:rPr>
        <w:softHyphen/>
        <w:t>ных проектов в широком спектре инновационной сферы экономи</w:t>
      </w:r>
      <w:r w:rsidRPr="004E0FC4">
        <w:rPr>
          <w:rFonts w:ascii="Bookman Old Style" w:eastAsia="Bookman Old Style" w:hAnsi="Bookman Old Style" w:cs="Bookman Old Style"/>
          <w:color w:val="231F20"/>
          <w:sz w:val="18"/>
          <w:szCs w:val="18"/>
          <w:highlight w:val="red"/>
        </w:rPr>
        <w:softHyphen/>
        <w:t>ки, отраслей промышленности и областей научных исследований»</w:t>
      </w:r>
      <w:r w:rsidRPr="004E0FC4">
        <w:rPr>
          <w:rFonts w:ascii="Bookman Old Style" w:eastAsia="Bookman Old Style" w:hAnsi="Bookman Old Style" w:cs="Bookman Old Style"/>
          <w:color w:val="231F20"/>
          <w:sz w:val="18"/>
          <w:szCs w:val="18"/>
          <w:highlight w:val="red"/>
          <w:vertAlign w:val="superscript"/>
        </w:rPr>
        <w:t>3</w:t>
      </w:r>
      <w:r w:rsidRPr="004E0FC4">
        <w:rPr>
          <w:rFonts w:ascii="Bookman Old Style" w:eastAsia="Bookman Old Style" w:hAnsi="Bookman Old Style" w:cs="Bookman Old Style"/>
          <w:color w:val="231F20"/>
          <w:sz w:val="18"/>
          <w:szCs w:val="18"/>
          <w:highlight w:val="red"/>
        </w:rPr>
        <w:t>. Основные цели, которые решает государство при помощи ГЧП, за</w:t>
      </w:r>
      <w:r w:rsidRPr="004E0FC4">
        <w:rPr>
          <w:rFonts w:ascii="Bookman Old Style" w:eastAsia="Bookman Old Style" w:hAnsi="Bookman Old Style" w:cs="Bookman Old Style"/>
          <w:color w:val="231F20"/>
          <w:sz w:val="18"/>
          <w:szCs w:val="18"/>
          <w:highlight w:val="red"/>
        </w:rPr>
        <w:softHyphen/>
        <w:t>ключаются</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 а цели состоят</w:t>
      </w:r>
      <w:r w:rsidRPr="004E0FC4">
        <w:rPr>
          <w:rFonts w:ascii="Bookman Old Style" w:eastAsia="Bookman Old Style" w:hAnsi="Bookman Old Style" w:cs="Bookman Old Style"/>
          <w:color w:val="231F20"/>
          <w:sz w:val="18"/>
          <w:szCs w:val="18"/>
        </w:rPr>
        <w:t xml:space="preserve"> в привлечении финансовых средств частных партнеров для развития признанных приоритетными направлений науки, техники и технологий, в координации действий и взаимосвязей субъектов инновационного процесса, включая малое и среднее предпринимательство. </w:t>
      </w:r>
      <w:r w:rsidRPr="004E0FC4">
        <w:rPr>
          <w:rFonts w:ascii="Bookman Old Style" w:eastAsia="Bookman Old Style" w:hAnsi="Bookman Old Style" w:cs="Bookman Old Style"/>
          <w:color w:val="231F20"/>
          <w:sz w:val="18"/>
          <w:szCs w:val="18"/>
          <w:highlight w:val="red"/>
        </w:rPr>
        <w:t>Основные цели и</w:t>
      </w:r>
      <w:r w:rsidRPr="004E0FC4">
        <w:rPr>
          <w:rFonts w:ascii="Bookman Old Style" w:eastAsia="Bookman Old Style" w:hAnsi="Bookman Old Style" w:cs="Bookman Old Style"/>
          <w:color w:val="231F20"/>
          <w:sz w:val="18"/>
          <w:szCs w:val="18"/>
        </w:rPr>
        <w:t xml:space="preserve"> интерес</w:t>
      </w:r>
      <w:r w:rsidRPr="004E0FC4">
        <w:rPr>
          <w:rFonts w:ascii="Bookman Old Style" w:eastAsia="Bookman Old Style" w:hAnsi="Bookman Old Style" w:cs="Bookman Old Style"/>
          <w:color w:val="231F20"/>
          <w:sz w:val="18"/>
          <w:szCs w:val="18"/>
          <w:highlight w:val="red"/>
        </w:rPr>
        <w:t>ы</w:t>
      </w:r>
      <w:r w:rsidRPr="004E0FC4">
        <w:rPr>
          <w:rFonts w:ascii="Bookman Old Style" w:eastAsia="Bookman Old Style" w:hAnsi="Bookman Old Style" w:cs="Bookman Old Style"/>
          <w:color w:val="231F20"/>
          <w:sz w:val="18"/>
          <w:szCs w:val="18"/>
        </w:rPr>
        <w:t xml:space="preserve"> бизнес-структур при вступлении в ГЧП — снижение коммерческих рисков и сроков окупаемости инвестиций в инновации.</w:t>
      </w:r>
    </w:p>
    <w:p w14:paraId="339875C2"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Главным вызовом для успешной реализации отношений ГЧП в инновационной сфере является преодоление разрыва между фун</w:t>
      </w:r>
      <w:r w:rsidRPr="004E0FC4">
        <w:rPr>
          <w:rFonts w:ascii="Bookman Old Style" w:eastAsia="Bookman Old Style" w:hAnsi="Bookman Old Style" w:cs="Bookman Old Style"/>
          <w:color w:val="231F20"/>
          <w:sz w:val="18"/>
          <w:szCs w:val="18"/>
        </w:rPr>
        <w:softHyphen/>
        <w:t>даментальными и прикладными разработками, обеспечение долго</w:t>
      </w:r>
      <w:r w:rsidRPr="004E0FC4">
        <w:rPr>
          <w:rFonts w:ascii="Bookman Old Style" w:eastAsia="Bookman Old Style" w:hAnsi="Bookman Old Style" w:cs="Bookman Old Style"/>
          <w:color w:val="231F20"/>
          <w:sz w:val="18"/>
          <w:szCs w:val="18"/>
        </w:rPr>
        <w:softHyphen/>
        <w:t xml:space="preserve">срочности и взаимной выгодности отношений между конкретными </w:t>
      </w:r>
      <w:r w:rsidRPr="004E0FC4">
        <w:rPr>
          <w:rFonts w:ascii="Bookman Old Style" w:eastAsia="Bookman Old Style" w:hAnsi="Bookman Old Style" w:cs="Bookman Old Style"/>
          <w:color w:val="231F20"/>
          <w:sz w:val="18"/>
          <w:szCs w:val="18"/>
          <w:vertAlign w:val="superscript"/>
        </w:rPr>
        <w:footnoteReference w:id="138"/>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vertAlign w:val="superscript"/>
        </w:rPr>
        <w:footnoteReference w:id="139"/>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40"/>
      </w:r>
      <w:r w:rsidRPr="004E0FC4">
        <w:rPr>
          <w:rFonts w:ascii="Bookman Old Style" w:eastAsia="Bookman Old Style" w:hAnsi="Bookman Old Style" w:cs="Bookman Old Style"/>
          <w:color w:val="231F20"/>
          <w:sz w:val="18"/>
          <w:szCs w:val="18"/>
        </w:rPr>
        <w:t xml:space="preserve">государственными структурами и частными компаниями, которые </w:t>
      </w:r>
      <w:r w:rsidRPr="004E0FC4">
        <w:rPr>
          <w:rFonts w:ascii="Bookman Old Style" w:eastAsia="Bookman Old Style" w:hAnsi="Bookman Old Style" w:cs="Bookman Old Style"/>
          <w:color w:val="231F20"/>
          <w:sz w:val="18"/>
          <w:szCs w:val="18"/>
        </w:rPr>
        <w:lastRenderedPageBreak/>
        <w:t>вовлечены в процессы передачи результатов фундаментальных ис</w:t>
      </w:r>
      <w:r w:rsidRPr="004E0FC4">
        <w:rPr>
          <w:rFonts w:ascii="Bookman Old Style" w:eastAsia="Bookman Old Style" w:hAnsi="Bookman Old Style" w:cs="Bookman Old Style"/>
          <w:color w:val="231F20"/>
          <w:sz w:val="18"/>
          <w:szCs w:val="18"/>
        </w:rPr>
        <w:softHyphen/>
        <w:t>следований для осуществления прикладных разработок и дальней</w:t>
      </w:r>
      <w:r w:rsidRPr="004E0FC4">
        <w:rPr>
          <w:rFonts w:ascii="Bookman Old Style" w:eastAsia="Bookman Old Style" w:hAnsi="Bookman Old Style" w:cs="Bookman Old Style"/>
          <w:color w:val="231F20"/>
          <w:sz w:val="18"/>
          <w:szCs w:val="18"/>
        </w:rPr>
        <w:softHyphen/>
        <w:t>шей их коммерциализации. Частные компании заинтересованы в «бесплатном» получении результатов фундаментальных научных исследований, покрытии государством собственных рисков, поэто</w:t>
      </w:r>
      <w:r w:rsidRPr="004E0FC4">
        <w:rPr>
          <w:rFonts w:ascii="Bookman Old Style" w:eastAsia="Bookman Old Style" w:hAnsi="Bookman Old Style" w:cs="Bookman Old Style"/>
          <w:color w:val="231F20"/>
          <w:sz w:val="18"/>
          <w:szCs w:val="18"/>
        </w:rPr>
        <w:softHyphen/>
        <w:t>му принятие ими на себя обязательств по компенсации целиком или части понесенных государством затрат является одним из не</w:t>
      </w:r>
      <w:r w:rsidRPr="004E0FC4">
        <w:rPr>
          <w:rFonts w:ascii="Bookman Old Style" w:eastAsia="Bookman Old Style" w:hAnsi="Bookman Old Style" w:cs="Bookman Old Style"/>
          <w:color w:val="231F20"/>
          <w:sz w:val="18"/>
          <w:szCs w:val="18"/>
        </w:rPr>
        <w:softHyphen/>
        <w:t>простых вопросов в рамках отношений ГЧП в сфере инноваций. Со своей стороны, для успешной реализации результатов фунда</w:t>
      </w:r>
      <w:r w:rsidRPr="004E0FC4">
        <w:rPr>
          <w:rFonts w:ascii="Bookman Old Style" w:eastAsia="Bookman Old Style" w:hAnsi="Bookman Old Style" w:cs="Bookman Old Style"/>
          <w:color w:val="231F20"/>
          <w:sz w:val="18"/>
          <w:szCs w:val="18"/>
        </w:rPr>
        <w:softHyphen/>
        <w:t>ментальных исследований в коммерческие компании государ</w:t>
      </w:r>
      <w:r w:rsidRPr="004E0FC4">
        <w:rPr>
          <w:rFonts w:ascii="Bookman Old Style" w:eastAsia="Bookman Old Style" w:hAnsi="Bookman Old Style" w:cs="Bookman Old Style"/>
          <w:color w:val="231F20"/>
          <w:sz w:val="18"/>
          <w:szCs w:val="18"/>
        </w:rPr>
        <w:softHyphen/>
        <w:t>ство должно определенным образом ориентировать исследования на фундаментальной стадии.</w:t>
      </w:r>
    </w:p>
    <w:p w14:paraId="7AEA6811"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Институционально государство во всех странах, осуществляю</w:t>
      </w:r>
      <w:r w:rsidRPr="004E0FC4">
        <w:rPr>
          <w:rFonts w:ascii="Bookman Old Style" w:eastAsia="Bookman Old Style" w:hAnsi="Bookman Old Style" w:cs="Bookman Old Style"/>
          <w:color w:val="231F20"/>
          <w:sz w:val="18"/>
          <w:szCs w:val="18"/>
        </w:rPr>
        <w:softHyphen/>
        <w:t>щих исследования, берет на себя ответственность за финансирова</w:t>
      </w:r>
      <w:r w:rsidRPr="004E0FC4">
        <w:rPr>
          <w:rFonts w:ascii="Bookman Old Style" w:eastAsia="Bookman Old Style" w:hAnsi="Bookman Old Style" w:cs="Bookman Old Style"/>
          <w:color w:val="231F20"/>
          <w:sz w:val="18"/>
          <w:szCs w:val="18"/>
        </w:rPr>
        <w:softHyphen/>
        <w:t>ние в первую очередь фундаментальных стадий исследований. Так как фундаментальные исследования — рискованный этап иннова</w:t>
      </w:r>
      <w:r w:rsidRPr="004E0FC4">
        <w:rPr>
          <w:rFonts w:ascii="Bookman Old Style" w:eastAsia="Bookman Old Style" w:hAnsi="Bookman Old Style" w:cs="Bookman Old Style"/>
          <w:color w:val="231F20"/>
          <w:sz w:val="18"/>
          <w:szCs w:val="18"/>
        </w:rPr>
        <w:softHyphen/>
        <w:t>ционной деятельности, вложения в который могут окупаться в те</w:t>
      </w:r>
      <w:r w:rsidRPr="004E0FC4">
        <w:rPr>
          <w:rFonts w:ascii="Bookman Old Style" w:eastAsia="Bookman Old Style" w:hAnsi="Bookman Old Style" w:cs="Bookman Old Style"/>
          <w:color w:val="231F20"/>
          <w:sz w:val="18"/>
          <w:szCs w:val="18"/>
        </w:rPr>
        <w:softHyphen/>
        <w:t xml:space="preserve">чение неприемлемо длительного срока или не окупаться вообще, в частном секторе ими занимаются только отдельные </w:t>
      </w:r>
      <w:r w:rsidRPr="004E0FC4">
        <w:rPr>
          <w:rFonts w:ascii="Bookman Old Style" w:eastAsia="Bookman Old Style" w:hAnsi="Bookman Old Style" w:cs="Bookman Old Style"/>
          <w:color w:val="231F20"/>
          <w:sz w:val="18"/>
          <w:szCs w:val="18"/>
          <w:highlight w:val="green"/>
        </w:rPr>
        <w:t>крупные</w:t>
      </w:r>
      <w:r w:rsidRPr="004E0FC4">
        <w:rPr>
          <w:rFonts w:ascii="Bookman Old Style" w:eastAsia="Bookman Old Style" w:hAnsi="Bookman Old Style" w:cs="Bookman Old Style"/>
          <w:color w:val="231F20"/>
          <w:sz w:val="18"/>
          <w:szCs w:val="18"/>
        </w:rPr>
        <w:t xml:space="preserve"> компании. </w:t>
      </w:r>
      <w:r w:rsidRPr="004E0FC4">
        <w:rPr>
          <w:rFonts w:ascii="Bookman Old Style" w:eastAsia="Bookman Old Style" w:hAnsi="Bookman Old Style" w:cs="Bookman Old Style"/>
          <w:color w:val="231F20"/>
          <w:sz w:val="18"/>
          <w:szCs w:val="18"/>
          <w:highlight w:val="red"/>
        </w:rPr>
        <w:t>Обычно такие</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Фундаментальные</w:t>
      </w:r>
      <w:r w:rsidRPr="004E0FC4">
        <w:rPr>
          <w:rFonts w:ascii="Bookman Old Style" w:eastAsia="Bookman Old Style" w:hAnsi="Bookman Old Style" w:cs="Bookman Old Style"/>
          <w:color w:val="231F20"/>
          <w:sz w:val="18"/>
          <w:szCs w:val="18"/>
        </w:rPr>
        <w:t xml:space="preserve"> исследования проводятся в рамках </w:t>
      </w:r>
      <w:r w:rsidRPr="004E0FC4">
        <w:rPr>
          <w:rFonts w:ascii="Bookman Old Style" w:eastAsia="Bookman Old Style" w:hAnsi="Bookman Old Style" w:cs="Bookman Old Style"/>
          <w:color w:val="231F20"/>
          <w:sz w:val="18"/>
          <w:szCs w:val="18"/>
          <w:highlight w:val="green"/>
        </w:rPr>
        <w:t>госзаказа</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 xml:space="preserve">исследований </w:t>
      </w:r>
      <w:r w:rsidRPr="004E0FC4">
        <w:rPr>
          <w:rFonts w:ascii="Bookman Old Style" w:eastAsia="Bookman Old Style" w:hAnsi="Bookman Old Style" w:cs="Bookman Old Style"/>
          <w:color w:val="231F20"/>
          <w:sz w:val="18"/>
          <w:szCs w:val="18"/>
        </w:rPr>
        <w:t>в университетах, научных и исследовательских лабораториях и ин</w:t>
      </w:r>
      <w:r w:rsidRPr="004E0FC4">
        <w:rPr>
          <w:rFonts w:ascii="Bookman Old Style" w:eastAsia="Bookman Old Style" w:hAnsi="Bookman Old Style" w:cs="Bookman Old Style"/>
          <w:color w:val="231F20"/>
          <w:sz w:val="18"/>
          <w:szCs w:val="18"/>
        </w:rPr>
        <w:softHyphen/>
        <w:t xml:space="preserve">ститутах (в России, — </w:t>
      </w:r>
      <w:r w:rsidRPr="004E0FC4">
        <w:rPr>
          <w:rFonts w:ascii="Bookman Old Style" w:eastAsia="Bookman Old Style" w:hAnsi="Bookman Old Style" w:cs="Bookman Old Style"/>
          <w:color w:val="231F20"/>
          <w:sz w:val="18"/>
          <w:szCs w:val="18"/>
          <w:highlight w:val="green"/>
        </w:rPr>
        <w:t>в частности</w:t>
      </w:r>
      <w:r w:rsidRPr="004E0FC4">
        <w:rPr>
          <w:rFonts w:ascii="Bookman Old Style" w:eastAsia="Bookman Old Style" w:hAnsi="Bookman Old Style" w:cs="Bookman Old Style"/>
          <w:color w:val="231F20"/>
          <w:sz w:val="18"/>
          <w:szCs w:val="18"/>
        </w:rPr>
        <w:t>, институтах РАН). Финансируя их деятель</w:t>
      </w:r>
      <w:r w:rsidRPr="004E0FC4">
        <w:rPr>
          <w:rFonts w:ascii="Bookman Old Style" w:eastAsia="Bookman Old Style" w:hAnsi="Bookman Old Style" w:cs="Bookman Old Style"/>
          <w:color w:val="231F20"/>
          <w:sz w:val="18"/>
          <w:szCs w:val="18"/>
        </w:rPr>
        <w:softHyphen/>
        <w:t>ность, государство стремится добиться результатов, которые могут быть в дальнейшем доведены до стадии коммерческого (или во</w:t>
      </w:r>
      <w:r w:rsidRPr="004E0FC4">
        <w:rPr>
          <w:rFonts w:ascii="Bookman Old Style" w:eastAsia="Bookman Old Style" w:hAnsi="Bookman Old Style" w:cs="Bookman Old Style"/>
          <w:color w:val="231F20"/>
          <w:sz w:val="18"/>
          <w:szCs w:val="18"/>
        </w:rPr>
        <w:softHyphen/>
        <w:t>енного) использования. Передача результатов фундаменталь</w:t>
      </w:r>
      <w:r w:rsidRPr="004E0FC4">
        <w:rPr>
          <w:rFonts w:ascii="Bookman Old Style" w:eastAsia="Bookman Old Style" w:hAnsi="Bookman Old Style" w:cs="Bookman Old Style"/>
          <w:color w:val="231F20"/>
          <w:sz w:val="18"/>
          <w:szCs w:val="18"/>
        </w:rPr>
        <w:softHyphen/>
        <w:t>ных исследований в частный сектор в форме патентов, лицензий для дальнейшего доведения до стадии прикладного использования многими рассматривается как наиболее вероятное поле для воз</w:t>
      </w:r>
      <w:r w:rsidRPr="004E0FC4">
        <w:rPr>
          <w:rFonts w:ascii="Bookman Old Style" w:eastAsia="Bookman Old Style" w:hAnsi="Bookman Old Style" w:cs="Bookman Old Style"/>
          <w:color w:val="231F20"/>
          <w:sz w:val="18"/>
          <w:szCs w:val="18"/>
        </w:rPr>
        <w:softHyphen/>
        <w:t>никновения долгосрочных отношений между государственными и коммерческими структурами в инновационной сфере, оформля</w:t>
      </w:r>
      <w:r w:rsidRPr="004E0FC4">
        <w:rPr>
          <w:rFonts w:ascii="Bookman Old Style" w:eastAsia="Bookman Old Style" w:hAnsi="Bookman Old Style" w:cs="Bookman Old Style"/>
          <w:color w:val="231F20"/>
          <w:sz w:val="18"/>
          <w:szCs w:val="18"/>
        </w:rPr>
        <w:softHyphen/>
        <w:t>емых в виде ГЧП.</w:t>
      </w:r>
    </w:p>
    <w:p w14:paraId="0DA75727"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При этом необходимо отделять отношения ГЧП в инноваци</w:t>
      </w:r>
      <w:r w:rsidRPr="004E0FC4">
        <w:rPr>
          <w:rFonts w:ascii="Bookman Old Style" w:eastAsia="Bookman Old Style" w:hAnsi="Bookman Old Style" w:cs="Bookman Old Style"/>
          <w:color w:val="231F20"/>
          <w:sz w:val="18"/>
          <w:szCs w:val="18"/>
        </w:rPr>
        <w:softHyphen/>
        <w:t>онной сфере от прямого государственного финансирования раз</w:t>
      </w:r>
      <w:r w:rsidRPr="004E0FC4">
        <w:rPr>
          <w:rFonts w:ascii="Bookman Old Style" w:eastAsia="Bookman Old Style" w:hAnsi="Bookman Old Style" w:cs="Bookman Old Style"/>
          <w:color w:val="231F20"/>
          <w:sz w:val="18"/>
          <w:szCs w:val="18"/>
        </w:rPr>
        <w:softHyphen/>
        <w:t xml:space="preserve">работок в частном секторе, которое относят к </w:t>
      </w:r>
      <w:r w:rsidRPr="004E0FC4">
        <w:rPr>
          <w:rFonts w:ascii="Bookman Old Style" w:eastAsia="Bookman Old Style" w:hAnsi="Bookman Old Style" w:cs="Bookman Old Style"/>
          <w:i/>
          <w:iCs/>
          <w:color w:val="231F20"/>
          <w:sz w:val="18"/>
          <w:szCs w:val="18"/>
        </w:rPr>
        <w:t>государственному заказу.</w:t>
      </w:r>
      <w:r w:rsidRPr="004E0FC4">
        <w:rPr>
          <w:rFonts w:ascii="Bookman Old Style" w:eastAsia="Bookman Old Style" w:hAnsi="Bookman Old Style" w:cs="Bookman Old Style"/>
          <w:color w:val="231F20"/>
          <w:sz w:val="18"/>
          <w:szCs w:val="18"/>
        </w:rPr>
        <w:t xml:space="preserve"> Такое финансирование имеет достаточно широкое рас</w:t>
      </w:r>
      <w:r w:rsidRPr="004E0FC4">
        <w:rPr>
          <w:rFonts w:ascii="Bookman Old Style" w:eastAsia="Bookman Old Style" w:hAnsi="Bookman Old Style" w:cs="Bookman Old Style"/>
          <w:color w:val="231F20"/>
          <w:sz w:val="18"/>
          <w:szCs w:val="18"/>
        </w:rPr>
        <w:softHyphen/>
        <w:t>пространение. В США прямое государственное финансирование НИОКР в частном секторе составляет 0,27 % ВВП, всего же на НИ</w:t>
      </w:r>
      <w:r w:rsidRPr="004E0FC4">
        <w:rPr>
          <w:rFonts w:ascii="Bookman Old Style" w:eastAsia="Bookman Old Style" w:hAnsi="Bookman Old Style" w:cs="Bookman Old Style"/>
          <w:color w:val="231F20"/>
          <w:sz w:val="18"/>
          <w:szCs w:val="18"/>
        </w:rPr>
        <w:softHyphen/>
        <w:t>ОКР тратится от 1,03 до 2,9 % ВВП (по разным данным), из кото</w:t>
      </w:r>
      <w:r w:rsidRPr="004E0FC4">
        <w:rPr>
          <w:rFonts w:ascii="Bookman Old Style" w:eastAsia="Bookman Old Style" w:hAnsi="Bookman Old Style" w:cs="Bookman Old Style"/>
          <w:color w:val="231F20"/>
          <w:sz w:val="18"/>
          <w:szCs w:val="18"/>
        </w:rPr>
        <w:softHyphen/>
        <w:t xml:space="preserve">рых около 70 % тратит частный сектор из собственных средств </w:t>
      </w:r>
      <w:r w:rsidRPr="004E0FC4">
        <w:rPr>
          <w:rFonts w:ascii="Bookman Old Style" w:eastAsia="Bookman Old Style" w:hAnsi="Bookman Old Style" w:cs="Bookman Old Style"/>
          <w:color w:val="231F20"/>
          <w:sz w:val="18"/>
          <w:szCs w:val="18"/>
          <w:highlight w:val="red"/>
        </w:rPr>
        <w:t>(данные 2010—2012 гг.)</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Таким образом, в США прямое государ</w:t>
      </w:r>
      <w:r w:rsidRPr="004E0FC4">
        <w:rPr>
          <w:rFonts w:ascii="Bookman Old Style" w:eastAsia="Bookman Old Style" w:hAnsi="Bookman Old Style" w:cs="Bookman Old Style"/>
          <w:color w:val="231F20"/>
          <w:sz w:val="18"/>
          <w:szCs w:val="18"/>
        </w:rPr>
        <w:softHyphen/>
        <w:t xml:space="preserve">ственное финансирование НИОКР в частном секторе составляет значительную, </w:t>
      </w:r>
      <w:r w:rsidRPr="004E0FC4">
        <w:rPr>
          <w:rFonts w:ascii="Bookman Old Style" w:eastAsia="Bookman Old Style" w:hAnsi="Bookman Old Style" w:cs="Bookman Old Style"/>
          <w:color w:val="231F20"/>
          <w:sz w:val="18"/>
          <w:szCs w:val="18"/>
          <w:highlight w:val="green"/>
        </w:rPr>
        <w:t>но не самую большую</w:t>
      </w:r>
      <w:r w:rsidRPr="004E0FC4">
        <w:rPr>
          <w:rFonts w:ascii="Bookman Old Style" w:eastAsia="Bookman Old Style" w:hAnsi="Bookman Old Style" w:cs="Bookman Old Style"/>
          <w:color w:val="231F20"/>
          <w:sz w:val="18"/>
          <w:szCs w:val="18"/>
        </w:rPr>
        <w:t xml:space="preserve"> часть </w:t>
      </w:r>
      <w:r w:rsidRPr="004E0FC4">
        <w:rPr>
          <w:rFonts w:ascii="Bookman Old Style" w:eastAsia="Bookman Old Style" w:hAnsi="Bookman Old Style" w:cs="Bookman Old Style"/>
          <w:color w:val="231F20"/>
          <w:sz w:val="18"/>
          <w:szCs w:val="18"/>
          <w:highlight w:val="red"/>
        </w:rPr>
        <w:t>государственных</w:t>
      </w:r>
      <w:r w:rsidRPr="004E0FC4">
        <w:rPr>
          <w:rFonts w:ascii="Bookman Old Style" w:eastAsia="Bookman Old Style" w:hAnsi="Bookman Old Style" w:cs="Bookman Old Style"/>
          <w:color w:val="231F20"/>
          <w:sz w:val="18"/>
          <w:szCs w:val="18"/>
        </w:rPr>
        <w:t xml:space="preserve"> расходов на инновации. </w:t>
      </w:r>
    </w:p>
    <w:p w14:paraId="67C73A1F"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От</w:t>
      </w:r>
      <w:r w:rsidRPr="004E0FC4">
        <w:rPr>
          <w:rFonts w:ascii="Bookman Old Style" w:eastAsia="Bookman Old Style" w:hAnsi="Bookman Old Style" w:cs="Bookman Old Style"/>
          <w:color w:val="231F20"/>
          <w:sz w:val="18"/>
          <w:szCs w:val="18"/>
        </w:rPr>
        <w:softHyphen/>
        <w:t xml:space="preserve">метим, что в странах — членах </w:t>
      </w:r>
      <w:r w:rsidRPr="004E0FC4">
        <w:rPr>
          <w:rFonts w:ascii="Bookman Old Style" w:eastAsia="Bookman Old Style" w:hAnsi="Bookman Old Style" w:cs="Bookman Old Style"/>
          <w:color w:val="231F20"/>
          <w:sz w:val="18"/>
          <w:szCs w:val="18"/>
          <w:highlight w:val="green"/>
        </w:rPr>
        <w:t>ЕС</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Организации экономического со</w:t>
      </w:r>
      <w:r w:rsidRPr="004E0FC4">
        <w:rPr>
          <w:rFonts w:ascii="Bookman Old Style" w:eastAsia="Bookman Old Style" w:hAnsi="Bookman Old Style" w:cs="Bookman Old Style"/>
          <w:color w:val="231F20"/>
          <w:sz w:val="18"/>
          <w:szCs w:val="18"/>
          <w:highlight w:val="red"/>
        </w:rPr>
        <w:softHyphen/>
        <w:t>трудничества и развития, напротив,</w:t>
      </w:r>
      <w:r w:rsidRPr="004E0FC4">
        <w:rPr>
          <w:rFonts w:ascii="Bookman Old Style" w:eastAsia="Bookman Old Style" w:hAnsi="Bookman Old Style" w:cs="Bookman Old Style"/>
          <w:color w:val="231F20"/>
          <w:sz w:val="18"/>
          <w:szCs w:val="18"/>
        </w:rPr>
        <w:t xml:space="preserve"> доля прямого государствен</w:t>
      </w:r>
      <w:r w:rsidRPr="004E0FC4">
        <w:rPr>
          <w:rFonts w:ascii="Bookman Old Style" w:eastAsia="Bookman Old Style" w:hAnsi="Bookman Old Style" w:cs="Bookman Old Style"/>
          <w:color w:val="231F20"/>
          <w:sz w:val="18"/>
          <w:szCs w:val="18"/>
        </w:rPr>
        <w:softHyphen/>
        <w:t>ного финансирования НИОКР в частном секторе составляет всего 7 %, для Китая — менее 5 %, государство в основном финанси</w:t>
      </w:r>
      <w:r w:rsidRPr="004E0FC4">
        <w:rPr>
          <w:rFonts w:ascii="Bookman Old Style" w:eastAsia="Bookman Old Style" w:hAnsi="Bookman Old Style" w:cs="Bookman Old Style"/>
          <w:color w:val="231F20"/>
          <w:sz w:val="18"/>
          <w:szCs w:val="18"/>
        </w:rPr>
        <w:softHyphen/>
        <w:t>рует собственные программы и учреждения, а частные компании и исследовательские центры сами находят средства для разрабо</w:t>
      </w:r>
      <w:r w:rsidRPr="004E0FC4">
        <w:rPr>
          <w:rFonts w:ascii="Bookman Old Style" w:eastAsia="Bookman Old Style" w:hAnsi="Bookman Old Style" w:cs="Bookman Old Style"/>
          <w:color w:val="231F20"/>
          <w:sz w:val="18"/>
          <w:szCs w:val="18"/>
        </w:rPr>
        <w:softHyphen/>
        <w:t>ток. В России, как и в США, в отличие от многих других стран государство финансирует достаточно высокую долю НИОКР, вы</w:t>
      </w:r>
      <w:r w:rsidRPr="004E0FC4">
        <w:rPr>
          <w:rFonts w:ascii="Bookman Old Style" w:eastAsia="Bookman Old Style" w:hAnsi="Bookman Old Style" w:cs="Bookman Old Style"/>
          <w:color w:val="231F20"/>
          <w:sz w:val="18"/>
          <w:szCs w:val="18"/>
        </w:rPr>
        <w:softHyphen/>
        <w:t>полняемых частным сектором, а именно 56 %</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Бюджетное финан</w:t>
      </w:r>
      <w:r w:rsidRPr="004E0FC4">
        <w:rPr>
          <w:rFonts w:ascii="Bookman Old Style" w:eastAsia="Bookman Old Style" w:hAnsi="Bookman Old Style" w:cs="Bookman Old Style"/>
          <w:color w:val="231F20"/>
          <w:sz w:val="18"/>
          <w:szCs w:val="18"/>
        </w:rPr>
        <w:softHyphen/>
        <w:t>сирование НИОКР в частном секторе в России имеет статус госу</w:t>
      </w:r>
      <w:r w:rsidRPr="004E0FC4">
        <w:rPr>
          <w:rFonts w:ascii="Bookman Old Style" w:eastAsia="Bookman Old Style" w:hAnsi="Bookman Old Style" w:cs="Bookman Old Style"/>
          <w:color w:val="231F20"/>
          <w:sz w:val="18"/>
          <w:szCs w:val="18"/>
        </w:rPr>
        <w:softHyphen/>
        <w:t>дарственного заказа (оборонного заказа) и не оформляется в виде договоров о ГЧП.</w:t>
      </w:r>
    </w:p>
    <w:p w14:paraId="610DB7FD" w14:textId="77777777" w:rsidR="00350396" w:rsidRPr="004E0FC4" w:rsidRDefault="00350396" w:rsidP="004E0FC4">
      <w:pPr>
        <w:widowControl w:val="0"/>
        <w:spacing w:line="254" w:lineRule="exact"/>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lastRenderedPageBreak/>
        <w:t>Отметим, что применяемые в различных странах модели госу</w:t>
      </w:r>
      <w:r w:rsidRPr="004E0FC4">
        <w:rPr>
          <w:rFonts w:ascii="Bookman Old Style" w:eastAsia="Bookman Old Style" w:hAnsi="Bookman Old Style" w:cs="Bookman Old Style"/>
          <w:color w:val="231F20"/>
          <w:sz w:val="18"/>
          <w:szCs w:val="18"/>
        </w:rPr>
        <w:softHyphen/>
        <w:t>дарственного финансирования НИОКР отличаются и по другим признакам. Так, в Германии, Дании, Израиле 90—95 % всех пра</w:t>
      </w:r>
      <w:r w:rsidRPr="004E0FC4">
        <w:rPr>
          <w:rFonts w:ascii="Bookman Old Style" w:eastAsia="Bookman Old Style" w:hAnsi="Bookman Old Style" w:cs="Bookman Old Style"/>
          <w:color w:val="231F20"/>
          <w:sz w:val="18"/>
          <w:szCs w:val="18"/>
        </w:rPr>
        <w:softHyphen/>
        <w:t>вительственных ассигнований на науку — это «сметное» финан</w:t>
      </w:r>
      <w:r w:rsidRPr="004E0FC4">
        <w:rPr>
          <w:rFonts w:ascii="Bookman Old Style" w:eastAsia="Bookman Old Style" w:hAnsi="Bookman Old Style" w:cs="Bookman Old Style"/>
          <w:color w:val="231F20"/>
          <w:sz w:val="18"/>
          <w:szCs w:val="18"/>
        </w:rPr>
        <w:softHyphen/>
        <w:t>сирование научных институтов. В то же время в Южной Корее «сметное» финансирование составляет менее 20 %, а более 80 % государственных ассигнований идет на поддержку конкретных на</w:t>
      </w:r>
      <w:r w:rsidRPr="004E0FC4">
        <w:rPr>
          <w:rFonts w:ascii="Bookman Old Style" w:eastAsia="Bookman Old Style" w:hAnsi="Bookman Old Style" w:cs="Bookman Old Style"/>
          <w:color w:val="231F20"/>
          <w:sz w:val="18"/>
          <w:szCs w:val="18"/>
        </w:rPr>
        <w:softHyphen/>
        <w:t>учных проектов2.</w:t>
      </w:r>
    </w:p>
    <w:p w14:paraId="665840FF" w14:textId="77777777" w:rsidR="00350396" w:rsidRPr="004E0FC4" w:rsidRDefault="00350396" w:rsidP="004E0FC4">
      <w:pPr>
        <w:widowControl w:val="0"/>
        <w:spacing w:line="254" w:lineRule="exact"/>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В США государство сосредоточено на финансировании НИР в достаточно узком спектре частных компаний — всего 0,5 % американских компаний получают 84 % государственных ас</w:t>
      </w:r>
      <w:r w:rsidRPr="004E0FC4">
        <w:rPr>
          <w:rFonts w:ascii="Bookman Old Style" w:eastAsia="Bookman Old Style" w:hAnsi="Bookman Old Style" w:cs="Bookman Old Style"/>
          <w:color w:val="231F20"/>
          <w:sz w:val="18"/>
          <w:szCs w:val="18"/>
        </w:rPr>
        <w:softHyphen/>
        <w:t>сигнований на НИР, в то время как в Европе и России данное финансирование в большей степени диверсифицировано между компаниями3. Большая степень концентрации на определенных компаниях позволяет, в частности, формировать с ними долго</w:t>
      </w:r>
      <w:r w:rsidRPr="004E0FC4">
        <w:rPr>
          <w:rFonts w:ascii="Bookman Old Style" w:eastAsia="Bookman Old Style" w:hAnsi="Bookman Old Style" w:cs="Bookman Old Style"/>
          <w:color w:val="231F20"/>
          <w:sz w:val="18"/>
          <w:szCs w:val="18"/>
        </w:rPr>
        <w:softHyphen/>
        <w:t>срочные отношения, которые являются одним из базовых при</w:t>
      </w:r>
      <w:r w:rsidRPr="004E0FC4">
        <w:rPr>
          <w:rFonts w:ascii="Bookman Old Style" w:eastAsia="Bookman Old Style" w:hAnsi="Bookman Old Style" w:cs="Bookman Old Style"/>
          <w:color w:val="231F20"/>
          <w:sz w:val="18"/>
          <w:szCs w:val="18"/>
        </w:rPr>
        <w:softHyphen/>
        <w:t>знаков ГЧП.</w:t>
      </w:r>
    </w:p>
    <w:p w14:paraId="62C2598A" w14:textId="77777777" w:rsidR="00350396" w:rsidRPr="004E0FC4" w:rsidRDefault="00350396" w:rsidP="004E0FC4">
      <w:pPr>
        <w:widowControl w:val="0"/>
        <w:spacing w:line="254" w:lineRule="exact"/>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В США, Японии, странах </w:t>
      </w:r>
      <w:r w:rsidRPr="004E0FC4">
        <w:rPr>
          <w:rFonts w:ascii="Bookman Old Style" w:eastAsia="Bookman Old Style" w:hAnsi="Bookman Old Style" w:cs="Bookman Old Style"/>
          <w:color w:val="231F20"/>
          <w:sz w:val="18"/>
          <w:szCs w:val="18"/>
          <w:highlight w:val="green"/>
        </w:rPr>
        <w:t>ЕС</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ОЭСР</w:t>
      </w:r>
      <w:r w:rsidRPr="004E0FC4">
        <w:rPr>
          <w:rFonts w:ascii="Bookman Old Style" w:eastAsia="Bookman Old Style" w:hAnsi="Bookman Old Style" w:cs="Bookman Old Style"/>
          <w:color w:val="231F20"/>
          <w:sz w:val="18"/>
          <w:szCs w:val="18"/>
        </w:rPr>
        <w:t>, Китае соотношение расходов го</w:t>
      </w:r>
      <w:r w:rsidRPr="004E0FC4">
        <w:rPr>
          <w:rFonts w:ascii="Bookman Old Style" w:eastAsia="Bookman Old Style" w:hAnsi="Bookman Old Style" w:cs="Bookman Old Style"/>
          <w:color w:val="231F20"/>
          <w:sz w:val="18"/>
          <w:szCs w:val="18"/>
        </w:rPr>
        <w:softHyphen/>
        <w:t>сударственного и частного сектора на НИОКР составляет ориенти</w:t>
      </w:r>
      <w:r w:rsidRPr="004E0FC4">
        <w:rPr>
          <w:rFonts w:ascii="Bookman Old Style" w:eastAsia="Bookman Old Style" w:hAnsi="Bookman Old Style" w:cs="Bookman Old Style"/>
          <w:color w:val="231F20"/>
          <w:sz w:val="18"/>
          <w:szCs w:val="18"/>
        </w:rPr>
        <w:softHyphen/>
        <w:t xml:space="preserve">ровочную пропорцию 1 : 3 или 1 : 4. В России сложилось </w:t>
      </w:r>
      <w:r w:rsidRPr="004E0FC4">
        <w:rPr>
          <w:rFonts w:ascii="Bookman Old Style" w:eastAsia="Bookman Old Style" w:hAnsi="Bookman Old Style" w:cs="Bookman Old Style"/>
          <w:color w:val="231F20"/>
          <w:sz w:val="18"/>
          <w:szCs w:val="18"/>
          <w:highlight w:val="red"/>
        </w:rPr>
        <w:t>противопо</w:t>
      </w:r>
      <w:r w:rsidRPr="004E0FC4">
        <w:rPr>
          <w:rFonts w:ascii="Bookman Old Style" w:eastAsia="Bookman Old Style" w:hAnsi="Bookman Old Style" w:cs="Bookman Old Style"/>
          <w:color w:val="231F20"/>
          <w:sz w:val="18"/>
          <w:szCs w:val="18"/>
          <w:highlight w:val="red"/>
        </w:rPr>
        <w:softHyphen/>
        <w:t>ложное</w:t>
      </w:r>
      <w:r w:rsidRPr="004E0FC4">
        <w:rPr>
          <w:rFonts w:ascii="Bookman Old Style" w:eastAsia="Bookman Old Style" w:hAnsi="Bookman Old Style" w:cs="Bookman Old Style"/>
          <w:color w:val="231F20"/>
          <w:sz w:val="18"/>
          <w:szCs w:val="18"/>
        </w:rPr>
        <w:t xml:space="preserve"> соотношение — 2,5 : 1 (рис. 4.</w:t>
      </w:r>
      <w:r w:rsidRPr="004E0FC4">
        <w:rPr>
          <w:rFonts w:ascii="Bookman Old Style" w:eastAsia="Bookman Old Style" w:hAnsi="Bookman Old Style" w:cs="Bookman Old Style"/>
          <w:color w:val="231F20"/>
          <w:sz w:val="18"/>
          <w:szCs w:val="18"/>
          <w:highlight w:val="green"/>
        </w:rPr>
        <w:t>20</w:t>
      </w:r>
      <w:r w:rsidRPr="004E0FC4">
        <w:rPr>
          <w:rFonts w:ascii="Bookman Old Style" w:eastAsia="Bookman Old Style" w:hAnsi="Bookman Old Style" w:cs="Bookman Old Style"/>
          <w:color w:val="231F20"/>
          <w:sz w:val="18"/>
          <w:szCs w:val="18"/>
          <w:highlight w:val="red"/>
        </w:rPr>
        <w:t>14</w:t>
      </w:r>
      <w:r w:rsidRPr="004E0FC4">
        <w:rPr>
          <w:rFonts w:ascii="Bookman Old Style" w:eastAsia="Bookman Old Style" w:hAnsi="Bookman Old Style" w:cs="Bookman Old Style"/>
          <w:color w:val="231F20"/>
          <w:sz w:val="18"/>
          <w:szCs w:val="18"/>
        </w:rPr>
        <w:t xml:space="preserve">). Высокая доля государства (более 50 %) в расходах на НИОКР характерна также для Индии и Бразилии. </w:t>
      </w:r>
      <w:r w:rsidRPr="004E0FC4">
        <w:rPr>
          <w:rFonts w:ascii="Bookman Old Style" w:eastAsia="Bookman Old Style" w:hAnsi="Bookman Old Style" w:cs="Bookman Old Style"/>
          <w:color w:val="231F20"/>
          <w:sz w:val="18"/>
          <w:szCs w:val="18"/>
        </w:rPr>
        <w:footnoteReference w:id="141"/>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rPr>
        <w:footnoteReference w:id="142"/>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footnoteReference w:id="143"/>
      </w:r>
      <w:r w:rsidRPr="004E0FC4">
        <w:rPr>
          <w:rFonts w:ascii="Bookman Old Style" w:eastAsia="Bookman Old Style" w:hAnsi="Bookman Old Style" w:cs="Bookman Old Style"/>
          <w:color w:val="231F20"/>
          <w:sz w:val="18"/>
          <w:szCs w:val="18"/>
        </w:rPr>
        <w:t xml:space="preserve"> </w:t>
      </w:r>
    </w:p>
    <w:p w14:paraId="54F1FA58" w14:textId="7262D20A" w:rsidR="00350396" w:rsidRPr="004E0FC4" w:rsidRDefault="00350396" w:rsidP="004E0FC4">
      <w:pPr>
        <w:widowControl w:val="0"/>
        <w:spacing w:line="254" w:lineRule="exact"/>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noProof/>
          <w:color w:val="231F20"/>
          <w:sz w:val="18"/>
          <w:szCs w:val="18"/>
          <w:lang w:bidi="ar-SA"/>
        </w:rPr>
        <mc:AlternateContent>
          <mc:Choice Requires="wps">
            <w:drawing>
              <wp:anchor distT="0" distB="0" distL="63500" distR="63500" simplePos="0" relativeHeight="377544510" behindDoc="1" locked="0" layoutInCell="1" allowOverlap="1" wp14:anchorId="3FECBE1C" wp14:editId="53AB6C33">
                <wp:simplePos x="0" y="0"/>
                <wp:positionH relativeFrom="margin">
                  <wp:posOffset>1270</wp:posOffset>
                </wp:positionH>
                <wp:positionV relativeFrom="paragraph">
                  <wp:posOffset>-3191510</wp:posOffset>
                </wp:positionV>
                <wp:extent cx="3331210" cy="2913380"/>
                <wp:effectExtent l="0" t="0" r="0" b="1270"/>
                <wp:wrapTopAndBottom/>
                <wp:docPr id="265" name="Надпись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291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7593C" w14:textId="77777777" w:rsidR="00350396" w:rsidRDefault="00350396" w:rsidP="00350396">
                            <w:pPr>
                              <w:pStyle w:val="af0"/>
                              <w:shd w:val="clear" w:color="auto" w:fill="auto"/>
                              <w:spacing w:line="192" w:lineRule="exact"/>
                              <w:jc w:val="left"/>
                            </w:pPr>
                            <w:r>
                              <w:rPr>
                                <w:rStyle w:val="Exact1"/>
                              </w:rPr>
                              <w:t>%</w:t>
                            </w:r>
                          </w:p>
                          <w:p w14:paraId="42C72FC8" w14:textId="77777777" w:rsidR="00350396" w:rsidRDefault="00350396" w:rsidP="00350396">
                            <w:pPr>
                              <w:pStyle w:val="af0"/>
                              <w:shd w:val="clear" w:color="auto" w:fill="auto"/>
                              <w:spacing w:line="192" w:lineRule="exact"/>
                              <w:jc w:val="left"/>
                            </w:pPr>
                            <w:r>
                              <w:rPr>
                                <w:rStyle w:val="Exact1"/>
                              </w:rPr>
                              <w:t>100 г</w:t>
                            </w:r>
                          </w:p>
                          <w:p w14:paraId="6E80F574" w14:textId="77777777" w:rsidR="00350396" w:rsidRDefault="00350396" w:rsidP="00350396">
                            <w:pPr>
                              <w:jc w:val="center"/>
                              <w:rPr>
                                <w:sz w:val="2"/>
                                <w:szCs w:val="2"/>
                              </w:rPr>
                            </w:pPr>
                            <w:r>
                              <w:rPr>
                                <w:noProof/>
                                <w:lang w:bidi="ar-SA"/>
                              </w:rPr>
                              <w:drawing>
                                <wp:inline distT="0" distB="0" distL="0" distR="0" wp14:anchorId="4EEDAADA" wp14:editId="0EC059EB">
                                  <wp:extent cx="3331845" cy="2194560"/>
                                  <wp:effectExtent l="19050" t="0" r="1905" b="0"/>
                                  <wp:docPr id="264" name="Рисунок 264" descr="C:\Users\A2D98~1.SHI\AppData\Local\Temp\433\ABBYY\PDFTransform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2D98~1.SHI\AppData\Local\Temp\433\ABBYY\PDFTransformer\12.00\media\image23.jpeg"/>
                                          <pic:cNvPicPr>
                                            <a:picLocks noChangeAspect="1" noChangeArrowheads="1"/>
                                          </pic:cNvPicPr>
                                        </pic:nvPicPr>
                                        <pic:blipFill>
                                          <a:blip r:embed="rId72"/>
                                          <a:srcRect/>
                                          <a:stretch>
                                            <a:fillRect/>
                                          </a:stretch>
                                        </pic:blipFill>
                                        <pic:spPr bwMode="auto">
                                          <a:xfrm>
                                            <a:off x="0" y="0"/>
                                            <a:ext cx="3331845" cy="2194560"/>
                                          </a:xfrm>
                                          <a:prstGeom prst="rect">
                                            <a:avLst/>
                                          </a:prstGeom>
                                          <a:noFill/>
                                          <a:ln w="9525">
                                            <a:noFill/>
                                            <a:miter lim="800000"/>
                                            <a:headEnd/>
                                            <a:tailEnd/>
                                          </a:ln>
                                        </pic:spPr>
                                      </pic:pic>
                                    </a:graphicData>
                                  </a:graphic>
                                </wp:inline>
                              </w:drawing>
                            </w:r>
                          </w:p>
                          <w:p w14:paraId="64554F43" w14:textId="77777777" w:rsidR="00350396" w:rsidRDefault="00350396" w:rsidP="00350396">
                            <w:pPr>
                              <w:pStyle w:val="af0"/>
                              <w:shd w:val="clear" w:color="auto" w:fill="auto"/>
                              <w:spacing w:line="192" w:lineRule="exact"/>
                              <w:jc w:val="left"/>
                            </w:pPr>
                            <w:r>
                              <w:rPr>
                                <w:rStyle w:val="Exact1"/>
                              </w:rPr>
                              <w:t>ция</w:t>
                            </w:r>
                          </w:p>
                          <w:p w14:paraId="37CE9B60" w14:textId="77777777" w:rsidR="00350396" w:rsidRDefault="00350396" w:rsidP="00350396">
                            <w:pPr>
                              <w:spacing w:line="194" w:lineRule="exact"/>
                            </w:pPr>
                            <w:r>
                              <w:rPr>
                                <w:rStyle w:val="3Exact0"/>
                              </w:rPr>
                              <w:t>Рис. 4.</w:t>
                            </w:r>
                            <w:r w:rsidRPr="00115156">
                              <w:rPr>
                                <w:rStyle w:val="3Exact0"/>
                                <w:highlight w:val="green"/>
                              </w:rPr>
                              <w:t>20</w:t>
                            </w:r>
                            <w:r w:rsidRPr="00115156">
                              <w:rPr>
                                <w:rStyle w:val="3Exact0"/>
                                <w:highlight w:val="red"/>
                              </w:rPr>
                              <w:t>14</w:t>
                            </w:r>
                            <w:r>
                              <w:rPr>
                                <w:rStyle w:val="3Exact0"/>
                              </w:rPr>
                              <w:t>.</w:t>
                            </w:r>
                            <w:r>
                              <w:rPr>
                                <w:rStyle w:val="3Exact1"/>
                              </w:rPr>
                              <w:t xml:space="preserve"> Соотношение расходов государственного и частного сектора на НИОКР</w:t>
                            </w:r>
                            <w:r>
                              <w:rPr>
                                <w:rStyle w:val="3Exact1"/>
                                <w:vertAlign w:val="superscript"/>
                              </w:rPr>
                              <w:t>1</w:t>
                            </w:r>
                            <w:r>
                              <w:rPr>
                                <w:rStyle w:val="3Exact1"/>
                              </w:rPr>
                              <w:t>:</w:t>
                            </w:r>
                          </w:p>
                          <w:p w14:paraId="0C2B8A25" w14:textId="77777777" w:rsidR="00350396" w:rsidRDefault="00350396" w:rsidP="00350396">
                            <w:pPr>
                              <w:tabs>
                                <w:tab w:val="left" w:pos="221"/>
                              </w:tabs>
                              <w:spacing w:line="168" w:lineRule="exact"/>
                            </w:pPr>
                            <w:r>
                              <w:rPr>
                                <w:rStyle w:val="5Exact1"/>
                              </w:rPr>
                              <w:t>|</w:t>
                            </w:r>
                            <w:r>
                              <w:rPr>
                                <w:rStyle w:val="5Exact1"/>
                              </w:rPr>
                              <w:tab/>
                              <w:t>| — государство; |— бизнес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ECBE1C" id="Надпись 265" o:spid="_x0000_s1064" type="#_x0000_t202" style="position:absolute;left:0;text-align:left;margin-left:.1pt;margin-top:-251.3pt;width:262.3pt;height:229.4pt;z-index:-12577197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" filled="f" stroked="f">
                <v:textbox style="mso-fit-shape-to-text:t" inset="0,0,0,0">
                  <w:txbxContent>
                    <w:p w14:paraId="4817593C" w14:textId="77777777" w:rsidR="00350396" w:rsidRDefault="00350396" w:rsidP="00350396">
                      <w:pPr>
                        <w:pStyle w:val="af0"/>
                        <w:shd w:val="clear" w:color="auto" w:fill="auto"/>
                        <w:spacing w:line="192" w:lineRule="exact"/>
                        <w:jc w:val="left"/>
                      </w:pPr>
                      <w:r>
                        <w:rPr>
                          <w:rStyle w:val="Exact1"/>
                        </w:rPr>
                        <w:t>%</w:t>
                      </w:r>
                    </w:p>
                    <w:p w14:paraId="42C72FC8" w14:textId="77777777" w:rsidR="00350396" w:rsidRDefault="00350396" w:rsidP="00350396">
                      <w:pPr>
                        <w:pStyle w:val="af0"/>
                        <w:shd w:val="clear" w:color="auto" w:fill="auto"/>
                        <w:spacing w:line="192" w:lineRule="exact"/>
                        <w:jc w:val="left"/>
                      </w:pPr>
                      <w:r>
                        <w:rPr>
                          <w:rStyle w:val="Exact1"/>
                        </w:rPr>
                        <w:t>100 г</w:t>
                      </w:r>
                    </w:p>
                    <w:p w14:paraId="6E80F574" w14:textId="77777777" w:rsidR="00350396" w:rsidRDefault="00350396" w:rsidP="00350396">
                      <w:pPr>
                        <w:jc w:val="center"/>
                        <w:rPr>
                          <w:sz w:val="2"/>
                          <w:szCs w:val="2"/>
                        </w:rPr>
                      </w:pPr>
                      <w:r>
                        <w:rPr>
                          <w:noProof/>
                          <w:lang w:bidi="ar-SA"/>
                        </w:rPr>
                        <w:drawing>
                          <wp:inline distT="0" distB="0" distL="0" distR="0" wp14:anchorId="4EEDAADA" wp14:editId="0EC059EB">
                            <wp:extent cx="3331845" cy="2194560"/>
                            <wp:effectExtent l="19050" t="0" r="1905" b="0"/>
                            <wp:docPr id="264" name="Рисунок 264" descr="C:\Users\A2D98~1.SHI\AppData\Local\Temp\433\ABBYY\PDFTransform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2D98~1.SHI\AppData\Local\Temp\433\ABBYY\PDFTransformer\12.00\media\image23.jpeg"/>
                                    <pic:cNvPicPr>
                                      <a:picLocks noChangeAspect="1" noChangeArrowheads="1"/>
                                    </pic:cNvPicPr>
                                  </pic:nvPicPr>
                                  <pic:blipFill>
                                    <a:blip r:embed="rId72"/>
                                    <a:srcRect/>
                                    <a:stretch>
                                      <a:fillRect/>
                                    </a:stretch>
                                  </pic:blipFill>
                                  <pic:spPr bwMode="auto">
                                    <a:xfrm>
                                      <a:off x="0" y="0"/>
                                      <a:ext cx="3331845" cy="2194560"/>
                                    </a:xfrm>
                                    <a:prstGeom prst="rect">
                                      <a:avLst/>
                                    </a:prstGeom>
                                    <a:noFill/>
                                    <a:ln w="9525">
                                      <a:noFill/>
                                      <a:miter lim="800000"/>
                                      <a:headEnd/>
                                      <a:tailEnd/>
                                    </a:ln>
                                  </pic:spPr>
                                </pic:pic>
                              </a:graphicData>
                            </a:graphic>
                          </wp:inline>
                        </w:drawing>
                      </w:r>
                    </w:p>
                    <w:p w14:paraId="64554F43" w14:textId="77777777" w:rsidR="00350396" w:rsidRDefault="00350396" w:rsidP="00350396">
                      <w:pPr>
                        <w:pStyle w:val="af0"/>
                        <w:shd w:val="clear" w:color="auto" w:fill="auto"/>
                        <w:spacing w:line="192" w:lineRule="exact"/>
                        <w:jc w:val="left"/>
                      </w:pPr>
                      <w:r>
                        <w:rPr>
                          <w:rStyle w:val="Exact1"/>
                        </w:rPr>
                        <w:t>ция</w:t>
                      </w:r>
                    </w:p>
                    <w:p w14:paraId="37CE9B60" w14:textId="77777777" w:rsidR="00350396" w:rsidRDefault="00350396" w:rsidP="00350396">
                      <w:pPr>
                        <w:spacing w:line="194" w:lineRule="exact"/>
                      </w:pPr>
                      <w:r>
                        <w:rPr>
                          <w:rStyle w:val="3Exact0"/>
                        </w:rPr>
                        <w:t>Рис. 4.</w:t>
                      </w:r>
                      <w:r w:rsidRPr="00115156">
                        <w:rPr>
                          <w:rStyle w:val="3Exact0"/>
                          <w:highlight w:val="green"/>
                        </w:rPr>
                        <w:t>20</w:t>
                      </w:r>
                      <w:r w:rsidRPr="00115156">
                        <w:rPr>
                          <w:rStyle w:val="3Exact0"/>
                          <w:highlight w:val="red"/>
                        </w:rPr>
                        <w:t>14</w:t>
                      </w:r>
                      <w:r>
                        <w:rPr>
                          <w:rStyle w:val="3Exact0"/>
                        </w:rPr>
                        <w:t>.</w:t>
                      </w:r>
                      <w:r>
                        <w:rPr>
                          <w:rStyle w:val="3Exact1"/>
                        </w:rPr>
                        <w:t xml:space="preserve"> Соотношение расходов государственного и частного сектора на НИОКР</w:t>
                      </w:r>
                      <w:r>
                        <w:rPr>
                          <w:rStyle w:val="3Exact1"/>
                          <w:vertAlign w:val="superscript"/>
                        </w:rPr>
                        <w:t>1</w:t>
                      </w:r>
                      <w:r>
                        <w:rPr>
                          <w:rStyle w:val="3Exact1"/>
                        </w:rPr>
                        <w:t>:</w:t>
                      </w:r>
                    </w:p>
                    <w:p w14:paraId="0C2B8A25" w14:textId="77777777" w:rsidR="00350396" w:rsidRDefault="00350396" w:rsidP="00350396">
                      <w:pPr>
                        <w:tabs>
                          <w:tab w:val="left" w:pos="221"/>
                        </w:tabs>
                        <w:spacing w:line="168" w:lineRule="exact"/>
                      </w:pPr>
                      <w:r>
                        <w:rPr>
                          <w:rStyle w:val="5Exact1"/>
                        </w:rPr>
                        <w:t>|</w:t>
                      </w:r>
                      <w:r>
                        <w:rPr>
                          <w:rStyle w:val="5Exact1"/>
                        </w:rPr>
                        <w:tab/>
                        <w:t>| — государство; |— бизнес</w:t>
                      </w:r>
                    </w:p>
                  </w:txbxContent>
                </v:textbox>
                <w10:wrap type="topAndBottom" anchorx="margin"/>
              </v:shape>
            </w:pict>
          </mc:Fallback>
        </mc:AlternateContent>
      </w:r>
      <w:r w:rsidRPr="004E0FC4">
        <w:rPr>
          <w:rFonts w:ascii="Bookman Old Style" w:eastAsia="Bookman Old Style" w:hAnsi="Bookman Old Style" w:cs="Bookman Old Style"/>
          <w:color w:val="231F20"/>
          <w:sz w:val="18"/>
          <w:szCs w:val="18"/>
        </w:rPr>
        <w:t>Несмотря на то</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что более половины государственных расходов на НИОКР в России поступают в частный сектор, </w:t>
      </w:r>
      <w:r w:rsidRPr="004E0FC4">
        <w:rPr>
          <w:rFonts w:ascii="Bookman Old Style" w:eastAsia="Bookman Old Style" w:hAnsi="Bookman Old Style" w:cs="Bookman Old Style"/>
          <w:i/>
          <w:iCs/>
          <w:color w:val="231F20"/>
          <w:sz w:val="18"/>
          <w:szCs w:val="18"/>
        </w:rPr>
        <w:t>формирование отношений ГЧП в инновационной сфере находятся в процессе ста</w:t>
      </w:r>
      <w:r w:rsidRPr="004E0FC4">
        <w:rPr>
          <w:rFonts w:ascii="Bookman Old Style" w:eastAsia="Bookman Old Style" w:hAnsi="Bookman Old Style" w:cs="Bookman Old Style"/>
          <w:i/>
          <w:iCs/>
          <w:color w:val="231F20"/>
          <w:sz w:val="18"/>
          <w:szCs w:val="18"/>
        </w:rPr>
        <w:softHyphen/>
        <w:t>новления.</w:t>
      </w:r>
      <w:r w:rsidRPr="004E0FC4">
        <w:rPr>
          <w:rFonts w:ascii="Bookman Old Style" w:eastAsia="Bookman Old Style" w:hAnsi="Bookman Old Style" w:cs="Bookman Old Style"/>
          <w:color w:val="231F20"/>
          <w:sz w:val="18"/>
          <w:szCs w:val="18"/>
        </w:rPr>
        <w:t xml:space="preserve"> Некоторые авторы считают, что в России механизм ГЧП в инновационной сфере стал </w:t>
      </w:r>
      <w:r w:rsidRPr="004E0FC4">
        <w:rPr>
          <w:rFonts w:ascii="Bookman Old Style" w:eastAsia="Bookman Old Style" w:hAnsi="Bookman Old Style" w:cs="Bookman Old Style"/>
          <w:color w:val="231F20"/>
          <w:sz w:val="18"/>
          <w:szCs w:val="18"/>
          <w:highlight w:val="green"/>
        </w:rPr>
        <w:t>фактически</w:t>
      </w:r>
      <w:r w:rsidRPr="004E0FC4">
        <w:rPr>
          <w:rFonts w:ascii="Bookman Old Style" w:eastAsia="Bookman Old Style" w:hAnsi="Bookman Old Style" w:cs="Bookman Old Style"/>
          <w:color w:val="231F20"/>
          <w:sz w:val="18"/>
          <w:szCs w:val="18"/>
        </w:rPr>
        <w:t xml:space="preserve"> применяться с принятием федераль</w:t>
      </w:r>
      <w:r w:rsidRPr="004E0FC4">
        <w:rPr>
          <w:rFonts w:ascii="Bookman Old Style" w:eastAsia="Bookman Old Style" w:hAnsi="Bookman Old Style" w:cs="Bookman Old Style"/>
          <w:color w:val="231F20"/>
          <w:sz w:val="18"/>
          <w:szCs w:val="18"/>
        </w:rPr>
        <w:softHyphen/>
        <w:t>ных целевых программ (ФЦП) «Исследования и разработки по при</w:t>
      </w:r>
      <w:r w:rsidRPr="004E0FC4">
        <w:rPr>
          <w:rFonts w:ascii="Bookman Old Style" w:eastAsia="Bookman Old Style" w:hAnsi="Bookman Old Style" w:cs="Bookman Old Style"/>
          <w:color w:val="231F20"/>
          <w:sz w:val="18"/>
          <w:szCs w:val="18"/>
        </w:rPr>
        <w:softHyphen/>
        <w:t xml:space="preserve">оритетным направлениям развития науки и техники на 2002— 2006 годы» (постановление Правительства РФ от 21.08.2001 № 605), ФЦП </w:t>
      </w:r>
      <w:r w:rsidRPr="004E0FC4">
        <w:rPr>
          <w:rFonts w:ascii="Bookman Old Style" w:eastAsia="Bookman Old Style" w:hAnsi="Bookman Old Style" w:cs="Bookman Old Style"/>
          <w:color w:val="231F20"/>
          <w:sz w:val="18"/>
          <w:szCs w:val="18"/>
          <w:highlight w:val="red"/>
        </w:rPr>
        <w:t>следующей за ней Федеральной целевой программы</w:t>
      </w:r>
      <w:r w:rsidRPr="004E0FC4">
        <w:rPr>
          <w:rFonts w:ascii="Bookman Old Style" w:eastAsia="Bookman Old Style" w:hAnsi="Bookman Old Style" w:cs="Bookman Old Style"/>
          <w:color w:val="231F20"/>
          <w:sz w:val="18"/>
          <w:szCs w:val="18"/>
        </w:rPr>
        <w:t xml:space="preserve"> «Исследования и разработки по приоритетным направлениям развития научно</w:t>
      </w:r>
      <w:r w:rsidRPr="004E0FC4">
        <w:rPr>
          <w:rFonts w:ascii="Bookman Old Style" w:eastAsia="Bookman Old Style" w:hAnsi="Bookman Old Style" w:cs="Bookman Old Style"/>
          <w:color w:val="231F20"/>
          <w:sz w:val="18"/>
          <w:szCs w:val="18"/>
        </w:rPr>
        <w:softHyphen/>
        <w:t>технического комплекса России» на 2007—2013 гг. и на 2014— 202</w:t>
      </w:r>
      <w:r w:rsidRPr="004E0FC4">
        <w:rPr>
          <w:rFonts w:ascii="Bookman Old Style" w:eastAsia="Bookman Old Style" w:hAnsi="Bookman Old Style" w:cs="Bookman Old Style"/>
          <w:color w:val="231F20"/>
          <w:sz w:val="18"/>
          <w:szCs w:val="18"/>
          <w:highlight w:val="green"/>
        </w:rPr>
        <w:t>1</w:t>
      </w:r>
      <w:r w:rsidRPr="004E0FC4">
        <w:rPr>
          <w:rFonts w:ascii="Bookman Old Style" w:eastAsia="Bookman Old Style" w:hAnsi="Bookman Old Style" w:cs="Bookman Old Style"/>
          <w:color w:val="231F20"/>
          <w:sz w:val="18"/>
          <w:szCs w:val="18"/>
        </w:rPr>
        <w:t xml:space="preserve"> гг. </w:t>
      </w:r>
      <w:r w:rsidRPr="004E0FC4">
        <w:rPr>
          <w:rFonts w:ascii="Bookman Old Style" w:eastAsia="Bookman Old Style" w:hAnsi="Bookman Old Style" w:cs="Bookman Old Style"/>
          <w:color w:val="231F20"/>
          <w:sz w:val="18"/>
          <w:szCs w:val="18"/>
        </w:rPr>
        <w:lastRenderedPageBreak/>
        <w:t>(постановления Правительства РФ от 17.10.2006 № 613 и от 21.05.2013 № 426 соответственно)</w:t>
      </w:r>
      <w:r w:rsidRPr="004E0FC4">
        <w:rPr>
          <w:rFonts w:ascii="Bookman Old Style" w:eastAsia="Bookman Old Style" w:hAnsi="Bookman Old Style" w:cs="Bookman Old Style"/>
          <w:bCs/>
          <w:color w:val="231F20"/>
          <w:sz w:val="18"/>
          <w:szCs w:val="18"/>
        </w:rPr>
        <w:t>2</w:t>
      </w:r>
      <w:r w:rsidRPr="004E0FC4">
        <w:rPr>
          <w:rFonts w:ascii="Bookman Old Style" w:hAnsi="Bookman Old Style"/>
          <w:sz w:val="18"/>
          <w:szCs w:val="18"/>
        </w:rPr>
        <w:t xml:space="preserve"> </w:t>
      </w:r>
      <w:r w:rsidRPr="004E0FC4">
        <w:rPr>
          <w:rFonts w:ascii="Bookman Old Style" w:hAnsi="Bookman Old Style"/>
          <w:sz w:val="18"/>
          <w:szCs w:val="18"/>
          <w:highlight w:val="green"/>
        </w:rPr>
        <w:t>, г</w:t>
      </w:r>
      <w:r w:rsidRPr="004E0FC4">
        <w:rPr>
          <w:rFonts w:ascii="Bookman Old Style" w:eastAsia="Bookman Old Style" w:hAnsi="Bookman Old Style" w:cs="Bookman Old Style"/>
          <w:bCs/>
          <w:color w:val="231F20"/>
          <w:sz w:val="18"/>
          <w:szCs w:val="18"/>
          <w:highlight w:val="green"/>
        </w:rPr>
        <w:t>осударственной программы «Научно-технологическое развитие Российской Федерации</w:t>
      </w:r>
      <w:r w:rsidRPr="004E0FC4">
        <w:rPr>
          <w:rFonts w:ascii="Bookman Old Style" w:eastAsia="Bookman Old Style" w:hAnsi="Bookman Old Style" w:cs="Bookman Old Style"/>
          <w:bCs/>
          <w:color w:val="231F20"/>
          <w:sz w:val="18"/>
          <w:szCs w:val="18"/>
        </w:rPr>
        <w:t xml:space="preserve">» </w:t>
      </w:r>
      <w:r w:rsidRPr="004E0FC4">
        <w:rPr>
          <w:rFonts w:ascii="Bookman Old Style" w:eastAsia="Bookman Old Style" w:hAnsi="Bookman Old Style" w:cs="Bookman Old Style"/>
          <w:bCs/>
          <w:color w:val="231F20"/>
          <w:sz w:val="18"/>
          <w:szCs w:val="18"/>
          <w:highlight w:val="green"/>
        </w:rPr>
        <w:t>(постановление Правительства от 29.03.2019 №377)</w:t>
      </w:r>
      <w:r w:rsidRPr="004E0FC4">
        <w:rPr>
          <w:rFonts w:ascii="Bookman Old Style" w:eastAsia="Bookman Old Style" w:hAnsi="Bookman Old Style" w:cs="Bookman Old Style"/>
          <w:color w:val="231F20"/>
          <w:sz w:val="18"/>
          <w:szCs w:val="18"/>
          <w:highlight w:val="green"/>
        </w:rPr>
        <w:t>.</w:t>
      </w:r>
    </w:p>
    <w:p w14:paraId="621DDB6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Отметим, что данные документы предполагают софинансирова- ние определенных мероприятий программ из внебюджетных источ</w:t>
      </w:r>
      <w:r w:rsidRPr="004E0FC4">
        <w:rPr>
          <w:rFonts w:ascii="Bookman Old Style" w:eastAsia="Bookman Old Style" w:hAnsi="Bookman Old Style" w:cs="Bookman Old Style"/>
          <w:color w:val="231F20"/>
          <w:sz w:val="18"/>
          <w:szCs w:val="18"/>
        </w:rPr>
        <w:softHyphen/>
        <w:t>ников (в пропорции 2 : 1 в пользу бюджетных источников в Програм</w:t>
      </w:r>
      <w:r w:rsidRPr="004E0FC4">
        <w:rPr>
          <w:rFonts w:ascii="Bookman Old Style" w:eastAsia="Bookman Old Style" w:hAnsi="Bookman Old Style" w:cs="Bookman Old Style"/>
          <w:color w:val="231F20"/>
          <w:sz w:val="18"/>
          <w:szCs w:val="18"/>
        </w:rPr>
        <w:softHyphen/>
        <w:t xml:space="preserve">ме на 2002—2006 гг. и в Программе на 2007—2013 гг. и в </w:t>
      </w:r>
      <w:r w:rsidRPr="004E0FC4">
        <w:rPr>
          <w:rFonts w:ascii="Bookman Old Style" w:eastAsia="Bookman Old Style" w:hAnsi="Bookman Old Style" w:cs="Bookman Old Style"/>
          <w:color w:val="231F20"/>
          <w:sz w:val="18"/>
          <w:szCs w:val="18"/>
          <w:highlight w:val="red"/>
        </w:rPr>
        <w:t>измененной</w:t>
      </w:r>
      <w:r w:rsidRPr="004E0FC4">
        <w:rPr>
          <w:rFonts w:ascii="Bookman Old Style" w:eastAsia="Bookman Old Style" w:hAnsi="Bookman Old Style" w:cs="Bookman Old Style"/>
          <w:color w:val="231F20"/>
          <w:sz w:val="18"/>
          <w:szCs w:val="18"/>
        </w:rPr>
        <w:t xml:space="preserve"> пропорции 5 : 1 в Программе на 2014—2020 гг.), но прямо не пред</w:t>
      </w:r>
      <w:r w:rsidRPr="004E0FC4">
        <w:rPr>
          <w:rFonts w:ascii="Bookman Old Style" w:eastAsia="Bookman Old Style" w:hAnsi="Bookman Old Style" w:cs="Bookman Old Style"/>
          <w:color w:val="231F20"/>
          <w:sz w:val="18"/>
          <w:szCs w:val="18"/>
        </w:rPr>
        <w:softHyphen/>
        <w:t xml:space="preserve">усматривают конкретных механизмов реализации ГЧП при финан- </w:t>
      </w:r>
      <w:r w:rsidRPr="004E0FC4">
        <w:rPr>
          <w:rFonts w:ascii="Bookman Old Style" w:eastAsia="Bookman Old Style" w:hAnsi="Bookman Old Style" w:cs="Bookman Old Style"/>
          <w:color w:val="231F20"/>
          <w:sz w:val="18"/>
          <w:szCs w:val="18"/>
          <w:vertAlign w:val="superscript"/>
        </w:rPr>
        <w:footnoteReference w:id="144"/>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45"/>
      </w:r>
      <w:r w:rsidRPr="004E0FC4">
        <w:rPr>
          <w:rFonts w:ascii="Bookman Old Style" w:eastAsia="Bookman Old Style" w:hAnsi="Bookman Old Style" w:cs="Bookman Old Style"/>
          <w:color w:val="231F20"/>
          <w:sz w:val="18"/>
          <w:szCs w:val="18"/>
        </w:rPr>
        <w:br w:type="page"/>
      </w:r>
      <w:r w:rsidRPr="004E0FC4">
        <w:rPr>
          <w:rFonts w:ascii="Bookman Old Style" w:eastAsia="Bookman Old Style" w:hAnsi="Bookman Old Style" w:cs="Bookman Old Style"/>
          <w:color w:val="231F20"/>
          <w:sz w:val="18"/>
          <w:szCs w:val="18"/>
        </w:rPr>
        <w:lastRenderedPageBreak/>
        <w:t>сировании данных мероприятий. Кроме того, резкое изменение про</w:t>
      </w:r>
      <w:r w:rsidRPr="004E0FC4">
        <w:rPr>
          <w:rFonts w:ascii="Bookman Old Style" w:eastAsia="Bookman Old Style" w:hAnsi="Bookman Old Style" w:cs="Bookman Old Style"/>
          <w:color w:val="231F20"/>
          <w:sz w:val="18"/>
          <w:szCs w:val="18"/>
        </w:rPr>
        <w:softHyphen/>
        <w:t>порции финансирования в пользу государства в последней принятой программе говорит о сложностях с привлечением внебюджетных ис</w:t>
      </w:r>
      <w:r w:rsidRPr="004E0FC4">
        <w:rPr>
          <w:rFonts w:ascii="Bookman Old Style" w:eastAsia="Bookman Old Style" w:hAnsi="Bookman Old Style" w:cs="Bookman Old Style"/>
          <w:color w:val="231F20"/>
          <w:sz w:val="18"/>
          <w:szCs w:val="18"/>
        </w:rPr>
        <w:softHyphen/>
        <w:t>точников для реализации целей и мероприятий программ.</w:t>
      </w:r>
    </w:p>
    <w:p w14:paraId="2E780685" w14:textId="77777777" w:rsidR="00350396" w:rsidRPr="004E0FC4" w:rsidRDefault="00350396" w:rsidP="004E0FC4">
      <w:pPr>
        <w:widowControl w:val="0"/>
        <w:spacing w:line="245"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Таким образом, </w:t>
      </w:r>
      <w:r w:rsidRPr="004E0FC4">
        <w:rPr>
          <w:rFonts w:ascii="Bookman Old Style" w:eastAsia="Bookman Old Style" w:hAnsi="Bookman Old Style" w:cs="Bookman Old Style"/>
          <w:color w:val="231F20"/>
          <w:sz w:val="18"/>
          <w:szCs w:val="18"/>
          <w:highlight w:val="red"/>
        </w:rPr>
        <w:t>по состоянию на начало 2016 г.</w:t>
      </w:r>
      <w:r w:rsidRPr="004E0FC4">
        <w:rPr>
          <w:rFonts w:ascii="Bookman Old Style" w:eastAsia="Bookman Old Style" w:hAnsi="Bookman Old Style" w:cs="Bookman Old Style"/>
          <w:color w:val="231F20"/>
          <w:sz w:val="18"/>
          <w:szCs w:val="18"/>
        </w:rPr>
        <w:t xml:space="preserve"> можно говорить о сложившихся механизмах взаимодействия и партнерства государ</w:t>
      </w:r>
      <w:r w:rsidRPr="004E0FC4">
        <w:rPr>
          <w:rFonts w:ascii="Bookman Old Style" w:eastAsia="Bookman Old Style" w:hAnsi="Bookman Old Style" w:cs="Bookman Old Style"/>
          <w:color w:val="231F20"/>
          <w:sz w:val="18"/>
          <w:szCs w:val="18"/>
        </w:rPr>
        <w:softHyphen/>
        <w:t>ства и частного бизнеса в инновационной сфере в России (в основ</w:t>
      </w:r>
      <w:r w:rsidRPr="004E0FC4">
        <w:rPr>
          <w:rFonts w:ascii="Bookman Old Style" w:eastAsia="Bookman Old Style" w:hAnsi="Bookman Old Style" w:cs="Bookman Old Style"/>
          <w:color w:val="231F20"/>
          <w:sz w:val="18"/>
          <w:szCs w:val="18"/>
        </w:rPr>
        <w:softHyphen/>
        <w:t>ном через государственный и оборонный заказ), но нельзя сослаться на соглашения в формате ГЧП, заключенные на производство науч</w:t>
      </w:r>
      <w:r w:rsidRPr="004E0FC4">
        <w:rPr>
          <w:rFonts w:ascii="Bookman Old Style" w:eastAsia="Bookman Old Style" w:hAnsi="Bookman Old Style" w:cs="Bookman Old Style"/>
          <w:color w:val="231F20"/>
          <w:sz w:val="18"/>
          <w:szCs w:val="18"/>
        </w:rPr>
        <w:softHyphen/>
        <w:t>но-технической продукции. В связи с этим многие авторы ставят во</w:t>
      </w:r>
      <w:r w:rsidRPr="004E0FC4">
        <w:rPr>
          <w:rFonts w:ascii="Bookman Old Style" w:eastAsia="Bookman Old Style" w:hAnsi="Bookman Old Style" w:cs="Bookman Old Style"/>
          <w:color w:val="231F20"/>
          <w:sz w:val="18"/>
          <w:szCs w:val="18"/>
        </w:rPr>
        <w:softHyphen/>
        <w:t>прос: сможет ли привнести распространение ГЧП в инновационной сфере России существенные изменения, связанные с активизацией частных вложений в инновационную деятельность, или это станет лишь новой формой, оболочкой сложившейся системы отношений в распределении государственного финансирования и управления государственной собственностью?</w:t>
      </w:r>
    </w:p>
    <w:p w14:paraId="4D9EE3F3" w14:textId="77777777" w:rsidR="00350396" w:rsidRPr="004E0FC4" w:rsidRDefault="00350396" w:rsidP="004E0FC4">
      <w:pPr>
        <w:widowControl w:val="0"/>
        <w:spacing w:line="254" w:lineRule="exact"/>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С 2022 года произошло существенное изменение подхода к финансированию науки и исследований и в России: в новой редакции госпрограммы «Научно-технологическое развитие РФ» на 2019 - 2030 годы с подачи Минобрнауки и вслед за указанием Президента РФ объектами финансирования становятся не научные и образовательные институты, а разработки конечных продуктов и технологий.</w:t>
      </w:r>
      <w:r w:rsidRPr="004E0FC4">
        <w:rPr>
          <w:rFonts w:ascii="Bookman Old Style" w:eastAsia="Bookman Old Style" w:hAnsi="Bookman Old Style" w:cs="Bookman Old Style"/>
          <w:color w:val="231F20"/>
          <w:sz w:val="18"/>
          <w:szCs w:val="18"/>
        </w:rPr>
        <w:t> </w:t>
      </w:r>
    </w:p>
    <w:p w14:paraId="639BADA1" w14:textId="77777777" w:rsidR="00350396" w:rsidRPr="004E0FC4" w:rsidRDefault="00350396" w:rsidP="004E0FC4">
      <w:pPr>
        <w:widowControl w:val="0"/>
        <w:spacing w:line="245" w:lineRule="exact"/>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Большинство экспертов сходятся во мнении, что основным пре</w:t>
      </w:r>
      <w:r w:rsidRPr="004E0FC4">
        <w:rPr>
          <w:rFonts w:ascii="Bookman Old Style" w:eastAsia="Bookman Old Style" w:hAnsi="Bookman Old Style" w:cs="Bookman Old Style"/>
          <w:color w:val="231F20"/>
          <w:sz w:val="18"/>
          <w:szCs w:val="18"/>
        </w:rPr>
        <w:softHyphen/>
        <w:t xml:space="preserve">пятствием для эффективной работы ГЧП </w:t>
      </w:r>
      <w:r w:rsidRPr="004E0FC4">
        <w:rPr>
          <w:rFonts w:ascii="Bookman Old Style" w:eastAsia="Bookman Old Style" w:hAnsi="Bookman Old Style" w:cs="Bookman Old Style"/>
          <w:color w:val="231F20"/>
          <w:sz w:val="18"/>
          <w:szCs w:val="18"/>
          <w:highlight w:val="green"/>
        </w:rPr>
        <w:t>в научно-инновационной сфере</w:t>
      </w:r>
      <w:r w:rsidRPr="004E0FC4">
        <w:rPr>
          <w:rFonts w:ascii="Bookman Old Style" w:eastAsia="Bookman Old Style" w:hAnsi="Bookman Old Style" w:cs="Bookman Old Style"/>
          <w:color w:val="231F20"/>
          <w:sz w:val="18"/>
          <w:szCs w:val="18"/>
        </w:rPr>
        <w:t xml:space="preserve"> является схема, при кото</w:t>
      </w:r>
      <w:r w:rsidRPr="004E0FC4">
        <w:rPr>
          <w:rFonts w:ascii="Bookman Old Style" w:eastAsia="Bookman Old Style" w:hAnsi="Bookman Old Style" w:cs="Bookman Old Style"/>
          <w:color w:val="231F20"/>
          <w:sz w:val="18"/>
          <w:szCs w:val="18"/>
        </w:rPr>
        <w:softHyphen/>
        <w:t>рой бюджетное финансирование выделяется научной организации или вузу — партнерам промышленного предприятия, в задачи ко</w:t>
      </w:r>
      <w:r w:rsidRPr="004E0FC4">
        <w:rPr>
          <w:rFonts w:ascii="Bookman Old Style" w:eastAsia="Bookman Old Style" w:hAnsi="Bookman Old Style" w:cs="Bookman Old Style"/>
          <w:color w:val="231F20"/>
          <w:sz w:val="18"/>
          <w:szCs w:val="18"/>
        </w:rPr>
        <w:softHyphen/>
        <w:t>торого входит коммерциализация результатов НИОКР. Получение средств из разных источников на исследования и на коммерциали</w:t>
      </w:r>
      <w:r w:rsidRPr="004E0FC4">
        <w:rPr>
          <w:rFonts w:ascii="Bookman Old Style" w:eastAsia="Bookman Old Style" w:hAnsi="Bookman Old Style" w:cs="Bookman Old Style"/>
          <w:color w:val="231F20"/>
          <w:sz w:val="18"/>
          <w:szCs w:val="18"/>
        </w:rPr>
        <w:softHyphen/>
        <w:t>зацию делает достаточно сложным согласование интересов бизнеса и представителей науки, отсутствуют эффективные механизмы пе</w:t>
      </w:r>
      <w:r w:rsidRPr="004E0FC4">
        <w:rPr>
          <w:rFonts w:ascii="Bookman Old Style" w:eastAsia="Bookman Old Style" w:hAnsi="Bookman Old Style" w:cs="Bookman Old Style"/>
          <w:color w:val="231F20"/>
          <w:sz w:val="18"/>
          <w:szCs w:val="18"/>
        </w:rPr>
        <w:softHyphen/>
        <w:t xml:space="preserve">редачи разработок в производство. </w:t>
      </w:r>
    </w:p>
    <w:p w14:paraId="6660D6D9" w14:textId="77777777" w:rsidR="00350396" w:rsidRPr="004E0FC4" w:rsidRDefault="00350396" w:rsidP="004E0FC4">
      <w:pPr>
        <w:widowControl w:val="0"/>
        <w:spacing w:line="245"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Не в последнюю очередь данное обстоятельство объясняется тем, что недостаточное число предпри</w:t>
      </w:r>
      <w:r w:rsidRPr="004E0FC4">
        <w:rPr>
          <w:rFonts w:ascii="Bookman Old Style" w:eastAsia="Bookman Old Style" w:hAnsi="Bookman Old Style" w:cs="Bookman Old Style"/>
          <w:color w:val="231F20"/>
          <w:sz w:val="18"/>
          <w:szCs w:val="18"/>
        </w:rPr>
        <w:softHyphen/>
        <w:t>ятий предъявляют спрос на инновации. Инновационно-ориентиро</w:t>
      </w:r>
      <w:r w:rsidRPr="004E0FC4">
        <w:rPr>
          <w:rFonts w:ascii="Bookman Old Style" w:eastAsia="Bookman Old Style" w:hAnsi="Bookman Old Style" w:cs="Bookman Old Style"/>
          <w:color w:val="231F20"/>
          <w:sz w:val="18"/>
          <w:szCs w:val="18"/>
        </w:rPr>
        <w:softHyphen/>
        <w:t xml:space="preserve">ванными согласно </w:t>
      </w:r>
      <w:r w:rsidRPr="004E0FC4">
        <w:rPr>
          <w:rFonts w:ascii="Bookman Old Style" w:eastAsia="Bookman Old Style" w:hAnsi="Bookman Old Style" w:cs="Bookman Old Style"/>
          <w:color w:val="231F20"/>
          <w:sz w:val="18"/>
          <w:szCs w:val="18"/>
          <w:highlight w:val="green"/>
        </w:rPr>
        <w:t>данным Росстата, учтённым по критериям 3-й редакции Руководства Осло,</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имеющейся статистике по</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в 2000-2017 годах</w:t>
      </w:r>
      <w:r w:rsidRPr="004E0FC4">
        <w:rPr>
          <w:rFonts w:ascii="Bookman Old Style" w:eastAsia="Bookman Old Style" w:hAnsi="Bookman Old Style" w:cs="Bookman Old Style"/>
          <w:color w:val="231F20"/>
          <w:sz w:val="18"/>
          <w:szCs w:val="18"/>
        </w:rPr>
        <w:t xml:space="preserve"> явля</w:t>
      </w:r>
      <w:r w:rsidRPr="004E0FC4">
        <w:rPr>
          <w:rFonts w:ascii="Bookman Old Style" w:eastAsia="Bookman Old Style" w:hAnsi="Bookman Old Style" w:cs="Bookman Old Style"/>
          <w:color w:val="231F20"/>
          <w:sz w:val="18"/>
          <w:szCs w:val="18"/>
          <w:highlight w:val="green"/>
        </w:rPr>
        <w:t>лось</w:t>
      </w:r>
      <w:r w:rsidRPr="004E0FC4">
        <w:rPr>
          <w:rFonts w:ascii="Bookman Old Style" w:eastAsia="Bookman Old Style" w:hAnsi="Bookman Old Style" w:cs="Bookman Old Style"/>
          <w:color w:val="231F20"/>
          <w:sz w:val="18"/>
          <w:szCs w:val="18"/>
          <w:highlight w:val="red"/>
        </w:rPr>
        <w:t>ются</w:t>
      </w:r>
      <w:r w:rsidRPr="004E0FC4">
        <w:rPr>
          <w:rFonts w:ascii="Bookman Old Style" w:eastAsia="Bookman Old Style" w:hAnsi="Bookman Old Style" w:cs="Bookman Old Style"/>
          <w:color w:val="231F20"/>
          <w:sz w:val="18"/>
          <w:szCs w:val="18"/>
        </w:rPr>
        <w:t xml:space="preserve"> не более 10 % предприятий в России </w:t>
      </w:r>
      <w:r w:rsidRPr="004E0FC4">
        <w:rPr>
          <w:rFonts w:ascii="Bookman Old Style" w:eastAsia="Bookman Old Style" w:hAnsi="Bookman Old Style" w:cs="Bookman Old Style"/>
          <w:color w:val="231F20"/>
          <w:sz w:val="18"/>
          <w:szCs w:val="18"/>
          <w:highlight w:val="red"/>
        </w:rPr>
        <w:t>в последние годы</w:t>
      </w:r>
      <w:r w:rsidRPr="004E0FC4">
        <w:rPr>
          <w:rFonts w:ascii="Bookman Old Style" w:eastAsia="Bookman Old Style" w:hAnsi="Bookman Old Style" w:cs="Bookman Old Style"/>
          <w:color w:val="231F20"/>
          <w:sz w:val="18"/>
          <w:szCs w:val="18"/>
        </w:rPr>
        <w:t xml:space="preserve"> (рис. 4.</w:t>
      </w:r>
      <w:r w:rsidRPr="004E0FC4">
        <w:rPr>
          <w:rFonts w:ascii="Bookman Old Style" w:eastAsia="Bookman Old Style" w:hAnsi="Bookman Old Style" w:cs="Bookman Old Style"/>
          <w:color w:val="231F20"/>
          <w:sz w:val="18"/>
          <w:szCs w:val="18"/>
          <w:highlight w:val="green"/>
        </w:rPr>
        <w:t>21</w:t>
      </w:r>
      <w:r w:rsidRPr="004E0FC4">
        <w:rPr>
          <w:rFonts w:ascii="Bookman Old Style" w:eastAsia="Bookman Old Style" w:hAnsi="Bookman Old Style" w:cs="Bookman Old Style"/>
          <w:color w:val="231F20"/>
          <w:sz w:val="18"/>
          <w:szCs w:val="18"/>
          <w:highlight w:val="red"/>
        </w:rPr>
        <w:t>15</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 xml:space="preserve">Однако, пересчёт этих данных по критериям 4-й редакции Руководства Осло, начиная с 2017 года, стал давать результат более 20-23% в 2017-2021 годах (данные </w:t>
      </w:r>
      <w:r w:rsidRPr="004E0FC4">
        <w:rPr>
          <w:rFonts w:ascii="Bookman Old Style" w:eastAsia="Bookman Old Style" w:hAnsi="Bookman Old Style" w:cs="Bookman Old Style"/>
          <w:color w:val="231F20"/>
          <w:sz w:val="18"/>
          <w:szCs w:val="18"/>
          <w:highlight w:val="green"/>
          <w:lang w:val="en-US"/>
        </w:rPr>
        <w:t>rosstat</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highlight w:val="green"/>
          <w:lang w:val="en-US"/>
        </w:rPr>
        <w:t>gov</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highlight w:val="green"/>
          <w:lang w:val="en-US"/>
        </w:rPr>
        <w:t>ru</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Подобные крупные статистические «пересчёты» могут свидетельствовать не только о методических неувязках, но и о положительных изменениях в спросе на инновации отечественных организаций.</w:t>
      </w:r>
      <w:r w:rsidRPr="004E0FC4">
        <w:rPr>
          <w:rFonts w:ascii="Bookman Old Style" w:eastAsia="Bookman Old Style" w:hAnsi="Bookman Old Style" w:cs="Bookman Old Style"/>
          <w:color w:val="231F20"/>
          <w:sz w:val="18"/>
          <w:szCs w:val="18"/>
        </w:rPr>
        <w:t xml:space="preserve">   </w:t>
      </w:r>
    </w:p>
    <w:p w14:paraId="2C1F291C" w14:textId="77777777" w:rsidR="00350396" w:rsidRPr="004E0FC4" w:rsidRDefault="00350396" w:rsidP="004E0FC4">
      <w:pPr>
        <w:widowControl w:val="0"/>
        <w:spacing w:line="245"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highlight w:val="red"/>
        </w:rPr>
        <w:t>Кроме того, по имеющимся данным даже инновационно-ориен</w:t>
      </w:r>
      <w:r w:rsidRPr="004E0FC4">
        <w:rPr>
          <w:rFonts w:ascii="Bookman Old Style" w:eastAsia="Bookman Old Style" w:hAnsi="Bookman Old Style" w:cs="Bookman Old Style"/>
          <w:color w:val="231F20"/>
          <w:sz w:val="18"/>
          <w:szCs w:val="18"/>
          <w:highlight w:val="red"/>
        </w:rPr>
        <w:softHyphen/>
      </w:r>
      <w:r w:rsidRPr="004E0FC4">
        <w:rPr>
          <w:rFonts w:ascii="Bookman Old Style" w:eastAsia="Bookman Old Style" w:hAnsi="Bookman Old Style" w:cs="Bookman Old Style"/>
          <w:color w:val="231F20"/>
          <w:sz w:val="18"/>
          <w:szCs w:val="18"/>
          <w:highlight w:val="red"/>
        </w:rPr>
        <w:lastRenderedPageBreak/>
        <w:t>тированные предприятия воспринимают сотрудничество с государ</w:t>
      </w:r>
      <w:r w:rsidRPr="004E0FC4">
        <w:rPr>
          <w:rFonts w:ascii="Bookman Old Style" w:eastAsia="Bookman Old Style" w:hAnsi="Bookman Old Style" w:cs="Bookman Old Style"/>
          <w:color w:val="231F20"/>
          <w:sz w:val="18"/>
          <w:szCs w:val="18"/>
          <w:highlight w:val="red"/>
        </w:rPr>
        <w:softHyphen/>
        <w:t>ственными научными организациями как фактор дополнительного риска</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highlight w:val="red"/>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Отметим, что о</w:t>
      </w:r>
      <w:r w:rsidRPr="004E0FC4">
        <w:rPr>
          <w:rFonts w:ascii="Bookman Old Style" w:eastAsia="Bookman Old Style" w:hAnsi="Bookman Old Style" w:cs="Bookman Old Style"/>
          <w:color w:val="231F20"/>
          <w:sz w:val="18"/>
          <w:szCs w:val="18"/>
        </w:rPr>
        <w:t>граничениями эффективности ФЦП как основного на се</w:t>
      </w:r>
      <w:r w:rsidRPr="004E0FC4">
        <w:rPr>
          <w:rFonts w:ascii="Bookman Old Style" w:eastAsia="Bookman Old Style" w:hAnsi="Bookman Old Style" w:cs="Bookman Old Style"/>
          <w:color w:val="231F20"/>
          <w:sz w:val="18"/>
          <w:szCs w:val="18"/>
        </w:rPr>
        <w:softHyphen/>
        <w:t>годняшний момент инструмента взаимодействия бизнеса и госу</w:t>
      </w:r>
      <w:r w:rsidRPr="004E0FC4">
        <w:rPr>
          <w:rFonts w:ascii="Bookman Old Style" w:eastAsia="Bookman Old Style" w:hAnsi="Bookman Old Style" w:cs="Bookman Old Style"/>
          <w:color w:val="231F20"/>
          <w:sz w:val="18"/>
          <w:szCs w:val="18"/>
        </w:rPr>
        <w:softHyphen/>
        <w:t>дарства в инновационной сфере (через государственный заказ), как указывается экспертами</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являются</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следует считать</w:t>
      </w:r>
      <w:r w:rsidRPr="004E0FC4">
        <w:rPr>
          <w:rFonts w:ascii="Bookman Old Style" w:eastAsia="Bookman Old Style" w:hAnsi="Bookman Old Style" w:cs="Bookman Old Style"/>
          <w:color w:val="231F20"/>
          <w:sz w:val="18"/>
          <w:szCs w:val="18"/>
        </w:rPr>
        <w:t xml:space="preserve"> следующие </w:t>
      </w:r>
      <w:r w:rsidRPr="004E0FC4">
        <w:rPr>
          <w:rFonts w:ascii="Bookman Old Style" w:eastAsia="Bookman Old Style" w:hAnsi="Bookman Old Style" w:cs="Bookman Old Style"/>
          <w:color w:val="231F20"/>
          <w:sz w:val="18"/>
          <w:szCs w:val="18"/>
          <w:highlight w:val="green"/>
        </w:rPr>
        <w:t>факторы</w:t>
      </w:r>
      <w:r w:rsidRPr="004E0FC4">
        <w:rPr>
          <w:rFonts w:ascii="Bookman Old Style" w:eastAsia="Bookman Old Style" w:hAnsi="Bookman Old Style" w:cs="Bookman Old Style"/>
          <w:color w:val="231F20"/>
          <w:sz w:val="18"/>
          <w:szCs w:val="18"/>
        </w:rPr>
        <w:t>:</w:t>
      </w:r>
    </w:p>
    <w:p w14:paraId="4278EEB0" w14:textId="77777777" w:rsidR="00350396" w:rsidRPr="004E0FC4" w:rsidRDefault="00350396" w:rsidP="004E0FC4">
      <w:pPr>
        <w:widowControl w:val="0"/>
        <w:numPr>
          <w:ilvl w:val="0"/>
          <w:numId w:val="72"/>
        </w:numPr>
        <w:tabs>
          <w:tab w:val="left" w:pos="626"/>
        </w:tabs>
        <w:spacing w:line="245"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 формировании тематики контрактов не учитываются по</w:t>
      </w:r>
      <w:r w:rsidRPr="004E0FC4">
        <w:rPr>
          <w:rFonts w:ascii="Bookman Old Style" w:eastAsia="Bookman Old Style" w:hAnsi="Bookman Old Style" w:cs="Bookman Old Style"/>
          <w:color w:val="231F20"/>
          <w:sz w:val="18"/>
          <w:szCs w:val="18"/>
        </w:rPr>
        <w:softHyphen/>
        <w:t>требности государства в развитии критических технологий;</w:t>
      </w:r>
    </w:p>
    <w:p w14:paraId="3469B5C6" w14:textId="77777777" w:rsidR="00350396" w:rsidRPr="004E0FC4" w:rsidRDefault="00350396" w:rsidP="004E0FC4">
      <w:pPr>
        <w:widowControl w:val="0"/>
        <w:numPr>
          <w:ilvl w:val="0"/>
          <w:numId w:val="72"/>
        </w:numPr>
        <w:tabs>
          <w:tab w:val="left" w:pos="626"/>
        </w:tabs>
        <w:spacing w:line="245"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рамках ФЦП реализуются контракты, результаты которых не планируются и (или) по факту не могут быть введены в хозяй</w:t>
      </w:r>
      <w:r w:rsidRPr="004E0FC4">
        <w:rPr>
          <w:rFonts w:ascii="Bookman Old Style" w:eastAsia="Bookman Old Style" w:hAnsi="Bookman Old Style" w:cs="Bookman Old Style"/>
          <w:color w:val="231F20"/>
          <w:sz w:val="18"/>
          <w:szCs w:val="18"/>
        </w:rPr>
        <w:softHyphen/>
        <w:t>ственный оборот;</w:t>
      </w:r>
    </w:p>
    <w:p w14:paraId="566F2C9E" w14:textId="77777777" w:rsidR="00350396" w:rsidRPr="004E0FC4" w:rsidRDefault="00350396" w:rsidP="004E0FC4">
      <w:pPr>
        <w:widowControl w:val="0"/>
        <w:numPr>
          <w:ilvl w:val="0"/>
          <w:numId w:val="72"/>
        </w:numPr>
        <w:tabs>
          <w:tab w:val="left" w:pos="626"/>
        </w:tabs>
        <w:spacing w:line="245"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отсутствуют эффективные механизмы привлечения бизнеса к реализации контрактов, направленных на формирование единой </w:t>
      </w:r>
      <w:r w:rsidRPr="004E0FC4">
        <w:rPr>
          <w:rFonts w:ascii="Bookman Old Style" w:eastAsia="Bookman Old Style" w:hAnsi="Bookman Old Style" w:cs="Bookman Old Style"/>
          <w:color w:val="231F20"/>
          <w:sz w:val="18"/>
          <w:szCs w:val="18"/>
          <w:vertAlign w:val="superscript"/>
        </w:rPr>
        <w:footnoteReference w:id="146"/>
      </w:r>
      <w:r w:rsidRPr="004E0FC4">
        <w:rPr>
          <w:rFonts w:ascii="Bookman Old Style" w:eastAsia="Bookman Old Style" w:hAnsi="Bookman Old Style" w:cs="Bookman Old Style"/>
          <w:color w:val="231F20"/>
          <w:sz w:val="18"/>
          <w:szCs w:val="18"/>
          <w:vertAlign w:val="superscript"/>
        </w:rPr>
        <w:t xml:space="preserve"> </w:t>
      </w:r>
      <w:r w:rsidRPr="004E0FC4">
        <w:rPr>
          <w:rFonts w:ascii="Bookman Old Style" w:eastAsia="Bookman Old Style" w:hAnsi="Bookman Old Style" w:cs="Bookman Old Style"/>
          <w:color w:val="231F20"/>
          <w:sz w:val="18"/>
          <w:szCs w:val="18"/>
          <w:vertAlign w:val="superscript"/>
        </w:rPr>
        <w:footnoteReference w:id="147"/>
      </w:r>
      <w:r w:rsidRPr="004E0FC4">
        <w:rPr>
          <w:rFonts w:ascii="Bookman Old Style" w:eastAsia="Bookman Old Style" w:hAnsi="Bookman Old Style" w:cs="Bookman Old Style"/>
          <w:color w:val="231F20"/>
          <w:sz w:val="18"/>
          <w:szCs w:val="18"/>
        </w:rPr>
        <w:t xml:space="preserve"> технологической цепочки преобразования научно-технических до</w:t>
      </w:r>
      <w:r w:rsidRPr="004E0FC4">
        <w:rPr>
          <w:rFonts w:ascii="Bookman Old Style" w:eastAsia="Bookman Old Style" w:hAnsi="Bookman Old Style" w:cs="Bookman Old Style"/>
          <w:color w:val="231F20"/>
          <w:sz w:val="18"/>
          <w:szCs w:val="18"/>
        </w:rPr>
        <w:softHyphen/>
        <w:t>стижений в конкурентоспособную продукцию.</w:t>
      </w:r>
    </w:p>
    <w:p w14:paraId="020F9261" w14:textId="77777777" w:rsidR="00350396" w:rsidRPr="004E0FC4" w:rsidRDefault="00350396" w:rsidP="004E0FC4">
      <w:pPr>
        <w:framePr w:h="3533"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hAnsi="Bookman Old Style"/>
          <w:noProof/>
          <w:sz w:val="18"/>
          <w:szCs w:val="18"/>
          <w:lang w:bidi="ar-SA"/>
        </w:rPr>
        <w:drawing>
          <wp:inline distT="0" distB="0" distL="0" distR="0" wp14:anchorId="2ED8368D" wp14:editId="37B188BA">
            <wp:extent cx="4142740" cy="2250440"/>
            <wp:effectExtent l="19050" t="0" r="0" b="0"/>
            <wp:docPr id="263" name="Рисунок 263" descr="C:\Users\A2D98~1.SHI\AppData\Local\Temp\433\ABBYY\PDFTransform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2D98~1.SHI\AppData\Local\Temp\433\ABBYY\PDFTransformer\12.00\media\image24.jpeg"/>
                    <pic:cNvPicPr>
                      <a:picLocks noChangeAspect="1" noChangeArrowheads="1"/>
                    </pic:cNvPicPr>
                  </pic:nvPicPr>
                  <pic:blipFill>
                    <a:blip r:embed="rId73" cstate="print"/>
                    <a:srcRect/>
                    <a:stretch>
                      <a:fillRect/>
                    </a:stretch>
                  </pic:blipFill>
                  <pic:spPr bwMode="auto">
                    <a:xfrm>
                      <a:off x="0" y="0"/>
                      <a:ext cx="4142740" cy="2250440"/>
                    </a:xfrm>
                    <a:prstGeom prst="rect">
                      <a:avLst/>
                    </a:prstGeom>
                    <a:noFill/>
                    <a:ln w="9525">
                      <a:noFill/>
                      <a:miter lim="800000"/>
                      <a:headEnd/>
                      <a:tailEnd/>
                    </a:ln>
                  </pic:spPr>
                </pic:pic>
              </a:graphicData>
            </a:graphic>
          </wp:inline>
        </w:drawing>
      </w:r>
    </w:p>
    <w:p w14:paraId="2A6F32B6" w14:textId="77777777" w:rsidR="00350396" w:rsidRPr="004E0FC4" w:rsidRDefault="00350396" w:rsidP="004E0FC4">
      <w:pPr>
        <w:framePr w:h="3533"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Годы</w:t>
      </w:r>
    </w:p>
    <w:p w14:paraId="06F92EB0" w14:textId="77777777" w:rsidR="00350396" w:rsidRPr="004E0FC4" w:rsidRDefault="00350396" w:rsidP="004E0FC4">
      <w:pPr>
        <w:framePr w:h="3533" w:wrap="notBeside" w:vAnchor="text" w:hAnchor="text" w:xAlign="center" w:y="1"/>
        <w:widowControl w:val="0"/>
        <w:spacing w:line="240" w:lineRule="exact"/>
        <w:ind w:firstLine="0"/>
        <w:rPr>
          <w:rFonts w:ascii="Bookman Old Style" w:eastAsia="Arial Narrow" w:hAnsi="Bookman Old Style" w:cs="Arial Narrow"/>
          <w:color w:val="231F20"/>
          <w:sz w:val="18"/>
          <w:szCs w:val="18"/>
          <w:vertAlign w:val="superscript"/>
        </w:rPr>
      </w:pPr>
      <w:r w:rsidRPr="004E0FC4">
        <w:rPr>
          <w:rFonts w:ascii="Bookman Old Style" w:eastAsia="Arial Narrow" w:hAnsi="Bookman Old Style" w:cs="Arial Narrow"/>
          <w:b/>
          <w:bCs/>
          <w:i/>
          <w:iCs/>
          <w:color w:val="231F20"/>
          <w:sz w:val="18"/>
          <w:szCs w:val="18"/>
        </w:rPr>
        <w:t>Рис. 4.</w:t>
      </w:r>
      <w:r w:rsidRPr="004E0FC4">
        <w:rPr>
          <w:rFonts w:ascii="Bookman Old Style" w:eastAsia="Arial Narrow" w:hAnsi="Bookman Old Style" w:cs="Arial Narrow"/>
          <w:b/>
          <w:bCs/>
          <w:i/>
          <w:iCs/>
          <w:color w:val="231F20"/>
          <w:sz w:val="18"/>
          <w:szCs w:val="18"/>
          <w:highlight w:val="green"/>
        </w:rPr>
        <w:t>21</w:t>
      </w:r>
      <w:r w:rsidRPr="004E0FC4">
        <w:rPr>
          <w:rFonts w:ascii="Bookman Old Style" w:eastAsia="Arial Narrow" w:hAnsi="Bookman Old Style" w:cs="Arial Narrow"/>
          <w:b/>
          <w:bCs/>
          <w:i/>
          <w:iCs/>
          <w:color w:val="231F20"/>
          <w:sz w:val="18"/>
          <w:szCs w:val="18"/>
          <w:highlight w:val="red"/>
        </w:rPr>
        <w:t>15</w:t>
      </w:r>
      <w:r w:rsidRPr="004E0FC4">
        <w:rPr>
          <w:rFonts w:ascii="Bookman Old Style" w:eastAsia="Arial Narrow" w:hAnsi="Bookman Old Style" w:cs="Arial Narrow"/>
          <w:b/>
          <w:bCs/>
          <w:i/>
          <w:iCs/>
          <w:color w:val="231F20"/>
          <w:sz w:val="18"/>
          <w:szCs w:val="18"/>
        </w:rPr>
        <w:t>.</w:t>
      </w:r>
      <w:r w:rsidRPr="004E0FC4">
        <w:rPr>
          <w:rFonts w:ascii="Bookman Old Style" w:eastAsia="Arial Narrow" w:hAnsi="Bookman Old Style" w:cs="Arial Narrow"/>
          <w:color w:val="231F20"/>
          <w:sz w:val="18"/>
          <w:szCs w:val="18"/>
        </w:rPr>
        <w:t xml:space="preserve"> Удельный вес организаций (без субъектов малого предпринимательства), осуществлявших технологические инновации, %</w:t>
      </w:r>
      <w:r w:rsidRPr="004E0FC4">
        <w:rPr>
          <w:rFonts w:ascii="Bookman Old Style" w:eastAsia="Arial Narrow" w:hAnsi="Bookman Old Style" w:cs="Arial Narrow"/>
          <w:color w:val="231F20"/>
          <w:sz w:val="18"/>
          <w:szCs w:val="18"/>
          <w:vertAlign w:val="superscript"/>
        </w:rPr>
        <w:t>1</w:t>
      </w:r>
    </w:p>
    <w:p w14:paraId="2080D3C1" w14:textId="77777777" w:rsidR="00350396" w:rsidRPr="004E0FC4" w:rsidRDefault="00350396" w:rsidP="004E0FC4">
      <w:pPr>
        <w:framePr w:h="3533" w:wrap="notBeside" w:vAnchor="text" w:hAnchor="text" w:xAlign="center" w:y="1"/>
        <w:widowControl w:val="0"/>
        <w:spacing w:line="240" w:lineRule="exact"/>
        <w:ind w:firstLine="0"/>
        <w:rPr>
          <w:rFonts w:ascii="Bookman Old Style" w:eastAsia="Arial Narrow" w:hAnsi="Bookman Old Style" w:cs="Arial Narrow"/>
          <w:b/>
          <w:bCs/>
          <w:color w:val="231F20"/>
          <w:sz w:val="18"/>
          <w:szCs w:val="18"/>
          <w:highlight w:val="green"/>
          <w:vertAlign w:val="superscript"/>
        </w:rPr>
      </w:pPr>
      <w:r w:rsidRPr="004E0FC4">
        <w:rPr>
          <w:rFonts w:ascii="Bookman Old Style" w:eastAsia="Arial Narrow" w:hAnsi="Bookman Old Style" w:cs="Arial Narrow"/>
          <w:color w:val="231F20"/>
          <w:sz w:val="18"/>
          <w:szCs w:val="18"/>
          <w:highlight w:val="green"/>
          <w:vertAlign w:val="superscript"/>
        </w:rPr>
        <w:t xml:space="preserve">Примечание: в связи с новой методикой расчёта по критериям 4-й редакции Руководства Осло, применяемой Росстатом РФ с 2017 </w:t>
      </w:r>
      <w:r w:rsidRPr="004E0FC4">
        <w:rPr>
          <w:rFonts w:ascii="Bookman Old Style" w:eastAsia="Arial Narrow" w:hAnsi="Bookman Old Style" w:cs="Arial Narrow"/>
          <w:bCs/>
          <w:color w:val="231F20"/>
          <w:sz w:val="18"/>
          <w:szCs w:val="18"/>
          <w:highlight w:val="green"/>
          <w:vertAlign w:val="superscript"/>
        </w:rPr>
        <w:t>года</w:t>
      </w:r>
      <w:r w:rsidRPr="004E0FC4">
        <w:rPr>
          <w:rFonts w:ascii="Bookman Old Style" w:eastAsia="Arial Narrow" w:hAnsi="Bookman Old Style" w:cs="Arial Narrow"/>
          <w:b/>
          <w:bCs/>
          <w:color w:val="231F20"/>
          <w:sz w:val="18"/>
          <w:szCs w:val="18"/>
          <w:highlight w:val="green"/>
          <w:vertAlign w:val="superscript"/>
        </w:rPr>
        <w:t>, уд</w:t>
      </w:r>
      <w:r w:rsidRPr="004E0FC4">
        <w:rPr>
          <w:rFonts w:ascii="Bookman Old Style" w:eastAsia="Arial Narrow" w:hAnsi="Bookman Old Style" w:cs="Arial Narrow"/>
          <w:color w:val="231F20"/>
          <w:sz w:val="18"/>
          <w:szCs w:val="18"/>
          <w:highlight w:val="green"/>
          <w:vertAlign w:val="superscript"/>
        </w:rPr>
        <w:t>ельный вес организаций осуществлявших технологические инновации, составил: 2017 год – 20,8%, 2018 год – 19,8%; 2019 год – 21,6%; 2020 год – 23,0%; 2021 год – 23,0%</w:t>
      </w:r>
      <w:r w:rsidRPr="004E0FC4">
        <w:rPr>
          <w:rFonts w:ascii="Bookman Old Style" w:eastAsia="Arial Narrow" w:hAnsi="Bookman Old Style" w:cs="Arial Narrow"/>
          <w:color w:val="231F20"/>
          <w:sz w:val="18"/>
          <w:szCs w:val="18"/>
          <w:highlight w:val="green"/>
          <w:vertAlign w:val="superscript"/>
        </w:rPr>
        <w:footnoteReference w:id="148"/>
      </w:r>
      <w:r w:rsidRPr="004E0FC4">
        <w:rPr>
          <w:rFonts w:ascii="Bookman Old Style" w:eastAsia="Arial Narrow" w:hAnsi="Bookman Old Style" w:cs="Arial Narrow"/>
          <w:color w:val="231F20"/>
          <w:sz w:val="18"/>
          <w:szCs w:val="18"/>
          <w:highlight w:val="green"/>
          <w:vertAlign w:val="superscript"/>
        </w:rPr>
        <w:t xml:space="preserve">     </w:t>
      </w:r>
    </w:p>
    <w:p w14:paraId="09486756" w14:textId="77777777" w:rsidR="00350396" w:rsidRPr="004E0FC4" w:rsidRDefault="00350396" w:rsidP="004E0FC4">
      <w:pPr>
        <w:widowControl w:val="0"/>
        <w:spacing w:line="240" w:lineRule="auto"/>
        <w:ind w:firstLine="0"/>
        <w:rPr>
          <w:rFonts w:ascii="Bookman Old Style" w:hAnsi="Bookman Old Style"/>
          <w:sz w:val="18"/>
          <w:szCs w:val="18"/>
        </w:rPr>
      </w:pPr>
    </w:p>
    <w:p w14:paraId="39B10803" w14:textId="77777777" w:rsidR="00350396" w:rsidRPr="004E0FC4" w:rsidRDefault="00350396" w:rsidP="004E0FC4">
      <w:pPr>
        <w:widowControl w:val="0"/>
        <w:spacing w:before="195"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 ответ на широкую критику о недостатках финансирова</w:t>
      </w:r>
      <w:r w:rsidRPr="004E0FC4">
        <w:rPr>
          <w:rFonts w:ascii="Bookman Old Style" w:eastAsia="Bookman Old Style" w:hAnsi="Bookman Old Style" w:cs="Bookman Old Style"/>
          <w:color w:val="231F20"/>
          <w:sz w:val="18"/>
          <w:szCs w:val="18"/>
        </w:rPr>
        <w:softHyphen/>
        <w:t xml:space="preserve">ния </w:t>
      </w:r>
      <w:r w:rsidRPr="004E0FC4">
        <w:rPr>
          <w:rFonts w:ascii="Bookman Old Style" w:eastAsia="Bookman Old Style" w:hAnsi="Bookman Old Style" w:cs="Bookman Old Style"/>
          <w:color w:val="231F20"/>
          <w:sz w:val="18"/>
          <w:szCs w:val="18"/>
        </w:rPr>
        <w:lastRenderedPageBreak/>
        <w:t>научно-инновационной сферы через государственный бюджет в последней ФЦП «Исследования и разработки по приоритетным направлениям развития научно-технического комплекса России 2014—2020 годы» помимо финансирования самих разработок пред</w:t>
      </w:r>
      <w:r w:rsidRPr="004E0FC4">
        <w:rPr>
          <w:rFonts w:ascii="Bookman Old Style" w:eastAsia="Bookman Old Style" w:hAnsi="Bookman Old Style" w:cs="Bookman Old Style"/>
          <w:color w:val="231F20"/>
          <w:sz w:val="18"/>
          <w:szCs w:val="18"/>
        </w:rPr>
        <w:softHyphen/>
        <w:t>усмотрено и более широкое финансирование их внедрения в про</w:t>
      </w:r>
      <w:r w:rsidRPr="004E0FC4">
        <w:rPr>
          <w:rFonts w:ascii="Bookman Old Style" w:eastAsia="Bookman Old Style" w:hAnsi="Bookman Old Style" w:cs="Bookman Old Style"/>
          <w:color w:val="231F20"/>
          <w:sz w:val="18"/>
          <w:szCs w:val="18"/>
        </w:rPr>
        <w:softHyphen/>
        <w:t>изводство, т. е. коммерциализация разработок (что может вступить в противоречие с требованиями ВТО — см. ниже).</w:t>
      </w:r>
    </w:p>
    <w:p w14:paraId="578D36A7"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Более легко реализуемыми на сегодняшний день для использо</w:t>
      </w:r>
      <w:r w:rsidRPr="004E0FC4">
        <w:rPr>
          <w:rFonts w:ascii="Bookman Old Style" w:eastAsia="Bookman Old Style" w:hAnsi="Bookman Old Style" w:cs="Bookman Old Style"/>
          <w:color w:val="231F20"/>
          <w:sz w:val="18"/>
          <w:szCs w:val="18"/>
        </w:rPr>
        <w:softHyphen/>
        <w:t xml:space="preserve">вания ГЧП в инновационной сфере оказываются </w:t>
      </w:r>
      <w:r w:rsidRPr="004E0FC4">
        <w:rPr>
          <w:rFonts w:ascii="Bookman Old Style" w:eastAsia="Bookman Old Style" w:hAnsi="Bookman Old Style" w:cs="Bookman Old Style"/>
          <w:i/>
          <w:iCs/>
          <w:color w:val="231F20"/>
          <w:sz w:val="18"/>
          <w:szCs w:val="18"/>
        </w:rPr>
        <w:t>проекты созда</w:t>
      </w:r>
      <w:r w:rsidRPr="004E0FC4">
        <w:rPr>
          <w:rFonts w:ascii="Bookman Old Style" w:eastAsia="Bookman Old Style" w:hAnsi="Bookman Old Style" w:cs="Bookman Old Style"/>
          <w:i/>
          <w:iCs/>
          <w:color w:val="231F20"/>
          <w:sz w:val="18"/>
          <w:szCs w:val="18"/>
        </w:rPr>
        <w:softHyphen/>
        <w:t>ния инновационной инфраструктуры,</w:t>
      </w:r>
      <w:r w:rsidRPr="004E0FC4">
        <w:rPr>
          <w:rFonts w:ascii="Bookman Old Style" w:eastAsia="Bookman Old Style" w:hAnsi="Bookman Old Style" w:cs="Bookman Old Style"/>
          <w:color w:val="231F20"/>
          <w:sz w:val="18"/>
          <w:szCs w:val="18"/>
        </w:rPr>
        <w:t xml:space="preserve"> которые по своему форма</w:t>
      </w:r>
      <w:r w:rsidRPr="004E0FC4">
        <w:rPr>
          <w:rFonts w:ascii="Bookman Old Style" w:eastAsia="Bookman Old Style" w:hAnsi="Bookman Old Style" w:cs="Bookman Old Style"/>
          <w:color w:val="231F20"/>
          <w:sz w:val="18"/>
          <w:szCs w:val="18"/>
        </w:rPr>
        <w:softHyphen/>
        <w:t>ту и большей степени формализуемости результатов напоминают проекты создания транспортной и социальной инфраструктуры, где ГЧП широко применяется. Государство во многих странах вклады</w:t>
      </w:r>
      <w:r w:rsidRPr="004E0FC4">
        <w:rPr>
          <w:rFonts w:ascii="Bookman Old Style" w:eastAsia="Bookman Old Style" w:hAnsi="Bookman Old Style" w:cs="Bookman Old Style"/>
          <w:color w:val="231F20"/>
          <w:sz w:val="18"/>
          <w:szCs w:val="18"/>
        </w:rPr>
        <w:softHyphen/>
        <w:t>вает значительные средства в инновационную инфраструктуру — технопарки, бизнес-инкубатор, центры трансфера технологий и др., которые впоследствии передаются в управление или выкупаются частными компаниями. В частности, в Германии, Франции, Голлан</w:t>
      </w:r>
      <w:r w:rsidRPr="004E0FC4">
        <w:rPr>
          <w:rFonts w:ascii="Bookman Old Style" w:eastAsia="Bookman Old Style" w:hAnsi="Bookman Old Style" w:cs="Bookman Old Style"/>
          <w:color w:val="231F20"/>
          <w:sz w:val="18"/>
          <w:szCs w:val="18"/>
        </w:rPr>
        <w:softHyphen/>
        <w:t>дии доля государства в общих инвестициях при создании объектов инновационной инфраструктуры составляет около 75 %, в Велико</w:t>
      </w:r>
      <w:r w:rsidRPr="004E0FC4">
        <w:rPr>
          <w:rFonts w:ascii="Bookman Old Style" w:eastAsia="Bookman Old Style" w:hAnsi="Bookman Old Style" w:cs="Bookman Old Style"/>
          <w:color w:val="231F20"/>
          <w:sz w:val="18"/>
          <w:szCs w:val="18"/>
        </w:rPr>
        <w:softHyphen/>
        <w:t xml:space="preserve">британии — 60 </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о/о</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rPr>
        <w:t>. На более поздних фазах эксплуатации и функ</w:t>
      </w:r>
      <w:r w:rsidRPr="004E0FC4">
        <w:rPr>
          <w:rFonts w:ascii="Bookman Old Style" w:eastAsia="Bookman Old Style" w:hAnsi="Bookman Old Style" w:cs="Bookman Old Style"/>
          <w:color w:val="231F20"/>
          <w:sz w:val="18"/>
          <w:szCs w:val="18"/>
        </w:rPr>
        <w:softHyphen/>
        <w:t>ционирования объектов ситуация меняется в противоположную сторону — роль частного сектора в софинансировании возрастает.</w:t>
      </w:r>
    </w:p>
    <w:p w14:paraId="5F767D28"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Механизмы, формы и модели ГЧП (табл. 4.1</w:t>
      </w:r>
      <w:r w:rsidRPr="004E0FC4">
        <w:rPr>
          <w:rFonts w:ascii="Bookman Old Style" w:eastAsia="Bookman Old Style" w:hAnsi="Bookman Old Style" w:cs="Bookman Old Style"/>
          <w:color w:val="231F20"/>
          <w:sz w:val="18"/>
          <w:szCs w:val="18"/>
          <w:highlight w:val="green"/>
        </w:rPr>
        <w:t>4</w:t>
      </w:r>
      <w:r w:rsidRPr="004E0FC4">
        <w:rPr>
          <w:rFonts w:ascii="Bookman Old Style" w:eastAsia="Bookman Old Style" w:hAnsi="Bookman Old Style" w:cs="Bookman Old Style"/>
          <w:color w:val="231F20"/>
          <w:sz w:val="18"/>
          <w:szCs w:val="18"/>
        </w:rPr>
        <w:t>), используемые на практике при работе с инфраструктурными объектами, в научно</w:t>
      </w:r>
      <w:r w:rsidRPr="004E0FC4">
        <w:rPr>
          <w:rFonts w:ascii="Bookman Old Style" w:eastAsia="Bookman Old Style" w:hAnsi="Bookman Old Style" w:cs="Bookman Old Style"/>
          <w:color w:val="231F20"/>
          <w:sz w:val="18"/>
          <w:szCs w:val="18"/>
        </w:rPr>
        <w:softHyphen/>
        <w:t>инновационной сфере (как указывается рядом авторов) применимы как при строительстве объектов инновационной инфраструктуры, так и при заказах на производство высокотехнологичного оборудо</w:t>
      </w:r>
      <w:r w:rsidRPr="004E0FC4">
        <w:rPr>
          <w:rFonts w:ascii="Bookman Old Style" w:eastAsia="Bookman Old Style" w:hAnsi="Bookman Old Style" w:cs="Bookman Old Style"/>
          <w:color w:val="231F20"/>
          <w:sz w:val="18"/>
          <w:szCs w:val="18"/>
        </w:rPr>
        <w:softHyphen/>
        <w:t>вания с привлечением внешнего управляющего для крупного инно</w:t>
      </w:r>
      <w:r w:rsidRPr="004E0FC4">
        <w:rPr>
          <w:rFonts w:ascii="Bookman Old Style" w:eastAsia="Bookman Old Style" w:hAnsi="Bookman Old Style" w:cs="Bookman Old Style"/>
          <w:color w:val="231F20"/>
          <w:sz w:val="18"/>
          <w:szCs w:val="18"/>
        </w:rPr>
        <w:softHyphen/>
        <w:t>вационного проекта.</w:t>
      </w:r>
    </w:p>
    <w:p w14:paraId="5FAC553A" w14:textId="77777777" w:rsidR="00350396" w:rsidRPr="004E0FC4" w:rsidRDefault="00350396" w:rsidP="004E0FC4">
      <w:pPr>
        <w:widowControl w:val="0"/>
        <w:spacing w:line="254"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Можно выделить два ключевых на сегодняшний день направле</w:t>
      </w:r>
      <w:r w:rsidRPr="004E0FC4">
        <w:rPr>
          <w:rFonts w:ascii="Bookman Old Style" w:eastAsia="Bookman Old Style" w:hAnsi="Bookman Old Style" w:cs="Bookman Old Style"/>
          <w:color w:val="231F20"/>
          <w:sz w:val="18"/>
          <w:szCs w:val="18"/>
        </w:rPr>
        <w:softHyphen/>
        <w:t>ния развития ГЧП в научно-инновационной сфере России:</w:t>
      </w:r>
    </w:p>
    <w:p w14:paraId="714E68E9" w14:textId="77777777" w:rsidR="00350396" w:rsidRPr="004E0FC4" w:rsidRDefault="00350396" w:rsidP="004E0FC4">
      <w:pPr>
        <w:widowControl w:val="0"/>
        <w:numPr>
          <w:ilvl w:val="0"/>
          <w:numId w:val="73"/>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развитие инструментов долгосрочного, в том числе беззало- гового, кредитования на финансовом рынке, включая проектные облигации;</w:t>
      </w:r>
    </w:p>
    <w:p w14:paraId="681BA07D" w14:textId="77777777" w:rsidR="00350396" w:rsidRPr="004E0FC4" w:rsidRDefault="00350396" w:rsidP="004E0FC4">
      <w:pPr>
        <w:widowControl w:val="0"/>
        <w:numPr>
          <w:ilvl w:val="0"/>
          <w:numId w:val="73"/>
        </w:numPr>
        <w:tabs>
          <w:tab w:val="left" w:pos="626"/>
        </w:tabs>
        <w:spacing w:line="254"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активизация элементов механизма «тройной спирали» в сфе</w:t>
      </w:r>
      <w:r w:rsidRPr="004E0FC4">
        <w:rPr>
          <w:rFonts w:ascii="Bookman Old Style" w:eastAsia="Bookman Old Style" w:hAnsi="Bookman Old Style" w:cs="Bookman Old Style"/>
          <w:color w:val="231F20"/>
          <w:sz w:val="18"/>
          <w:szCs w:val="18"/>
        </w:rPr>
        <w:softHyphen/>
        <w:t>ре сотрудничества вузов, бизнеса и государства.</w:t>
      </w:r>
    </w:p>
    <w:p w14:paraId="06E8C058" w14:textId="77777777" w:rsidR="00350396" w:rsidRPr="004E0FC4" w:rsidRDefault="00350396" w:rsidP="004E0FC4">
      <w:pPr>
        <w:widowControl w:val="0"/>
        <w:spacing w:after="86" w:line="240" w:lineRule="auto"/>
        <w:ind w:firstLine="0"/>
        <w:rPr>
          <w:rFonts w:ascii="Bookman Old Style" w:hAnsi="Bookman Old Style"/>
          <w:sz w:val="18"/>
          <w:szCs w:val="18"/>
        </w:rPr>
      </w:pPr>
      <w:r w:rsidRPr="004E0FC4">
        <w:rPr>
          <w:rFonts w:ascii="Bookman Old Style" w:eastAsia="Arial Narrow" w:hAnsi="Bookman Old Style" w:cs="Arial Narrow"/>
          <w:i/>
          <w:iCs/>
          <w:color w:val="231F20"/>
          <w:sz w:val="18"/>
          <w:szCs w:val="18"/>
        </w:rPr>
        <w:t>Таблица 4.1</w:t>
      </w:r>
      <w:r w:rsidRPr="004E0FC4">
        <w:rPr>
          <w:rFonts w:ascii="Bookman Old Style" w:eastAsia="Arial Narrow" w:hAnsi="Bookman Old Style" w:cs="Arial Narrow"/>
          <w:i/>
          <w:iCs/>
          <w:color w:val="231F20"/>
          <w:sz w:val="18"/>
          <w:szCs w:val="18"/>
          <w:highlight w:val="green"/>
        </w:rPr>
        <w:t>4</w:t>
      </w:r>
      <w:r w:rsidRPr="004E0FC4">
        <w:rPr>
          <w:rFonts w:ascii="Bookman Old Style" w:eastAsia="Arial Narrow" w:hAnsi="Bookman Old Style" w:cs="Arial Narrow"/>
          <w:i/>
          <w:iCs/>
          <w:color w:val="231F20"/>
          <w:sz w:val="18"/>
          <w:szCs w:val="18"/>
          <w:highlight w:val="red"/>
        </w:rPr>
        <w:t>3</w:t>
      </w:r>
    </w:p>
    <w:p w14:paraId="2A2796C9" w14:textId="77777777" w:rsidR="00350396" w:rsidRPr="004E0FC4" w:rsidRDefault="00350396" w:rsidP="004E0FC4">
      <w:pPr>
        <w:widowControl w:val="0"/>
        <w:spacing w:line="235" w:lineRule="exact"/>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Сравнительный анализ элементов механизмов ГЧП, применяемых при работе</w:t>
      </w:r>
      <w:r w:rsidRPr="004E0FC4">
        <w:rPr>
          <w:rFonts w:ascii="Bookman Old Style" w:eastAsia="Arial Narrow" w:hAnsi="Bookman Old Style" w:cs="Arial Narrow"/>
          <w:b/>
          <w:bCs/>
          <w:color w:val="231F20"/>
          <w:sz w:val="18"/>
          <w:szCs w:val="18"/>
        </w:rPr>
        <w:br/>
        <w:t>с инфраструктурными объектами и в научно-инновационной сфере</w:t>
      </w:r>
      <w:r w:rsidRPr="004E0FC4">
        <w:rPr>
          <w:rFonts w:ascii="Bookman Old Style" w:eastAsia="Arial Narrow" w:hAnsi="Bookman Old Style" w:cs="Arial Narrow"/>
          <w:b/>
          <w:bCs/>
          <w:color w:val="231F20"/>
          <w:sz w:val="18"/>
          <w:szCs w:val="18"/>
          <w:vertAlign w:val="superscript"/>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829"/>
        <w:gridCol w:w="1589"/>
        <w:gridCol w:w="1963"/>
      </w:tblGrid>
      <w:tr w:rsidR="00350396" w:rsidRPr="004E0FC4" w14:paraId="0005DB48" w14:textId="77777777" w:rsidTr="006D7F71">
        <w:trPr>
          <w:trHeight w:hRule="exact" w:val="331"/>
          <w:jc w:val="center"/>
        </w:trPr>
        <w:tc>
          <w:tcPr>
            <w:tcW w:w="1200" w:type="dxa"/>
            <w:vMerge w:val="restart"/>
            <w:tcBorders>
              <w:top w:val="single" w:sz="4" w:space="0" w:color="auto"/>
              <w:left w:val="single" w:sz="4" w:space="0" w:color="auto"/>
            </w:tcBorders>
            <w:shd w:val="clear" w:color="auto" w:fill="FFFFFF"/>
            <w:vAlign w:val="center"/>
          </w:tcPr>
          <w:p w14:paraId="4BD053F1"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Составные</w:t>
            </w:r>
          </w:p>
          <w:p w14:paraId="123123DD"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элементы</w:t>
            </w:r>
          </w:p>
          <w:p w14:paraId="02398A9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механизма</w:t>
            </w:r>
          </w:p>
          <w:p w14:paraId="74856F68"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ГЧП</w:t>
            </w:r>
          </w:p>
        </w:tc>
        <w:tc>
          <w:tcPr>
            <w:tcW w:w="5381" w:type="dxa"/>
            <w:gridSpan w:val="3"/>
            <w:tcBorders>
              <w:top w:val="single" w:sz="4" w:space="0" w:color="auto"/>
              <w:left w:val="single" w:sz="4" w:space="0" w:color="auto"/>
              <w:right w:val="single" w:sz="4" w:space="0" w:color="auto"/>
            </w:tcBorders>
            <w:shd w:val="clear" w:color="auto" w:fill="FFFFFF"/>
            <w:vAlign w:val="center"/>
          </w:tcPr>
          <w:p w14:paraId="3E0FD25C"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Объекты ГЧП</w:t>
            </w:r>
          </w:p>
        </w:tc>
      </w:tr>
      <w:tr w:rsidR="00350396" w:rsidRPr="004E0FC4" w14:paraId="54A39C42" w14:textId="77777777" w:rsidTr="006D7F71">
        <w:trPr>
          <w:trHeight w:hRule="exact" w:val="758"/>
          <w:jc w:val="center"/>
        </w:trPr>
        <w:tc>
          <w:tcPr>
            <w:tcW w:w="1200" w:type="dxa"/>
            <w:vMerge/>
            <w:tcBorders>
              <w:left w:val="single" w:sz="4" w:space="0" w:color="auto"/>
            </w:tcBorders>
            <w:shd w:val="clear" w:color="auto" w:fill="FFFFFF"/>
            <w:vAlign w:val="center"/>
          </w:tcPr>
          <w:p w14:paraId="7BBA140C"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1829" w:type="dxa"/>
            <w:tcBorders>
              <w:top w:val="single" w:sz="4" w:space="0" w:color="auto"/>
              <w:left w:val="single" w:sz="4" w:space="0" w:color="auto"/>
            </w:tcBorders>
            <w:shd w:val="clear" w:color="auto" w:fill="FFFFFF"/>
            <w:vAlign w:val="bottom"/>
          </w:tcPr>
          <w:p w14:paraId="2CA007B9"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Производствен</w:t>
            </w:r>
            <w:r w:rsidRPr="004E0FC4">
              <w:rPr>
                <w:rFonts w:ascii="Bookman Old Style" w:eastAsia="Bookman Old Style" w:hAnsi="Bookman Old Style" w:cs="Bookman Old Style"/>
                <w:b/>
                <w:bCs/>
                <w:color w:val="231F20"/>
                <w:sz w:val="18"/>
                <w:szCs w:val="18"/>
              </w:rPr>
              <w:softHyphen/>
              <w:t>ная и социальная инфраструктура</w:t>
            </w:r>
          </w:p>
        </w:tc>
        <w:tc>
          <w:tcPr>
            <w:tcW w:w="1589" w:type="dxa"/>
            <w:tcBorders>
              <w:top w:val="single" w:sz="4" w:space="0" w:color="auto"/>
              <w:left w:val="single" w:sz="4" w:space="0" w:color="auto"/>
            </w:tcBorders>
            <w:shd w:val="clear" w:color="auto" w:fill="FFFFFF"/>
            <w:vAlign w:val="bottom"/>
          </w:tcPr>
          <w:p w14:paraId="1255131C"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Промышлен</w:t>
            </w:r>
            <w:r w:rsidRPr="004E0FC4">
              <w:rPr>
                <w:rFonts w:ascii="Bookman Old Style" w:eastAsia="Bookman Old Style" w:hAnsi="Bookman Old Style" w:cs="Bookman Old Style"/>
                <w:b/>
                <w:bCs/>
                <w:color w:val="231F20"/>
                <w:sz w:val="18"/>
                <w:szCs w:val="18"/>
              </w:rPr>
              <w:softHyphen/>
              <w:t>ные предпри</w:t>
            </w:r>
            <w:r w:rsidRPr="004E0FC4">
              <w:rPr>
                <w:rFonts w:ascii="Bookman Old Style" w:eastAsia="Bookman Old Style" w:hAnsi="Bookman Old Style" w:cs="Bookman Old Style"/>
                <w:b/>
                <w:bCs/>
                <w:color w:val="231F20"/>
                <w:sz w:val="18"/>
                <w:szCs w:val="18"/>
              </w:rPr>
              <w:softHyphen/>
              <w:t>ятия</w:t>
            </w:r>
          </w:p>
        </w:tc>
        <w:tc>
          <w:tcPr>
            <w:tcW w:w="1963" w:type="dxa"/>
            <w:tcBorders>
              <w:top w:val="single" w:sz="4" w:space="0" w:color="auto"/>
              <w:left w:val="single" w:sz="4" w:space="0" w:color="auto"/>
              <w:right w:val="single" w:sz="4" w:space="0" w:color="auto"/>
            </w:tcBorders>
            <w:shd w:val="clear" w:color="auto" w:fill="FFFFFF"/>
            <w:vAlign w:val="bottom"/>
          </w:tcPr>
          <w:p w14:paraId="64CAD6E9"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Научные исследо</w:t>
            </w:r>
            <w:r w:rsidRPr="004E0FC4">
              <w:rPr>
                <w:rFonts w:ascii="Bookman Old Style" w:eastAsia="Bookman Old Style" w:hAnsi="Bookman Old Style" w:cs="Bookman Old Style"/>
                <w:b/>
                <w:bCs/>
                <w:color w:val="231F20"/>
                <w:sz w:val="18"/>
                <w:szCs w:val="18"/>
              </w:rPr>
              <w:softHyphen/>
              <w:t>вания, разработки и инновации</w:t>
            </w:r>
          </w:p>
        </w:tc>
      </w:tr>
      <w:tr w:rsidR="00350396" w:rsidRPr="004E0FC4" w14:paraId="4025A4F6" w14:textId="77777777" w:rsidTr="006D7F71">
        <w:trPr>
          <w:trHeight w:hRule="exact" w:val="3552"/>
          <w:jc w:val="center"/>
        </w:trPr>
        <w:tc>
          <w:tcPr>
            <w:tcW w:w="1200" w:type="dxa"/>
            <w:tcBorders>
              <w:top w:val="single" w:sz="4" w:space="0" w:color="auto"/>
              <w:left w:val="single" w:sz="4" w:space="0" w:color="auto"/>
              <w:bottom w:val="single" w:sz="4" w:space="0" w:color="auto"/>
            </w:tcBorders>
            <w:shd w:val="clear" w:color="auto" w:fill="FFFFFF"/>
          </w:tcPr>
          <w:p w14:paraId="23AE743C"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 Формы ГЧП</w:t>
            </w:r>
          </w:p>
        </w:tc>
        <w:tc>
          <w:tcPr>
            <w:tcW w:w="3418" w:type="dxa"/>
            <w:gridSpan w:val="2"/>
            <w:tcBorders>
              <w:top w:val="single" w:sz="4" w:space="0" w:color="auto"/>
              <w:left w:val="single" w:sz="4" w:space="0" w:color="auto"/>
              <w:bottom w:val="single" w:sz="4" w:space="0" w:color="auto"/>
            </w:tcBorders>
            <w:shd w:val="clear" w:color="auto" w:fill="FFFFFF"/>
          </w:tcPr>
          <w:p w14:paraId="76ADD69E" w14:textId="77777777" w:rsidR="00350396" w:rsidRPr="004E0FC4" w:rsidRDefault="00350396" w:rsidP="004E0FC4">
            <w:pPr>
              <w:framePr w:w="6581" w:wrap="notBeside" w:vAnchor="text" w:hAnchor="text" w:xAlign="center" w:y="1"/>
              <w:widowControl w:val="0"/>
              <w:numPr>
                <w:ilvl w:val="0"/>
                <w:numId w:val="75"/>
              </w:numPr>
              <w:tabs>
                <w:tab w:val="left" w:pos="18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Концессии.</w:t>
            </w:r>
          </w:p>
          <w:p w14:paraId="060F6DC7" w14:textId="77777777" w:rsidR="00350396" w:rsidRPr="004E0FC4" w:rsidRDefault="00350396" w:rsidP="004E0FC4">
            <w:pPr>
              <w:framePr w:w="6581" w:wrap="notBeside" w:vAnchor="text" w:hAnchor="text" w:xAlign="center" w:y="1"/>
              <w:widowControl w:val="0"/>
              <w:numPr>
                <w:ilvl w:val="0"/>
                <w:numId w:val="75"/>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Договоры ГЧП (МЧП).</w:t>
            </w:r>
          </w:p>
          <w:p w14:paraId="18F320DF" w14:textId="77777777" w:rsidR="00350396" w:rsidRPr="004E0FC4" w:rsidRDefault="00350396" w:rsidP="004E0FC4">
            <w:pPr>
              <w:framePr w:w="6581" w:wrap="notBeside" w:vAnchor="text" w:hAnchor="text" w:xAlign="center" w:y="1"/>
              <w:widowControl w:val="0"/>
              <w:numPr>
                <w:ilvl w:val="0"/>
                <w:numId w:val="75"/>
              </w:numPr>
              <w:tabs>
                <w:tab w:val="left" w:pos="211"/>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о разделе продукции. Договоры аренды, лизинга.</w:t>
            </w:r>
          </w:p>
          <w:p w14:paraId="4240B99E" w14:textId="77777777" w:rsidR="00350396" w:rsidRPr="004E0FC4" w:rsidRDefault="00350396" w:rsidP="004E0FC4">
            <w:pPr>
              <w:framePr w:w="6581" w:wrap="notBeside" w:vAnchor="text" w:hAnchor="text" w:xAlign="center" w:y="1"/>
              <w:widowControl w:val="0"/>
              <w:numPr>
                <w:ilvl w:val="0"/>
                <w:numId w:val="75"/>
              </w:numPr>
              <w:tabs>
                <w:tab w:val="left" w:pos="206"/>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Договоры на оказание услуг, управ</w:t>
            </w:r>
            <w:r w:rsidRPr="004E0FC4">
              <w:rPr>
                <w:rFonts w:ascii="Bookman Old Style" w:eastAsia="Bookman Old Style" w:hAnsi="Bookman Old Style" w:cs="Bookman Old Style"/>
                <w:color w:val="231F20"/>
                <w:sz w:val="18"/>
                <w:szCs w:val="18"/>
              </w:rPr>
              <w:softHyphen/>
              <w:t>ление (административные договоры).</w:t>
            </w:r>
          </w:p>
          <w:p w14:paraId="481DBB7D" w14:textId="77777777" w:rsidR="00350396" w:rsidRPr="004E0FC4" w:rsidRDefault="00350396" w:rsidP="004E0FC4">
            <w:pPr>
              <w:framePr w:w="6581" w:wrap="notBeside" w:vAnchor="text" w:hAnchor="text" w:xAlign="center" w:y="1"/>
              <w:widowControl w:val="0"/>
              <w:numPr>
                <w:ilvl w:val="0"/>
                <w:numId w:val="75"/>
              </w:numPr>
              <w:tabs>
                <w:tab w:val="left" w:pos="206"/>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Специальные инвестиционные контракты.</w:t>
            </w:r>
          </w:p>
          <w:p w14:paraId="37AE8320" w14:textId="77777777" w:rsidR="00350396" w:rsidRPr="004E0FC4" w:rsidRDefault="00350396" w:rsidP="004E0FC4">
            <w:pPr>
              <w:framePr w:w="6581" w:wrap="notBeside" w:vAnchor="text" w:hAnchor="text" w:xAlign="center" w:y="1"/>
              <w:widowControl w:val="0"/>
              <w:numPr>
                <w:ilvl w:val="0"/>
                <w:numId w:val="75"/>
              </w:numPr>
              <w:tabs>
                <w:tab w:val="left" w:pos="211"/>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Совместные предприятия, акциони</w:t>
            </w:r>
            <w:r w:rsidRPr="004E0FC4">
              <w:rPr>
                <w:rFonts w:ascii="Bookman Old Style" w:eastAsia="Bookman Old Style" w:hAnsi="Bookman Old Style" w:cs="Bookman Old Style"/>
                <w:color w:val="231F20"/>
                <w:sz w:val="18"/>
                <w:szCs w:val="18"/>
              </w:rPr>
              <w:softHyphen/>
              <w:t>рование</w:t>
            </w:r>
          </w:p>
        </w:tc>
        <w:tc>
          <w:tcPr>
            <w:tcW w:w="1963" w:type="dxa"/>
            <w:tcBorders>
              <w:top w:val="single" w:sz="4" w:space="0" w:color="auto"/>
              <w:left w:val="single" w:sz="4" w:space="0" w:color="auto"/>
              <w:bottom w:val="single" w:sz="4" w:space="0" w:color="auto"/>
              <w:right w:val="single" w:sz="4" w:space="0" w:color="auto"/>
            </w:tcBorders>
            <w:shd w:val="clear" w:color="auto" w:fill="FFFFFF"/>
            <w:vAlign w:val="bottom"/>
          </w:tcPr>
          <w:p w14:paraId="3CE93EDD" w14:textId="77777777" w:rsidR="00350396" w:rsidRPr="004E0FC4" w:rsidRDefault="00350396" w:rsidP="004E0FC4">
            <w:pPr>
              <w:framePr w:w="6581" w:wrap="notBeside" w:vAnchor="text" w:hAnchor="text" w:xAlign="center" w:y="1"/>
              <w:widowControl w:val="0"/>
              <w:numPr>
                <w:ilvl w:val="0"/>
                <w:numId w:val="76"/>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Кооперативные и другие соглаше</w:t>
            </w:r>
            <w:r w:rsidRPr="004E0FC4">
              <w:rPr>
                <w:rFonts w:ascii="Bookman Old Style" w:eastAsia="Bookman Old Style" w:hAnsi="Bookman Old Style" w:cs="Bookman Old Style"/>
                <w:color w:val="231F20"/>
                <w:sz w:val="18"/>
                <w:szCs w:val="18"/>
              </w:rPr>
              <w:softHyphen/>
              <w:t>ния.</w:t>
            </w:r>
          </w:p>
          <w:p w14:paraId="5B1D6EC3" w14:textId="77777777" w:rsidR="00350396" w:rsidRPr="004E0FC4" w:rsidRDefault="00350396" w:rsidP="004E0FC4">
            <w:pPr>
              <w:framePr w:w="6581" w:wrap="notBeside" w:vAnchor="text" w:hAnchor="text" w:xAlign="center" w:y="1"/>
              <w:widowControl w:val="0"/>
              <w:numPr>
                <w:ilvl w:val="0"/>
                <w:numId w:val="76"/>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Договоры на на</w:t>
            </w:r>
            <w:r w:rsidRPr="004E0FC4">
              <w:rPr>
                <w:rFonts w:ascii="Bookman Old Style" w:eastAsia="Bookman Old Style" w:hAnsi="Bookman Old Style" w:cs="Bookman Old Style"/>
                <w:color w:val="231F20"/>
                <w:sz w:val="18"/>
                <w:szCs w:val="18"/>
              </w:rPr>
              <w:softHyphen/>
              <w:t>учные исследования</w:t>
            </w:r>
          </w:p>
          <w:p w14:paraId="132F1DD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инновационное</w:t>
            </w:r>
          </w:p>
          <w:p w14:paraId="1197686B"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сотрудничество.</w:t>
            </w:r>
          </w:p>
          <w:p w14:paraId="788D78A8" w14:textId="77777777" w:rsidR="00350396" w:rsidRPr="004E0FC4" w:rsidRDefault="00350396" w:rsidP="004E0FC4">
            <w:pPr>
              <w:framePr w:w="6581" w:wrap="notBeside" w:vAnchor="text" w:hAnchor="text" w:xAlign="center" w:y="1"/>
              <w:widowControl w:val="0"/>
              <w:numPr>
                <w:ilvl w:val="0"/>
                <w:numId w:val="76"/>
              </w:numPr>
              <w:tabs>
                <w:tab w:val="left" w:pos="19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Договоры о со</w:t>
            </w:r>
            <w:r w:rsidRPr="004E0FC4">
              <w:rPr>
                <w:rFonts w:ascii="Bookman Old Style" w:eastAsia="Bookman Old Style" w:hAnsi="Bookman Old Style" w:cs="Bookman Old Style"/>
                <w:color w:val="231F20"/>
                <w:sz w:val="18"/>
                <w:szCs w:val="18"/>
              </w:rPr>
              <w:softHyphen/>
              <w:t>вместной деятель</w:t>
            </w:r>
            <w:r w:rsidRPr="004E0FC4">
              <w:rPr>
                <w:rFonts w:ascii="Bookman Old Style" w:eastAsia="Bookman Old Style" w:hAnsi="Bookman Old Style" w:cs="Bookman Old Style"/>
                <w:color w:val="231F20"/>
                <w:sz w:val="18"/>
                <w:szCs w:val="18"/>
              </w:rPr>
              <w:softHyphen/>
              <w:t>ности.</w:t>
            </w:r>
          </w:p>
          <w:p w14:paraId="665AB02D" w14:textId="77777777" w:rsidR="00350396" w:rsidRPr="004E0FC4" w:rsidRDefault="00350396" w:rsidP="004E0FC4">
            <w:pPr>
              <w:framePr w:w="6581" w:wrap="notBeside" w:vAnchor="text" w:hAnchor="text" w:xAlign="center" w:y="1"/>
              <w:widowControl w:val="0"/>
              <w:numPr>
                <w:ilvl w:val="0"/>
                <w:numId w:val="76"/>
              </w:numPr>
              <w:tabs>
                <w:tab w:val="left" w:pos="20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Контракты в рам</w:t>
            </w:r>
            <w:r w:rsidRPr="004E0FC4">
              <w:rPr>
                <w:rFonts w:ascii="Bookman Old Style" w:eastAsia="Bookman Old Style" w:hAnsi="Bookman Old Style" w:cs="Bookman Old Style"/>
                <w:color w:val="231F20"/>
                <w:sz w:val="18"/>
                <w:szCs w:val="18"/>
              </w:rPr>
              <w:softHyphen/>
              <w:t>ках Федерального закона от 29.12.2012 № 275-ФЗ «О госу</w:t>
            </w:r>
            <w:r w:rsidRPr="004E0FC4">
              <w:rPr>
                <w:rFonts w:ascii="Bookman Old Style" w:eastAsia="Bookman Old Style" w:hAnsi="Bookman Old Style" w:cs="Bookman Old Style"/>
                <w:color w:val="231F20"/>
                <w:sz w:val="18"/>
                <w:szCs w:val="18"/>
              </w:rPr>
              <w:softHyphen/>
              <w:t>дарственном оборон</w:t>
            </w:r>
            <w:r w:rsidRPr="004E0FC4">
              <w:rPr>
                <w:rFonts w:ascii="Bookman Old Style" w:eastAsia="Bookman Old Style" w:hAnsi="Bookman Old Style" w:cs="Bookman Old Style"/>
                <w:color w:val="231F20"/>
                <w:sz w:val="18"/>
                <w:szCs w:val="18"/>
              </w:rPr>
              <w:softHyphen/>
              <w:t>ном заказе»</w:t>
            </w:r>
          </w:p>
        </w:tc>
      </w:tr>
    </w:tbl>
    <w:p w14:paraId="7F363972" w14:textId="77777777" w:rsidR="00350396" w:rsidRPr="004E0FC4" w:rsidRDefault="00350396" w:rsidP="004E0FC4">
      <w:pPr>
        <w:framePr w:w="6581" w:wrap="notBeside" w:vAnchor="text" w:hAnchor="text" w:xAlign="center" w:y="1"/>
        <w:widowControl w:val="0"/>
        <w:numPr>
          <w:ilvl w:val="0"/>
          <w:numId w:val="74"/>
        </w:numPr>
        <w:tabs>
          <w:tab w:val="left" w:pos="474"/>
        </w:tabs>
        <w:spacing w:line="240" w:lineRule="auto"/>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Фирсова А. А.</w:t>
      </w:r>
      <w:r w:rsidRPr="004E0FC4">
        <w:rPr>
          <w:rFonts w:ascii="Bookman Old Style" w:eastAsia="Bookman Old Style" w:hAnsi="Bookman Old Style" w:cs="Bookman Old Style"/>
          <w:color w:val="231F20"/>
          <w:sz w:val="18"/>
          <w:szCs w:val="18"/>
        </w:rPr>
        <w:t xml:space="preserve"> Указ. соч.</w:t>
      </w:r>
    </w:p>
    <w:p w14:paraId="5E46C093" w14:textId="77777777" w:rsidR="00350396" w:rsidRPr="004E0FC4" w:rsidRDefault="00350396" w:rsidP="004E0FC4">
      <w:pPr>
        <w:framePr w:w="6581" w:wrap="notBeside" w:vAnchor="text" w:hAnchor="text" w:xAlign="center" w:y="1"/>
        <w:widowControl w:val="0"/>
        <w:numPr>
          <w:ilvl w:val="0"/>
          <w:numId w:val="74"/>
        </w:numPr>
        <w:tabs>
          <w:tab w:val="left" w:pos="451"/>
        </w:tabs>
        <w:spacing w:line="240" w:lineRule="auto"/>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Дополнено автором на основе таблицы, предложенной в статье: </w:t>
      </w:r>
      <w:r w:rsidRPr="004E0FC4">
        <w:rPr>
          <w:rFonts w:ascii="Bookman Old Style" w:eastAsia="Bookman Old Style" w:hAnsi="Bookman Old Style" w:cs="Bookman Old Style"/>
          <w:i/>
          <w:iCs/>
          <w:color w:val="231F20"/>
          <w:sz w:val="18"/>
          <w:szCs w:val="18"/>
        </w:rPr>
        <w:t>Королева А. И., Бабкин И. А.</w:t>
      </w:r>
      <w:r w:rsidRPr="004E0FC4">
        <w:rPr>
          <w:rFonts w:ascii="Bookman Old Style" w:eastAsia="Bookman Old Style" w:hAnsi="Bookman Old Style" w:cs="Bookman Old Style"/>
          <w:color w:val="231F20"/>
          <w:sz w:val="18"/>
          <w:szCs w:val="18"/>
        </w:rPr>
        <w:t xml:space="preserve"> Элементы государственно-частного партнерства как механизма инно</w:t>
      </w:r>
      <w:r w:rsidRPr="004E0FC4">
        <w:rPr>
          <w:rFonts w:ascii="Bookman Old Style" w:eastAsia="Bookman Old Style" w:hAnsi="Bookman Old Style" w:cs="Bookman Old Style"/>
          <w:color w:val="231F20"/>
          <w:sz w:val="18"/>
          <w:szCs w:val="18"/>
        </w:rPr>
        <w:softHyphen/>
        <w:t>вационного развития экономики // Научно-технические ведомости СПбГПУ. Эко</w:t>
      </w:r>
      <w:r w:rsidRPr="004E0FC4">
        <w:rPr>
          <w:rFonts w:ascii="Bookman Old Style" w:eastAsia="Bookman Old Style" w:hAnsi="Bookman Old Style" w:cs="Bookman Old Style"/>
          <w:color w:val="231F20"/>
          <w:sz w:val="18"/>
          <w:szCs w:val="18"/>
        </w:rPr>
        <w:softHyphen/>
        <w:t>номические науки. 2013. № 1. Т. 1. С. 36.</w:t>
      </w:r>
    </w:p>
    <w:p w14:paraId="5B56B279"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2809BB74" w14:textId="77777777" w:rsidR="00350396" w:rsidRPr="004E0FC4" w:rsidRDefault="00350396" w:rsidP="004E0FC4">
      <w:pPr>
        <w:widowControl w:val="0"/>
        <w:spacing w:line="240" w:lineRule="auto"/>
        <w:ind w:firstLine="0"/>
        <w:rPr>
          <w:rFonts w:ascii="Bookman Old Style" w:hAnsi="Bookman Old Style"/>
          <w:sz w:val="18"/>
          <w:szCs w:val="18"/>
        </w:rPr>
      </w:pPr>
    </w:p>
    <w:p w14:paraId="18690F69"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footerReference w:type="even" r:id="rId74"/>
          <w:footerReference w:type="default" r:id="rId75"/>
          <w:footerReference w:type="first" r:id="rId76"/>
          <w:pgSz w:w="8789" w:h="13493"/>
          <w:pgMar w:top="758" w:right="1075" w:bottom="1306" w:left="1071"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829"/>
        <w:gridCol w:w="1589"/>
        <w:gridCol w:w="1963"/>
      </w:tblGrid>
      <w:tr w:rsidR="00350396" w:rsidRPr="004E0FC4" w14:paraId="6B99D1C9" w14:textId="77777777" w:rsidTr="006D7F71">
        <w:trPr>
          <w:trHeight w:hRule="exact" w:val="331"/>
          <w:jc w:val="center"/>
        </w:trPr>
        <w:tc>
          <w:tcPr>
            <w:tcW w:w="1200" w:type="dxa"/>
            <w:vMerge w:val="restart"/>
            <w:tcBorders>
              <w:top w:val="single" w:sz="4" w:space="0" w:color="auto"/>
              <w:left w:val="single" w:sz="4" w:space="0" w:color="auto"/>
            </w:tcBorders>
            <w:shd w:val="clear" w:color="auto" w:fill="FFFFFF"/>
            <w:vAlign w:val="center"/>
          </w:tcPr>
          <w:p w14:paraId="1180E073"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Составные</w:t>
            </w:r>
          </w:p>
          <w:p w14:paraId="182F633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элементы</w:t>
            </w:r>
          </w:p>
          <w:p w14:paraId="6CFCDFE2"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механизма</w:t>
            </w:r>
          </w:p>
          <w:p w14:paraId="3C25CAD3"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ГЧП</w:t>
            </w:r>
          </w:p>
        </w:tc>
        <w:tc>
          <w:tcPr>
            <w:tcW w:w="5381" w:type="dxa"/>
            <w:gridSpan w:val="3"/>
            <w:tcBorders>
              <w:top w:val="single" w:sz="4" w:space="0" w:color="auto"/>
              <w:left w:val="single" w:sz="4" w:space="0" w:color="auto"/>
              <w:right w:val="single" w:sz="4" w:space="0" w:color="auto"/>
            </w:tcBorders>
            <w:shd w:val="clear" w:color="auto" w:fill="FFFFFF"/>
            <w:vAlign w:val="bottom"/>
          </w:tcPr>
          <w:p w14:paraId="10E2E5E2"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Объекты ГЧП</w:t>
            </w:r>
          </w:p>
        </w:tc>
      </w:tr>
      <w:tr w:rsidR="00350396" w:rsidRPr="004E0FC4" w14:paraId="2695264F" w14:textId="77777777" w:rsidTr="006D7F71">
        <w:trPr>
          <w:trHeight w:hRule="exact" w:val="758"/>
          <w:jc w:val="center"/>
        </w:trPr>
        <w:tc>
          <w:tcPr>
            <w:tcW w:w="1200" w:type="dxa"/>
            <w:vMerge/>
            <w:tcBorders>
              <w:left w:val="single" w:sz="4" w:space="0" w:color="auto"/>
            </w:tcBorders>
            <w:shd w:val="clear" w:color="auto" w:fill="FFFFFF"/>
            <w:vAlign w:val="center"/>
          </w:tcPr>
          <w:p w14:paraId="0711FF30"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1829" w:type="dxa"/>
            <w:tcBorders>
              <w:top w:val="single" w:sz="4" w:space="0" w:color="auto"/>
              <w:left w:val="single" w:sz="4" w:space="0" w:color="auto"/>
            </w:tcBorders>
            <w:shd w:val="clear" w:color="auto" w:fill="FFFFFF"/>
            <w:vAlign w:val="bottom"/>
          </w:tcPr>
          <w:p w14:paraId="58778EF5"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Производствен</w:t>
            </w:r>
            <w:r w:rsidRPr="004E0FC4">
              <w:rPr>
                <w:rFonts w:ascii="Bookman Old Style" w:eastAsia="Bookman Old Style" w:hAnsi="Bookman Old Style" w:cs="Bookman Old Style"/>
                <w:b/>
                <w:bCs/>
                <w:color w:val="231F20"/>
                <w:sz w:val="18"/>
                <w:szCs w:val="18"/>
              </w:rPr>
              <w:softHyphen/>
              <w:t>ная и социальная инфраструктура</w:t>
            </w:r>
          </w:p>
        </w:tc>
        <w:tc>
          <w:tcPr>
            <w:tcW w:w="1589" w:type="dxa"/>
            <w:tcBorders>
              <w:top w:val="single" w:sz="4" w:space="0" w:color="auto"/>
              <w:left w:val="single" w:sz="4" w:space="0" w:color="auto"/>
            </w:tcBorders>
            <w:shd w:val="clear" w:color="auto" w:fill="FFFFFF"/>
            <w:vAlign w:val="bottom"/>
          </w:tcPr>
          <w:p w14:paraId="7DB42185"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Промышлен</w:t>
            </w:r>
            <w:r w:rsidRPr="004E0FC4">
              <w:rPr>
                <w:rFonts w:ascii="Bookman Old Style" w:eastAsia="Bookman Old Style" w:hAnsi="Bookman Old Style" w:cs="Bookman Old Style"/>
                <w:b/>
                <w:bCs/>
                <w:color w:val="231F20"/>
                <w:sz w:val="18"/>
                <w:szCs w:val="18"/>
              </w:rPr>
              <w:softHyphen/>
              <w:t>ные предпри</w:t>
            </w:r>
            <w:r w:rsidRPr="004E0FC4">
              <w:rPr>
                <w:rFonts w:ascii="Bookman Old Style" w:eastAsia="Bookman Old Style" w:hAnsi="Bookman Old Style" w:cs="Bookman Old Style"/>
                <w:b/>
                <w:bCs/>
                <w:color w:val="231F20"/>
                <w:sz w:val="18"/>
                <w:szCs w:val="18"/>
              </w:rPr>
              <w:softHyphen/>
              <w:t>ятия</w:t>
            </w:r>
          </w:p>
        </w:tc>
        <w:tc>
          <w:tcPr>
            <w:tcW w:w="1963" w:type="dxa"/>
            <w:tcBorders>
              <w:top w:val="single" w:sz="4" w:space="0" w:color="auto"/>
              <w:left w:val="single" w:sz="4" w:space="0" w:color="auto"/>
              <w:right w:val="single" w:sz="4" w:space="0" w:color="auto"/>
            </w:tcBorders>
            <w:shd w:val="clear" w:color="auto" w:fill="FFFFFF"/>
            <w:vAlign w:val="bottom"/>
          </w:tcPr>
          <w:p w14:paraId="0276E754"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Научные исследо</w:t>
            </w:r>
            <w:r w:rsidRPr="004E0FC4">
              <w:rPr>
                <w:rFonts w:ascii="Bookman Old Style" w:eastAsia="Bookman Old Style" w:hAnsi="Bookman Old Style" w:cs="Bookman Old Style"/>
                <w:b/>
                <w:bCs/>
                <w:color w:val="231F20"/>
                <w:sz w:val="18"/>
                <w:szCs w:val="18"/>
              </w:rPr>
              <w:softHyphen/>
              <w:t>вания, разработки и инновации</w:t>
            </w:r>
          </w:p>
        </w:tc>
      </w:tr>
      <w:tr w:rsidR="00350396" w:rsidRPr="004E0FC4" w14:paraId="141DA23F" w14:textId="77777777" w:rsidTr="006D7F71">
        <w:trPr>
          <w:trHeight w:hRule="exact" w:val="2246"/>
          <w:jc w:val="center"/>
        </w:trPr>
        <w:tc>
          <w:tcPr>
            <w:tcW w:w="1200" w:type="dxa"/>
            <w:tcBorders>
              <w:top w:val="single" w:sz="4" w:space="0" w:color="auto"/>
              <w:left w:val="single" w:sz="4" w:space="0" w:color="auto"/>
            </w:tcBorders>
            <w:shd w:val="clear" w:color="auto" w:fill="FFFFFF"/>
          </w:tcPr>
          <w:p w14:paraId="42EB5F4C"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 Модели ГЧП</w:t>
            </w:r>
          </w:p>
        </w:tc>
        <w:tc>
          <w:tcPr>
            <w:tcW w:w="3418" w:type="dxa"/>
            <w:gridSpan w:val="2"/>
            <w:tcBorders>
              <w:top w:val="single" w:sz="4" w:space="0" w:color="auto"/>
              <w:left w:val="single" w:sz="4" w:space="0" w:color="auto"/>
            </w:tcBorders>
            <w:shd w:val="clear" w:color="auto" w:fill="FFFFFF"/>
            <w:vAlign w:val="bottom"/>
          </w:tcPr>
          <w:p w14:paraId="5AB3B2BC"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Первый подход.</w:t>
            </w:r>
          </w:p>
          <w:p w14:paraId="3ADCC51E" w14:textId="77777777" w:rsidR="00350396" w:rsidRPr="004E0FC4" w:rsidRDefault="00350396" w:rsidP="004E0FC4">
            <w:pPr>
              <w:framePr w:w="6581" w:wrap="notBeside" w:vAnchor="text" w:hAnchor="text" w:xAlign="center" w:y="1"/>
              <w:widowControl w:val="0"/>
              <w:numPr>
                <w:ilvl w:val="0"/>
                <w:numId w:val="77"/>
              </w:numPr>
              <w:tabs>
                <w:tab w:val="left" w:pos="18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оператора.</w:t>
            </w:r>
          </w:p>
          <w:p w14:paraId="4282DC2D" w14:textId="77777777" w:rsidR="00350396" w:rsidRPr="004E0FC4" w:rsidRDefault="00350396" w:rsidP="004E0FC4">
            <w:pPr>
              <w:framePr w:w="6581" w:wrap="notBeside" w:vAnchor="text" w:hAnchor="text" w:xAlign="center" w:y="1"/>
              <w:widowControl w:val="0"/>
              <w:numPr>
                <w:ilvl w:val="0"/>
                <w:numId w:val="77"/>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Договорная модель.</w:t>
            </w:r>
          </w:p>
          <w:p w14:paraId="314580BE" w14:textId="77777777" w:rsidR="00350396" w:rsidRPr="004E0FC4" w:rsidRDefault="00350396" w:rsidP="004E0FC4">
            <w:pPr>
              <w:framePr w:w="6581" w:wrap="notBeside" w:vAnchor="text" w:hAnchor="text" w:xAlign="center" w:y="1"/>
              <w:widowControl w:val="0"/>
              <w:numPr>
                <w:ilvl w:val="0"/>
                <w:numId w:val="77"/>
              </w:numPr>
              <w:tabs>
                <w:tab w:val="left" w:pos="20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временной передачи прав.</w:t>
            </w:r>
          </w:p>
          <w:p w14:paraId="5268BD0F" w14:textId="77777777" w:rsidR="00350396" w:rsidRPr="004E0FC4" w:rsidRDefault="00350396" w:rsidP="004E0FC4">
            <w:pPr>
              <w:framePr w:w="6581" w:wrap="notBeside" w:vAnchor="text" w:hAnchor="text" w:xAlign="center" w:y="1"/>
              <w:widowControl w:val="0"/>
              <w:numPr>
                <w:ilvl w:val="0"/>
                <w:numId w:val="77"/>
              </w:numPr>
              <w:tabs>
                <w:tab w:val="left" w:pos="20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концессии.</w:t>
            </w:r>
          </w:p>
          <w:p w14:paraId="1729BF98" w14:textId="77777777" w:rsidR="00350396" w:rsidRPr="004E0FC4" w:rsidRDefault="00350396" w:rsidP="004E0FC4">
            <w:pPr>
              <w:framePr w:w="6581" w:wrap="notBeside" w:vAnchor="text" w:hAnchor="text" w:xAlign="center" w:y="1"/>
              <w:widowControl w:val="0"/>
              <w:numPr>
                <w:ilvl w:val="0"/>
                <w:numId w:val="77"/>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кооперации.</w:t>
            </w:r>
          </w:p>
          <w:p w14:paraId="37A7E736"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Второй подход.</w:t>
            </w:r>
          </w:p>
          <w:p w14:paraId="3F5DD6E9" w14:textId="77777777" w:rsidR="00350396" w:rsidRPr="004E0FC4" w:rsidRDefault="00350396" w:rsidP="004E0FC4">
            <w:pPr>
              <w:framePr w:w="6581" w:wrap="notBeside" w:vAnchor="text" w:hAnchor="text" w:xAlign="center" w:y="1"/>
              <w:widowControl w:val="0"/>
              <w:numPr>
                <w:ilvl w:val="0"/>
                <w:numId w:val="78"/>
              </w:numPr>
              <w:tabs>
                <w:tab w:val="left" w:pos="18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Организационная модель.</w:t>
            </w:r>
          </w:p>
          <w:p w14:paraId="0E0A8FC0" w14:textId="77777777" w:rsidR="00350396" w:rsidRPr="004E0FC4" w:rsidRDefault="00350396" w:rsidP="004E0FC4">
            <w:pPr>
              <w:framePr w:w="6581" w:wrap="notBeside" w:vAnchor="text" w:hAnchor="text" w:xAlign="center" w:y="1"/>
              <w:widowControl w:val="0"/>
              <w:numPr>
                <w:ilvl w:val="0"/>
                <w:numId w:val="78"/>
              </w:numPr>
              <w:tabs>
                <w:tab w:val="left" w:pos="20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финансирования.</w:t>
            </w:r>
          </w:p>
          <w:p w14:paraId="463969D4" w14:textId="77777777" w:rsidR="00350396" w:rsidRPr="004E0FC4" w:rsidRDefault="00350396" w:rsidP="004E0FC4">
            <w:pPr>
              <w:framePr w:w="6581" w:wrap="notBeside" w:vAnchor="text" w:hAnchor="text" w:xAlign="center" w:y="1"/>
              <w:widowControl w:val="0"/>
              <w:numPr>
                <w:ilvl w:val="0"/>
                <w:numId w:val="78"/>
              </w:numPr>
              <w:tabs>
                <w:tab w:val="left" w:pos="250"/>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кооперации</w:t>
            </w:r>
          </w:p>
        </w:tc>
        <w:tc>
          <w:tcPr>
            <w:tcW w:w="1963" w:type="dxa"/>
            <w:tcBorders>
              <w:top w:val="single" w:sz="4" w:space="0" w:color="auto"/>
              <w:left w:val="single" w:sz="4" w:space="0" w:color="auto"/>
              <w:right w:val="single" w:sz="4" w:space="0" w:color="auto"/>
            </w:tcBorders>
            <w:shd w:val="clear" w:color="auto" w:fill="FFFFFF"/>
          </w:tcPr>
          <w:p w14:paraId="239DC2E2" w14:textId="77777777" w:rsidR="00350396" w:rsidRPr="004E0FC4" w:rsidRDefault="00350396" w:rsidP="004E0FC4">
            <w:pPr>
              <w:framePr w:w="6581" w:wrap="notBeside" w:vAnchor="text" w:hAnchor="text" w:xAlign="center" w:y="1"/>
              <w:widowControl w:val="0"/>
              <w:numPr>
                <w:ilvl w:val="0"/>
                <w:numId w:val="79"/>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обмена (ориентированная на конкретный про</w:t>
            </w:r>
            <w:r w:rsidRPr="004E0FC4">
              <w:rPr>
                <w:rFonts w:ascii="Bookman Old Style" w:eastAsia="Bookman Old Style" w:hAnsi="Bookman Old Style" w:cs="Bookman Old Style"/>
                <w:color w:val="231F20"/>
                <w:sz w:val="18"/>
                <w:szCs w:val="18"/>
              </w:rPr>
              <w:softHyphen/>
              <w:t>ект).</w:t>
            </w:r>
          </w:p>
          <w:p w14:paraId="764A1BE9" w14:textId="77777777" w:rsidR="00350396" w:rsidRPr="004E0FC4" w:rsidRDefault="00350396" w:rsidP="004E0FC4">
            <w:pPr>
              <w:framePr w:w="6581" w:wrap="notBeside" w:vAnchor="text" w:hAnchor="text" w:xAlign="center" w:y="1"/>
              <w:widowControl w:val="0"/>
              <w:numPr>
                <w:ilvl w:val="0"/>
                <w:numId w:val="79"/>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«пула» (институциональное партнерство, долго</w:t>
            </w:r>
            <w:r w:rsidRPr="004E0FC4">
              <w:rPr>
                <w:rFonts w:ascii="Bookman Old Style" w:eastAsia="Bookman Old Style" w:hAnsi="Bookman Old Style" w:cs="Bookman Old Style"/>
                <w:color w:val="231F20"/>
                <w:sz w:val="18"/>
                <w:szCs w:val="18"/>
              </w:rPr>
              <w:softHyphen/>
              <w:t>срочная кооперация)</w:t>
            </w:r>
          </w:p>
        </w:tc>
      </w:tr>
      <w:tr w:rsidR="00350396" w:rsidRPr="004E0FC4" w14:paraId="7A2F859A" w14:textId="77777777" w:rsidTr="006D7F71">
        <w:trPr>
          <w:trHeight w:hRule="exact" w:val="2462"/>
          <w:jc w:val="center"/>
        </w:trPr>
        <w:tc>
          <w:tcPr>
            <w:tcW w:w="1200" w:type="dxa"/>
            <w:tcBorders>
              <w:top w:val="single" w:sz="4" w:space="0" w:color="auto"/>
              <w:left w:val="single" w:sz="4" w:space="0" w:color="auto"/>
            </w:tcBorders>
            <w:shd w:val="clear" w:color="auto" w:fill="FFFFFF"/>
          </w:tcPr>
          <w:p w14:paraId="4FE6143E"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 Фи</w:t>
            </w:r>
            <w:r w:rsidRPr="004E0FC4">
              <w:rPr>
                <w:rFonts w:ascii="Bookman Old Style" w:eastAsia="Bookman Old Style" w:hAnsi="Bookman Old Style" w:cs="Bookman Old Style"/>
                <w:color w:val="231F20"/>
                <w:sz w:val="18"/>
                <w:szCs w:val="18"/>
              </w:rPr>
              <w:softHyphen/>
              <w:t>нансовые</w:t>
            </w:r>
          </w:p>
          <w:p w14:paraId="48A361B2"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органи</w:t>
            </w:r>
            <w:r w:rsidRPr="004E0FC4">
              <w:rPr>
                <w:rFonts w:ascii="Bookman Old Style" w:eastAsia="Bookman Old Style" w:hAnsi="Bookman Old Style" w:cs="Bookman Old Style"/>
                <w:color w:val="231F20"/>
                <w:sz w:val="18"/>
                <w:szCs w:val="18"/>
              </w:rPr>
              <w:softHyphen/>
              <w:t>зационные</w:t>
            </w:r>
          </w:p>
          <w:p w14:paraId="3EE7B4F8"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инструмен</w:t>
            </w:r>
            <w:r w:rsidRPr="004E0FC4">
              <w:rPr>
                <w:rFonts w:ascii="Bookman Old Style" w:eastAsia="Bookman Old Style" w:hAnsi="Bookman Old Style" w:cs="Bookman Old Style"/>
                <w:color w:val="231F20"/>
                <w:sz w:val="18"/>
                <w:szCs w:val="18"/>
              </w:rPr>
              <w:softHyphen/>
              <w:t>ты институ</w:t>
            </w:r>
            <w:r w:rsidRPr="004E0FC4">
              <w:rPr>
                <w:rFonts w:ascii="Bookman Old Style" w:eastAsia="Bookman Old Style" w:hAnsi="Bookman Old Style" w:cs="Bookman Old Style"/>
                <w:color w:val="231F20"/>
                <w:sz w:val="18"/>
                <w:szCs w:val="18"/>
              </w:rPr>
              <w:softHyphen/>
              <w:t>циональной среды ГЧП</w:t>
            </w:r>
          </w:p>
        </w:tc>
        <w:tc>
          <w:tcPr>
            <w:tcW w:w="1829" w:type="dxa"/>
            <w:tcBorders>
              <w:top w:val="single" w:sz="4" w:space="0" w:color="auto"/>
              <w:left w:val="single" w:sz="4" w:space="0" w:color="auto"/>
            </w:tcBorders>
            <w:shd w:val="clear" w:color="auto" w:fill="FFFFFF"/>
          </w:tcPr>
          <w:p w14:paraId="5A1656A0" w14:textId="77777777" w:rsidR="00350396" w:rsidRPr="004E0FC4" w:rsidRDefault="00350396" w:rsidP="004E0FC4">
            <w:pPr>
              <w:framePr w:w="6581" w:wrap="notBeside" w:vAnchor="text" w:hAnchor="text" w:xAlign="center" w:y="1"/>
              <w:widowControl w:val="0"/>
              <w:numPr>
                <w:ilvl w:val="0"/>
                <w:numId w:val="80"/>
              </w:numPr>
              <w:tabs>
                <w:tab w:val="left" w:pos="19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Инвестиционный фонд.</w:t>
            </w:r>
          </w:p>
          <w:p w14:paraId="26060B5F" w14:textId="77777777" w:rsidR="00350396" w:rsidRPr="004E0FC4" w:rsidRDefault="00350396" w:rsidP="004E0FC4">
            <w:pPr>
              <w:framePr w:w="6581" w:wrap="notBeside" w:vAnchor="text" w:hAnchor="text" w:xAlign="center" w:y="1"/>
              <w:widowControl w:val="0"/>
              <w:numPr>
                <w:ilvl w:val="0"/>
                <w:numId w:val="80"/>
              </w:numPr>
              <w:tabs>
                <w:tab w:val="left" w:pos="20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Банк развития.</w:t>
            </w:r>
          </w:p>
          <w:p w14:paraId="50EF0DC8" w14:textId="77777777" w:rsidR="00350396" w:rsidRPr="004E0FC4" w:rsidRDefault="00350396" w:rsidP="004E0FC4">
            <w:pPr>
              <w:framePr w:w="6581" w:wrap="notBeside" w:vAnchor="text" w:hAnchor="text" w:xAlign="center" w:y="1"/>
              <w:widowControl w:val="0"/>
              <w:numPr>
                <w:ilvl w:val="0"/>
                <w:numId w:val="80"/>
              </w:numPr>
              <w:tabs>
                <w:tab w:val="left" w:pos="206"/>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Региональный центр ГЧП</w:t>
            </w:r>
          </w:p>
        </w:tc>
        <w:tc>
          <w:tcPr>
            <w:tcW w:w="1589" w:type="dxa"/>
            <w:tcBorders>
              <w:top w:val="single" w:sz="4" w:space="0" w:color="auto"/>
              <w:left w:val="single" w:sz="4" w:space="0" w:color="auto"/>
            </w:tcBorders>
            <w:shd w:val="clear" w:color="auto" w:fill="FFFFFF"/>
          </w:tcPr>
          <w:p w14:paraId="7DF09C6D" w14:textId="77777777" w:rsidR="00350396" w:rsidRPr="004E0FC4" w:rsidRDefault="00350396" w:rsidP="004E0FC4">
            <w:pPr>
              <w:framePr w:w="6581" w:wrap="notBeside" w:vAnchor="text" w:hAnchor="text" w:xAlign="center" w:y="1"/>
              <w:widowControl w:val="0"/>
              <w:numPr>
                <w:ilvl w:val="0"/>
                <w:numId w:val="81"/>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Промышлен</w:t>
            </w:r>
            <w:r w:rsidRPr="004E0FC4">
              <w:rPr>
                <w:rFonts w:ascii="Bookman Old Style" w:eastAsia="Bookman Old Style" w:hAnsi="Bookman Old Style" w:cs="Bookman Old Style"/>
                <w:color w:val="231F20"/>
                <w:sz w:val="18"/>
                <w:szCs w:val="18"/>
              </w:rPr>
              <w:softHyphen/>
              <w:t>ные кластеры.</w:t>
            </w:r>
          </w:p>
          <w:p w14:paraId="12ADFB96" w14:textId="77777777" w:rsidR="00350396" w:rsidRPr="004E0FC4" w:rsidRDefault="00350396" w:rsidP="004E0FC4">
            <w:pPr>
              <w:framePr w:w="6581" w:wrap="notBeside" w:vAnchor="text" w:hAnchor="text" w:xAlign="center" w:y="1"/>
              <w:widowControl w:val="0"/>
              <w:numPr>
                <w:ilvl w:val="0"/>
                <w:numId w:val="81"/>
              </w:numPr>
              <w:tabs>
                <w:tab w:val="left" w:pos="20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Промышлен- но-производ- ственные ОЭЗ</w:t>
            </w:r>
          </w:p>
        </w:tc>
        <w:tc>
          <w:tcPr>
            <w:tcW w:w="1963" w:type="dxa"/>
            <w:tcBorders>
              <w:top w:val="single" w:sz="4" w:space="0" w:color="auto"/>
              <w:left w:val="single" w:sz="4" w:space="0" w:color="auto"/>
              <w:right w:val="single" w:sz="4" w:space="0" w:color="auto"/>
            </w:tcBorders>
            <w:shd w:val="clear" w:color="auto" w:fill="FFFFFF"/>
            <w:vAlign w:val="bottom"/>
          </w:tcPr>
          <w:p w14:paraId="379951E1" w14:textId="77777777" w:rsidR="00350396" w:rsidRPr="004E0FC4" w:rsidRDefault="00350396" w:rsidP="004E0FC4">
            <w:pPr>
              <w:framePr w:w="6581" w:wrap="notBeside" w:vAnchor="text" w:hAnchor="text" w:xAlign="center" w:y="1"/>
              <w:widowControl w:val="0"/>
              <w:numPr>
                <w:ilvl w:val="0"/>
                <w:numId w:val="82"/>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Венчурные инно</w:t>
            </w:r>
            <w:r w:rsidRPr="004E0FC4">
              <w:rPr>
                <w:rFonts w:ascii="Bookman Old Style" w:eastAsia="Bookman Old Style" w:hAnsi="Bookman Old Style" w:cs="Bookman Old Style"/>
                <w:color w:val="231F20"/>
                <w:sz w:val="18"/>
                <w:szCs w:val="18"/>
              </w:rPr>
              <w:softHyphen/>
              <w:t>вационные фонды.</w:t>
            </w:r>
          </w:p>
          <w:p w14:paraId="0FE6FAE9" w14:textId="77777777" w:rsidR="00350396" w:rsidRPr="004E0FC4" w:rsidRDefault="00350396" w:rsidP="004E0FC4">
            <w:pPr>
              <w:framePr w:w="6581" w:wrap="notBeside" w:vAnchor="text" w:hAnchor="text" w:xAlign="center" w:y="1"/>
              <w:widowControl w:val="0"/>
              <w:numPr>
                <w:ilvl w:val="0"/>
                <w:numId w:val="82"/>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Венчурные ком</w:t>
            </w:r>
            <w:r w:rsidRPr="004E0FC4">
              <w:rPr>
                <w:rFonts w:ascii="Bookman Old Style" w:eastAsia="Bookman Old Style" w:hAnsi="Bookman Old Style" w:cs="Bookman Old Style"/>
                <w:color w:val="231F20"/>
                <w:sz w:val="18"/>
                <w:szCs w:val="18"/>
              </w:rPr>
              <w:softHyphen/>
              <w:t>пании.</w:t>
            </w:r>
          </w:p>
          <w:p w14:paraId="2B346BC7" w14:textId="77777777" w:rsidR="00350396" w:rsidRPr="004E0FC4" w:rsidRDefault="00350396" w:rsidP="004E0FC4">
            <w:pPr>
              <w:framePr w:w="6581" w:wrap="notBeside" w:vAnchor="text" w:hAnchor="text" w:xAlign="center" w:y="1"/>
              <w:widowControl w:val="0"/>
              <w:numPr>
                <w:ilvl w:val="0"/>
                <w:numId w:val="82"/>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Технико-внедрен</w:t>
            </w:r>
            <w:r w:rsidRPr="004E0FC4">
              <w:rPr>
                <w:rFonts w:ascii="Bookman Old Style" w:eastAsia="Bookman Old Style" w:hAnsi="Bookman Old Style" w:cs="Bookman Old Style"/>
                <w:color w:val="231F20"/>
                <w:sz w:val="18"/>
                <w:szCs w:val="18"/>
              </w:rPr>
              <w:softHyphen/>
              <w:t>ческие ОЭЗ.</w:t>
            </w:r>
          </w:p>
          <w:p w14:paraId="15176E70" w14:textId="77777777" w:rsidR="00350396" w:rsidRPr="004E0FC4" w:rsidRDefault="00350396" w:rsidP="004E0FC4">
            <w:pPr>
              <w:framePr w:w="6581" w:wrap="notBeside" w:vAnchor="text" w:hAnchor="text" w:xAlign="center" w:y="1"/>
              <w:widowControl w:val="0"/>
              <w:numPr>
                <w:ilvl w:val="0"/>
                <w:numId w:val="82"/>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Технологические платформы.</w:t>
            </w:r>
          </w:p>
          <w:p w14:paraId="3EF47A8E" w14:textId="77777777" w:rsidR="00350396" w:rsidRPr="004E0FC4" w:rsidRDefault="00350396" w:rsidP="004E0FC4">
            <w:pPr>
              <w:framePr w:w="6581" w:wrap="notBeside" w:vAnchor="text" w:hAnchor="text" w:xAlign="center" w:y="1"/>
              <w:widowControl w:val="0"/>
              <w:numPr>
                <w:ilvl w:val="0"/>
                <w:numId w:val="82"/>
              </w:numPr>
              <w:tabs>
                <w:tab w:val="left" w:pos="192"/>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Технопарки.</w:t>
            </w:r>
          </w:p>
          <w:p w14:paraId="440E7872" w14:textId="77777777" w:rsidR="00350396" w:rsidRPr="004E0FC4" w:rsidRDefault="00350396" w:rsidP="004E0FC4">
            <w:pPr>
              <w:framePr w:w="6581" w:wrap="notBeside" w:vAnchor="text" w:hAnchor="text" w:xAlign="center" w:y="1"/>
              <w:widowControl w:val="0"/>
              <w:numPr>
                <w:ilvl w:val="0"/>
                <w:numId w:val="82"/>
              </w:numPr>
              <w:tabs>
                <w:tab w:val="left" w:pos="197"/>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Бизнес-инкуба</w:t>
            </w:r>
            <w:r w:rsidRPr="004E0FC4">
              <w:rPr>
                <w:rFonts w:ascii="Bookman Old Style" w:eastAsia="Bookman Old Style" w:hAnsi="Bookman Old Style" w:cs="Bookman Old Style"/>
                <w:color w:val="231F20"/>
                <w:sz w:val="18"/>
                <w:szCs w:val="18"/>
              </w:rPr>
              <w:softHyphen/>
              <w:t>торы</w:t>
            </w:r>
          </w:p>
        </w:tc>
      </w:tr>
      <w:tr w:rsidR="00350396" w:rsidRPr="004E0FC4" w14:paraId="2D16A5C4" w14:textId="77777777" w:rsidTr="006D7F71">
        <w:trPr>
          <w:trHeight w:hRule="exact" w:val="3245"/>
          <w:jc w:val="center"/>
        </w:trPr>
        <w:tc>
          <w:tcPr>
            <w:tcW w:w="1200" w:type="dxa"/>
            <w:tcBorders>
              <w:top w:val="single" w:sz="4" w:space="0" w:color="auto"/>
              <w:left w:val="single" w:sz="4" w:space="0" w:color="auto"/>
            </w:tcBorders>
            <w:shd w:val="clear" w:color="auto" w:fill="FFFFFF"/>
          </w:tcPr>
          <w:p w14:paraId="0C255D22"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 Субъекты ГЧП</w:t>
            </w:r>
          </w:p>
        </w:tc>
        <w:tc>
          <w:tcPr>
            <w:tcW w:w="5381" w:type="dxa"/>
            <w:gridSpan w:val="3"/>
            <w:tcBorders>
              <w:top w:val="single" w:sz="4" w:space="0" w:color="auto"/>
              <w:left w:val="single" w:sz="4" w:space="0" w:color="auto"/>
              <w:right w:val="single" w:sz="4" w:space="0" w:color="auto"/>
            </w:tcBorders>
            <w:shd w:val="clear" w:color="auto" w:fill="FFFFFF"/>
            <w:vAlign w:val="bottom"/>
          </w:tcPr>
          <w:p w14:paraId="1072A251" w14:textId="77777777" w:rsidR="00350396" w:rsidRPr="004E0FC4" w:rsidRDefault="00350396" w:rsidP="004E0FC4">
            <w:pPr>
              <w:framePr w:w="6581" w:wrap="notBeside" w:vAnchor="text" w:hAnchor="text" w:xAlign="center" w:y="1"/>
              <w:widowControl w:val="0"/>
              <w:numPr>
                <w:ilvl w:val="0"/>
                <w:numId w:val="83"/>
              </w:numPr>
              <w:tabs>
                <w:tab w:val="left" w:pos="197"/>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Представители публичной власти (федеральные, регио</w:t>
            </w:r>
            <w:r w:rsidRPr="004E0FC4">
              <w:rPr>
                <w:rFonts w:ascii="Bookman Old Style" w:eastAsia="Bookman Old Style" w:hAnsi="Bookman Old Style" w:cs="Bookman Old Style"/>
                <w:color w:val="231F20"/>
                <w:sz w:val="18"/>
                <w:szCs w:val="18"/>
              </w:rPr>
              <w:softHyphen/>
              <w:t>нальные и муниципальные органы власти, министерства, ведомства).</w:t>
            </w:r>
          </w:p>
          <w:p w14:paraId="18C9C369" w14:textId="77777777" w:rsidR="00350396" w:rsidRPr="004E0FC4" w:rsidRDefault="00350396" w:rsidP="004E0FC4">
            <w:pPr>
              <w:framePr w:w="6581" w:wrap="notBeside" w:vAnchor="text" w:hAnchor="text" w:xAlign="center" w:y="1"/>
              <w:widowControl w:val="0"/>
              <w:numPr>
                <w:ilvl w:val="0"/>
                <w:numId w:val="83"/>
              </w:numPr>
              <w:tabs>
                <w:tab w:val="left" w:pos="202"/>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Представители частного сектора (юридические и (или) физические лица).</w:t>
            </w:r>
          </w:p>
          <w:p w14:paraId="0F5A5FA6" w14:textId="77777777" w:rsidR="00350396" w:rsidRPr="004E0FC4" w:rsidRDefault="00350396" w:rsidP="004E0FC4">
            <w:pPr>
              <w:framePr w:w="6581" w:wrap="notBeside" w:vAnchor="text" w:hAnchor="text" w:xAlign="center" w:y="1"/>
              <w:widowControl w:val="0"/>
              <w:numPr>
                <w:ilvl w:val="0"/>
                <w:numId w:val="83"/>
              </w:numPr>
              <w:tabs>
                <w:tab w:val="left" w:pos="206"/>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Государственные и частные центры ГЧП, экспертные орга</w:t>
            </w:r>
            <w:r w:rsidRPr="004E0FC4">
              <w:rPr>
                <w:rFonts w:ascii="Bookman Old Style" w:eastAsia="Bookman Old Style" w:hAnsi="Bookman Old Style" w:cs="Bookman Old Style"/>
                <w:color w:val="231F20"/>
                <w:sz w:val="18"/>
                <w:szCs w:val="18"/>
              </w:rPr>
              <w:softHyphen/>
              <w:t>низации.</w:t>
            </w:r>
          </w:p>
          <w:p w14:paraId="1914283E" w14:textId="77777777" w:rsidR="00350396" w:rsidRPr="004E0FC4" w:rsidRDefault="00350396" w:rsidP="004E0FC4">
            <w:pPr>
              <w:framePr w:w="6581" w:wrap="notBeside" w:vAnchor="text" w:hAnchor="text" w:xAlign="center" w:y="1"/>
              <w:widowControl w:val="0"/>
              <w:numPr>
                <w:ilvl w:val="0"/>
                <w:numId w:val="83"/>
              </w:numPr>
              <w:tabs>
                <w:tab w:val="left" w:pos="202"/>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Контролирующие организации.</w:t>
            </w:r>
          </w:p>
          <w:p w14:paraId="35588A32" w14:textId="77777777" w:rsidR="00350396" w:rsidRPr="004E0FC4" w:rsidRDefault="00350396" w:rsidP="004E0FC4">
            <w:pPr>
              <w:framePr w:w="6581" w:wrap="notBeside" w:vAnchor="text" w:hAnchor="text" w:xAlign="center" w:y="1"/>
              <w:widowControl w:val="0"/>
              <w:numPr>
                <w:ilvl w:val="0"/>
                <w:numId w:val="83"/>
              </w:numPr>
              <w:tabs>
                <w:tab w:val="left" w:pos="197"/>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Инвестиционные компании, фонды, коммерческие банки.</w:t>
            </w:r>
          </w:p>
          <w:p w14:paraId="20BA786F" w14:textId="77777777" w:rsidR="00350396" w:rsidRPr="004E0FC4" w:rsidRDefault="00350396" w:rsidP="004E0FC4">
            <w:pPr>
              <w:framePr w:w="6581" w:wrap="notBeside" w:vAnchor="text" w:hAnchor="text" w:xAlign="center" w:y="1"/>
              <w:widowControl w:val="0"/>
              <w:numPr>
                <w:ilvl w:val="0"/>
                <w:numId w:val="83"/>
              </w:numPr>
              <w:tabs>
                <w:tab w:val="left" w:pos="202"/>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Общественные организации.</w:t>
            </w:r>
          </w:p>
          <w:p w14:paraId="2CAAECC1" w14:textId="77777777" w:rsidR="00350396" w:rsidRPr="004E0FC4" w:rsidRDefault="00350396" w:rsidP="004E0FC4">
            <w:pPr>
              <w:framePr w:w="6581" w:wrap="notBeside" w:vAnchor="text" w:hAnchor="text" w:xAlign="center" w:y="1"/>
              <w:widowControl w:val="0"/>
              <w:numPr>
                <w:ilvl w:val="0"/>
                <w:numId w:val="83"/>
              </w:numPr>
              <w:tabs>
                <w:tab w:val="left" w:pos="187"/>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Страховые организации.</w:t>
            </w:r>
          </w:p>
          <w:p w14:paraId="344964F5" w14:textId="77777777" w:rsidR="00350396" w:rsidRPr="004E0FC4" w:rsidRDefault="00350396" w:rsidP="004E0FC4">
            <w:pPr>
              <w:framePr w:w="6581" w:wrap="notBeside" w:vAnchor="text" w:hAnchor="text" w:xAlign="center" w:y="1"/>
              <w:widowControl w:val="0"/>
              <w:numPr>
                <w:ilvl w:val="0"/>
                <w:numId w:val="83"/>
              </w:numPr>
              <w:tabs>
                <w:tab w:val="left" w:pos="202"/>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Государственные и частные научно-исследовательские организации.</w:t>
            </w:r>
          </w:p>
          <w:p w14:paraId="7EB2D15C" w14:textId="77777777" w:rsidR="00350396" w:rsidRPr="004E0FC4" w:rsidRDefault="00350396" w:rsidP="004E0FC4">
            <w:pPr>
              <w:framePr w:w="6581" w:wrap="notBeside" w:vAnchor="text" w:hAnchor="text" w:xAlign="center" w:y="1"/>
              <w:widowControl w:val="0"/>
              <w:numPr>
                <w:ilvl w:val="0"/>
                <w:numId w:val="83"/>
              </w:numPr>
              <w:tabs>
                <w:tab w:val="left" w:pos="202"/>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Ресурсоснабжающие организации</w:t>
            </w:r>
          </w:p>
        </w:tc>
      </w:tr>
      <w:tr w:rsidR="00350396" w:rsidRPr="004E0FC4" w14:paraId="6E1DC73C" w14:textId="77777777" w:rsidTr="006D7F71">
        <w:trPr>
          <w:trHeight w:hRule="exact" w:val="1925"/>
          <w:jc w:val="center"/>
        </w:trPr>
        <w:tc>
          <w:tcPr>
            <w:tcW w:w="1200" w:type="dxa"/>
            <w:tcBorders>
              <w:top w:val="single" w:sz="4" w:space="0" w:color="auto"/>
              <w:left w:val="single" w:sz="4" w:space="0" w:color="auto"/>
              <w:bottom w:val="single" w:sz="4" w:space="0" w:color="auto"/>
            </w:tcBorders>
            <w:shd w:val="clear" w:color="auto" w:fill="FFFFFF"/>
          </w:tcPr>
          <w:p w14:paraId="58E2270B"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5. Виды финансиро</w:t>
            </w:r>
            <w:r w:rsidRPr="004E0FC4">
              <w:rPr>
                <w:rFonts w:ascii="Bookman Old Style" w:eastAsia="Bookman Old Style" w:hAnsi="Bookman Old Style" w:cs="Bookman Old Style"/>
                <w:color w:val="231F20"/>
                <w:sz w:val="18"/>
                <w:szCs w:val="18"/>
              </w:rPr>
              <w:softHyphen/>
              <w:t>вания</w:t>
            </w:r>
          </w:p>
        </w:tc>
        <w:tc>
          <w:tcPr>
            <w:tcW w:w="538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700BED7"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рамках ГЧП предполагается смешанное финансирование со стороны государства и частного сектора (в рамках одной или нескольких моделей).</w:t>
            </w:r>
          </w:p>
          <w:p w14:paraId="72A622E2" w14:textId="77777777" w:rsidR="00350396" w:rsidRPr="004E0FC4" w:rsidRDefault="00350396" w:rsidP="004E0FC4">
            <w:pPr>
              <w:framePr w:w="6581" w:wrap="notBeside" w:vAnchor="text" w:hAnchor="text" w:xAlign="center" w:y="1"/>
              <w:widowControl w:val="0"/>
              <w:numPr>
                <w:ilvl w:val="0"/>
                <w:numId w:val="84"/>
              </w:numPr>
              <w:tabs>
                <w:tab w:val="left" w:pos="182"/>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Кредиты, займы, кредитные линии банков.</w:t>
            </w:r>
          </w:p>
          <w:p w14:paraId="6A951DC7" w14:textId="77777777" w:rsidR="00350396" w:rsidRPr="004E0FC4" w:rsidRDefault="00350396" w:rsidP="004E0FC4">
            <w:pPr>
              <w:framePr w:w="6581" w:wrap="notBeside" w:vAnchor="text" w:hAnchor="text" w:xAlign="center" w:y="1"/>
              <w:widowControl w:val="0"/>
              <w:numPr>
                <w:ilvl w:val="0"/>
                <w:numId w:val="84"/>
              </w:numPr>
              <w:tabs>
                <w:tab w:val="left" w:pos="197"/>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Проектное финансирование, инфраструктурные облигации.</w:t>
            </w:r>
          </w:p>
          <w:p w14:paraId="75A447DC" w14:textId="77777777" w:rsidR="00350396" w:rsidRPr="004E0FC4" w:rsidRDefault="00350396" w:rsidP="004E0FC4">
            <w:pPr>
              <w:framePr w:w="6581" w:wrap="notBeside" w:vAnchor="text" w:hAnchor="text" w:xAlign="center" w:y="1"/>
              <w:widowControl w:val="0"/>
              <w:numPr>
                <w:ilvl w:val="0"/>
                <w:numId w:val="84"/>
              </w:numPr>
              <w:tabs>
                <w:tab w:val="left" w:pos="202"/>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Венчурное финансирование.</w:t>
            </w:r>
          </w:p>
          <w:p w14:paraId="3A65CAB1" w14:textId="77777777" w:rsidR="00350396" w:rsidRPr="004E0FC4" w:rsidRDefault="00350396" w:rsidP="004E0FC4">
            <w:pPr>
              <w:framePr w:w="6581" w:wrap="notBeside" w:vAnchor="text" w:hAnchor="text" w:xAlign="center" w:y="1"/>
              <w:widowControl w:val="0"/>
              <w:numPr>
                <w:ilvl w:val="0"/>
                <w:numId w:val="84"/>
              </w:numPr>
              <w:tabs>
                <w:tab w:val="left" w:pos="206"/>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Средства инвестиционных фондов, облигационные займы и др.</w:t>
            </w:r>
          </w:p>
        </w:tc>
      </w:tr>
    </w:tbl>
    <w:p w14:paraId="077127F6"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1B16AFDB" w14:textId="77777777" w:rsidR="00350396" w:rsidRPr="004E0FC4" w:rsidRDefault="00350396" w:rsidP="004E0FC4">
      <w:pPr>
        <w:widowControl w:val="0"/>
        <w:spacing w:line="240" w:lineRule="auto"/>
        <w:ind w:firstLine="0"/>
        <w:rPr>
          <w:rFonts w:ascii="Bookman Old Style" w:hAnsi="Bookman Old Style"/>
          <w:sz w:val="18"/>
          <w:szCs w:val="18"/>
        </w:rPr>
      </w:pPr>
    </w:p>
    <w:p w14:paraId="506533D5"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color w:val="231F20"/>
          <w:sz w:val="18"/>
          <w:szCs w:val="18"/>
        </w:rPr>
        <w:t>Окончание табл. 4.13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0"/>
        <w:gridCol w:w="1829"/>
        <w:gridCol w:w="1589"/>
        <w:gridCol w:w="1963"/>
      </w:tblGrid>
      <w:tr w:rsidR="00350396" w:rsidRPr="004E0FC4" w14:paraId="30F92A6E" w14:textId="77777777" w:rsidTr="006D7F71">
        <w:trPr>
          <w:trHeight w:hRule="exact" w:val="331"/>
          <w:jc w:val="center"/>
        </w:trPr>
        <w:tc>
          <w:tcPr>
            <w:tcW w:w="1200" w:type="dxa"/>
            <w:vMerge w:val="restart"/>
            <w:tcBorders>
              <w:top w:val="single" w:sz="4" w:space="0" w:color="auto"/>
              <w:left w:val="single" w:sz="4" w:space="0" w:color="auto"/>
            </w:tcBorders>
            <w:shd w:val="clear" w:color="auto" w:fill="FFFFFF"/>
            <w:vAlign w:val="center"/>
          </w:tcPr>
          <w:p w14:paraId="558252F6" w14:textId="77777777" w:rsidR="00350396" w:rsidRPr="004E0FC4" w:rsidRDefault="00350396" w:rsidP="004E0FC4">
            <w:pPr>
              <w:framePr w:w="6581" w:wrap="notBeside" w:vAnchor="text" w:hAnchor="text" w:xAlign="center" w:y="1"/>
              <w:widowControl w:val="0"/>
              <w:spacing w:line="216" w:lineRule="exact"/>
              <w:ind w:left="14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Составные</w:t>
            </w:r>
          </w:p>
          <w:p w14:paraId="03B58661" w14:textId="77777777" w:rsidR="00350396" w:rsidRPr="004E0FC4" w:rsidRDefault="00350396" w:rsidP="004E0FC4">
            <w:pPr>
              <w:framePr w:w="6581" w:wrap="notBeside" w:vAnchor="text" w:hAnchor="text" w:xAlign="center" w:y="1"/>
              <w:widowControl w:val="0"/>
              <w:spacing w:line="216" w:lineRule="exact"/>
              <w:ind w:left="14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элементы</w:t>
            </w:r>
          </w:p>
          <w:p w14:paraId="65F0F700" w14:textId="77777777" w:rsidR="00350396" w:rsidRPr="004E0FC4" w:rsidRDefault="00350396" w:rsidP="004E0FC4">
            <w:pPr>
              <w:framePr w:w="6581" w:wrap="notBeside" w:vAnchor="text" w:hAnchor="text" w:xAlign="center" w:y="1"/>
              <w:widowControl w:val="0"/>
              <w:spacing w:line="216" w:lineRule="exact"/>
              <w:ind w:left="140"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механизма</w:t>
            </w:r>
          </w:p>
          <w:p w14:paraId="6840AAF1"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ГЧП</w:t>
            </w:r>
          </w:p>
        </w:tc>
        <w:tc>
          <w:tcPr>
            <w:tcW w:w="5381" w:type="dxa"/>
            <w:gridSpan w:val="3"/>
            <w:tcBorders>
              <w:top w:val="single" w:sz="4" w:space="0" w:color="auto"/>
              <w:left w:val="single" w:sz="4" w:space="0" w:color="auto"/>
              <w:right w:val="single" w:sz="4" w:space="0" w:color="auto"/>
            </w:tcBorders>
            <w:shd w:val="clear" w:color="auto" w:fill="FFFFFF"/>
            <w:vAlign w:val="bottom"/>
          </w:tcPr>
          <w:p w14:paraId="13EAC7A1"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Объекты ГЧП</w:t>
            </w:r>
          </w:p>
        </w:tc>
      </w:tr>
      <w:tr w:rsidR="00350396" w:rsidRPr="004E0FC4" w14:paraId="2EBB005C" w14:textId="77777777" w:rsidTr="006D7F71">
        <w:trPr>
          <w:trHeight w:hRule="exact" w:val="758"/>
          <w:jc w:val="center"/>
        </w:trPr>
        <w:tc>
          <w:tcPr>
            <w:tcW w:w="1200" w:type="dxa"/>
            <w:vMerge/>
            <w:tcBorders>
              <w:left w:val="single" w:sz="4" w:space="0" w:color="auto"/>
            </w:tcBorders>
            <w:shd w:val="clear" w:color="auto" w:fill="FFFFFF"/>
            <w:vAlign w:val="center"/>
          </w:tcPr>
          <w:p w14:paraId="61DD879D"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1829" w:type="dxa"/>
            <w:tcBorders>
              <w:top w:val="single" w:sz="4" w:space="0" w:color="auto"/>
              <w:left w:val="single" w:sz="4" w:space="0" w:color="auto"/>
            </w:tcBorders>
            <w:shd w:val="clear" w:color="auto" w:fill="FFFFFF"/>
            <w:vAlign w:val="bottom"/>
          </w:tcPr>
          <w:p w14:paraId="0AA88115"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Производствен</w:t>
            </w:r>
            <w:r w:rsidRPr="004E0FC4">
              <w:rPr>
                <w:rFonts w:ascii="Bookman Old Style" w:eastAsia="Bookman Old Style" w:hAnsi="Bookman Old Style" w:cs="Bookman Old Style"/>
                <w:b/>
                <w:bCs/>
                <w:color w:val="231F20"/>
                <w:sz w:val="18"/>
                <w:szCs w:val="18"/>
              </w:rPr>
              <w:softHyphen/>
              <w:t>ная и социальная инфраструктура</w:t>
            </w:r>
          </w:p>
        </w:tc>
        <w:tc>
          <w:tcPr>
            <w:tcW w:w="1589" w:type="dxa"/>
            <w:tcBorders>
              <w:top w:val="single" w:sz="4" w:space="0" w:color="auto"/>
              <w:left w:val="single" w:sz="4" w:space="0" w:color="auto"/>
            </w:tcBorders>
            <w:shd w:val="clear" w:color="auto" w:fill="FFFFFF"/>
            <w:vAlign w:val="bottom"/>
          </w:tcPr>
          <w:p w14:paraId="7D6CBD72"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Промышлен</w:t>
            </w:r>
            <w:r w:rsidRPr="004E0FC4">
              <w:rPr>
                <w:rFonts w:ascii="Bookman Old Style" w:eastAsia="Bookman Old Style" w:hAnsi="Bookman Old Style" w:cs="Bookman Old Style"/>
                <w:b/>
                <w:bCs/>
                <w:color w:val="231F20"/>
                <w:sz w:val="18"/>
                <w:szCs w:val="18"/>
              </w:rPr>
              <w:softHyphen/>
              <w:t>ные предпри</w:t>
            </w:r>
            <w:r w:rsidRPr="004E0FC4">
              <w:rPr>
                <w:rFonts w:ascii="Bookman Old Style" w:eastAsia="Bookman Old Style" w:hAnsi="Bookman Old Style" w:cs="Bookman Old Style"/>
                <w:b/>
                <w:bCs/>
                <w:color w:val="231F20"/>
                <w:sz w:val="18"/>
                <w:szCs w:val="18"/>
              </w:rPr>
              <w:softHyphen/>
              <w:t>ятия</w:t>
            </w:r>
          </w:p>
        </w:tc>
        <w:tc>
          <w:tcPr>
            <w:tcW w:w="1963" w:type="dxa"/>
            <w:tcBorders>
              <w:top w:val="single" w:sz="4" w:space="0" w:color="auto"/>
              <w:left w:val="single" w:sz="4" w:space="0" w:color="auto"/>
              <w:right w:val="single" w:sz="4" w:space="0" w:color="auto"/>
            </w:tcBorders>
            <w:shd w:val="clear" w:color="auto" w:fill="FFFFFF"/>
            <w:vAlign w:val="bottom"/>
          </w:tcPr>
          <w:p w14:paraId="4FACAECE"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Научные исследо</w:t>
            </w:r>
            <w:r w:rsidRPr="004E0FC4">
              <w:rPr>
                <w:rFonts w:ascii="Bookman Old Style" w:eastAsia="Bookman Old Style" w:hAnsi="Bookman Old Style" w:cs="Bookman Old Style"/>
                <w:b/>
                <w:bCs/>
                <w:color w:val="231F20"/>
                <w:sz w:val="18"/>
                <w:szCs w:val="18"/>
              </w:rPr>
              <w:softHyphen/>
              <w:t>вания, разработки и инновации</w:t>
            </w:r>
          </w:p>
        </w:tc>
      </w:tr>
      <w:tr w:rsidR="00350396" w:rsidRPr="004E0FC4" w14:paraId="7D5F5004" w14:textId="77777777" w:rsidTr="006D7F71">
        <w:trPr>
          <w:trHeight w:hRule="exact" w:val="1258"/>
          <w:jc w:val="center"/>
        </w:trPr>
        <w:tc>
          <w:tcPr>
            <w:tcW w:w="1200" w:type="dxa"/>
            <w:tcBorders>
              <w:top w:val="single" w:sz="4" w:space="0" w:color="auto"/>
              <w:left w:val="single" w:sz="4" w:space="0" w:color="auto"/>
              <w:bottom w:val="single" w:sz="4" w:space="0" w:color="auto"/>
            </w:tcBorders>
            <w:shd w:val="clear" w:color="auto" w:fill="FFFFFF"/>
          </w:tcPr>
          <w:p w14:paraId="570995FF"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538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CC49E7" w14:textId="77777777" w:rsidR="00350396" w:rsidRPr="004E0FC4" w:rsidRDefault="00350396" w:rsidP="004E0FC4">
            <w:pPr>
              <w:framePr w:w="6581" w:wrap="notBeside" w:vAnchor="text" w:hAnchor="text" w:xAlign="center" w:y="1"/>
              <w:widowControl w:val="0"/>
              <w:numPr>
                <w:ilvl w:val="0"/>
                <w:numId w:val="85"/>
              </w:numPr>
              <w:tabs>
                <w:tab w:val="left" w:pos="206"/>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Субсидирование и бюджетные инвестиции (предусмотре</w:t>
            </w:r>
            <w:r w:rsidRPr="004E0FC4">
              <w:rPr>
                <w:rFonts w:ascii="Bookman Old Style" w:eastAsia="Bookman Old Style" w:hAnsi="Bookman Old Style" w:cs="Bookman Old Style"/>
                <w:color w:val="231F20"/>
                <w:sz w:val="18"/>
                <w:szCs w:val="18"/>
              </w:rPr>
              <w:softHyphen/>
              <w:t>ны Бюджетным кодексом РФ).</w:t>
            </w:r>
          </w:p>
          <w:p w14:paraId="293BFCD5" w14:textId="77777777" w:rsidR="00350396" w:rsidRPr="004E0FC4" w:rsidRDefault="00350396" w:rsidP="004E0FC4">
            <w:pPr>
              <w:framePr w:w="6581" w:wrap="notBeside" w:vAnchor="text" w:hAnchor="text" w:xAlign="center" w:y="1"/>
              <w:widowControl w:val="0"/>
              <w:numPr>
                <w:ilvl w:val="0"/>
                <w:numId w:val="85"/>
              </w:numPr>
              <w:tabs>
                <w:tab w:val="left" w:pos="197"/>
              </w:tabs>
              <w:spacing w:line="221"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Капитальный грант, плата концедента (формы публичного финансирования, которые выработаны практикой ГЧП в Рос</w:t>
            </w:r>
            <w:r w:rsidRPr="004E0FC4">
              <w:rPr>
                <w:rFonts w:ascii="Bookman Old Style" w:eastAsia="Bookman Old Style" w:hAnsi="Bookman Old Style" w:cs="Bookman Old Style"/>
                <w:color w:val="231F20"/>
                <w:sz w:val="18"/>
                <w:szCs w:val="18"/>
              </w:rPr>
              <w:softHyphen/>
              <w:t>сии на 2018 г.)</w:t>
            </w:r>
          </w:p>
        </w:tc>
      </w:tr>
    </w:tbl>
    <w:p w14:paraId="4C8DA516"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71030BBD" w14:textId="77777777" w:rsidR="00350396" w:rsidRPr="004E0FC4" w:rsidRDefault="00350396" w:rsidP="004E0FC4">
      <w:pPr>
        <w:widowControl w:val="0"/>
        <w:spacing w:line="240" w:lineRule="auto"/>
        <w:ind w:firstLine="0"/>
        <w:rPr>
          <w:rFonts w:ascii="Bookman Old Style" w:hAnsi="Bookman Old Style"/>
          <w:sz w:val="18"/>
          <w:szCs w:val="18"/>
        </w:rPr>
      </w:pPr>
    </w:p>
    <w:p w14:paraId="1CE64E32" w14:textId="77777777" w:rsidR="00350396" w:rsidRPr="004E0FC4" w:rsidRDefault="00350396" w:rsidP="004E0FC4">
      <w:pPr>
        <w:widowControl w:val="0"/>
        <w:spacing w:before="98"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Рассмотрим их более подробно.</w:t>
      </w:r>
    </w:p>
    <w:p w14:paraId="4A528372"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Возможность использования долгосрочных заемных средств, привлекаемых под приемлемую процентную ставку, является ре</w:t>
      </w:r>
      <w:r w:rsidRPr="004E0FC4">
        <w:rPr>
          <w:rFonts w:ascii="Bookman Old Style" w:eastAsia="Bookman Old Style" w:hAnsi="Bookman Old Style" w:cs="Bookman Old Style"/>
          <w:color w:val="231F20"/>
          <w:sz w:val="18"/>
          <w:szCs w:val="18"/>
        </w:rPr>
        <w:softHyphen/>
        <w:t>шающей для любых инвестиционных проектов. Для ранних этапов реализации инновационных проектов особую роль играет возмож</w:t>
      </w:r>
      <w:r w:rsidRPr="004E0FC4">
        <w:rPr>
          <w:rFonts w:ascii="Bookman Old Style" w:eastAsia="Bookman Old Style" w:hAnsi="Bookman Old Style" w:cs="Bookman Old Style"/>
          <w:color w:val="231F20"/>
          <w:sz w:val="18"/>
          <w:szCs w:val="18"/>
        </w:rPr>
        <w:softHyphen/>
        <w:t>ность беззалогового финансирования. Одним из инструментов, при</w:t>
      </w:r>
      <w:r w:rsidRPr="004E0FC4">
        <w:rPr>
          <w:rFonts w:ascii="Bookman Old Style" w:eastAsia="Bookman Old Style" w:hAnsi="Bookman Old Style" w:cs="Bookman Old Style"/>
          <w:color w:val="231F20"/>
          <w:sz w:val="18"/>
          <w:szCs w:val="18"/>
        </w:rPr>
        <w:softHyphen/>
        <w:t>менение которого способно положительно сказаться на процессах инвестирования инновационной деятельности в российской эконо</w:t>
      </w:r>
      <w:r w:rsidRPr="004E0FC4">
        <w:rPr>
          <w:rFonts w:ascii="Bookman Old Style" w:eastAsia="Bookman Old Style" w:hAnsi="Bookman Old Style" w:cs="Bookman Old Style"/>
          <w:color w:val="231F20"/>
          <w:sz w:val="18"/>
          <w:szCs w:val="18"/>
        </w:rPr>
        <w:softHyphen/>
        <w:t xml:space="preserve">мике, являются специальные проектные облигации. </w:t>
      </w:r>
      <w:r w:rsidRPr="004E0FC4">
        <w:rPr>
          <w:rFonts w:ascii="Bookman Old Style" w:eastAsia="Bookman Old Style" w:hAnsi="Bookman Old Style" w:cs="Bookman Old Style"/>
          <w:i/>
          <w:iCs/>
          <w:color w:val="231F20"/>
          <w:sz w:val="18"/>
          <w:szCs w:val="18"/>
        </w:rPr>
        <w:t>Проектные об</w:t>
      </w:r>
      <w:r w:rsidRPr="004E0FC4">
        <w:rPr>
          <w:rFonts w:ascii="Bookman Old Style" w:eastAsia="Bookman Old Style" w:hAnsi="Bookman Old Style" w:cs="Bookman Old Style"/>
          <w:i/>
          <w:iCs/>
          <w:color w:val="231F20"/>
          <w:sz w:val="18"/>
          <w:szCs w:val="18"/>
        </w:rPr>
        <w:softHyphen/>
        <w:t xml:space="preserve">лигации, </w:t>
      </w:r>
      <w:r w:rsidRPr="004E0FC4">
        <w:rPr>
          <w:rFonts w:ascii="Bookman Old Style" w:eastAsia="Bookman Old Style" w:hAnsi="Bookman Old Style" w:cs="Bookman Old Style"/>
          <w:i/>
          <w:iCs/>
          <w:color w:val="231F20"/>
          <w:sz w:val="18"/>
          <w:szCs w:val="18"/>
          <w:lang w:val="en-US" w:eastAsia="en-US" w:bidi="en-US"/>
        </w:rPr>
        <w:t>revenue</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bonds</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так же как и используемые сегодня для ГЧП инфраструктурные облигации, — разновидности секьюритизиро</w:t>
      </w:r>
      <w:r w:rsidRPr="004E0FC4">
        <w:rPr>
          <w:rFonts w:ascii="Bookman Old Style" w:eastAsia="Bookman Old Style" w:hAnsi="Bookman Old Style" w:cs="Bookman Old Style"/>
          <w:color w:val="231F20"/>
          <w:sz w:val="18"/>
          <w:szCs w:val="18"/>
        </w:rPr>
        <w:softHyphen/>
        <w:t>ванных долговых бумаг. Они выпускаются специальной проектной компанией, имеют целевое назначение, обеспечены потоками пред</w:t>
      </w:r>
      <w:r w:rsidRPr="004E0FC4">
        <w:rPr>
          <w:rFonts w:ascii="Bookman Old Style" w:eastAsia="Bookman Old Style" w:hAnsi="Bookman Old Style" w:cs="Bookman Old Style"/>
          <w:color w:val="231F20"/>
          <w:sz w:val="18"/>
          <w:szCs w:val="18"/>
        </w:rPr>
        <w:softHyphen/>
        <w:t>полагаемых доходов от реализуемых инновационных проектов, под которые они выпускаются в рамках проектного финансирования</w:t>
      </w:r>
      <w:r w:rsidRPr="004E0FC4">
        <w:rPr>
          <w:rFonts w:ascii="Bookman Old Style" w:eastAsia="Bookman Old Style" w:hAnsi="Bookman Old Style" w:cs="Bookman Old Style"/>
          <w:color w:val="231F20"/>
          <w:sz w:val="18"/>
          <w:szCs w:val="18"/>
          <w:vertAlign w:val="superscript"/>
        </w:rPr>
        <w:footnoteReference w:id="149"/>
      </w:r>
      <w:r w:rsidRPr="004E0FC4">
        <w:rPr>
          <w:rFonts w:ascii="Bookman Old Style" w:eastAsia="Bookman Old Style" w:hAnsi="Bookman Old Style" w:cs="Bookman Old Style"/>
          <w:color w:val="231F20"/>
          <w:sz w:val="18"/>
          <w:szCs w:val="18"/>
        </w:rPr>
        <w:t>.</w:t>
      </w:r>
    </w:p>
    <w:p w14:paraId="5A89777E"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Известная концепция «тройной спирали»</w:t>
      </w:r>
      <w:r w:rsidRPr="004E0FC4">
        <w:rPr>
          <w:rFonts w:ascii="Bookman Old Style" w:eastAsia="Bookman Old Style" w:hAnsi="Bookman Old Style" w:cs="Bookman Old Style"/>
          <w:color w:val="231F20"/>
          <w:sz w:val="18"/>
          <w:szCs w:val="18"/>
          <w:vertAlign w:val="superscript"/>
        </w:rPr>
        <w:footnoteReference w:id="150"/>
      </w:r>
      <w:r w:rsidRPr="004E0FC4">
        <w:rPr>
          <w:rFonts w:ascii="Bookman Old Style" w:eastAsia="Bookman Old Style" w:hAnsi="Bookman Old Style" w:cs="Bookman Old Style"/>
          <w:color w:val="231F20"/>
          <w:sz w:val="18"/>
          <w:szCs w:val="18"/>
        </w:rPr>
        <w:t xml:space="preserve"> отражает основную суть государственно-частного взаимодействия в инновационной сфе</w:t>
      </w:r>
      <w:r w:rsidRPr="004E0FC4">
        <w:rPr>
          <w:rFonts w:ascii="Bookman Old Style" w:eastAsia="Bookman Old Style" w:hAnsi="Bookman Old Style" w:cs="Bookman Old Style"/>
          <w:color w:val="231F20"/>
          <w:sz w:val="18"/>
          <w:szCs w:val="18"/>
        </w:rPr>
        <w:softHyphen/>
        <w:t>ре. В центре данного взаимодействия согласно авторам концепции оказываются университеты, которые производят знания, в то время как бизнес и государство материально и организационно поддержи</w:t>
      </w:r>
      <w:r w:rsidRPr="004E0FC4">
        <w:rPr>
          <w:rFonts w:ascii="Bookman Old Style" w:eastAsia="Bookman Old Style" w:hAnsi="Bookman Old Style" w:cs="Bookman Old Style"/>
          <w:color w:val="231F20"/>
          <w:sz w:val="18"/>
          <w:szCs w:val="18"/>
        </w:rPr>
        <w:softHyphen/>
        <w:t>вают процессы создания инноваций и их коммерциализации.</w:t>
      </w:r>
    </w:p>
    <w:p w14:paraId="66B9F6C3" w14:textId="77777777" w:rsidR="00350396" w:rsidRPr="004E0FC4" w:rsidRDefault="00350396" w:rsidP="004E0FC4">
      <w:pPr>
        <w:widowControl w:val="0"/>
        <w:spacing w:line="240" w:lineRule="auto"/>
        <w:ind w:firstLine="340"/>
        <w:rPr>
          <w:rFonts w:ascii="Bookman Old Style" w:hAnsi="Bookman Old Style"/>
          <w:sz w:val="18"/>
          <w:szCs w:val="18"/>
        </w:rPr>
        <w:sectPr w:rsidR="00350396" w:rsidRPr="004E0FC4">
          <w:footerReference w:type="even" r:id="rId77"/>
          <w:footerReference w:type="default" r:id="rId78"/>
          <w:headerReference w:type="first" r:id="rId79"/>
          <w:footerReference w:type="first" r:id="rId80"/>
          <w:pgSz w:w="8789" w:h="13493"/>
          <w:pgMar w:top="1219" w:right="1076" w:bottom="1095" w:left="1069" w:header="0" w:footer="3" w:gutter="0"/>
          <w:cols w:space="720"/>
          <w:noEndnote/>
          <w:titlePg/>
          <w:docGrid w:linePitch="360"/>
        </w:sectPr>
      </w:pPr>
      <w:r w:rsidRPr="004E0FC4">
        <w:rPr>
          <w:rFonts w:ascii="Bookman Old Style" w:eastAsia="Bookman Old Style" w:hAnsi="Bookman Old Style" w:cs="Bookman Old Style"/>
          <w:color w:val="231F20"/>
          <w:sz w:val="18"/>
          <w:szCs w:val="18"/>
        </w:rPr>
        <w:t>В России сегодня, как указывают исследователи</w:t>
      </w:r>
      <w:r w:rsidRPr="004E0FC4">
        <w:rPr>
          <w:rFonts w:ascii="Bookman Old Style" w:eastAsia="Bookman Old Style" w:hAnsi="Bookman Old Style" w:cs="Bookman Old Style"/>
          <w:color w:val="231F20"/>
          <w:sz w:val="18"/>
          <w:szCs w:val="18"/>
          <w:vertAlign w:val="superscript"/>
        </w:rPr>
        <w:footnoteReference w:id="151"/>
      </w:r>
      <w:r w:rsidRPr="004E0FC4">
        <w:rPr>
          <w:rFonts w:ascii="Bookman Old Style" w:eastAsia="Bookman Old Style" w:hAnsi="Bookman Old Style" w:cs="Bookman Old Style"/>
          <w:color w:val="231F20"/>
          <w:sz w:val="18"/>
          <w:szCs w:val="18"/>
        </w:rPr>
        <w:t>, реализовать модель взаимодействия университетов, бизнеса и государства на основе ГЧП возможно лишь в ограниченном числе регионов, располагающих научными кластерами, т. е. университетами, ака-</w:t>
      </w:r>
    </w:p>
    <w:p w14:paraId="073C7674" w14:textId="77777777" w:rsidR="00350396" w:rsidRPr="004E0FC4" w:rsidRDefault="00350396" w:rsidP="004E0FC4">
      <w:pPr>
        <w:widowControl w:val="0"/>
        <w:spacing w:line="245"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демическими и отраслевыми научными центрами. Создание ин</w:t>
      </w:r>
      <w:r w:rsidRPr="004E0FC4">
        <w:rPr>
          <w:rFonts w:ascii="Bookman Old Style" w:eastAsia="Bookman Old Style" w:hAnsi="Bookman Old Style" w:cs="Bookman Old Style"/>
          <w:color w:val="231F20"/>
          <w:sz w:val="18"/>
          <w:szCs w:val="18"/>
        </w:rPr>
        <w:softHyphen/>
        <w:t>новационных кластеров на основе научных кластеров возможно лишь при наличии высокого уровня взаимопроникновения кадров (студентов, преподавателей, исследователей) между университета</w:t>
      </w:r>
      <w:r w:rsidRPr="004E0FC4">
        <w:rPr>
          <w:rFonts w:ascii="Bookman Old Style" w:eastAsia="Bookman Old Style" w:hAnsi="Bookman Old Style" w:cs="Bookman Old Style"/>
          <w:color w:val="231F20"/>
          <w:sz w:val="18"/>
          <w:szCs w:val="18"/>
        </w:rPr>
        <w:softHyphen/>
        <w:t>ми, научными центрами и предприятиями (бизнесом). Лишь доста</w:t>
      </w:r>
      <w:r w:rsidRPr="004E0FC4">
        <w:rPr>
          <w:rFonts w:ascii="Bookman Old Style" w:eastAsia="Bookman Old Style" w:hAnsi="Bookman Old Style" w:cs="Bookman Old Style"/>
          <w:color w:val="231F20"/>
          <w:sz w:val="18"/>
          <w:szCs w:val="18"/>
        </w:rPr>
        <w:softHyphen/>
        <w:t>точно высокий уровень формальных и неформальных коммуника</w:t>
      </w:r>
      <w:r w:rsidRPr="004E0FC4">
        <w:rPr>
          <w:rFonts w:ascii="Bookman Old Style" w:eastAsia="Bookman Old Style" w:hAnsi="Bookman Old Style" w:cs="Bookman Old Style"/>
          <w:color w:val="231F20"/>
          <w:sz w:val="18"/>
          <w:szCs w:val="18"/>
        </w:rPr>
        <w:softHyphen/>
        <w:t>ций может обеспечить трансфер технологий и явных и «неявных» знаний</w:t>
      </w: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которым характеризуется работающий инновационный кластер. В свою очередь, формирование отношений ГЧП внутри инновационного кластера потребует, с одной стороны, вовлечения бизнеса в систему вузовского администрирования (создание так на</w:t>
      </w:r>
      <w:r w:rsidRPr="004E0FC4">
        <w:rPr>
          <w:rFonts w:ascii="Bookman Old Style" w:eastAsia="Bookman Old Style" w:hAnsi="Bookman Old Style" w:cs="Bookman Old Style"/>
          <w:color w:val="231F20"/>
          <w:sz w:val="18"/>
          <w:szCs w:val="18"/>
        </w:rPr>
        <w:softHyphen/>
        <w:t>зываемых предпринимательских университетов — элемента теории тройной спирали), а с другой — широкого участия региональных и федеральных властей.</w:t>
      </w:r>
    </w:p>
    <w:p w14:paraId="3598EAED" w14:textId="77777777" w:rsidR="00350396" w:rsidRPr="004E0FC4" w:rsidRDefault="00350396" w:rsidP="004E0FC4">
      <w:pPr>
        <w:widowControl w:val="0"/>
        <w:spacing w:line="245" w:lineRule="exact"/>
        <w:ind w:firstLine="320"/>
        <w:rPr>
          <w:rFonts w:ascii="Bookman Old Style" w:hAnsi="Bookman Old Style"/>
          <w:sz w:val="18"/>
          <w:szCs w:val="18"/>
        </w:rPr>
      </w:pPr>
      <w:r w:rsidRPr="004E0FC4">
        <w:rPr>
          <w:rFonts w:ascii="Bookman Old Style" w:eastAsia="Bookman Old Style" w:hAnsi="Bookman Old Style" w:cs="Bookman Old Style"/>
          <w:i/>
          <w:iCs/>
          <w:sz w:val="18"/>
          <w:szCs w:val="18"/>
        </w:rPr>
        <w:t xml:space="preserve">Выделим также некоторые </w:t>
      </w:r>
      <w:r w:rsidRPr="004E0FC4">
        <w:rPr>
          <w:rFonts w:ascii="Bookman Old Style" w:eastAsia="Bookman Old Style" w:hAnsi="Bookman Old Style" w:cs="Bookman Old Style"/>
          <w:color w:val="231F20"/>
          <w:sz w:val="18"/>
          <w:szCs w:val="18"/>
        </w:rPr>
        <w:t>ограничения в развитии ГЧП в инно</w:t>
      </w:r>
      <w:r w:rsidRPr="004E0FC4">
        <w:rPr>
          <w:rFonts w:ascii="Bookman Old Style" w:eastAsia="Bookman Old Style" w:hAnsi="Bookman Old Style" w:cs="Bookman Old Style"/>
          <w:color w:val="231F20"/>
          <w:sz w:val="18"/>
          <w:szCs w:val="18"/>
        </w:rPr>
        <w:softHyphen/>
        <w:t>вационной сфере.</w:t>
      </w:r>
    </w:p>
    <w:p w14:paraId="46795512" w14:textId="77777777" w:rsidR="00350396" w:rsidRPr="004E0FC4" w:rsidRDefault="00350396" w:rsidP="004E0FC4">
      <w:pPr>
        <w:widowControl w:val="0"/>
        <w:spacing w:line="245"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Одно из ограничений касается соблюдения правил ВТО. Осо</w:t>
      </w:r>
      <w:r w:rsidRPr="004E0FC4">
        <w:rPr>
          <w:rFonts w:ascii="Bookman Old Style" w:eastAsia="Bookman Old Style" w:hAnsi="Bookman Old Style" w:cs="Bookman Old Style"/>
          <w:color w:val="231F20"/>
          <w:sz w:val="18"/>
          <w:szCs w:val="18"/>
        </w:rPr>
        <w:softHyphen/>
        <w:t>бенностью государственной поддержки инновационных отраслей является то, что по условиям ВТО все формы поддержки, в том чис</w:t>
      </w:r>
      <w:r w:rsidRPr="004E0FC4">
        <w:rPr>
          <w:rFonts w:ascii="Bookman Old Style" w:eastAsia="Bookman Old Style" w:hAnsi="Bookman Old Style" w:cs="Bookman Old Style"/>
          <w:color w:val="231F20"/>
          <w:sz w:val="18"/>
          <w:szCs w:val="18"/>
        </w:rPr>
        <w:softHyphen/>
        <w:t>ле проектов ГЧП, должны производиться на стадии прикладных или предконкурентных НИОКР. В соответствии с «Соглашениями по субсидиям и компенсационным мерам» (ССКМ) ВТО иннова</w:t>
      </w:r>
      <w:r w:rsidRPr="004E0FC4">
        <w:rPr>
          <w:rFonts w:ascii="Bookman Old Style" w:eastAsia="Bookman Old Style" w:hAnsi="Bookman Old Style" w:cs="Bookman Old Style"/>
          <w:color w:val="231F20"/>
          <w:sz w:val="18"/>
          <w:szCs w:val="18"/>
        </w:rPr>
        <w:softHyphen/>
        <w:t>ционный процесс функционально делится на предконкурентную и конкурентную стадии. На предконкурентной стадии формулиру</w:t>
      </w:r>
      <w:r w:rsidRPr="004E0FC4">
        <w:rPr>
          <w:rFonts w:ascii="Bookman Old Style" w:eastAsia="Bookman Old Style" w:hAnsi="Bookman Old Style" w:cs="Bookman Old Style"/>
          <w:color w:val="231F20"/>
          <w:sz w:val="18"/>
          <w:szCs w:val="18"/>
        </w:rPr>
        <w:softHyphen/>
        <w:t>ется концепция новых товаров, способов или услуг, их первоначаль</w:t>
      </w:r>
      <w:r w:rsidRPr="004E0FC4">
        <w:rPr>
          <w:rFonts w:ascii="Bookman Old Style" w:eastAsia="Bookman Old Style" w:hAnsi="Bookman Old Style" w:cs="Bookman Old Style"/>
          <w:color w:val="231F20"/>
          <w:sz w:val="18"/>
          <w:szCs w:val="18"/>
        </w:rPr>
        <w:softHyphen/>
        <w:t>ные демонстрационные (пилотные) образцы, которые не должны иметь возможностей приспособления для промышленного приме</w:t>
      </w:r>
      <w:r w:rsidRPr="004E0FC4">
        <w:rPr>
          <w:rFonts w:ascii="Bookman Old Style" w:eastAsia="Bookman Old Style" w:hAnsi="Bookman Old Style" w:cs="Bookman Old Style"/>
          <w:color w:val="231F20"/>
          <w:sz w:val="18"/>
          <w:szCs w:val="18"/>
        </w:rPr>
        <w:softHyphen/>
        <w:t>нения или коммерческой эксплуатации. Бюджетное финансиро</w:t>
      </w:r>
      <w:r w:rsidRPr="004E0FC4">
        <w:rPr>
          <w:rFonts w:ascii="Bookman Old Style" w:eastAsia="Bookman Old Style" w:hAnsi="Bookman Old Style" w:cs="Bookman Old Style"/>
          <w:color w:val="231F20"/>
          <w:sz w:val="18"/>
          <w:szCs w:val="18"/>
        </w:rPr>
        <w:softHyphen/>
        <w:t>вание проектов НИОКР разрешается только на предконкурентной стадии, иначе в рамках ВТО это будет рассматриваться как субси</w:t>
      </w:r>
      <w:r w:rsidRPr="004E0FC4">
        <w:rPr>
          <w:rFonts w:ascii="Bookman Old Style" w:eastAsia="Bookman Old Style" w:hAnsi="Bookman Old Style" w:cs="Bookman Old Style"/>
          <w:color w:val="231F20"/>
          <w:sz w:val="18"/>
          <w:szCs w:val="18"/>
        </w:rPr>
        <w:softHyphen/>
        <w:t>дирование производственных компаний</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w:t>
      </w:r>
    </w:p>
    <w:p w14:paraId="37C17E9D" w14:textId="77777777" w:rsidR="00350396" w:rsidRPr="004E0FC4" w:rsidRDefault="00350396" w:rsidP="004E0FC4">
      <w:pPr>
        <w:widowControl w:val="0"/>
        <w:spacing w:line="245"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Другое важное ограничение, которое формирует определенные рамки сотрудничества с иностранными партнерами в рамках всех ГЧП-проектов, но в особенности в инновационной сфере, определя</w:t>
      </w:r>
      <w:r w:rsidRPr="004E0FC4">
        <w:rPr>
          <w:rFonts w:ascii="Bookman Old Style" w:eastAsia="Bookman Old Style" w:hAnsi="Bookman Old Style" w:cs="Bookman Old Style"/>
          <w:color w:val="231F20"/>
          <w:sz w:val="18"/>
          <w:szCs w:val="18"/>
        </w:rPr>
        <w:softHyphen/>
        <w:t xml:space="preserve">ется приоритетами политики </w:t>
      </w:r>
      <w:r w:rsidRPr="004E0FC4">
        <w:rPr>
          <w:rFonts w:ascii="Bookman Old Style" w:eastAsia="Bookman Old Style" w:hAnsi="Bookman Old Style" w:cs="Bookman Old Style"/>
          <w:i/>
          <w:iCs/>
          <w:color w:val="231F20"/>
          <w:sz w:val="18"/>
          <w:szCs w:val="18"/>
        </w:rPr>
        <w:t>импортозамещения.</w:t>
      </w:r>
    </w:p>
    <w:p w14:paraId="1523162B" w14:textId="77777777" w:rsidR="00350396" w:rsidRPr="004E0FC4" w:rsidRDefault="00350396" w:rsidP="004E0FC4">
      <w:pPr>
        <w:widowControl w:val="0"/>
        <w:spacing w:line="245" w:lineRule="exact"/>
        <w:ind w:firstLine="320"/>
        <w:rPr>
          <w:rFonts w:ascii="Bookman Old Style" w:hAnsi="Bookman Old Style"/>
          <w:sz w:val="18"/>
          <w:szCs w:val="18"/>
          <w:highlight w:val="red"/>
        </w:rPr>
        <w:sectPr w:rsidR="00350396" w:rsidRPr="004E0FC4">
          <w:pgSz w:w="8789" w:h="13493"/>
          <w:pgMar w:top="752" w:right="1075" w:bottom="1292" w:left="1070" w:header="0" w:footer="3" w:gutter="0"/>
          <w:cols w:space="720"/>
          <w:noEndnote/>
          <w:docGrid w:linePitch="360"/>
        </w:sectPr>
      </w:pPr>
      <w:r w:rsidRPr="004E0FC4">
        <w:rPr>
          <w:rFonts w:ascii="Bookman Old Style" w:eastAsia="Bookman Old Style" w:hAnsi="Bookman Old Style" w:cs="Bookman Old Style"/>
          <w:color w:val="231F20"/>
          <w:sz w:val="18"/>
          <w:szCs w:val="18"/>
          <w:highlight w:val="red"/>
        </w:rPr>
        <w:t>Некоторые авторы считают, что сегодня «главная цель реали</w:t>
      </w:r>
      <w:r w:rsidRPr="004E0FC4">
        <w:rPr>
          <w:rFonts w:ascii="Bookman Old Style" w:eastAsia="Bookman Old Style" w:hAnsi="Bookman Old Style" w:cs="Bookman Old Style"/>
          <w:color w:val="231F20"/>
          <w:sz w:val="18"/>
          <w:szCs w:val="18"/>
          <w:highlight w:val="red"/>
        </w:rPr>
        <w:softHyphen/>
        <w:t>зации механизмов взаимодействия государства и бизнеса — обе</w:t>
      </w:r>
      <w:r w:rsidRPr="004E0FC4">
        <w:rPr>
          <w:rFonts w:ascii="Bookman Old Style" w:eastAsia="Bookman Old Style" w:hAnsi="Bookman Old Style" w:cs="Bookman Old Style"/>
          <w:color w:val="231F20"/>
          <w:sz w:val="18"/>
          <w:szCs w:val="18"/>
          <w:highlight w:val="red"/>
        </w:rPr>
        <w:softHyphen/>
        <w:t>спечить необходимую степень независимости России от импор</w:t>
      </w:r>
      <w:r w:rsidRPr="004E0FC4">
        <w:rPr>
          <w:rFonts w:ascii="Bookman Old Style" w:eastAsia="Bookman Old Style" w:hAnsi="Bookman Old Style" w:cs="Bookman Old Style"/>
          <w:color w:val="231F20"/>
          <w:sz w:val="18"/>
          <w:szCs w:val="18"/>
          <w:highlight w:val="red"/>
        </w:rPr>
        <w:softHyphen/>
        <w:t>та высокотехнологичной продукции и передовых технологий для устранения опасного уровня существующей зависимости рос</w:t>
      </w:r>
      <w:r w:rsidRPr="004E0FC4">
        <w:rPr>
          <w:rFonts w:ascii="Bookman Old Style" w:eastAsia="Bookman Old Style" w:hAnsi="Bookman Old Style" w:cs="Bookman Old Style"/>
          <w:color w:val="231F20"/>
          <w:sz w:val="18"/>
          <w:szCs w:val="18"/>
          <w:highlight w:val="red"/>
        </w:rPr>
        <w:softHyphen/>
        <w:t xml:space="preserve">сийской экономики от иностранных поставщиков, в том числе для функционирования стратегически важных отраслей народного </w:t>
      </w:r>
      <w:r w:rsidRPr="004E0FC4">
        <w:rPr>
          <w:rFonts w:ascii="Bookman Old Style" w:eastAsia="Bookman Old Style" w:hAnsi="Bookman Old Style" w:cs="Bookman Old Style"/>
          <w:color w:val="231F20"/>
          <w:sz w:val="18"/>
          <w:szCs w:val="18"/>
          <w:highlight w:val="red"/>
          <w:vertAlign w:val="superscript"/>
        </w:rPr>
        <w:footnoteReference w:id="152"/>
      </w:r>
      <w:r w:rsidRPr="004E0FC4">
        <w:rPr>
          <w:rFonts w:ascii="Bookman Old Style" w:eastAsia="Bookman Old Style" w:hAnsi="Bookman Old Style" w:cs="Bookman Old Style"/>
          <w:color w:val="231F20"/>
          <w:sz w:val="18"/>
          <w:szCs w:val="18"/>
          <w:highlight w:val="red"/>
          <w:vertAlign w:val="superscript"/>
        </w:rPr>
        <w:t xml:space="preserve"> </w:t>
      </w:r>
      <w:r w:rsidRPr="004E0FC4">
        <w:rPr>
          <w:rFonts w:ascii="Bookman Old Style" w:eastAsia="Bookman Old Style" w:hAnsi="Bookman Old Style" w:cs="Bookman Old Style"/>
          <w:color w:val="231F20"/>
          <w:sz w:val="18"/>
          <w:szCs w:val="18"/>
          <w:highlight w:val="red"/>
          <w:vertAlign w:val="superscript"/>
        </w:rPr>
        <w:footnoteReference w:id="153"/>
      </w:r>
      <w:r w:rsidRPr="004E0FC4">
        <w:rPr>
          <w:rFonts w:ascii="Bookman Old Style" w:eastAsia="Bookman Old Style" w:hAnsi="Bookman Old Style" w:cs="Bookman Old Style"/>
          <w:color w:val="231F20"/>
          <w:sz w:val="18"/>
          <w:szCs w:val="18"/>
          <w:highlight w:val="red"/>
        </w:rPr>
        <w:t xml:space="preserve"> </w:t>
      </w:r>
    </w:p>
    <w:p w14:paraId="7E162DE2" w14:textId="77777777" w:rsidR="00350396" w:rsidRPr="004E0FC4" w:rsidRDefault="00350396" w:rsidP="004E0FC4">
      <w:pPr>
        <w:widowControl w:val="0"/>
        <w:spacing w:line="245" w:lineRule="exact"/>
        <w:ind w:firstLine="32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lastRenderedPageBreak/>
        <w:t>хозяйства»</w:t>
      </w:r>
      <w:r w:rsidRPr="004E0FC4">
        <w:rPr>
          <w:rFonts w:ascii="Bookman Old Style" w:eastAsia="Bookman Old Style" w:hAnsi="Bookman Old Style" w:cs="Bookman Old Style"/>
          <w:color w:val="231F20"/>
          <w:sz w:val="18"/>
          <w:szCs w:val="18"/>
          <w:highlight w:val="red"/>
          <w:vertAlign w:val="superscript"/>
        </w:rPr>
        <w:t>1</w:t>
      </w:r>
      <w:r w:rsidRPr="004E0FC4">
        <w:rPr>
          <w:rFonts w:ascii="Bookman Old Style" w:eastAsia="Bookman Old Style" w:hAnsi="Bookman Old Style" w:cs="Bookman Old Style"/>
          <w:color w:val="231F20"/>
          <w:sz w:val="18"/>
          <w:szCs w:val="18"/>
          <w:highlight w:val="red"/>
        </w:rPr>
        <w:t xml:space="preserve">. По их мнению, главным механизмом взаимодействия государства и бизнеса на период до 2020 г. должен стать ряд мер по </w:t>
      </w:r>
      <w:r w:rsidRPr="004E0FC4">
        <w:rPr>
          <w:rFonts w:ascii="Bookman Old Style" w:eastAsia="Bookman Old Style" w:hAnsi="Bookman Old Style" w:cs="Bookman Old Style"/>
          <w:i/>
          <w:iCs/>
          <w:color w:val="231F20"/>
          <w:sz w:val="18"/>
          <w:szCs w:val="18"/>
          <w:highlight w:val="red"/>
        </w:rPr>
        <w:t>импортозамещению</w:t>
      </w:r>
      <w:r w:rsidRPr="004E0FC4">
        <w:rPr>
          <w:rFonts w:ascii="Bookman Old Style" w:eastAsia="Bookman Old Style" w:hAnsi="Bookman Old Style" w:cs="Bookman Old Style"/>
          <w:color w:val="231F20"/>
          <w:sz w:val="18"/>
          <w:szCs w:val="18"/>
          <w:highlight w:val="red"/>
        </w:rPr>
        <w:t xml:space="preserve"> производства высокотехнологичной продук</w:t>
      </w:r>
      <w:r w:rsidRPr="004E0FC4">
        <w:rPr>
          <w:rFonts w:ascii="Bookman Old Style" w:eastAsia="Bookman Old Style" w:hAnsi="Bookman Old Style" w:cs="Bookman Old Style"/>
          <w:color w:val="231F20"/>
          <w:sz w:val="18"/>
          <w:szCs w:val="18"/>
          <w:highlight w:val="red"/>
        </w:rPr>
        <w:softHyphen/>
        <w:t>ции, которые включают:</w:t>
      </w:r>
    </w:p>
    <w:p w14:paraId="33EB3522" w14:textId="77777777" w:rsidR="00350396" w:rsidRPr="004E0FC4" w:rsidRDefault="00350396" w:rsidP="004E0FC4">
      <w:pPr>
        <w:widowControl w:val="0"/>
        <w:numPr>
          <w:ilvl w:val="0"/>
          <w:numId w:val="67"/>
        </w:numPr>
        <w:tabs>
          <w:tab w:val="left" w:pos="628"/>
        </w:tabs>
        <w:spacing w:line="245"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сбор информации по крупным долгосрочным контрактам российских компаний на закупку за рубежом в ближайшие пять — шесть лет металлоемких изделий, конструкций, высокотехнологич</w:t>
      </w:r>
      <w:r w:rsidRPr="004E0FC4">
        <w:rPr>
          <w:rFonts w:ascii="Bookman Old Style" w:eastAsia="Bookman Old Style" w:hAnsi="Bookman Old Style" w:cs="Bookman Old Style"/>
          <w:color w:val="231F20"/>
          <w:sz w:val="18"/>
          <w:szCs w:val="18"/>
          <w:highlight w:val="red"/>
        </w:rPr>
        <w:softHyphen/>
        <w:t>ного оборудования и приборов;</w:t>
      </w:r>
    </w:p>
    <w:p w14:paraId="616220E8" w14:textId="77777777" w:rsidR="00350396" w:rsidRPr="004E0FC4" w:rsidRDefault="00350396" w:rsidP="004E0FC4">
      <w:pPr>
        <w:widowControl w:val="0"/>
        <w:numPr>
          <w:ilvl w:val="0"/>
          <w:numId w:val="67"/>
        </w:numPr>
        <w:tabs>
          <w:tab w:val="left" w:pos="628"/>
        </w:tabs>
        <w:spacing w:line="245"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изучение возможности внесения корректировок в данные контракты, которые предусматривали бы перенос изготовления до 2020 г. части (не менее 50 % общего объема планируемых за</w:t>
      </w:r>
      <w:r w:rsidRPr="004E0FC4">
        <w:rPr>
          <w:rFonts w:ascii="Bookman Old Style" w:eastAsia="Bookman Old Style" w:hAnsi="Bookman Old Style" w:cs="Bookman Old Style"/>
          <w:color w:val="231F20"/>
          <w:sz w:val="18"/>
          <w:szCs w:val="18"/>
          <w:highlight w:val="red"/>
        </w:rPr>
        <w:softHyphen/>
        <w:t>купок) этих изделий на территорию России;</w:t>
      </w:r>
    </w:p>
    <w:p w14:paraId="0C955008" w14:textId="77777777" w:rsidR="00350396" w:rsidRPr="004E0FC4" w:rsidRDefault="00350396" w:rsidP="004E0FC4">
      <w:pPr>
        <w:widowControl w:val="0"/>
        <w:numPr>
          <w:ilvl w:val="0"/>
          <w:numId w:val="67"/>
        </w:numPr>
        <w:tabs>
          <w:tab w:val="left" w:pos="628"/>
        </w:tabs>
        <w:spacing w:line="245"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закупку патентов, лицензий, класс-проектов для организации производства данной высокотехнологичной продукции на террито</w:t>
      </w:r>
      <w:r w:rsidRPr="004E0FC4">
        <w:rPr>
          <w:rFonts w:ascii="Bookman Old Style" w:eastAsia="Bookman Old Style" w:hAnsi="Bookman Old Style" w:cs="Bookman Old Style"/>
          <w:color w:val="231F20"/>
          <w:sz w:val="18"/>
          <w:szCs w:val="18"/>
          <w:highlight w:val="red"/>
        </w:rPr>
        <w:softHyphen/>
        <w:t>рии России при значительном участии со стороны государства;</w:t>
      </w:r>
    </w:p>
    <w:p w14:paraId="572BFE06" w14:textId="77777777" w:rsidR="00350396" w:rsidRPr="004E0FC4" w:rsidRDefault="00350396" w:rsidP="004E0FC4">
      <w:pPr>
        <w:widowControl w:val="0"/>
        <w:numPr>
          <w:ilvl w:val="0"/>
          <w:numId w:val="67"/>
        </w:numPr>
        <w:tabs>
          <w:tab w:val="left" w:pos="628"/>
        </w:tabs>
        <w:spacing w:line="245"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прямое финансирование из федерального бюджета части за</w:t>
      </w:r>
      <w:r w:rsidRPr="004E0FC4">
        <w:rPr>
          <w:rFonts w:ascii="Bookman Old Style" w:eastAsia="Bookman Old Style" w:hAnsi="Bookman Old Style" w:cs="Bookman Old Style"/>
          <w:color w:val="231F20"/>
          <w:sz w:val="18"/>
          <w:szCs w:val="18"/>
          <w:highlight w:val="red"/>
        </w:rPr>
        <w:softHyphen/>
        <w:t>трат на патентование за рубежом, приобретение лицензий, ноу-хау и сертификацию производства в России отечественной инноваци</w:t>
      </w:r>
      <w:r w:rsidRPr="004E0FC4">
        <w:rPr>
          <w:rFonts w:ascii="Bookman Old Style" w:eastAsia="Bookman Old Style" w:hAnsi="Bookman Old Style" w:cs="Bookman Old Style"/>
          <w:color w:val="231F20"/>
          <w:sz w:val="18"/>
          <w:szCs w:val="18"/>
          <w:highlight w:val="red"/>
        </w:rPr>
        <w:softHyphen/>
        <w:t>онной продукции (по международным стандартам с участием миро</w:t>
      </w:r>
      <w:r w:rsidRPr="004E0FC4">
        <w:rPr>
          <w:rFonts w:ascii="Bookman Old Style" w:eastAsia="Bookman Old Style" w:hAnsi="Bookman Old Style" w:cs="Bookman Old Style"/>
          <w:color w:val="231F20"/>
          <w:sz w:val="18"/>
          <w:szCs w:val="18"/>
          <w:highlight w:val="red"/>
        </w:rPr>
        <w:softHyphen/>
        <w:t>вых классификационных обществ);</w:t>
      </w:r>
    </w:p>
    <w:p w14:paraId="4DBD1215" w14:textId="77777777" w:rsidR="00350396" w:rsidRPr="004E0FC4" w:rsidRDefault="00350396" w:rsidP="004E0FC4">
      <w:pPr>
        <w:widowControl w:val="0"/>
        <w:numPr>
          <w:ilvl w:val="0"/>
          <w:numId w:val="67"/>
        </w:numPr>
        <w:tabs>
          <w:tab w:val="left" w:pos="628"/>
        </w:tabs>
        <w:spacing w:line="245"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включение в упомянутые контракты дополнительных усло</w:t>
      </w:r>
      <w:r w:rsidRPr="004E0FC4">
        <w:rPr>
          <w:rFonts w:ascii="Bookman Old Style" w:eastAsia="Bookman Old Style" w:hAnsi="Bookman Old Style" w:cs="Bookman Old Style"/>
          <w:color w:val="231F20"/>
          <w:sz w:val="18"/>
          <w:szCs w:val="18"/>
          <w:highlight w:val="red"/>
        </w:rPr>
        <w:softHyphen/>
        <w:t>вий, предусматривающих поставки из России ряда материалов и из</w:t>
      </w:r>
      <w:r w:rsidRPr="004E0FC4">
        <w:rPr>
          <w:rFonts w:ascii="Bookman Old Style" w:eastAsia="Bookman Old Style" w:hAnsi="Bookman Old Style" w:cs="Bookman Old Style"/>
          <w:color w:val="231F20"/>
          <w:sz w:val="18"/>
          <w:szCs w:val="18"/>
          <w:highlight w:val="red"/>
        </w:rPr>
        <w:softHyphen/>
        <w:t>делий для комплектации продукции, изготавливаемой за рубежом по заказам российских компаний.</w:t>
      </w:r>
    </w:p>
    <w:p w14:paraId="696B8AAA" w14:textId="77777777" w:rsidR="00350396" w:rsidRPr="004E0FC4" w:rsidRDefault="00350396" w:rsidP="004E0FC4">
      <w:pPr>
        <w:widowControl w:val="0"/>
        <w:spacing w:line="245" w:lineRule="exact"/>
        <w:ind w:firstLine="340"/>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Следует отметить высокую степень умозрительности возможно</w:t>
      </w:r>
      <w:r w:rsidRPr="004E0FC4">
        <w:rPr>
          <w:rFonts w:ascii="Bookman Old Style" w:eastAsia="Bookman Old Style" w:hAnsi="Bookman Old Style" w:cs="Bookman Old Style"/>
          <w:color w:val="231F20"/>
          <w:sz w:val="18"/>
          <w:szCs w:val="18"/>
          <w:highlight w:val="red"/>
        </w:rPr>
        <w:softHyphen/>
        <w:t>стей государства в части закупки патентов и лицензий на производ</w:t>
      </w:r>
      <w:r w:rsidRPr="004E0FC4">
        <w:rPr>
          <w:rFonts w:ascii="Bookman Old Style" w:eastAsia="Bookman Old Style" w:hAnsi="Bookman Old Style" w:cs="Bookman Old Style"/>
          <w:color w:val="231F20"/>
          <w:sz w:val="18"/>
          <w:szCs w:val="18"/>
          <w:highlight w:val="red"/>
        </w:rPr>
        <w:softHyphen/>
        <w:t>ство высокотехнологичной продукции за рубежом в силу ряда причин: секвестирование бюджета и нехватка бюджетных средств на теку</w:t>
      </w:r>
      <w:r w:rsidRPr="004E0FC4">
        <w:rPr>
          <w:rFonts w:ascii="Bookman Old Style" w:eastAsia="Bookman Old Style" w:hAnsi="Bookman Old Style" w:cs="Bookman Old Style"/>
          <w:color w:val="231F20"/>
          <w:sz w:val="18"/>
          <w:szCs w:val="18"/>
          <w:highlight w:val="red"/>
        </w:rPr>
        <w:softHyphen/>
        <w:t>щие обязательства государства; распространение режима санкций, введенных западными странами в 2014 г., на передачу технологий российской стороне; неотработанные механизмы согласования необ</w:t>
      </w:r>
      <w:r w:rsidRPr="004E0FC4">
        <w:rPr>
          <w:rFonts w:ascii="Bookman Old Style" w:eastAsia="Bookman Old Style" w:hAnsi="Bookman Old Style" w:cs="Bookman Old Style"/>
          <w:color w:val="231F20"/>
          <w:sz w:val="18"/>
          <w:szCs w:val="18"/>
          <w:highlight w:val="red"/>
        </w:rPr>
        <w:softHyphen/>
        <w:t>ходимых для закупки патентов и др. В то же время ограничительная часть мер по импортозамещению производства высокотехнологич</w:t>
      </w:r>
      <w:r w:rsidRPr="004E0FC4">
        <w:rPr>
          <w:rFonts w:ascii="Bookman Old Style" w:eastAsia="Bookman Old Style" w:hAnsi="Bookman Old Style" w:cs="Bookman Old Style"/>
          <w:color w:val="231F20"/>
          <w:sz w:val="18"/>
          <w:szCs w:val="18"/>
          <w:highlight w:val="red"/>
        </w:rPr>
        <w:softHyphen/>
        <w:t>ной продукции является более легко выполнимой в рамках государ</w:t>
      </w:r>
      <w:r w:rsidRPr="004E0FC4">
        <w:rPr>
          <w:rFonts w:ascii="Bookman Old Style" w:eastAsia="Bookman Old Style" w:hAnsi="Bookman Old Style" w:cs="Bookman Old Style"/>
          <w:color w:val="231F20"/>
          <w:sz w:val="18"/>
          <w:szCs w:val="18"/>
          <w:highlight w:val="red"/>
        </w:rPr>
        <w:softHyphen/>
        <w:t>ственных контрольных функций, что повлекло бы ограничение форм сотрудничества с частными иностранными партнерами.</w:t>
      </w:r>
    </w:p>
    <w:p w14:paraId="5DB39032"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red"/>
        </w:rPr>
        <w:t>Вместе с тем проведение мягкой политики импортозамещения с государственной поддержкой процессов закупки прав на высоко</w:t>
      </w:r>
      <w:r w:rsidRPr="004E0FC4">
        <w:rPr>
          <w:rFonts w:ascii="Bookman Old Style" w:eastAsia="Bookman Old Style" w:hAnsi="Bookman Old Style" w:cs="Bookman Old Style"/>
          <w:color w:val="231F20"/>
          <w:sz w:val="18"/>
          <w:szCs w:val="18"/>
          <w:highlight w:val="red"/>
        </w:rPr>
        <w:softHyphen/>
        <w:t>технологичную зарубежную продукцию (с учетом требований ВТО) и в менее острой экономико-политической ситуации могло бы при</w:t>
      </w:r>
      <w:r w:rsidRPr="004E0FC4">
        <w:rPr>
          <w:rFonts w:ascii="Bookman Old Style" w:eastAsia="Bookman Old Style" w:hAnsi="Bookman Old Style" w:cs="Bookman Old Style"/>
          <w:color w:val="231F20"/>
          <w:sz w:val="18"/>
          <w:szCs w:val="18"/>
          <w:highlight w:val="red"/>
        </w:rPr>
        <w:softHyphen/>
        <w:t>вести к формированию особенного типа государственно-частных партнерств в инновационной сфере</w:t>
      </w:r>
      <w:r w:rsidRPr="004E0FC4">
        <w:rPr>
          <w:rFonts w:ascii="Bookman Old Style" w:eastAsia="Bookman Old Style" w:hAnsi="Bookman Old Style" w:cs="Bookman Old Style"/>
          <w:color w:val="231F20"/>
          <w:sz w:val="18"/>
          <w:szCs w:val="18"/>
        </w:rPr>
        <w:t>.</w:t>
      </w:r>
    </w:p>
    <w:p w14:paraId="4CAFB258"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p>
    <w:p w14:paraId="0B59AE31"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71" w:name="_Toc118131271"/>
      <w:r w:rsidRPr="004E0FC4">
        <w:rPr>
          <w:rFonts w:ascii="Bookman Old Style" w:eastAsia="Arial Narrow" w:hAnsi="Bookman Old Style" w:cs="Arial Narrow"/>
          <w:i/>
          <w:iCs/>
          <w:color w:val="231F20"/>
          <w:sz w:val="18"/>
          <w:szCs w:val="18"/>
        </w:rPr>
        <w:t xml:space="preserve">4.9. </w:t>
      </w:r>
      <w:r w:rsidRPr="004E0FC4">
        <w:rPr>
          <w:rFonts w:ascii="Bookman Old Style" w:eastAsia="Arial Narrow" w:hAnsi="Bookman Old Style" w:cs="Arial Narrow"/>
          <w:b/>
          <w:bCs/>
          <w:i/>
          <w:iCs/>
          <w:color w:val="231F20"/>
          <w:sz w:val="18"/>
          <w:szCs w:val="18"/>
        </w:rPr>
        <w:t>Государственно-частное партнерство в регионах Арктики и Дальнего Востока РФ</w:t>
      </w:r>
      <w:bookmarkEnd w:id="71"/>
    </w:p>
    <w:p w14:paraId="0A7C4793"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p>
    <w:p w14:paraId="5CD2879A"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lastRenderedPageBreak/>
        <w:t xml:space="preserve">Дальний Восток и Арктика — стратегически важные регионы России. В 2022 году их важность возросла еще больше в связи с активизацией сотрудничества со странами Азиатско-Тихоокеанского региона. На долю этих стран приходится более трети мирового ВВП и половины населения планеты. Не менее актуальным является и освоение Арктического региона, богатого природными ресурсами и перспективного с точки зрения создания новых глобальных транспортных связей. </w:t>
      </w:r>
    </w:p>
    <w:p w14:paraId="13A8F770"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В связи с этим экономическое развитие Дальнего Востока и Арктики является одной из приоритетных национальных задач. Однако на пути динамичного развития стоит ряд проблем, среди которых особую роль играет низкий уровень обеспеченности региона объектами общественной инфраструктуры. Так, имеется высокая потребность в создании новых объектов образования, здравоохранения, жилищно-коммунального хозяйства. Растет спрос со стороны инвесторов на энергетическую инфраструктуру, автомобильные и железные дороги. </w:t>
      </w:r>
    </w:p>
    <w:p w14:paraId="54294B05"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Для качественного развития инфраструктуры Дальнего Востока и Арктики требуются значительные инвестиции, и выделяемых на эти цели бюджетных средств недостаточно. Привлекать внебюджетные средства в развитие общественной инфраструктуры помогают механизмы государственно-частного партнерства. На сентябрь 2022 года на Дальнем Востоке и в Арктике реализуется 604 ГЧП-проекта на 761,7 млрд руб. (из них 579 млрд руб. — частные средства), а за первые 8 месяцев 2022 года привлечено 43,5 млрд руб. — почти столько же, сколько в 2019-м, причем практически все средства — частные. </w:t>
      </w:r>
    </w:p>
    <w:p w14:paraId="4F2FD5A8"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Чтобы привлечь больше инвесторов в развитие инфраструктуры, в 2021 году был запущен механизм </w:t>
      </w:r>
      <w:r w:rsidRPr="004E0FC4">
        <w:rPr>
          <w:rFonts w:ascii="Bookman Old Style" w:eastAsia="Bookman Old Style" w:hAnsi="Bookman Old Style" w:cs="Bookman Old Style"/>
          <w:b/>
          <w:i/>
          <w:color w:val="231F20"/>
          <w:sz w:val="18"/>
          <w:szCs w:val="18"/>
        </w:rPr>
        <w:t>дальневосточной концессии</w:t>
      </w:r>
      <w:r w:rsidRPr="004E0FC4">
        <w:rPr>
          <w:rFonts w:ascii="Bookman Old Style" w:eastAsia="Bookman Old Style" w:hAnsi="Bookman Old Style" w:cs="Bookman Old Style"/>
          <w:color w:val="231F20"/>
          <w:sz w:val="18"/>
          <w:szCs w:val="18"/>
        </w:rPr>
        <w:t>. В рамках программы по состоянию на сентябрь 2022 года одобрены и реализуются 8 пилотных проектов с общим объемом инвестиций 12,3 млрд руб., большое количество проектов находится на стадии рассмотрения заявок. До конца 2022 года ожидается расширение действия механизма на проекты, реализуемые в Арктической зоне РФ. По мере того, как участники рынка присматриваются к новым возможностям механизма, возникают вопросы его дальнейшего совершенствования и развития.</w:t>
      </w:r>
    </w:p>
    <w:p w14:paraId="79247BDF"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Рынок дальневосточных и арктических ГЧП-проектов активно растет. Объем привлеченных инвестиций в 2021 году составил около 200 млрд руб., а за первые 8 месяцев 2022 года в рамках коммерческих закрытий было привлечено 43,5 млрд руб. — почти столько же, сколько в 2019-м. В среднем за последние три года каждый проект привлекал около 4 млрд руб. общих инвестиций. Существенные объемы финансирования в развитие инфраструктуры ежегодно привлекаются за счет запуска проектов федерального уровня. Например, в 2018 году они обеспечили 81,5% привлеченного финансирования. В то же время в 2019 году и за 8 месяцев 2022 года не было запущено ни одного федерального проекта. Региональные и муниципальные проекты </w:t>
      </w:r>
      <w:r w:rsidRPr="004E0FC4">
        <w:rPr>
          <w:rFonts w:ascii="Bookman Old Style" w:eastAsia="Bookman Old Style" w:hAnsi="Bookman Old Style" w:cs="Bookman Old Style"/>
          <w:color w:val="231F20"/>
          <w:sz w:val="18"/>
          <w:szCs w:val="18"/>
        </w:rPr>
        <w:lastRenderedPageBreak/>
        <w:t>составляют 98,8% рынка в количественном выражении (597 проектов) и аккумулируют 64,7% общих инвестиций (493,1 млрд руб.). (рис. 4.22).</w:t>
      </w:r>
    </w:p>
    <w:p w14:paraId="07B12528" w14:textId="77777777" w:rsidR="00350396" w:rsidRPr="004E0FC4" w:rsidRDefault="00350396" w:rsidP="004E0FC4">
      <w:pPr>
        <w:widowControl w:val="0"/>
        <w:spacing w:line="245" w:lineRule="exact"/>
        <w:ind w:firstLine="0"/>
        <w:rPr>
          <w:rFonts w:ascii="Bookman Old Style" w:eastAsia="Bookman Old Style" w:hAnsi="Bookman Old Style" w:cs="Bookman Old Style"/>
          <w:color w:val="231F20"/>
          <w:sz w:val="18"/>
          <w:szCs w:val="18"/>
        </w:rPr>
      </w:pPr>
    </w:p>
    <w:p w14:paraId="31EB2ED9" w14:textId="77777777" w:rsidR="00350396" w:rsidRPr="004E0FC4" w:rsidRDefault="00350396" w:rsidP="004E0FC4">
      <w:pPr>
        <w:widowControl w:val="0"/>
        <w:spacing w:line="240" w:lineRule="exact"/>
        <w:ind w:firstLine="0"/>
        <w:rPr>
          <w:rFonts w:ascii="Bookman Old Style" w:eastAsia="Bookman Old Style" w:hAnsi="Bookman Old Style" w:cs="Bookman Old Style"/>
          <w:color w:val="231F20"/>
          <w:sz w:val="18"/>
          <w:szCs w:val="18"/>
        </w:rPr>
      </w:pPr>
      <w:r w:rsidRPr="004E0FC4">
        <w:rPr>
          <w:rFonts w:ascii="Bookman Old Style" w:eastAsia="Arial Narrow" w:hAnsi="Bookman Old Style" w:cs="Arial Narrow"/>
          <w:b/>
          <w:bCs/>
          <w:i/>
          <w:iCs/>
          <w:color w:val="231F20"/>
          <w:sz w:val="18"/>
          <w:szCs w:val="18"/>
          <w:highlight w:val="green"/>
        </w:rPr>
        <w:t>Рис. 4.22.</w:t>
      </w:r>
      <w:r w:rsidRPr="004E0FC4">
        <w:rPr>
          <w:rFonts w:ascii="Bookman Old Style" w:eastAsia="Arial Narrow" w:hAnsi="Bookman Old Style" w:cs="Arial Narrow"/>
          <w:color w:val="231F20"/>
          <w:sz w:val="18"/>
          <w:szCs w:val="18"/>
          <w:highlight w:val="green"/>
        </w:rPr>
        <w:t xml:space="preserve"> </w:t>
      </w:r>
      <w:r w:rsidRPr="004E0FC4">
        <w:rPr>
          <w:rFonts w:ascii="Bookman Old Style" w:eastAsia="Bookman Old Style" w:hAnsi="Bookman Old Style" w:cs="Bookman Old Style"/>
          <w:color w:val="231F20"/>
          <w:sz w:val="18"/>
          <w:szCs w:val="18"/>
          <w:highlight w:val="green"/>
        </w:rPr>
        <w:t>Объем инвестиций в реализуемые в Дальневосточном федеральном округе и Арктической зоне РФ ГЧП-проекты в 2018-2022 годах. Источник: разработано Национальным Центром ГЧП на основе данных платформы «Росинфра»</w:t>
      </w:r>
    </w:p>
    <w:p w14:paraId="267100F8"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На объемы запуска проектов в 2020 году незначительно повлияла пандемия. 440 из 604 дальневосточных и арктических проектов (73,5%) по состоянию на сентябрь 2022 года реализуется в коммунально-энергетической сфере. При этом общие инвестиций в них составляют 139,1 млрд руб. (28,1% от совокупного объема), а 88% этих средств составляют частные вложения. Наиболее капиталоемкой является транспортная сфера — на 20 проектов (3,3% от числа) приходится 200,6 млрд руб. общих инвестиций (40,7%), а средняя стоимость одного проекта превышает 10 млрд руб. В то же время сфера характеризуется наименьшей долей частных средств, которые составляют 58% от общих вложений.</w:t>
      </w:r>
    </w:p>
    <w:p w14:paraId="583EDE2B"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На Дальнем Востоке и в Арктике особое внимание уделяется развитию социальной инфраструктуры — реализуется 120 проектов (20,2%) с общим объемом инвестиций 136,8 млрд руб. (31,1%), 66% из которых — частные средства. Это существенно выше среднероссийского уровня — в целом по стране на проекты в социальной сфере приходится около 11% общих инвестиций в ГЧП-проекты.</w:t>
      </w:r>
    </w:p>
    <w:p w14:paraId="7EDDFAAC"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Также на Дальнем Востоке и в Арктике реализуется 7 федеральных проектов: в транспортной сфере — 5 проектов на общую сумму 224,5 млрд руб. (включая 188,7 млрд руб. частных средств), в иных сферах — 2 проекта общей стоимостью 44,1 млрд руб. (100% частные средства).</w:t>
      </w:r>
    </w:p>
    <w:p w14:paraId="24E69DA2"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Лидером по количеству ГЧП-проектов, реализуемых на региональном и муниципальном уровнях, среди регионов Дальнего Востока и Арктической зоны является Амурская область — на 2022 год регион реализует 148 проектов с общим объемом инвестиций 46,9 млрд руб. Значительным опытом также обладают Республика Бурятия, Республика Саха (Якутия) и Хабаровский край, где на принципах ГЧП создается более 50 объектов.</w:t>
      </w:r>
    </w:p>
    <w:p w14:paraId="3E3A2126"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Больше всего общих инвестиций — 106,4 млрд руб. — вложено в проекты в Якутии. акже по общей капиталоемкости выделяются проекты в Магаданской, Сахалинской областях и Хабаровском крае. В Амурской и Архангельской областях, а также в Красноярском крае в ГЧП-проекты вкладываются только частные средства, в то время как в Якутии, Еврейской автономной области и Хабаровском крае бюджетные инвестиции преобладают над частными.</w:t>
      </w:r>
    </w:p>
    <w:p w14:paraId="57168BB7"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Средняя доля частных средств в арктических и дальневосточных проектах составляет около 70% и соответствует общероссийской.</w:t>
      </w:r>
    </w:p>
    <w:p w14:paraId="16FACE50" w14:textId="77777777" w:rsidR="00350396" w:rsidRPr="004E0FC4" w:rsidRDefault="00350396" w:rsidP="004E0FC4">
      <w:pPr>
        <w:widowControl w:val="0"/>
        <w:spacing w:line="245" w:lineRule="exact"/>
        <w:ind w:firstLine="0"/>
        <w:rPr>
          <w:rFonts w:ascii="Bookman Old Style" w:eastAsia="Bookman Old Style" w:hAnsi="Bookman Old Style" w:cs="Bookman Old Style"/>
          <w:color w:val="231F20"/>
          <w:sz w:val="18"/>
          <w:szCs w:val="18"/>
        </w:rPr>
      </w:pPr>
    </w:p>
    <w:p w14:paraId="2EC99CF1"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Рис. 4.23. Количество реализуемых проектов и объем инвестиций по </w:t>
      </w:r>
      <w:r w:rsidRPr="004E0FC4">
        <w:rPr>
          <w:rFonts w:ascii="Bookman Old Style" w:eastAsia="Bookman Old Style" w:hAnsi="Bookman Old Style" w:cs="Bookman Old Style"/>
          <w:color w:val="231F20"/>
          <w:sz w:val="18"/>
          <w:szCs w:val="18"/>
        </w:rPr>
        <w:lastRenderedPageBreak/>
        <w:t xml:space="preserve">регионам Дальневосточного федерального округа и Арктической зоны РФ на сентябрь 2022 года. Источник: разработано Национальным Центром ГЧП на основе данных платформы «Росинфра»  </w:t>
      </w:r>
    </w:p>
    <w:p w14:paraId="0796A724"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p>
    <w:p w14:paraId="3996BE89"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Механизм дальневосточной и арктической концессии позволяет привлекать средства федерального бюджета для софинансирования ГЧП-проектов, реализуемых на территории субъектов РФ, входящих в состав Дальневосточного федерального округа и — в перспективе — Арктической зоны.</w:t>
      </w:r>
    </w:p>
    <w:p w14:paraId="671858EC"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Направления развития механизма: </w:t>
      </w:r>
    </w:p>
    <w:p w14:paraId="2C1836B1"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разработать методику оценки и отбора проектов, претендующих на получение поддержки, которая бы учитывала особенности реализации проектов в различных сферах и отраслях;</w:t>
      </w:r>
    </w:p>
    <w:p w14:paraId="37F6FFCA"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предусмотреть возможность получения регионом поддержки вне конкурса в рамках лимита средств, выделяемых региону по специальной формуле после оценке и отбора проектов по соответствующей методике;</w:t>
      </w:r>
    </w:p>
    <w:p w14:paraId="19BFB9E8"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организовать координацию и методологическое сопровождение работы механизма, — «единое окно» для обращения регионов и проектных команд.</w:t>
      </w:r>
    </w:p>
    <w:p w14:paraId="6B4BC4BB"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Примеры ГЧП-проектов, реализуемых на Дальнем Востоке и в Арктике</w:t>
      </w:r>
    </w:p>
    <w:p w14:paraId="54C736C3"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1. </w:t>
      </w:r>
      <w:r w:rsidRPr="004E0FC4">
        <w:rPr>
          <w:rFonts w:ascii="Bookman Old Style" w:eastAsia="Bookman Old Style" w:hAnsi="Bookman Old Style" w:cs="Bookman Old Style"/>
          <w:i/>
          <w:color w:val="231F20"/>
          <w:sz w:val="18"/>
          <w:szCs w:val="18"/>
        </w:rPr>
        <w:t>Объекты здравоохранения в Магадане</w:t>
      </w:r>
    </w:p>
    <w:tbl>
      <w:tblPr>
        <w:tblStyle w:val="1c"/>
        <w:tblW w:w="0" w:type="auto"/>
        <w:tblLook w:val="04A0" w:firstRow="1" w:lastRow="0" w:firstColumn="1" w:lastColumn="0" w:noHBand="0" w:noVBand="1"/>
      </w:tblPr>
      <w:tblGrid>
        <w:gridCol w:w="2594"/>
        <w:gridCol w:w="4040"/>
      </w:tblGrid>
      <w:tr w:rsidR="00350396" w:rsidRPr="004E0FC4" w14:paraId="7A787116" w14:textId="77777777" w:rsidTr="006D7F71">
        <w:tc>
          <w:tcPr>
            <w:tcW w:w="2660" w:type="dxa"/>
          </w:tcPr>
          <w:p w14:paraId="798CC85A"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Публичная сторона</w:t>
            </w:r>
          </w:p>
        </w:tc>
        <w:tc>
          <w:tcPr>
            <w:tcW w:w="4200" w:type="dxa"/>
          </w:tcPr>
          <w:p w14:paraId="28EF2C0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Магаданская область</w:t>
            </w:r>
          </w:p>
        </w:tc>
      </w:tr>
      <w:tr w:rsidR="00350396" w:rsidRPr="004E0FC4" w14:paraId="5F7844BF" w14:textId="77777777" w:rsidTr="006D7F71">
        <w:tc>
          <w:tcPr>
            <w:tcW w:w="2660" w:type="dxa"/>
          </w:tcPr>
          <w:p w14:paraId="79975ED0"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Частная сторона</w:t>
            </w:r>
          </w:p>
        </w:tc>
        <w:tc>
          <w:tcPr>
            <w:tcW w:w="4200" w:type="dxa"/>
          </w:tcPr>
          <w:p w14:paraId="3F1D3B49" w14:textId="77777777" w:rsidR="00350396" w:rsidRPr="004E0FC4" w:rsidRDefault="00350396" w:rsidP="004E0FC4">
            <w:pPr>
              <w:widowControl w:val="0"/>
              <w:jc w:val="both"/>
              <w:rPr>
                <w:rFonts w:ascii="Bookman Old Style" w:eastAsia="Bookman Old Style" w:hAnsi="Bookman Old Style" w:cs="Bookman Old Style"/>
                <w:color w:val="231F20"/>
                <w:sz w:val="18"/>
                <w:szCs w:val="18"/>
                <w:lang w:val="en-US"/>
              </w:rPr>
            </w:pPr>
            <w:r w:rsidRPr="004E0FC4">
              <w:rPr>
                <w:rFonts w:ascii="Bookman Old Style" w:eastAsia="Bookman Old Style" w:hAnsi="Bookman Old Style" w:cs="Bookman Old Style"/>
                <w:color w:val="231F20"/>
                <w:sz w:val="18"/>
                <w:szCs w:val="18"/>
              </w:rPr>
              <w:t>ООО «МКК 1»</w:t>
            </w:r>
          </w:p>
        </w:tc>
      </w:tr>
      <w:tr w:rsidR="00350396" w:rsidRPr="004E0FC4" w14:paraId="2C79D938" w14:textId="77777777" w:rsidTr="006D7F71">
        <w:tc>
          <w:tcPr>
            <w:tcW w:w="2660" w:type="dxa"/>
          </w:tcPr>
          <w:p w14:paraId="23F23C70"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Финансирующая организация</w:t>
            </w:r>
          </w:p>
        </w:tc>
        <w:tc>
          <w:tcPr>
            <w:tcW w:w="4200" w:type="dxa"/>
          </w:tcPr>
          <w:p w14:paraId="1F05617E"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ПАО «ВТБ»,</w:t>
            </w:r>
            <w:r w:rsidRPr="004E0FC4">
              <w:rPr>
                <w:rFonts w:ascii="Bookman Old Style" w:hAnsi="Bookman Old Style"/>
                <w:sz w:val="18"/>
                <w:szCs w:val="18"/>
              </w:rPr>
              <w:t xml:space="preserve"> </w:t>
            </w:r>
            <w:r w:rsidRPr="004E0FC4">
              <w:rPr>
                <w:rFonts w:ascii="Bookman Old Style" w:eastAsia="Bookman Old Style" w:hAnsi="Bookman Old Style" w:cs="Bookman Old Style"/>
                <w:color w:val="231F20"/>
                <w:sz w:val="18"/>
                <w:szCs w:val="18"/>
              </w:rPr>
              <w:t>ВТБ Инфраструктурный холдинг</w:t>
            </w:r>
          </w:p>
        </w:tc>
      </w:tr>
      <w:tr w:rsidR="00350396" w:rsidRPr="004E0FC4" w14:paraId="5E4979B5" w14:textId="77777777" w:rsidTr="006D7F71">
        <w:tc>
          <w:tcPr>
            <w:tcW w:w="2660" w:type="dxa"/>
          </w:tcPr>
          <w:p w14:paraId="598F06E5"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Период реализации проекта </w:t>
            </w:r>
          </w:p>
        </w:tc>
        <w:tc>
          <w:tcPr>
            <w:tcW w:w="4200" w:type="dxa"/>
          </w:tcPr>
          <w:p w14:paraId="5F0858F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14 лет, начиная с 03.09.2021</w:t>
            </w:r>
          </w:p>
        </w:tc>
      </w:tr>
      <w:tr w:rsidR="00350396" w:rsidRPr="004E0FC4" w14:paraId="70565EDC" w14:textId="77777777" w:rsidTr="006D7F71">
        <w:tc>
          <w:tcPr>
            <w:tcW w:w="2660" w:type="dxa"/>
          </w:tcPr>
          <w:p w14:paraId="43CEF24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Форма реализации:</w:t>
            </w:r>
          </w:p>
        </w:tc>
        <w:tc>
          <w:tcPr>
            <w:tcW w:w="4200" w:type="dxa"/>
          </w:tcPr>
          <w:p w14:paraId="7530E88D"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концессионное соглашение (115-ФЗ)</w:t>
            </w:r>
          </w:p>
        </w:tc>
      </w:tr>
      <w:tr w:rsidR="00350396" w:rsidRPr="004E0FC4" w14:paraId="1698F9CB" w14:textId="77777777" w:rsidTr="006D7F71">
        <w:tc>
          <w:tcPr>
            <w:tcW w:w="2660" w:type="dxa"/>
          </w:tcPr>
          <w:p w14:paraId="3C81FEA8"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Источник возврата инвестиций:</w:t>
            </w:r>
          </w:p>
        </w:tc>
        <w:tc>
          <w:tcPr>
            <w:tcW w:w="4200" w:type="dxa"/>
          </w:tcPr>
          <w:p w14:paraId="621339B0"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плата за доступность (фиксированные платежи) со стороны публичного партнера (бюджета)</w:t>
            </w:r>
          </w:p>
        </w:tc>
      </w:tr>
      <w:tr w:rsidR="00350396" w:rsidRPr="004E0FC4" w14:paraId="4DFCFB68" w14:textId="77777777" w:rsidTr="006D7F71">
        <w:tc>
          <w:tcPr>
            <w:tcW w:w="2660" w:type="dxa"/>
          </w:tcPr>
          <w:p w14:paraId="05B3A6F5"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Источники и структура инвестирования – всего 33,8 млрд. руб.</w:t>
            </w:r>
          </w:p>
        </w:tc>
        <w:tc>
          <w:tcPr>
            <w:tcW w:w="4200" w:type="dxa"/>
          </w:tcPr>
          <w:p w14:paraId="5818C00C"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Капитальный грант: ≈ 12,5 млрд руб.</w:t>
            </w:r>
          </w:p>
          <w:p w14:paraId="488C6B4B"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Частные инвестиции: Инвестиционный платеж (федеральная субсидия): ≈ 10,1 млрд руб. + средства финансирующей организации ≈ 10,3 млрд руб. (без учёта федеральной субсидии) </w:t>
            </w:r>
          </w:p>
        </w:tc>
      </w:tr>
      <w:tr w:rsidR="00350396" w:rsidRPr="004E0FC4" w14:paraId="42975D9A" w14:textId="77777777" w:rsidTr="006D7F71">
        <w:tc>
          <w:tcPr>
            <w:tcW w:w="2660" w:type="dxa"/>
          </w:tcPr>
          <w:p w14:paraId="7D45927A"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Содержание проекта – строительство 5 объектов, в том числе:</w:t>
            </w:r>
          </w:p>
        </w:tc>
        <w:tc>
          <w:tcPr>
            <w:tcW w:w="4200" w:type="dxa"/>
          </w:tcPr>
          <w:p w14:paraId="71116062"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инфекционная больница</w:t>
            </w:r>
          </w:p>
          <w:p w14:paraId="42AB786D"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хирургический корпус</w:t>
            </w:r>
          </w:p>
          <w:p w14:paraId="4737CBEF"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взрослые и детские поликлиники с консультативно-диагностическим центром</w:t>
            </w:r>
          </w:p>
        </w:tc>
      </w:tr>
    </w:tbl>
    <w:p w14:paraId="43EEA540"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p>
    <w:p w14:paraId="35466CF4"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2. </w:t>
      </w:r>
      <w:r w:rsidRPr="004E0FC4">
        <w:rPr>
          <w:rFonts w:ascii="Bookman Old Style" w:eastAsia="Bookman Old Style" w:hAnsi="Bookman Old Style" w:cs="Bookman Old Style"/>
          <w:i/>
          <w:color w:val="231F20"/>
          <w:sz w:val="18"/>
          <w:szCs w:val="18"/>
        </w:rPr>
        <w:t>Информационная система «Цифровое Приморье»</w:t>
      </w:r>
    </w:p>
    <w:tbl>
      <w:tblPr>
        <w:tblStyle w:val="1c"/>
        <w:tblW w:w="0" w:type="auto"/>
        <w:tblLook w:val="04A0" w:firstRow="1" w:lastRow="0" w:firstColumn="1" w:lastColumn="0" w:noHBand="0" w:noVBand="1"/>
      </w:tblPr>
      <w:tblGrid>
        <w:gridCol w:w="2596"/>
        <w:gridCol w:w="4038"/>
      </w:tblGrid>
      <w:tr w:rsidR="00350396" w:rsidRPr="004E0FC4" w14:paraId="2F5C4425" w14:textId="77777777" w:rsidTr="006D7F71">
        <w:tc>
          <w:tcPr>
            <w:tcW w:w="2660" w:type="dxa"/>
          </w:tcPr>
          <w:p w14:paraId="69CEAB4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Публичная сторона</w:t>
            </w:r>
          </w:p>
        </w:tc>
        <w:tc>
          <w:tcPr>
            <w:tcW w:w="4200" w:type="dxa"/>
          </w:tcPr>
          <w:p w14:paraId="388D861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Приморский край, а также: </w:t>
            </w:r>
          </w:p>
          <w:p w14:paraId="285D8B7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город Владивосток</w:t>
            </w:r>
          </w:p>
          <w:p w14:paraId="27BBA0FB"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город Уссурийск</w:t>
            </w:r>
          </w:p>
          <w:p w14:paraId="641B8DBB"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город Находка</w:t>
            </w:r>
          </w:p>
          <w:p w14:paraId="101922E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lastRenderedPageBreak/>
              <w:t>• город Артем</w:t>
            </w:r>
          </w:p>
        </w:tc>
      </w:tr>
      <w:tr w:rsidR="00350396" w:rsidRPr="004E0FC4" w14:paraId="685AC529" w14:textId="77777777" w:rsidTr="006D7F71">
        <w:tc>
          <w:tcPr>
            <w:tcW w:w="2660" w:type="dxa"/>
          </w:tcPr>
          <w:p w14:paraId="01AF059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lastRenderedPageBreak/>
              <w:t>Частная сторона</w:t>
            </w:r>
          </w:p>
        </w:tc>
        <w:tc>
          <w:tcPr>
            <w:tcW w:w="4200" w:type="dxa"/>
          </w:tcPr>
          <w:p w14:paraId="3275B2D8" w14:textId="77777777" w:rsidR="00350396" w:rsidRPr="004E0FC4" w:rsidRDefault="00350396" w:rsidP="004E0FC4">
            <w:pPr>
              <w:widowControl w:val="0"/>
              <w:jc w:val="both"/>
              <w:rPr>
                <w:rFonts w:ascii="Bookman Old Style" w:eastAsia="Bookman Old Style" w:hAnsi="Bookman Old Style" w:cs="Bookman Old Style"/>
                <w:color w:val="231F20"/>
                <w:sz w:val="18"/>
                <w:szCs w:val="18"/>
                <w:lang w:val="en-US"/>
              </w:rPr>
            </w:pPr>
            <w:r w:rsidRPr="004E0FC4">
              <w:rPr>
                <w:rFonts w:ascii="Bookman Old Style" w:eastAsia="Bookman Old Style" w:hAnsi="Bookman Old Style" w:cs="Bookman Old Style"/>
                <w:color w:val="231F20"/>
                <w:sz w:val="18"/>
                <w:szCs w:val="18"/>
              </w:rPr>
              <w:t>ООО «Цифровое Приморье»</w:t>
            </w:r>
          </w:p>
        </w:tc>
      </w:tr>
      <w:tr w:rsidR="00350396" w:rsidRPr="004E0FC4" w14:paraId="1F14A5C7" w14:textId="77777777" w:rsidTr="006D7F71">
        <w:tc>
          <w:tcPr>
            <w:tcW w:w="2660" w:type="dxa"/>
          </w:tcPr>
          <w:p w14:paraId="7D4AABAE"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Организации – участники проекта </w:t>
            </w:r>
          </w:p>
        </w:tc>
        <w:tc>
          <w:tcPr>
            <w:tcW w:w="4200" w:type="dxa"/>
          </w:tcPr>
          <w:p w14:paraId="34A920BB" w14:textId="77777777" w:rsidR="00350396" w:rsidRPr="004E0FC4" w:rsidRDefault="00350396" w:rsidP="004E0FC4">
            <w:pPr>
              <w:widowControl w:val="0"/>
              <w:jc w:val="both"/>
              <w:rPr>
                <w:rFonts w:ascii="Bookman Old Style" w:hAnsi="Bookman Old Style"/>
                <w:sz w:val="18"/>
                <w:szCs w:val="18"/>
              </w:rPr>
            </w:pPr>
            <w:r w:rsidRPr="004E0FC4">
              <w:rPr>
                <w:rFonts w:ascii="Bookman Old Style" w:eastAsia="Bookman Old Style" w:hAnsi="Bookman Old Style" w:cs="Bookman Old Style"/>
                <w:color w:val="231F20"/>
                <w:sz w:val="18"/>
                <w:szCs w:val="18"/>
              </w:rPr>
              <w:t>Дальневосточный фонд высоких технологий (учредители Роснано и ВЭБ.ДВ)</w:t>
            </w:r>
            <w:r w:rsidRPr="004E0FC4">
              <w:rPr>
                <w:rFonts w:ascii="Bookman Old Style" w:hAnsi="Bookman Old Style"/>
                <w:sz w:val="18"/>
                <w:szCs w:val="18"/>
              </w:rPr>
              <w:t xml:space="preserve"> </w:t>
            </w:r>
          </w:p>
          <w:p w14:paraId="57597CC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Российская IT-компания Вессолинк</w:t>
            </w:r>
          </w:p>
        </w:tc>
      </w:tr>
      <w:tr w:rsidR="00350396" w:rsidRPr="004E0FC4" w14:paraId="556CA296" w14:textId="77777777" w:rsidTr="006D7F71">
        <w:tc>
          <w:tcPr>
            <w:tcW w:w="2660" w:type="dxa"/>
          </w:tcPr>
          <w:p w14:paraId="762881B5"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Период реализации проекта </w:t>
            </w:r>
          </w:p>
        </w:tc>
        <w:tc>
          <w:tcPr>
            <w:tcW w:w="4200" w:type="dxa"/>
          </w:tcPr>
          <w:p w14:paraId="0B04E25C"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12 лет, начиная с 13.04.2021</w:t>
            </w:r>
          </w:p>
        </w:tc>
      </w:tr>
      <w:tr w:rsidR="00350396" w:rsidRPr="004E0FC4" w14:paraId="0142BDBA" w14:textId="77777777" w:rsidTr="006D7F71">
        <w:tc>
          <w:tcPr>
            <w:tcW w:w="2660" w:type="dxa"/>
          </w:tcPr>
          <w:p w14:paraId="43A6330D"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Форма реализации:</w:t>
            </w:r>
          </w:p>
        </w:tc>
        <w:tc>
          <w:tcPr>
            <w:tcW w:w="4200" w:type="dxa"/>
          </w:tcPr>
          <w:p w14:paraId="5A015C67"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концессионное соглашение (115-ФЗ)</w:t>
            </w:r>
          </w:p>
        </w:tc>
      </w:tr>
      <w:tr w:rsidR="00350396" w:rsidRPr="004E0FC4" w14:paraId="459576D9" w14:textId="77777777" w:rsidTr="006D7F71">
        <w:tc>
          <w:tcPr>
            <w:tcW w:w="2660" w:type="dxa"/>
          </w:tcPr>
          <w:p w14:paraId="78754808"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Источник возврата инвестиций:</w:t>
            </w:r>
          </w:p>
        </w:tc>
        <w:tc>
          <w:tcPr>
            <w:tcW w:w="4200" w:type="dxa"/>
          </w:tcPr>
          <w:p w14:paraId="46595557"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плата за доступность (фиксированные платежи) со стороны публичного партнера (бюджета)</w:t>
            </w:r>
          </w:p>
          <w:p w14:paraId="6C2BC857"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прямой сбор платы с потребителей за пользование объектом (услуги)</w:t>
            </w:r>
          </w:p>
          <w:p w14:paraId="66B1945C"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иная коммерческая деятельность (субаренда, реклама, торговля и пр.)</w:t>
            </w:r>
          </w:p>
        </w:tc>
      </w:tr>
      <w:tr w:rsidR="00350396" w:rsidRPr="004E0FC4" w14:paraId="58FEC215" w14:textId="77777777" w:rsidTr="006D7F71">
        <w:tc>
          <w:tcPr>
            <w:tcW w:w="2660" w:type="dxa"/>
          </w:tcPr>
          <w:p w14:paraId="11FD2C1D"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Структура инвестирования – всего 5 млрд. руб.</w:t>
            </w:r>
          </w:p>
        </w:tc>
        <w:tc>
          <w:tcPr>
            <w:tcW w:w="4200" w:type="dxa"/>
          </w:tcPr>
          <w:p w14:paraId="389220BD"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Частные инвестиции: 5 млрд руб. </w:t>
            </w:r>
          </w:p>
        </w:tc>
      </w:tr>
      <w:tr w:rsidR="00350396" w:rsidRPr="004E0FC4" w14:paraId="65FBADEA" w14:textId="77777777" w:rsidTr="006D7F71">
        <w:tc>
          <w:tcPr>
            <w:tcW w:w="2660" w:type="dxa"/>
          </w:tcPr>
          <w:p w14:paraId="40688E2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Содержание проекта – </w:t>
            </w:r>
          </w:p>
        </w:tc>
        <w:tc>
          <w:tcPr>
            <w:tcW w:w="4200" w:type="dxa"/>
          </w:tcPr>
          <w:p w14:paraId="06221E93"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&gt; 30 сервисов создаются в рамках проекта для граждан и бизнеса в Приморском крае</w:t>
            </w:r>
          </w:p>
        </w:tc>
      </w:tr>
    </w:tbl>
    <w:p w14:paraId="034BD2E9" w14:textId="77777777" w:rsidR="00350396" w:rsidRPr="004E0FC4" w:rsidRDefault="00350396" w:rsidP="004E0FC4">
      <w:pPr>
        <w:widowControl w:val="0"/>
        <w:spacing w:line="245" w:lineRule="exact"/>
        <w:ind w:firstLine="0"/>
        <w:rPr>
          <w:rFonts w:ascii="Bookman Old Style" w:eastAsia="Bookman Old Style" w:hAnsi="Bookman Old Style" w:cs="Bookman Old Style"/>
          <w:color w:val="231F20"/>
          <w:sz w:val="18"/>
          <w:szCs w:val="18"/>
        </w:rPr>
      </w:pPr>
    </w:p>
    <w:p w14:paraId="0EE6F383"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3. </w:t>
      </w:r>
      <w:r w:rsidRPr="004E0FC4">
        <w:rPr>
          <w:rFonts w:ascii="Bookman Old Style" w:eastAsia="Bookman Old Style" w:hAnsi="Bookman Old Style" w:cs="Bookman Old Style"/>
          <w:i/>
          <w:color w:val="231F20"/>
          <w:sz w:val="18"/>
          <w:szCs w:val="18"/>
        </w:rPr>
        <w:t>Мостовой переход через Лену в районе Якутска</w:t>
      </w:r>
    </w:p>
    <w:tbl>
      <w:tblPr>
        <w:tblStyle w:val="1c"/>
        <w:tblW w:w="0" w:type="auto"/>
        <w:tblLook w:val="04A0" w:firstRow="1" w:lastRow="0" w:firstColumn="1" w:lastColumn="0" w:noHBand="0" w:noVBand="1"/>
      </w:tblPr>
      <w:tblGrid>
        <w:gridCol w:w="2463"/>
        <w:gridCol w:w="4171"/>
      </w:tblGrid>
      <w:tr w:rsidR="00350396" w:rsidRPr="004E0FC4" w14:paraId="44571353" w14:textId="77777777" w:rsidTr="006D7F71">
        <w:tc>
          <w:tcPr>
            <w:tcW w:w="2518" w:type="dxa"/>
          </w:tcPr>
          <w:p w14:paraId="4D18AB47"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Публичная сторона</w:t>
            </w:r>
          </w:p>
        </w:tc>
        <w:tc>
          <w:tcPr>
            <w:tcW w:w="4342" w:type="dxa"/>
          </w:tcPr>
          <w:p w14:paraId="466FA699"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Республика Саха (Якутия)</w:t>
            </w:r>
          </w:p>
        </w:tc>
      </w:tr>
      <w:tr w:rsidR="00350396" w:rsidRPr="004E0FC4" w14:paraId="10484109" w14:textId="77777777" w:rsidTr="006D7F71">
        <w:tc>
          <w:tcPr>
            <w:tcW w:w="2518" w:type="dxa"/>
          </w:tcPr>
          <w:p w14:paraId="5B8D2587"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Частная сторона</w:t>
            </w:r>
          </w:p>
        </w:tc>
        <w:tc>
          <w:tcPr>
            <w:tcW w:w="4342" w:type="dxa"/>
          </w:tcPr>
          <w:p w14:paraId="50E585BB" w14:textId="77777777" w:rsidR="00350396" w:rsidRPr="004E0FC4" w:rsidRDefault="00350396" w:rsidP="004E0FC4">
            <w:pPr>
              <w:widowControl w:val="0"/>
              <w:jc w:val="both"/>
              <w:rPr>
                <w:rFonts w:ascii="Bookman Old Style" w:eastAsia="Bookman Old Style" w:hAnsi="Bookman Old Style" w:cs="Bookman Old Style"/>
                <w:color w:val="231F20"/>
                <w:sz w:val="18"/>
                <w:szCs w:val="18"/>
                <w:lang w:val="en-US"/>
              </w:rPr>
            </w:pPr>
            <w:r w:rsidRPr="004E0FC4">
              <w:rPr>
                <w:rFonts w:ascii="Bookman Old Style" w:eastAsia="Bookman Old Style" w:hAnsi="Bookman Old Style" w:cs="Bookman Old Style"/>
                <w:color w:val="231F20"/>
                <w:sz w:val="18"/>
                <w:szCs w:val="18"/>
              </w:rPr>
              <w:t>ООО «ВОСЬМАЯ КОНЦЕССИОННАЯ КОМПАНИЯ»</w:t>
            </w:r>
          </w:p>
        </w:tc>
      </w:tr>
      <w:tr w:rsidR="00350396" w:rsidRPr="004E0FC4" w14:paraId="5492DB77" w14:textId="77777777" w:rsidTr="006D7F71">
        <w:tc>
          <w:tcPr>
            <w:tcW w:w="2518" w:type="dxa"/>
          </w:tcPr>
          <w:p w14:paraId="3EF3B18A"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Финансирующая организация</w:t>
            </w:r>
          </w:p>
        </w:tc>
        <w:tc>
          <w:tcPr>
            <w:tcW w:w="4342" w:type="dxa"/>
          </w:tcPr>
          <w:p w14:paraId="25EEC89C"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ПАО «Сбер»</w:t>
            </w:r>
          </w:p>
        </w:tc>
      </w:tr>
      <w:tr w:rsidR="00350396" w:rsidRPr="004E0FC4" w14:paraId="5DF58D19" w14:textId="77777777" w:rsidTr="006D7F71">
        <w:tc>
          <w:tcPr>
            <w:tcW w:w="2518" w:type="dxa"/>
          </w:tcPr>
          <w:p w14:paraId="20FA596C"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Организации – участники проекта </w:t>
            </w:r>
          </w:p>
        </w:tc>
        <w:tc>
          <w:tcPr>
            <w:tcW w:w="4342" w:type="dxa"/>
          </w:tcPr>
          <w:p w14:paraId="3F453B02"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ГК ВИС, Ростех, Сбербанк Инвестиции и ИнфраВЭБ</w:t>
            </w:r>
          </w:p>
        </w:tc>
      </w:tr>
      <w:tr w:rsidR="00350396" w:rsidRPr="004E0FC4" w14:paraId="26A60885" w14:textId="77777777" w:rsidTr="006D7F71">
        <w:tc>
          <w:tcPr>
            <w:tcW w:w="2518" w:type="dxa"/>
          </w:tcPr>
          <w:p w14:paraId="3032DBF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Период реализации проекта </w:t>
            </w:r>
          </w:p>
        </w:tc>
        <w:tc>
          <w:tcPr>
            <w:tcW w:w="4342" w:type="dxa"/>
          </w:tcPr>
          <w:p w14:paraId="2A2D4B1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25 лет, начиная с 12.02.2020</w:t>
            </w:r>
          </w:p>
        </w:tc>
      </w:tr>
      <w:tr w:rsidR="00350396" w:rsidRPr="004E0FC4" w14:paraId="4E80A1F4" w14:textId="77777777" w:rsidTr="006D7F71">
        <w:tc>
          <w:tcPr>
            <w:tcW w:w="2518" w:type="dxa"/>
          </w:tcPr>
          <w:p w14:paraId="4AA1B061"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Форма реализации:</w:t>
            </w:r>
          </w:p>
        </w:tc>
        <w:tc>
          <w:tcPr>
            <w:tcW w:w="4342" w:type="dxa"/>
          </w:tcPr>
          <w:p w14:paraId="37F85FD1"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концессионное соглашение (115-ФЗ)</w:t>
            </w:r>
          </w:p>
        </w:tc>
      </w:tr>
      <w:tr w:rsidR="00350396" w:rsidRPr="004E0FC4" w14:paraId="2AC3FC9E" w14:textId="77777777" w:rsidTr="006D7F71">
        <w:tc>
          <w:tcPr>
            <w:tcW w:w="2518" w:type="dxa"/>
          </w:tcPr>
          <w:p w14:paraId="37D1DCFE"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Источник возврата инвестиций:</w:t>
            </w:r>
          </w:p>
        </w:tc>
        <w:tc>
          <w:tcPr>
            <w:tcW w:w="4342" w:type="dxa"/>
          </w:tcPr>
          <w:p w14:paraId="0917BD77"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плата за доступность (фиксированные платежи) со стороны публичного партнера (бюджета)</w:t>
            </w:r>
          </w:p>
          <w:p w14:paraId="6ECC32C1"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прямой сбор платы с потребителей за пользование объектом (услуги)</w:t>
            </w:r>
          </w:p>
        </w:tc>
      </w:tr>
      <w:tr w:rsidR="00350396" w:rsidRPr="004E0FC4" w14:paraId="18848E44" w14:textId="77777777" w:rsidTr="006D7F71">
        <w:tc>
          <w:tcPr>
            <w:tcW w:w="2518" w:type="dxa"/>
          </w:tcPr>
          <w:p w14:paraId="3BBEFF75"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Структура инвестирования – всего 68,5 млрд. руб.</w:t>
            </w:r>
          </w:p>
        </w:tc>
        <w:tc>
          <w:tcPr>
            <w:tcW w:w="4342" w:type="dxa"/>
          </w:tcPr>
          <w:p w14:paraId="295AFEFA"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Бюджетные инвестиции: ≈ 54,3 млрд руб.</w:t>
            </w:r>
          </w:p>
          <w:p w14:paraId="22F47DA3"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Частные инвестиции: ≈ 14,2 млрд руб. </w:t>
            </w:r>
          </w:p>
        </w:tc>
      </w:tr>
      <w:tr w:rsidR="00350396" w:rsidRPr="004E0FC4" w14:paraId="32E240B6" w14:textId="77777777" w:rsidTr="006D7F71">
        <w:tc>
          <w:tcPr>
            <w:tcW w:w="2518" w:type="dxa"/>
          </w:tcPr>
          <w:p w14:paraId="3052751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Содержание проекта – северный широтный пояс</w:t>
            </w:r>
          </w:p>
          <w:p w14:paraId="6662912D"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«Восточная Сибирь – Мирный – Якутск – Магадан»</w:t>
            </w:r>
          </w:p>
        </w:tc>
        <w:tc>
          <w:tcPr>
            <w:tcW w:w="4342" w:type="dxa"/>
          </w:tcPr>
          <w:p w14:paraId="6E68506C"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Ленский мост позволит сократить маршрут от Новосибирска до Магадана на 905 км и создаст сухопутное сообщение Якутска с «большой» землей, обеспечит транспортную связь между регионами Восточной Сибири и Дальнего Востока</w:t>
            </w:r>
          </w:p>
        </w:tc>
      </w:tr>
    </w:tbl>
    <w:p w14:paraId="2CD95B2A"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p>
    <w:p w14:paraId="298B13F4"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72" w:name="_Toc118131272"/>
      <w:r w:rsidRPr="004E0FC4">
        <w:rPr>
          <w:rFonts w:ascii="Bookman Old Style" w:eastAsia="Arial Narrow" w:hAnsi="Bookman Old Style" w:cs="Arial Narrow"/>
          <w:i/>
          <w:iCs/>
          <w:color w:val="231F20"/>
          <w:sz w:val="18"/>
          <w:szCs w:val="18"/>
        </w:rPr>
        <w:t xml:space="preserve">4.10. </w:t>
      </w:r>
      <w:r w:rsidRPr="004E0FC4">
        <w:rPr>
          <w:rFonts w:ascii="Bookman Old Style" w:eastAsia="Arial Narrow" w:hAnsi="Bookman Old Style" w:cs="Arial Narrow"/>
          <w:b/>
          <w:bCs/>
          <w:i/>
          <w:iCs/>
          <w:color w:val="231F20"/>
          <w:sz w:val="18"/>
          <w:szCs w:val="18"/>
        </w:rPr>
        <w:t>Государственно-частное партнерство в странах БРИКС АСЕАН,</w:t>
      </w:r>
      <w:r w:rsidRPr="004E0FC4">
        <w:rPr>
          <w:rFonts w:ascii="Bookman Old Style" w:eastAsia="Arial Narrow" w:hAnsi="Bookman Old Style" w:cs="Arial Narrow"/>
          <w:color w:val="231F20"/>
          <w:sz w:val="18"/>
          <w:szCs w:val="18"/>
        </w:rPr>
        <w:t xml:space="preserve"> </w:t>
      </w:r>
      <w:r w:rsidRPr="004E0FC4">
        <w:rPr>
          <w:rFonts w:ascii="Bookman Old Style" w:eastAsia="Arial Narrow" w:hAnsi="Bookman Old Style" w:cs="Arial Narrow"/>
          <w:b/>
          <w:bCs/>
          <w:i/>
          <w:iCs/>
          <w:color w:val="231F20"/>
          <w:sz w:val="18"/>
          <w:szCs w:val="18"/>
        </w:rPr>
        <w:t>ЕАЭС: современный опыт</w:t>
      </w:r>
      <w:bookmarkEnd w:id="72"/>
    </w:p>
    <w:p w14:paraId="57894C3C"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p>
    <w:p w14:paraId="493E7668"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b/>
          <w:color w:val="231F20"/>
          <w:sz w:val="18"/>
          <w:szCs w:val="18"/>
        </w:rPr>
        <w:lastRenderedPageBreak/>
        <w:t>Китай.</w:t>
      </w:r>
      <w:r w:rsidRPr="004E0FC4">
        <w:rPr>
          <w:rFonts w:ascii="Bookman Old Style" w:eastAsia="Bookman Old Style" w:hAnsi="Bookman Old Style" w:cs="Bookman Old Style"/>
          <w:color w:val="231F20"/>
          <w:sz w:val="18"/>
          <w:szCs w:val="18"/>
        </w:rPr>
        <w:t xml:space="preserve"> Проекты государственно-частного партнерства в Китае в 2019-2022 годах реализуются ускоренными темпами на фоне наращивания страной усилий по привлечению инвестиций и укреплению восстановления экономики. Например, за первую половину 2022 года были оформлены 251 проект ГЧП с общим объемом инвестиций 300 миллиарда юаней (1 юань ~ 8.5 рублей или 0,2 долл. США).</w:t>
      </w:r>
      <w:r w:rsidRPr="004E0FC4">
        <w:rPr>
          <w:rFonts w:ascii="Bookman Old Style" w:hAnsi="Bookman Old Style" w:cs="Arial"/>
          <w:color w:val="333333"/>
          <w:spacing w:val="2"/>
          <w:sz w:val="18"/>
          <w:szCs w:val="18"/>
          <w:shd w:val="clear" w:color="auto" w:fill="FFFFFF"/>
        </w:rPr>
        <w:t xml:space="preserve"> </w:t>
      </w:r>
      <w:r w:rsidRPr="004E0FC4">
        <w:rPr>
          <w:rFonts w:ascii="Bookman Old Style" w:eastAsia="Bookman Old Style" w:hAnsi="Bookman Old Style" w:cs="Bookman Old Style"/>
          <w:color w:val="231F20"/>
          <w:sz w:val="18"/>
          <w:szCs w:val="18"/>
        </w:rPr>
        <w:t>Всего за период с 2014 по конец июня 2022 года в стране было подписано 7934 проекта ГЧП с общим объемом инвестиций 13,1 триллиона юаней</w:t>
      </w:r>
      <w:r w:rsidRPr="004E0FC4">
        <w:rPr>
          <w:rFonts w:ascii="Bookman Old Style" w:eastAsia="Bookman Old Style" w:hAnsi="Bookman Old Style" w:cs="Bookman Old Style"/>
          <w:color w:val="231F20"/>
          <w:sz w:val="18"/>
          <w:szCs w:val="18"/>
          <w:vertAlign w:val="superscript"/>
        </w:rPr>
        <w:footnoteReference w:id="154"/>
      </w:r>
      <w:r w:rsidRPr="004E0FC4">
        <w:rPr>
          <w:rFonts w:ascii="Bookman Old Style" w:eastAsia="Bookman Old Style" w:hAnsi="Bookman Old Style" w:cs="Bookman Old Style"/>
          <w:color w:val="231F20"/>
          <w:sz w:val="18"/>
          <w:szCs w:val="18"/>
        </w:rPr>
        <w:t xml:space="preserve"> или 111 трлн. руб., что примерно в </w:t>
      </w:r>
      <w:r w:rsidRPr="004E0FC4">
        <w:rPr>
          <w:rFonts w:ascii="Bookman Old Style" w:eastAsia="Bookman Old Style" w:hAnsi="Bookman Old Style" w:cs="Bookman Old Style"/>
          <w:i/>
          <w:color w:val="231F20"/>
          <w:sz w:val="18"/>
          <w:szCs w:val="18"/>
        </w:rPr>
        <w:t>25 раз</w:t>
      </w:r>
      <w:r w:rsidRPr="004E0FC4">
        <w:rPr>
          <w:rFonts w:ascii="Bookman Old Style" w:eastAsia="Bookman Old Style" w:hAnsi="Bookman Old Style" w:cs="Bookman Old Style"/>
          <w:color w:val="231F20"/>
          <w:sz w:val="18"/>
          <w:szCs w:val="18"/>
        </w:rPr>
        <w:t xml:space="preserve"> превышает аналогичный показатель для России за тот же период.</w:t>
      </w:r>
    </w:p>
    <w:p w14:paraId="7C516119"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Строительство морского перехода «Гонконг–Чжухай–Макао» общей длиной 55 км, из которых около 30 км составляет длина вантовых мостов, а 7 км – длина подводного тоннеля на глубине 48 м состоялось в 2009-2017 годах. Эта дорога между Китаем и Гонконгом стала знаковым инфраструктурным проектом со стоимостью около 20 млрд долл., где были применены элементы ГЧП.</w:t>
      </w:r>
    </w:p>
    <w:p w14:paraId="5906FCCF"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Ниже кратко описаны некоторые крупнейшие инфраструктурные проекты Китая, которые планируется завершить в 2020-х годах. </w:t>
      </w:r>
    </w:p>
    <w:p w14:paraId="7C1D6D6F"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1. Скоростная железная дорога Чунцин-Куньмин. Стоимость проекта: $20.5 млрд (141.62 млрд юаней) – скоростная железная дорога длиной в 699 км между городами Чунцин и Куньмин. Проект, на реализацию которого заложено 6 лет, будет соединять в общей сложности 20 населенных пунктов в провинциях Сычуань, Гуйчжоу, Юньнань. Максимальная скорость на железной дороге будет достигать, по планам, 350 км/ч. Планируется, что она соединит западные города с деревни с остальным миром, что поможет регионам справиться с бедностью и лучше соединить города региона. </w:t>
      </w:r>
    </w:p>
    <w:p w14:paraId="0FFC2C2B"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2. Городской железнодорожный транспорт Чэнду фаза IV Стоимость проекта: $19.1 млрд. В общей сложности планируется построить восемь линий городского железнодорожного транспорта, их общая протяженность составит 176.65 км. Планируется, что проект будет завершен к 2024 году в Чэнду, столице юго-западной провинции Сычуань в Китае. Этот проект направлен на стимулирования экономического развития Чэнду, который является одним из девяти «центральных городов» Китая, вместе с Пекином, Тяньцзинем, Шанхаем, Чунцином, Гуанчжоу, Уханем, Чжэнчжоу и Сианем. Эти девять городов имеют экспортно-ориентированную экономику, а также на них возложена миссия международного культурного обмена. </w:t>
      </w:r>
    </w:p>
    <w:p w14:paraId="58373660"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3. Городской железнодорожный транспорт города Сиань. Стоимость проекта: $14 млрд. С 2019 по 2024 год будет построено семь линий городского железнодорожного транспорта с городе Сиань, столице </w:t>
      </w:r>
      <w:r w:rsidRPr="004E0FC4">
        <w:rPr>
          <w:rFonts w:ascii="Bookman Old Style" w:eastAsia="Bookman Old Style" w:hAnsi="Bookman Old Style" w:cs="Bookman Old Style"/>
          <w:color w:val="231F20"/>
          <w:sz w:val="18"/>
          <w:szCs w:val="18"/>
        </w:rPr>
        <w:lastRenderedPageBreak/>
        <w:t>провинции Шэньси в центральном Китае, чтобы стимулировать интеграцию Сианя с соседним городом Сяньянем.</w:t>
      </w:r>
    </w:p>
    <w:p w14:paraId="592DE906"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4. Модернизация городского железнодорожного транспорта Пекина фаза II Стоимость проекта: $12.5 млрд. Экспресс Daxing Airport Express будет соединять новый аэропорт и деловой центр города. </w:t>
      </w:r>
    </w:p>
    <w:p w14:paraId="51517773"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5. Скоростная железная дорога Шэньян – Байхэ. Стоимость проекта: $10.5 млрд (72.29 млрд юаней). Этот проект соединит две северо-восточные провинции – Ляонин и Цзилинь, протяженность пути составит 428.8 км. Дорога соединит города в провинции Цзилинь и дойдет почти до границы с Северной Кореей. Проект направлен на восстановление и оживление экономики умирающих городов на северо-востоке Китая. Власти также рассчитывают на то, что это будет способствовать развитию туризма.</w:t>
      </w:r>
    </w:p>
    <w:p w14:paraId="3D6062AD"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Подобные крупные проекты привлекают частных инвесторов, а также в них включаются китайские компании с государственным участием. В ряде случае структурирование договоров происходит в формате концессии, но также можно говорить и о китайских аналогах российских договоров «квази» - ГЧП. </w:t>
      </w:r>
    </w:p>
    <w:p w14:paraId="35B64FE7"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Отметим, что Китай реализует транспортные и инфраструктурные проекты не только на своей территории или на территории сопредельных стран, но и на других континентах (Африка, Южная Америка). При этом китайские компании и банки могут выступать подрядчиками, инвесторами, привлекать правительственные гарантии в рамках договоров ГЧП с администрациями других стран и регионов. В рамках подобной практики реализуются:</w:t>
      </w:r>
    </w:p>
    <w:p w14:paraId="2E242E94" w14:textId="77777777" w:rsidR="00350396" w:rsidRPr="004E0FC4" w:rsidRDefault="00350396" w:rsidP="004E0FC4">
      <w:pPr>
        <w:widowControl w:val="0"/>
        <w:numPr>
          <w:ilvl w:val="0"/>
          <w:numId w:val="181"/>
        </w:numPr>
        <w:spacing w:line="245" w:lineRule="exact"/>
        <w:contextualSpacing/>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проект строительства Китаем ливийской прибрежной железной дороги (2,6 млрд долл.); </w:t>
      </w:r>
    </w:p>
    <w:p w14:paraId="3D1BBF8E" w14:textId="77777777" w:rsidR="00350396" w:rsidRPr="004E0FC4" w:rsidRDefault="00350396" w:rsidP="004E0FC4">
      <w:pPr>
        <w:widowControl w:val="0"/>
        <w:numPr>
          <w:ilvl w:val="0"/>
          <w:numId w:val="181"/>
        </w:numPr>
        <w:spacing w:line="245" w:lineRule="exact"/>
        <w:contextualSpacing/>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нефтяной проект Нигера (5,0 млрд долл.);</w:t>
      </w:r>
    </w:p>
    <w:p w14:paraId="6C90719E" w14:textId="77777777" w:rsidR="00350396" w:rsidRPr="004E0FC4" w:rsidRDefault="00350396" w:rsidP="004E0FC4">
      <w:pPr>
        <w:widowControl w:val="0"/>
        <w:numPr>
          <w:ilvl w:val="0"/>
          <w:numId w:val="181"/>
        </w:numPr>
        <w:spacing w:line="245" w:lineRule="exact"/>
        <w:contextualSpacing/>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суданский нефтяной проект (7,0 млрд долл.);</w:t>
      </w:r>
    </w:p>
    <w:p w14:paraId="7C639BBA" w14:textId="77777777" w:rsidR="00350396" w:rsidRPr="004E0FC4" w:rsidRDefault="00350396" w:rsidP="004E0FC4">
      <w:pPr>
        <w:widowControl w:val="0"/>
        <w:numPr>
          <w:ilvl w:val="0"/>
          <w:numId w:val="181"/>
        </w:numPr>
        <w:spacing w:line="245" w:lineRule="exact"/>
        <w:contextualSpacing/>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строительство Китаем алжирского шоссе «Восток-Запад» (7,0 млрд долл.).</w:t>
      </w:r>
    </w:p>
    <w:p w14:paraId="145A2CFA"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Элементы ГЧП присутствуют при проектировании и (или) строительстве самых амбициозных китайских проектов последних лет:</w:t>
      </w:r>
    </w:p>
    <w:p w14:paraId="627C36C7"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проект атомной электростанции Ляонин (77,5 млрд долл.);</w:t>
      </w:r>
    </w:p>
    <w:p w14:paraId="524E66D4"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государственный план одиннадцатой пятилетки по охране окружающей среды в бассейне реки Хунъянхэ (237,0 млрд долл.);</w:t>
      </w:r>
    </w:p>
    <w:p w14:paraId="24CBBA7E"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атомная электростанция Чжэцзян Саньмэнь (800 млрд долл.);</w:t>
      </w:r>
    </w:p>
    <w:p w14:paraId="36BE47B2"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Северная энергетическая и химическая база (900 млрд долл.);</w:t>
      </w:r>
    </w:p>
    <w:p w14:paraId="3CD13BED"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новый промышленный район Тяньцзинь Биньхай (1 трлн долл.);</w:t>
      </w:r>
    </w:p>
    <w:p w14:paraId="41F4B8C8"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Крупнейший китайский инфраструктурный проект «Один пояс – один путь» также является проектом ГЧП. При этом он имеет особую природу - </w:t>
      </w:r>
      <w:r w:rsidRPr="004E0FC4">
        <w:rPr>
          <w:rFonts w:ascii="Bookman Old Style" w:eastAsia="Bookman Old Style" w:hAnsi="Bookman Old Style" w:cs="Bookman Old Style"/>
          <w:i/>
          <w:color w:val="231F20"/>
          <w:sz w:val="18"/>
          <w:szCs w:val="18"/>
        </w:rPr>
        <w:t>трансграничной инфраструктуры</w:t>
      </w:r>
      <w:r w:rsidRPr="004E0FC4">
        <w:rPr>
          <w:rFonts w:ascii="Bookman Old Style" w:eastAsia="Bookman Old Style" w:hAnsi="Bookman Old Style" w:cs="Bookman Old Style"/>
          <w:color w:val="231F20"/>
          <w:sz w:val="18"/>
          <w:szCs w:val="18"/>
        </w:rPr>
        <w:t xml:space="preserve">, реализуемой как в рамках приграничного сотрудничества государств, так и в масштабах международных инициатив. К последним также относится инициатива </w:t>
      </w:r>
      <w:r w:rsidRPr="004E0FC4">
        <w:rPr>
          <w:rFonts w:ascii="Bookman Old Style" w:eastAsia="Bookman Old Style" w:hAnsi="Bookman Old Style" w:cs="Bookman Old Style"/>
          <w:color w:val="231F20"/>
          <w:sz w:val="18"/>
          <w:szCs w:val="18"/>
        </w:rPr>
        <w:lastRenderedPageBreak/>
        <w:t>«Экономического пояса Шелкового пути»</w:t>
      </w:r>
      <w:r w:rsidRPr="004E0FC4">
        <w:rPr>
          <w:rFonts w:ascii="Bookman Old Style" w:eastAsia="Bookman Old Style" w:hAnsi="Bookman Old Style" w:cs="Bookman Old Style"/>
          <w:color w:val="231F20"/>
          <w:sz w:val="18"/>
          <w:szCs w:val="18"/>
          <w:vertAlign w:val="superscript"/>
          <w:lang w:val="en-US"/>
        </w:rPr>
        <w:footnoteReference w:id="155"/>
      </w:r>
      <w:r w:rsidRPr="004E0FC4">
        <w:rPr>
          <w:rFonts w:ascii="Bookman Old Style" w:eastAsia="Bookman Old Style" w:hAnsi="Bookman Old Style" w:cs="Bookman Old Style"/>
          <w:color w:val="231F20"/>
          <w:sz w:val="18"/>
          <w:szCs w:val="18"/>
        </w:rPr>
        <w:t xml:space="preserve">. </w:t>
      </w:r>
    </w:p>
    <w:p w14:paraId="6461A7A5"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Согласно одному из  подходов, трансграничная инфраструктура представляет собой совокупность объектов и технологий в области транспорта и смежных с ним отраслей, систем безопасности, систем связи и телекоммуникаций, которые расположены в пограничных пространствах одного государства и сопредельного государства. На основании этого к объектам трансграничной инфраструктуры относят автомобильные и железнодорожные пути сообщения, путепроводы, аэропорты, морские и речные порты, обеспечивающие пересечение государственной границы и  международное грузовое и  пассажирское сообщение, а также пункты пропуска и пограничные терминалы</w:t>
      </w:r>
      <w:r w:rsidRPr="004E0FC4">
        <w:rPr>
          <w:rFonts w:ascii="Bookman Old Style" w:eastAsia="Bookman Old Style" w:hAnsi="Bookman Old Style" w:cs="Bookman Old Style"/>
          <w:color w:val="231F20"/>
          <w:sz w:val="18"/>
          <w:szCs w:val="18"/>
        </w:rPr>
        <w:footnoteReference w:id="156"/>
      </w:r>
      <w:r w:rsidRPr="004E0FC4">
        <w:rPr>
          <w:rFonts w:ascii="Bookman Old Style" w:eastAsia="Bookman Old Style" w:hAnsi="Bookman Old Style" w:cs="Bookman Old Style"/>
          <w:color w:val="231F20"/>
          <w:sz w:val="18"/>
          <w:szCs w:val="18"/>
        </w:rPr>
        <w:t>.</w:t>
      </w:r>
    </w:p>
    <w:p w14:paraId="116960BA"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Для успешной реализации трансграничного проекта ГЧП большое значение имеет сближение национальных условий участвующих в проекте государств и четкое определение роли как каждого из государств, так и частного партнера. Бенчмаркинг трансграничных проектов ГЧП показал, что участие в трансграничных проектах ГЧП государств, являющихся при этом членами одного интеграционного экономического образования, дает им дополнительные преимущества в виде возможности получения внешнего финансирования от этого интеграционного образования, а также операционного содействия в подготовке трансграничного проекта ГЧП. Также из анализа всех находящихся на стадии реализации трансграничных проектов ГЧП следует, что для преодоления проблем управления трансграничными проектами ГЧП первоочередными действиями государств могут послужить создание институциональных условий, а именно учреждение совместного координационного органа и заключение межправительственного соглашения о совместном участии в трансграничном проекте ГЧП.</w:t>
      </w:r>
    </w:p>
    <w:p w14:paraId="12B075BF"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b/>
          <w:color w:val="231F20"/>
          <w:sz w:val="18"/>
          <w:szCs w:val="18"/>
        </w:rPr>
        <w:t>Пример реализованного трансграничного проекта ГЧП Малайзия – Сингапур.</w:t>
      </w:r>
      <w:r w:rsidRPr="004E0FC4">
        <w:rPr>
          <w:rFonts w:ascii="Bookman Old Style" w:eastAsia="Bookman Old Style" w:hAnsi="Bookman Old Style" w:cs="Bookman Old Style"/>
          <w:color w:val="231F20"/>
          <w:sz w:val="18"/>
          <w:szCs w:val="18"/>
        </w:rPr>
        <w:t xml:space="preserve"> Проект ГЧП «Строительство и эксплуатация Второго моста, соединяющего Джохор (Малайзия) с Туасом (Сингапур)», форма – ВОТ. Правовой основой реализации проекта является концессионный контракт, а  также подписанное в марте 1994 г. соглашение между Правительством Малайзии и  Правительством Сингапура, определяющее обязанности обоих правительств в отношении проектирования, строительства, эксплуатации и технического обслуживания моста в рамках проекта ГЧП. Сторонами </w:t>
      </w:r>
      <w:r w:rsidRPr="004E0FC4">
        <w:rPr>
          <w:rFonts w:ascii="Bookman Old Style" w:eastAsia="Bookman Old Style" w:hAnsi="Bookman Old Style" w:cs="Bookman Old Style"/>
          <w:color w:val="231F20"/>
          <w:sz w:val="18"/>
          <w:szCs w:val="18"/>
        </w:rPr>
        <w:lastRenderedPageBreak/>
        <w:t xml:space="preserve">концессионного контракта являются: Правительство Малайзии (в лице Управления автомобильных дорог Малайзии) и Правительство Сингапура (в лице Управления наземного транспорта Сингапура), с одной стороны, а также концессионер – компания Linkedua Malaysia BerhadLINK, с другой. </w:t>
      </w:r>
    </w:p>
    <w:p w14:paraId="16A1E061"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Объект концессионного соглашения – двухэтажный мост длиной 1,92 км, который вмещает две проезжих части с  тремя полосами движения, а также 44 км скоростных автомагистралей, сооружения для проведения таможенного, иммиграционного и санитарного контроля, три платных стоянки, две зоны отдыха и обслуживания и другие вспомогательные объекты. Правительство каждой страны – участницы соглашения имеет обязательства по земельным и финансовым вопросам той части объекта концессионного соглашения, которая находится в его границах (малазийской части и сингапурской части моста), на основе общего согласованного плана. Эксплуатация объекта осуществляется на платной основе, сбор платы возложен на концессионера. Плата принимается в обеих валютах. Что касается управления проектом, то для осуществления совместных прав и обязанностей публичного партнера, а также контроля за реализацией проекта ГЧП сформирован совместный комитет, состоящий из представителей каждого правительства.</w:t>
      </w:r>
    </w:p>
    <w:p w14:paraId="5B29A15C"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В Индии, Бразилии, Индонезии и Малайзии, в Саудовской Аравии и некоторых других странах ближнего Востока, а также в ряде странах Африки большинство реализуемых в последние годы и перспективных крупных проектов транспортной инфраструктуры стараются структурировать в разных формах ГЧП для разделения рисков и оптимизации финансирования.</w:t>
      </w:r>
    </w:p>
    <w:p w14:paraId="67202222"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В странах </w:t>
      </w:r>
      <w:r w:rsidRPr="004E0FC4">
        <w:rPr>
          <w:rFonts w:ascii="Bookman Old Style" w:eastAsia="Bookman Old Style" w:hAnsi="Bookman Old Style" w:cs="Bookman Old Style"/>
          <w:b/>
          <w:color w:val="231F20"/>
          <w:sz w:val="18"/>
          <w:szCs w:val="18"/>
        </w:rPr>
        <w:t>ЕАЭС</w:t>
      </w:r>
      <w:r w:rsidRPr="004E0FC4">
        <w:rPr>
          <w:rFonts w:ascii="Bookman Old Style" w:eastAsia="Bookman Old Style" w:hAnsi="Bookman Old Style" w:cs="Bookman Old Style"/>
          <w:color w:val="231F20"/>
          <w:sz w:val="18"/>
          <w:szCs w:val="18"/>
        </w:rPr>
        <w:t xml:space="preserve"> совместные инфраструктурные проекты, в том числе с использованием ГЧП, пока не получили широкой реализации. Совместные масштабные проекты ГЧП пока даже не планируются. В то же время можно говорить о наличии потенциальной правовой базы и одинаковых подходах, которые реализуются не территории каждой из стран, не выливаясь в трансграничные проекты.  </w:t>
      </w:r>
    </w:p>
    <w:p w14:paraId="56CA58C7"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Можно отметить, что в России, Казахстане, Беларуси механизмы ГЧП освоены в достаточной степени. Общими для проектов, реализуемых за счет проектного финансирования, является привлечение различных консультантов, задачами которых в частности являются:</w:t>
      </w:r>
    </w:p>
    <w:p w14:paraId="2BBCAFBF"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 Юридический консультант: вовлечен не только в подготовку самого соглашения, но и контролирует соответствие положений соглашения требованиям проектного финансирования, проводит анализ правовой среды и имущественно-правовых аспектов. Юридические консультанты часто привлекаются для содействия в подготовке и проведении конкурсной процедуры по отбору частного партнера (концессионера). Они также должны быть ознакомлены с финансовой документацией проекта. </w:t>
      </w:r>
    </w:p>
    <w:p w14:paraId="00AF09FB"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lastRenderedPageBreak/>
        <w:t xml:space="preserve">• Финансовый консультант: привлекается с целью инвестиционного структурирования и организации финансирования. В проектах ГЧП финансовые консультанты решают более широкий круг вопросов, чем в случае корпоративного финансирования. Они должны координировать процедуры due diligence и гарантировать, что соглашение или иные документы регулируют все финансовые взаимоотношения сторон. </w:t>
      </w:r>
    </w:p>
    <w:p w14:paraId="561EA29F"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 Технический консультант: основная задача технических экспертов – составление спецификаций объекта, оценка корректности технических параметров, оказание помощи в процессе технологического контроля заемщика и подрядчика, надзор за строительными работами, подтверждение соответствия объекта установленным требованиям. </w:t>
      </w:r>
    </w:p>
    <w:p w14:paraId="70518FB1"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 Консультант по маркетингу: необходим для оценки рыночной ситуации и формирования стратегии развития проекта. Одна из ключевых задач – определить спрос на объект и услуги, чтобы максимально снизить риски и степень ошибки при расчете планируемых затрат и доходов частного и публичного партнеров. Компетенция таких консультантов и степень их вовлеченности в проект может оказаться решающим фактором при проведении заимодавцами процедуры due diligence. </w:t>
      </w:r>
    </w:p>
    <w:p w14:paraId="04026E1E"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Инициирование и разработка проекта обычно включает в себя ряд этапов:</w:t>
      </w:r>
    </w:p>
    <w:p w14:paraId="6C472F44"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 Разработка и согласование предварительной концепции проекта, формирование рабочей (проектной) группы. </w:t>
      </w:r>
    </w:p>
    <w:p w14:paraId="01ED30A7"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 Технический, правовой и маркетинговый анализ условий реализации проекта. </w:t>
      </w:r>
    </w:p>
    <w:p w14:paraId="03702E58"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 Подготовка технико-экономического обоснования (итоговой концепции) проекта, в том числе финансовой модели. </w:t>
      </w:r>
    </w:p>
    <w:p w14:paraId="01AE97E1"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 Разработка проекта соглашения или существенных и иных значимых условий соглашения. </w:t>
      </w:r>
    </w:p>
    <w:p w14:paraId="220535CC"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 Проведение необходимых переговоров с потенциальными интересантами (если применимо). </w:t>
      </w:r>
    </w:p>
    <w:p w14:paraId="3CED9DFE"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Описание проекта в соответствии с установленной формой и направление его на согласование/оценку (если применимо).</w:t>
      </w:r>
    </w:p>
    <w:p w14:paraId="02D2FCC8" w14:textId="77777777" w:rsidR="00350396" w:rsidRPr="004E0FC4" w:rsidRDefault="00350396" w:rsidP="004E0FC4">
      <w:pPr>
        <w:widowControl w:val="0"/>
        <w:spacing w:line="245" w:lineRule="exact"/>
        <w:ind w:firstLine="340"/>
        <w:rPr>
          <w:rFonts w:ascii="Bookman Old Style" w:eastAsia="Bookman Old Style" w:hAnsi="Bookman Old Style" w:cs="Bookman Old Style"/>
          <w:b/>
          <w:color w:val="231F20"/>
          <w:sz w:val="18"/>
          <w:szCs w:val="18"/>
        </w:rPr>
      </w:pPr>
      <w:r w:rsidRPr="004E0FC4">
        <w:rPr>
          <w:rFonts w:ascii="Bookman Old Style" w:eastAsia="Bookman Old Style" w:hAnsi="Bookman Old Style" w:cs="Bookman Old Style"/>
          <w:b/>
          <w:color w:val="231F20"/>
          <w:sz w:val="18"/>
          <w:szCs w:val="18"/>
        </w:rPr>
        <w:t>Примеры применения механизмов ГЧП в Республике Казахстан.</w:t>
      </w:r>
    </w:p>
    <w:p w14:paraId="73384085" w14:textId="77777777" w:rsidR="00350396" w:rsidRPr="004E0FC4" w:rsidRDefault="00350396" w:rsidP="004E0FC4">
      <w:pPr>
        <w:widowControl w:val="0"/>
        <w:spacing w:line="245" w:lineRule="exact"/>
        <w:ind w:firstLine="340"/>
        <w:rPr>
          <w:rFonts w:ascii="Bookman Old Style" w:eastAsia="Bookman Old Style" w:hAnsi="Bookman Old Style" w:cs="Bookman Old Style"/>
          <w:i/>
          <w:color w:val="231F20"/>
          <w:sz w:val="18"/>
          <w:szCs w:val="18"/>
        </w:rPr>
      </w:pPr>
      <w:r w:rsidRPr="004E0FC4">
        <w:rPr>
          <w:rFonts w:ascii="Bookman Old Style" w:eastAsia="Bookman Old Style" w:hAnsi="Bookman Old Style" w:cs="Bookman Old Style"/>
          <w:i/>
          <w:color w:val="231F20"/>
          <w:sz w:val="18"/>
          <w:szCs w:val="18"/>
        </w:rPr>
        <w:t>Проект «Строительство и эксплуатация пассажирского терминала международного аэропорта «Актау»</w:t>
      </w:r>
    </w:p>
    <w:p w14:paraId="5010338A" w14:textId="77777777" w:rsidR="00350396" w:rsidRPr="004E0FC4" w:rsidRDefault="00350396" w:rsidP="004E0FC4">
      <w:pPr>
        <w:widowControl w:val="0"/>
        <w:spacing w:line="245" w:lineRule="exact"/>
        <w:ind w:firstLine="0"/>
        <w:rPr>
          <w:rFonts w:ascii="Bookman Old Style" w:eastAsia="Bookman Old Style" w:hAnsi="Bookman Old Style" w:cs="Bookman Old Style"/>
          <w:color w:val="231F20"/>
          <w:sz w:val="18"/>
          <w:szCs w:val="18"/>
        </w:rPr>
      </w:pPr>
    </w:p>
    <w:tbl>
      <w:tblPr>
        <w:tblStyle w:val="1c"/>
        <w:tblW w:w="0" w:type="auto"/>
        <w:tblLook w:val="04A0" w:firstRow="1" w:lastRow="0" w:firstColumn="1" w:lastColumn="0" w:noHBand="0" w:noVBand="1"/>
      </w:tblPr>
      <w:tblGrid>
        <w:gridCol w:w="2336"/>
        <w:gridCol w:w="4298"/>
      </w:tblGrid>
      <w:tr w:rsidR="00350396" w:rsidRPr="004E0FC4" w14:paraId="2825701C" w14:textId="77777777" w:rsidTr="006D7F71">
        <w:tc>
          <w:tcPr>
            <w:tcW w:w="2376" w:type="dxa"/>
          </w:tcPr>
          <w:p w14:paraId="18962467"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Уполномоченный орган (концедент)</w:t>
            </w:r>
          </w:p>
        </w:tc>
        <w:tc>
          <w:tcPr>
            <w:tcW w:w="4484" w:type="dxa"/>
          </w:tcPr>
          <w:p w14:paraId="52FF532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Акимат Мангистауской области Республики Казахстан</w:t>
            </w:r>
          </w:p>
        </w:tc>
      </w:tr>
      <w:tr w:rsidR="00350396" w:rsidRPr="007C74F5" w14:paraId="1BC36CC5" w14:textId="77777777" w:rsidTr="006D7F71">
        <w:tc>
          <w:tcPr>
            <w:tcW w:w="2376" w:type="dxa"/>
          </w:tcPr>
          <w:p w14:paraId="3F4AA87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Концессионер</w:t>
            </w:r>
          </w:p>
        </w:tc>
        <w:tc>
          <w:tcPr>
            <w:tcW w:w="4484" w:type="dxa"/>
          </w:tcPr>
          <w:p w14:paraId="2E2D5284" w14:textId="77777777" w:rsidR="00350396" w:rsidRPr="004E0FC4" w:rsidRDefault="00350396" w:rsidP="004E0FC4">
            <w:pPr>
              <w:widowControl w:val="0"/>
              <w:jc w:val="both"/>
              <w:rPr>
                <w:rFonts w:ascii="Bookman Old Style" w:eastAsia="Bookman Old Style" w:hAnsi="Bookman Old Style" w:cs="Bookman Old Style"/>
                <w:color w:val="231F20"/>
                <w:sz w:val="18"/>
                <w:szCs w:val="18"/>
                <w:lang w:val="en-US"/>
              </w:rPr>
            </w:pPr>
            <w:r w:rsidRPr="004E0FC4">
              <w:rPr>
                <w:rFonts w:ascii="Bookman Old Style" w:eastAsia="Bookman Old Style" w:hAnsi="Bookman Old Style" w:cs="Bookman Old Style"/>
                <w:color w:val="231F20"/>
                <w:sz w:val="18"/>
                <w:szCs w:val="18"/>
              </w:rPr>
              <w:t>АТМ</w:t>
            </w:r>
            <w:r w:rsidRPr="004E0FC4">
              <w:rPr>
                <w:rFonts w:ascii="Bookman Old Style" w:eastAsia="Bookman Old Style" w:hAnsi="Bookman Old Style" w:cs="Bookman Old Style"/>
                <w:color w:val="231F20"/>
                <w:sz w:val="18"/>
                <w:szCs w:val="18"/>
                <w:lang w:val="en-US"/>
              </w:rPr>
              <w:t xml:space="preserve"> Group Uluslararasi Havalimani Yapim Yatirim ve isletme LTD Sti</w:t>
            </w:r>
          </w:p>
        </w:tc>
      </w:tr>
      <w:tr w:rsidR="00350396" w:rsidRPr="004E0FC4" w14:paraId="14660134" w14:textId="77777777" w:rsidTr="006D7F71">
        <w:tc>
          <w:tcPr>
            <w:tcW w:w="2376" w:type="dxa"/>
          </w:tcPr>
          <w:p w14:paraId="33307ABD"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Цель проекта</w:t>
            </w:r>
          </w:p>
        </w:tc>
        <w:tc>
          <w:tcPr>
            <w:tcW w:w="4484" w:type="dxa"/>
          </w:tcPr>
          <w:p w14:paraId="65E16ED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Развитие транспортной инфраструктуры Мангистауской области в соответствии со Стратегией индустриально-инновационного развития Республики Казахстан на 2003–2015 годы</w:t>
            </w:r>
          </w:p>
        </w:tc>
      </w:tr>
      <w:tr w:rsidR="00350396" w:rsidRPr="004E0FC4" w14:paraId="2E024114" w14:textId="77777777" w:rsidTr="006D7F71">
        <w:tc>
          <w:tcPr>
            <w:tcW w:w="2376" w:type="dxa"/>
          </w:tcPr>
          <w:p w14:paraId="2848EC3A"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lastRenderedPageBreak/>
              <w:t>Период реализации проекта</w:t>
            </w:r>
          </w:p>
        </w:tc>
        <w:tc>
          <w:tcPr>
            <w:tcW w:w="4484" w:type="dxa"/>
          </w:tcPr>
          <w:p w14:paraId="109B39BA"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Строительство: 2008–2009 годы; Эксплуатация: 28 лет 11 мес.</w:t>
            </w:r>
          </w:p>
        </w:tc>
      </w:tr>
      <w:tr w:rsidR="00350396" w:rsidRPr="004E0FC4" w14:paraId="43ACE0FA" w14:textId="77777777" w:rsidTr="006D7F71">
        <w:tc>
          <w:tcPr>
            <w:tcW w:w="2376" w:type="dxa"/>
          </w:tcPr>
          <w:p w14:paraId="2787720F"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Мощность проекта</w:t>
            </w:r>
          </w:p>
        </w:tc>
        <w:tc>
          <w:tcPr>
            <w:tcW w:w="4484" w:type="dxa"/>
          </w:tcPr>
          <w:p w14:paraId="122F8278"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Пропускная способность терминала составляет 450 пассажиров в час, в том числе по внутренним авиалиниям – 250 пасс./ч; по международным авиалиниям – 250 пасс./ч</w:t>
            </w:r>
          </w:p>
        </w:tc>
      </w:tr>
      <w:tr w:rsidR="00350396" w:rsidRPr="004E0FC4" w14:paraId="4C48030D" w14:textId="77777777" w:rsidTr="006D7F71">
        <w:tc>
          <w:tcPr>
            <w:tcW w:w="2376" w:type="dxa"/>
          </w:tcPr>
          <w:p w14:paraId="5A3FB72D"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Стоимость строительства</w:t>
            </w:r>
          </w:p>
        </w:tc>
        <w:tc>
          <w:tcPr>
            <w:tcW w:w="4484" w:type="dxa"/>
          </w:tcPr>
          <w:p w14:paraId="596329D0"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согласно приложению 6 договора концессии, являющегося бизнес-планом концессионного проекта по строительству и эксплуатации нового пассажирского терминала г. Актау 4093 млн тенге</w:t>
            </w:r>
          </w:p>
        </w:tc>
      </w:tr>
      <w:tr w:rsidR="00350396" w:rsidRPr="004E0FC4" w14:paraId="46AD5A53" w14:textId="77777777" w:rsidTr="006D7F71">
        <w:tc>
          <w:tcPr>
            <w:tcW w:w="2376" w:type="dxa"/>
          </w:tcPr>
          <w:p w14:paraId="01A9F88C"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Дата подписания концессионного соглашения</w:t>
            </w:r>
          </w:p>
        </w:tc>
        <w:tc>
          <w:tcPr>
            <w:tcW w:w="4484" w:type="dxa"/>
          </w:tcPr>
          <w:p w14:paraId="70B0B8C5"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Концессионное соглашение подписано 10 декабря 2007 года</w:t>
            </w:r>
          </w:p>
        </w:tc>
      </w:tr>
      <w:tr w:rsidR="00350396" w:rsidRPr="004E0FC4" w14:paraId="5B1CAC2C" w14:textId="77777777" w:rsidTr="006D7F71">
        <w:tc>
          <w:tcPr>
            <w:tcW w:w="2376" w:type="dxa"/>
          </w:tcPr>
          <w:p w14:paraId="036EF1CE"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Срок передачи объекта в государственную собственность</w:t>
            </w:r>
          </w:p>
        </w:tc>
        <w:tc>
          <w:tcPr>
            <w:tcW w:w="4484" w:type="dxa"/>
          </w:tcPr>
          <w:p w14:paraId="523F2288"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15.07.2010</w:t>
            </w:r>
          </w:p>
        </w:tc>
      </w:tr>
      <w:tr w:rsidR="00350396" w:rsidRPr="004E0FC4" w14:paraId="5A7A3BF3" w14:textId="77777777" w:rsidTr="006D7F71">
        <w:tc>
          <w:tcPr>
            <w:tcW w:w="2376" w:type="dxa"/>
          </w:tcPr>
          <w:p w14:paraId="7605FBFB"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Государственная поддержка деятельности концессионера</w:t>
            </w:r>
          </w:p>
        </w:tc>
        <w:tc>
          <w:tcPr>
            <w:tcW w:w="4484" w:type="dxa"/>
          </w:tcPr>
          <w:p w14:paraId="5EA0D0E1"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Предоставление государственной поддержки в рамках договора концессии не предусмотрено. Между тем в соответствии с п. 5 разд. 1 приложения 2 договора концессии концессионер имеет право обратиться за мерами государственной поддержки</w:t>
            </w:r>
          </w:p>
        </w:tc>
      </w:tr>
      <w:tr w:rsidR="00350396" w:rsidRPr="004E0FC4" w14:paraId="2AB5CADE" w14:textId="77777777" w:rsidTr="006D7F71">
        <w:tc>
          <w:tcPr>
            <w:tcW w:w="2376" w:type="dxa"/>
          </w:tcPr>
          <w:p w14:paraId="1E5ACEEB"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Источники и структура финансирования проекта</w:t>
            </w:r>
          </w:p>
        </w:tc>
        <w:tc>
          <w:tcPr>
            <w:tcW w:w="4484" w:type="dxa"/>
          </w:tcPr>
          <w:p w14:paraId="1CC0C798"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Финансирование проекта произведено за счет средств концессионера</w:t>
            </w:r>
          </w:p>
        </w:tc>
      </w:tr>
    </w:tbl>
    <w:p w14:paraId="1B34666A" w14:textId="77777777" w:rsidR="00350396" w:rsidRPr="004E0FC4" w:rsidRDefault="00350396" w:rsidP="004E0FC4">
      <w:pPr>
        <w:widowControl w:val="0"/>
        <w:spacing w:line="245" w:lineRule="exact"/>
        <w:ind w:firstLine="340"/>
        <w:rPr>
          <w:rFonts w:ascii="Bookman Old Style" w:eastAsia="Bookman Old Style" w:hAnsi="Bookman Old Style" w:cs="Bookman Old Style"/>
          <w:i/>
          <w:color w:val="231F20"/>
          <w:sz w:val="18"/>
          <w:szCs w:val="18"/>
        </w:rPr>
      </w:pPr>
      <w:r w:rsidRPr="004E0FC4">
        <w:rPr>
          <w:rFonts w:ascii="Bookman Old Style" w:eastAsia="Bookman Old Style" w:hAnsi="Bookman Old Style" w:cs="Bookman Old Style"/>
          <w:i/>
          <w:color w:val="231F20"/>
          <w:sz w:val="18"/>
          <w:szCs w:val="18"/>
        </w:rPr>
        <w:t>Проект «Создание, внедрение и обеспечение функционирования автоматизированной информационной системы «К</w:t>
      </w:r>
      <w:r w:rsidRPr="004E0FC4">
        <w:rPr>
          <w:rFonts w:ascii="Cambria" w:eastAsia="Bookman Old Style" w:hAnsi="Cambria" w:cs="Cambria"/>
          <w:i/>
          <w:color w:val="231F20"/>
          <w:sz w:val="18"/>
          <w:szCs w:val="18"/>
        </w:rPr>
        <w:t>ү</w:t>
      </w:r>
      <w:r w:rsidRPr="004E0FC4">
        <w:rPr>
          <w:rFonts w:ascii="Bookman Old Style" w:eastAsia="Bookman Old Style" w:hAnsi="Bookman Old Style" w:cs="Bookman Old Style"/>
          <w:i/>
          <w:color w:val="231F20"/>
          <w:sz w:val="18"/>
          <w:szCs w:val="18"/>
        </w:rPr>
        <w:t>нделік»</w:t>
      </w:r>
    </w:p>
    <w:tbl>
      <w:tblPr>
        <w:tblStyle w:val="1c"/>
        <w:tblW w:w="0" w:type="auto"/>
        <w:tblLook w:val="04A0" w:firstRow="1" w:lastRow="0" w:firstColumn="1" w:lastColumn="0" w:noHBand="0" w:noVBand="1"/>
      </w:tblPr>
      <w:tblGrid>
        <w:gridCol w:w="2324"/>
        <w:gridCol w:w="4310"/>
      </w:tblGrid>
      <w:tr w:rsidR="00350396" w:rsidRPr="004E0FC4" w14:paraId="29DF5F7B" w14:textId="77777777" w:rsidTr="006D7F71">
        <w:tc>
          <w:tcPr>
            <w:tcW w:w="2376" w:type="dxa"/>
          </w:tcPr>
          <w:p w14:paraId="4449BA1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Отрасль</w:t>
            </w:r>
          </w:p>
        </w:tc>
        <w:tc>
          <w:tcPr>
            <w:tcW w:w="4484" w:type="dxa"/>
          </w:tcPr>
          <w:p w14:paraId="5B74C611" w14:textId="77777777" w:rsidR="00350396" w:rsidRPr="004E0FC4" w:rsidRDefault="00350396" w:rsidP="004E0FC4">
            <w:pPr>
              <w:widowControl w:val="0"/>
              <w:jc w:val="both"/>
              <w:rPr>
                <w:rFonts w:ascii="Bookman Old Style" w:eastAsia="Bookman Old Style" w:hAnsi="Bookman Old Style" w:cs="Bookman Old Style"/>
                <w:color w:val="231F20"/>
                <w:sz w:val="18"/>
                <w:szCs w:val="18"/>
                <w:lang w:val="en-US"/>
              </w:rPr>
            </w:pPr>
            <w:r w:rsidRPr="004E0FC4">
              <w:rPr>
                <w:rFonts w:ascii="Bookman Old Style" w:eastAsia="Bookman Old Style" w:hAnsi="Bookman Old Style" w:cs="Bookman Old Style"/>
                <w:color w:val="231F20"/>
                <w:sz w:val="18"/>
                <w:szCs w:val="18"/>
              </w:rPr>
              <w:t>Образование, IT-инфраструктура</w:t>
            </w:r>
          </w:p>
        </w:tc>
      </w:tr>
      <w:tr w:rsidR="00350396" w:rsidRPr="004E0FC4" w14:paraId="0914EEDB" w14:textId="77777777" w:rsidTr="006D7F71">
        <w:tc>
          <w:tcPr>
            <w:tcW w:w="2376" w:type="dxa"/>
          </w:tcPr>
          <w:p w14:paraId="795EBB5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Частный партнёр</w:t>
            </w:r>
          </w:p>
        </w:tc>
        <w:tc>
          <w:tcPr>
            <w:tcW w:w="4484" w:type="dxa"/>
          </w:tcPr>
          <w:p w14:paraId="4245C149"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МОН РК, ТОО «К</w:t>
            </w:r>
            <w:r w:rsidRPr="004E0FC4">
              <w:rPr>
                <w:rFonts w:ascii="Cambria" w:eastAsia="Bookman Old Style" w:hAnsi="Cambria" w:cs="Cambria"/>
                <w:color w:val="231F20"/>
                <w:sz w:val="18"/>
                <w:szCs w:val="18"/>
              </w:rPr>
              <w:t>ү</w:t>
            </w:r>
            <w:r w:rsidRPr="004E0FC4">
              <w:rPr>
                <w:rFonts w:ascii="Bookman Old Style" w:eastAsia="Bookman Old Style" w:hAnsi="Bookman Old Style" w:cs="Bookman Old Style"/>
                <w:color w:val="231F20"/>
                <w:sz w:val="18"/>
                <w:szCs w:val="18"/>
              </w:rPr>
              <w:t>нделік» (Kundelik)</w:t>
            </w:r>
          </w:p>
        </w:tc>
      </w:tr>
      <w:tr w:rsidR="00350396" w:rsidRPr="004E0FC4" w14:paraId="22F8F4AE" w14:textId="77777777" w:rsidTr="006D7F71">
        <w:tc>
          <w:tcPr>
            <w:tcW w:w="2376" w:type="dxa"/>
          </w:tcPr>
          <w:p w14:paraId="031BF92A"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Стоимость реализации</w:t>
            </w:r>
          </w:p>
        </w:tc>
        <w:tc>
          <w:tcPr>
            <w:tcW w:w="4484" w:type="dxa"/>
          </w:tcPr>
          <w:p w14:paraId="63327D2C"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5815,7 млн тенге</w:t>
            </w:r>
          </w:p>
        </w:tc>
      </w:tr>
      <w:tr w:rsidR="00350396" w:rsidRPr="004E0FC4" w14:paraId="60306C1C" w14:textId="77777777" w:rsidTr="006D7F71">
        <w:tc>
          <w:tcPr>
            <w:tcW w:w="2376" w:type="dxa"/>
          </w:tcPr>
          <w:p w14:paraId="43CF6CB6"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Дата договора ГЧП, срок реализации</w:t>
            </w:r>
          </w:p>
        </w:tc>
        <w:tc>
          <w:tcPr>
            <w:tcW w:w="4484" w:type="dxa"/>
          </w:tcPr>
          <w:p w14:paraId="078A501F"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Договор заключен и зарегистрирован  26 января 2018 года, срок реализации 12 лет</w:t>
            </w:r>
          </w:p>
        </w:tc>
      </w:tr>
      <w:tr w:rsidR="00350396" w:rsidRPr="004E0FC4" w14:paraId="4D24086A" w14:textId="77777777" w:rsidTr="006D7F71">
        <w:tc>
          <w:tcPr>
            <w:tcW w:w="2376" w:type="dxa"/>
          </w:tcPr>
          <w:p w14:paraId="3CB04683"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Цель проекта</w:t>
            </w:r>
          </w:p>
        </w:tc>
        <w:tc>
          <w:tcPr>
            <w:tcW w:w="4484" w:type="dxa"/>
          </w:tcPr>
          <w:p w14:paraId="518DEF59"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Обеспечение равного доступа всех участников образовательного процесса РК к электронным образовательным технологиям, повышение качества образования для обеспечения его конкурентоспособности, а также совершенствование системы учета образовательных достижений обучающихся общеобразовательных организаций РК за счет автоматизации функций и процессов учебно-воспитательной и управленческой деятельности общеобразовательных организаций и органов управления средним образованием</w:t>
            </w:r>
          </w:p>
        </w:tc>
      </w:tr>
      <w:tr w:rsidR="00350396" w:rsidRPr="004E0FC4" w14:paraId="0E7D99BB" w14:textId="77777777" w:rsidTr="006D7F71">
        <w:tc>
          <w:tcPr>
            <w:tcW w:w="2376" w:type="dxa"/>
          </w:tcPr>
          <w:p w14:paraId="7A63B79A"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Государственная поддержка деятельности концессионера</w:t>
            </w:r>
          </w:p>
        </w:tc>
        <w:tc>
          <w:tcPr>
            <w:tcW w:w="4484" w:type="dxa"/>
          </w:tcPr>
          <w:p w14:paraId="5E877AC4" w14:textId="77777777" w:rsidR="00350396" w:rsidRPr="004E0FC4" w:rsidRDefault="00350396" w:rsidP="004E0FC4">
            <w:pPr>
              <w:widowControl w:val="0"/>
              <w:jc w:val="both"/>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xml:space="preserve">(по договору на реализацию проекта финансирование со стороны государственного партнера не предусмотрено. Проект является </w:t>
            </w:r>
            <w:r w:rsidRPr="004E0FC4">
              <w:rPr>
                <w:rFonts w:ascii="Bookman Old Style" w:eastAsia="Bookman Old Style" w:hAnsi="Bookman Old Style" w:cs="Bookman Old Style"/>
                <w:color w:val="231F20"/>
                <w:sz w:val="18"/>
                <w:szCs w:val="18"/>
              </w:rPr>
              <w:lastRenderedPageBreak/>
              <w:t>бесплатным)</w:t>
            </w:r>
          </w:p>
        </w:tc>
      </w:tr>
    </w:tbl>
    <w:p w14:paraId="037F5D53"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lastRenderedPageBreak/>
        <w:t>Источник: Государственно-частное партнерство в странах евразийского экономического союза - практическое руководство для инвесторов. М.: АНО «Национальный центр ГЧП», 2018, 93 с. - www.eurasiancommission.org</w:t>
      </w:r>
    </w:p>
    <w:p w14:paraId="482BEA15" w14:textId="77777777" w:rsidR="00350396" w:rsidRPr="004E0FC4" w:rsidRDefault="00350396" w:rsidP="004E0FC4">
      <w:pPr>
        <w:widowControl w:val="0"/>
        <w:spacing w:line="245" w:lineRule="exact"/>
        <w:ind w:firstLine="340"/>
        <w:rPr>
          <w:rFonts w:ascii="Bookman Old Style" w:eastAsia="Bookman Old Style" w:hAnsi="Bookman Old Style" w:cs="Bookman Old Style"/>
          <w:color w:val="231F20"/>
          <w:sz w:val="18"/>
          <w:szCs w:val="18"/>
        </w:rPr>
      </w:pPr>
    </w:p>
    <w:p w14:paraId="57BFF28E"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73" w:name="bookmark63"/>
      <w:bookmarkStart w:id="74" w:name="bookmark64"/>
      <w:bookmarkStart w:id="75" w:name="_Toc118131273"/>
      <w:r w:rsidRPr="004E0FC4">
        <w:rPr>
          <w:rFonts w:ascii="Bookman Old Style" w:eastAsia="Arial Narrow" w:hAnsi="Bookman Old Style" w:cs="Arial Narrow"/>
          <w:b/>
          <w:bCs/>
          <w:i/>
          <w:iCs/>
          <w:color w:val="231F20"/>
          <w:sz w:val="18"/>
          <w:szCs w:val="18"/>
        </w:rPr>
        <w:t>Выводы</w:t>
      </w:r>
      <w:bookmarkEnd w:id="73"/>
      <w:bookmarkEnd w:id="74"/>
      <w:bookmarkEnd w:id="75"/>
    </w:p>
    <w:p w14:paraId="79C92400"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Делегируя в ходе проектов ГЧП исполнительские функции биз</w:t>
      </w:r>
      <w:r w:rsidRPr="004E0FC4">
        <w:rPr>
          <w:rFonts w:ascii="Bookman Old Style" w:eastAsia="Bookman Old Style" w:hAnsi="Bookman Old Style" w:cs="Bookman Old Style"/>
          <w:color w:val="231F20"/>
          <w:sz w:val="18"/>
          <w:szCs w:val="18"/>
        </w:rPr>
        <w:softHyphen/>
        <w:t>несу, государственные структуры сосредотачиваются на функциях контроля, регулирования, соблюдения общественных интересов.</w:t>
      </w:r>
    </w:p>
    <w:p w14:paraId="3476FBD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Принятые в мировой и российской практике классификации ГЧП выделяют обычно следующие его формы: 1) контракты, или ад</w:t>
      </w:r>
      <w:r w:rsidRPr="004E0FC4">
        <w:rPr>
          <w:rFonts w:ascii="Bookman Old Style" w:eastAsia="Bookman Old Style" w:hAnsi="Bookman Old Style" w:cs="Bookman Old Style"/>
          <w:color w:val="231F20"/>
          <w:sz w:val="18"/>
          <w:szCs w:val="18"/>
        </w:rPr>
        <w:softHyphen/>
        <w:t>министративные договоры; 2) аренда/лизинг; 3) концессии; 4) со</w:t>
      </w:r>
      <w:r w:rsidRPr="004E0FC4">
        <w:rPr>
          <w:rFonts w:ascii="Bookman Old Style" w:eastAsia="Bookman Old Style" w:hAnsi="Bookman Old Style" w:cs="Bookman Old Style"/>
          <w:color w:val="231F20"/>
          <w:sz w:val="18"/>
          <w:szCs w:val="18"/>
        </w:rPr>
        <w:softHyphen/>
        <w:t>глашения о разделе продукции (СРП); 5) совместные предприятия (СП); 6) контракты, сочетающие в себе различные виды работ и от</w:t>
      </w:r>
      <w:r w:rsidRPr="004E0FC4">
        <w:rPr>
          <w:rFonts w:ascii="Bookman Old Style" w:eastAsia="Bookman Old Style" w:hAnsi="Bookman Old Style" w:cs="Bookman Old Style"/>
          <w:color w:val="231F20"/>
          <w:sz w:val="18"/>
          <w:szCs w:val="18"/>
        </w:rPr>
        <w:softHyphen/>
        <w:t>ношений собственности.</w:t>
      </w:r>
    </w:p>
    <w:p w14:paraId="53A8AAB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Различия в составе обязательств (обязанностей, функций), прав (правомочий) формируют различные типы механизмов (видов, схем) ГЧП. Под механизмом государственно-частного партнерства следует понимать систему, определяющую порядок взаимодействия субъектов ГЧП в отношении объекта ГЧП в условиях сложившейся институциональной среды.</w:t>
      </w:r>
    </w:p>
    <w:p w14:paraId="08AB1EFB"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Кроме различных форм и механизмов ГЧП выделяют также три принципиальные модели ГЧП — модели организации, финансиро</w:t>
      </w:r>
      <w:r w:rsidRPr="004E0FC4">
        <w:rPr>
          <w:rFonts w:ascii="Bookman Old Style" w:eastAsia="Bookman Old Style" w:hAnsi="Bookman Old Style" w:cs="Bookman Old Style"/>
          <w:color w:val="231F20"/>
          <w:sz w:val="18"/>
          <w:szCs w:val="18"/>
        </w:rPr>
        <w:softHyphen/>
        <w:t>вания и кооперации. Данные модели более удобны для теоретиче</w:t>
      </w:r>
      <w:r w:rsidRPr="004E0FC4">
        <w:rPr>
          <w:rFonts w:ascii="Bookman Old Style" w:eastAsia="Bookman Old Style" w:hAnsi="Bookman Old Style" w:cs="Bookman Old Style"/>
          <w:color w:val="231F20"/>
          <w:sz w:val="18"/>
          <w:szCs w:val="18"/>
        </w:rPr>
        <w:softHyphen/>
        <w:t>ского осмысления, тогда как на практике используются формы и ме</w:t>
      </w:r>
      <w:r w:rsidRPr="004E0FC4">
        <w:rPr>
          <w:rFonts w:ascii="Bookman Old Style" w:eastAsia="Bookman Old Style" w:hAnsi="Bookman Old Style" w:cs="Bookman Old Style"/>
          <w:color w:val="231F20"/>
          <w:sz w:val="18"/>
          <w:szCs w:val="18"/>
        </w:rPr>
        <w:softHyphen/>
        <w:t>ханизмы, более точно отражающие суть конкретной сделки, иногда сочетающие особенности нескольких моделей.</w:t>
      </w:r>
    </w:p>
    <w:p w14:paraId="27D04280"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публичного партнера (исполнительных органов государ</w:t>
      </w:r>
      <w:r w:rsidRPr="004E0FC4">
        <w:rPr>
          <w:rFonts w:ascii="Bookman Old Style" w:eastAsia="Bookman Old Style" w:hAnsi="Bookman Old Style" w:cs="Bookman Old Style"/>
          <w:color w:val="231F20"/>
          <w:sz w:val="18"/>
          <w:szCs w:val="18"/>
        </w:rPr>
        <w:softHyphen/>
        <w:t>ственной власти), который рассматривает проект ГЧП, необходимо предварительно оценить бюджетную эффективность выполнения проекта в форме ГЧП (с привлечением частного партнера) и в фор</w:t>
      </w:r>
      <w:r w:rsidRPr="004E0FC4">
        <w:rPr>
          <w:rFonts w:ascii="Bookman Old Style" w:eastAsia="Bookman Old Style" w:hAnsi="Bookman Old Style" w:cs="Bookman Old Style"/>
          <w:color w:val="231F20"/>
          <w:sz w:val="18"/>
          <w:szCs w:val="18"/>
        </w:rPr>
        <w:softHyphen/>
        <w:t>ме государственного (муниципального) контракта. Во многих слу</w:t>
      </w:r>
      <w:r w:rsidRPr="004E0FC4">
        <w:rPr>
          <w:rFonts w:ascii="Bookman Old Style" w:eastAsia="Bookman Old Style" w:hAnsi="Bookman Old Style" w:cs="Bookman Old Style"/>
          <w:color w:val="231F20"/>
          <w:sz w:val="18"/>
          <w:szCs w:val="18"/>
        </w:rPr>
        <w:softHyphen/>
        <w:t>чаях выполнение проектов в форме ГЧП может приводить к сниже</w:t>
      </w:r>
      <w:r w:rsidRPr="004E0FC4">
        <w:rPr>
          <w:rFonts w:ascii="Bookman Old Style" w:eastAsia="Bookman Old Style" w:hAnsi="Bookman Old Style" w:cs="Bookman Old Style"/>
          <w:color w:val="231F20"/>
          <w:sz w:val="18"/>
          <w:szCs w:val="18"/>
        </w:rPr>
        <w:softHyphen/>
        <w:t>нию расходов в текущем периоде, но к их увеличению в будущих периодах. Финансовую эффективность расходования бюджетных средств конкретного проекта следует анализировать индивидуаль</w:t>
      </w:r>
      <w:r w:rsidRPr="004E0FC4">
        <w:rPr>
          <w:rFonts w:ascii="Bookman Old Style" w:eastAsia="Bookman Old Style" w:hAnsi="Bookman Old Style" w:cs="Bookman Old Style"/>
          <w:color w:val="231F20"/>
          <w:sz w:val="18"/>
          <w:szCs w:val="18"/>
        </w:rPr>
        <w:softHyphen/>
        <w:t>но, но с учетом следующего принципа. Когда бюджетные расходы, связанные с компенсацией частному инвестору затрат, с платой за управление объектом, переносятся на будущие годы, величина этих расходов возрастает — в силу общего правила стоимости де</w:t>
      </w:r>
      <w:r w:rsidRPr="004E0FC4">
        <w:rPr>
          <w:rFonts w:ascii="Bookman Old Style" w:eastAsia="Bookman Old Style" w:hAnsi="Bookman Old Style" w:cs="Bookman Old Style"/>
          <w:color w:val="231F20"/>
          <w:sz w:val="18"/>
          <w:szCs w:val="18"/>
        </w:rPr>
        <w:softHyphen/>
        <w:t>нег во времени. Риски перенесения бремени бюджетных расходов на будущее должны также просчитываться при принятии решений о заключении ГЧП-соглашений. Примеры неэффективных проектов ГЧП из-за просчетов со стороны государства нередки.</w:t>
      </w:r>
    </w:p>
    <w:p w14:paraId="7B93EEA1"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Основными целями применения и развития ГЧП в России сле</w:t>
      </w:r>
      <w:r w:rsidRPr="004E0FC4">
        <w:rPr>
          <w:rFonts w:ascii="Bookman Old Style" w:eastAsia="Bookman Old Style" w:hAnsi="Bookman Old Style" w:cs="Bookman Old Style"/>
          <w:color w:val="231F20"/>
          <w:sz w:val="18"/>
          <w:szCs w:val="18"/>
        </w:rPr>
        <w:softHyphen/>
        <w:t>дует считать привлечение частных средств для покрытия дефици</w:t>
      </w:r>
      <w:r w:rsidRPr="004E0FC4">
        <w:rPr>
          <w:rFonts w:ascii="Bookman Old Style" w:eastAsia="Bookman Old Style" w:hAnsi="Bookman Old Style" w:cs="Bookman Old Style"/>
          <w:color w:val="231F20"/>
          <w:sz w:val="18"/>
          <w:szCs w:val="18"/>
        </w:rPr>
        <w:softHyphen/>
        <w:t>та потребностей в финансировании проектов общественной ин</w:t>
      </w:r>
      <w:r w:rsidRPr="004E0FC4">
        <w:rPr>
          <w:rFonts w:ascii="Bookman Old Style" w:eastAsia="Bookman Old Style" w:hAnsi="Bookman Old Style" w:cs="Bookman Old Style"/>
          <w:color w:val="231F20"/>
          <w:sz w:val="18"/>
          <w:szCs w:val="18"/>
        </w:rPr>
        <w:softHyphen/>
        <w:t xml:space="preserve">фраструктуры и повышение эффективности бюджетных расходов. Длительное время приоритетом считалось изменение соотношения </w:t>
      </w:r>
      <w:bookmarkStart w:id="76" w:name="bookmark65"/>
      <w:r w:rsidRPr="004E0FC4">
        <w:rPr>
          <w:rFonts w:ascii="Bookman Old Style" w:eastAsia="Bookman Old Style" w:hAnsi="Bookman Old Style" w:cs="Bookman Old Style"/>
          <w:color w:val="231F20"/>
          <w:sz w:val="18"/>
          <w:szCs w:val="18"/>
        </w:rPr>
        <w:t xml:space="preserve">государственных и частных средств, привлекаемых в проекты ГЧП, в пользу частных средств. В настоящее время наиболее активно вкладываются частные средства в небольшие по размеру проекты </w:t>
      </w:r>
      <w:r w:rsidRPr="004E0FC4">
        <w:rPr>
          <w:rFonts w:ascii="Bookman Old Style" w:eastAsia="Bookman Old Style" w:hAnsi="Bookman Old Style" w:cs="Bookman Old Style"/>
          <w:color w:val="231F20"/>
          <w:sz w:val="18"/>
          <w:szCs w:val="18"/>
        </w:rPr>
        <w:lastRenderedPageBreak/>
        <w:t>муниципального и регионального уровней.</w:t>
      </w:r>
      <w:bookmarkEnd w:id="76"/>
    </w:p>
    <w:p w14:paraId="75369749" w14:textId="77777777" w:rsidR="00350396" w:rsidRPr="004E0FC4" w:rsidRDefault="00350396" w:rsidP="004E0FC4">
      <w:pPr>
        <w:widowControl w:val="0"/>
        <w:spacing w:line="240" w:lineRule="auto"/>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В России на сентябрь 2022 года реализуется более 3700 проектов ГЧП, из которых 37 — федерального, 543 — регионального, около 3150 — муниципального уровней. Общий объём вложений в эти проекты составил 5,412 трлн руб., из них частных — 3,906 трлн руб. (72 %).</w:t>
      </w:r>
    </w:p>
    <w:p w14:paraId="4A56D503" w14:textId="77777777" w:rsidR="00350396" w:rsidRPr="004E0FC4" w:rsidRDefault="00350396" w:rsidP="004E0FC4">
      <w:pPr>
        <w:widowControl w:val="0"/>
        <w:spacing w:line="245" w:lineRule="exact"/>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red"/>
        </w:rPr>
        <w:t>Как уже говорилось, в России на 2020 г. реализуется более 3600 про</w:t>
      </w:r>
      <w:r w:rsidRPr="004E0FC4">
        <w:rPr>
          <w:rFonts w:ascii="Bookman Old Style" w:eastAsia="Bookman Old Style" w:hAnsi="Bookman Old Style" w:cs="Bookman Old Style"/>
          <w:color w:val="231F20"/>
          <w:sz w:val="18"/>
          <w:szCs w:val="18"/>
          <w:highlight w:val="red"/>
        </w:rPr>
        <w:softHyphen/>
        <w:t>ектов ГЧП, из которых 20 — федерального уровня, 400 — региональ</w:t>
      </w:r>
      <w:r w:rsidRPr="004E0FC4">
        <w:rPr>
          <w:rFonts w:ascii="Bookman Old Style" w:eastAsia="Bookman Old Style" w:hAnsi="Bookman Old Style" w:cs="Bookman Old Style"/>
          <w:color w:val="231F20"/>
          <w:sz w:val="18"/>
          <w:szCs w:val="18"/>
          <w:highlight w:val="red"/>
        </w:rPr>
        <w:softHyphen/>
        <w:t>ного уровня, более 3200 — муниципального уровня.</w:t>
      </w:r>
      <w:r w:rsidRPr="004E0FC4">
        <w:rPr>
          <w:rFonts w:ascii="Bookman Old Style" w:eastAsia="Bookman Old Style" w:hAnsi="Bookman Old Style" w:cs="Bookman Old Style"/>
          <w:color w:val="231F20"/>
          <w:sz w:val="18"/>
          <w:szCs w:val="18"/>
        </w:rPr>
        <w:t xml:space="preserve"> Большая часть проектов (</w:t>
      </w:r>
      <w:r w:rsidRPr="004E0FC4">
        <w:rPr>
          <w:rFonts w:ascii="Bookman Old Style" w:eastAsia="Bookman Old Style" w:hAnsi="Bookman Old Style" w:cs="Bookman Old Style"/>
          <w:color w:val="231F20"/>
          <w:sz w:val="18"/>
          <w:szCs w:val="18"/>
          <w:highlight w:val="green"/>
        </w:rPr>
        <w:t>79</w:t>
      </w:r>
      <w:r w:rsidRPr="004E0FC4">
        <w:rPr>
          <w:rFonts w:ascii="Bookman Old Style" w:eastAsia="Bookman Old Style" w:hAnsi="Bookman Old Style" w:cs="Bookman Old Style"/>
          <w:color w:val="231F20"/>
          <w:sz w:val="18"/>
          <w:szCs w:val="18"/>
        </w:rPr>
        <w:t xml:space="preserve"> %) реализовано в форме концессий, значительная часть (1</w:t>
      </w:r>
      <w:r w:rsidRPr="004E0FC4">
        <w:rPr>
          <w:rFonts w:ascii="Bookman Old Style" w:eastAsia="Bookman Old Style" w:hAnsi="Bookman Old Style" w:cs="Bookman Old Style"/>
          <w:color w:val="231F20"/>
          <w:sz w:val="18"/>
          <w:szCs w:val="18"/>
          <w:highlight w:val="green"/>
        </w:rPr>
        <w:t>8</w:t>
      </w:r>
      <w:r w:rsidRPr="004E0FC4">
        <w:rPr>
          <w:rFonts w:ascii="Bookman Old Style" w:eastAsia="Bookman Old Style" w:hAnsi="Bookman Old Style" w:cs="Bookman Old Style"/>
          <w:color w:val="231F20"/>
          <w:sz w:val="18"/>
          <w:szCs w:val="18"/>
        </w:rPr>
        <w:t xml:space="preserve"> %) — в формах «квази-ГЧП», меньшая часть (</w:t>
      </w:r>
      <w:r w:rsidRPr="004E0FC4">
        <w:rPr>
          <w:rFonts w:ascii="Bookman Old Style" w:eastAsia="Bookman Old Style" w:hAnsi="Bookman Old Style" w:cs="Bookman Old Style"/>
          <w:color w:val="231F20"/>
          <w:sz w:val="18"/>
          <w:szCs w:val="18"/>
          <w:highlight w:val="green"/>
        </w:rPr>
        <w:t>3</w:t>
      </w:r>
      <w:r w:rsidRPr="004E0FC4">
        <w:rPr>
          <w:rFonts w:ascii="Bookman Old Style" w:eastAsia="Bookman Old Style" w:hAnsi="Bookman Old Style" w:cs="Bookman Old Style"/>
          <w:color w:val="231F20"/>
          <w:sz w:val="18"/>
          <w:szCs w:val="18"/>
        </w:rPr>
        <w:t xml:space="preserve"> %) — в форме соглашений ГЧП/МЧП. </w:t>
      </w:r>
      <w:r w:rsidRPr="004E0FC4">
        <w:rPr>
          <w:rFonts w:ascii="Bookman Old Style" w:eastAsia="Bookman Old Style" w:hAnsi="Bookman Old Style" w:cs="Bookman Old Style"/>
          <w:color w:val="231F20"/>
          <w:sz w:val="18"/>
          <w:szCs w:val="18"/>
          <w:highlight w:val="red"/>
        </w:rPr>
        <w:t>Совокупные инвестиционные обязательства публичной и частной сторон составляют в проектах 2,618 трлн руб., из них частных — 1,827 трлн руб.</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Наибольшую часть вложенных частных средств аккумулируют проекты в следующих отраслях: транспортной инфраструктуры (62 %), коммунально-энергетической инфраструктуры (29 %), про</w:t>
      </w:r>
      <w:r w:rsidRPr="004E0FC4">
        <w:rPr>
          <w:rFonts w:ascii="Bookman Old Style" w:eastAsia="Bookman Old Style" w:hAnsi="Bookman Old Style" w:cs="Bookman Old Style"/>
          <w:color w:val="231F20"/>
          <w:sz w:val="18"/>
          <w:szCs w:val="18"/>
          <w:highlight w:val="red"/>
        </w:rPr>
        <w:softHyphen/>
        <w:t>чих сферах (9 %).</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По данным за период декабрь 2018 - сентябрь 2022 годов, наибольшую часть вложенных частных средств аккумулируют проекты в отраслях транспортной инфраструктуры (57 - 62 %), ком¬мунально-энергетической инфраструктуры (19 - 29 %), социальной инфраструктуры (9 %), прочих сферах, включая IT (12 - 9 %).</w:t>
      </w:r>
    </w:p>
    <w:p w14:paraId="0036B9EC" w14:textId="77777777" w:rsidR="00350396" w:rsidRPr="004E0FC4" w:rsidRDefault="00350396" w:rsidP="004E0FC4">
      <w:pPr>
        <w:widowControl w:val="0"/>
        <w:spacing w:line="245" w:lineRule="exact"/>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В России ГЧП пока не используется в сфере НИОКР и инновационной деятельности. Известно, что в значительном чис</w:t>
      </w:r>
      <w:r w:rsidRPr="004E0FC4">
        <w:rPr>
          <w:rFonts w:ascii="Bookman Old Style" w:eastAsia="Bookman Old Style" w:hAnsi="Bookman Old Style" w:cs="Bookman Old Style"/>
          <w:color w:val="231F20"/>
          <w:sz w:val="18"/>
          <w:szCs w:val="18"/>
        </w:rPr>
        <w:softHyphen/>
        <w:t>ле реализуемых проектов ГЧП применяются современные иннова</w:t>
      </w:r>
      <w:r w:rsidRPr="004E0FC4">
        <w:rPr>
          <w:rFonts w:ascii="Bookman Old Style" w:eastAsia="Bookman Old Style" w:hAnsi="Bookman Old Style" w:cs="Bookman Old Style"/>
          <w:color w:val="231F20"/>
          <w:sz w:val="18"/>
          <w:szCs w:val="18"/>
        </w:rPr>
        <w:softHyphen/>
        <w:t>ционные технологии, материалы и (или) оборудование, но научные исследования и финансирование инноваций пока не стало само</w:t>
      </w:r>
      <w:r w:rsidRPr="004E0FC4">
        <w:rPr>
          <w:rFonts w:ascii="Bookman Old Style" w:eastAsia="Bookman Old Style" w:hAnsi="Bookman Old Style" w:cs="Bookman Old Style"/>
          <w:color w:val="231F20"/>
          <w:sz w:val="18"/>
          <w:szCs w:val="18"/>
        </w:rPr>
        <w:softHyphen/>
        <w:t xml:space="preserve">стоятельным объектом ГЧП в России. </w:t>
      </w:r>
      <w:r w:rsidRPr="004E0FC4">
        <w:rPr>
          <w:rFonts w:ascii="Bookman Old Style" w:eastAsia="Bookman Old Style" w:hAnsi="Bookman Old Style" w:cs="Bookman Old Style"/>
          <w:color w:val="231F20"/>
          <w:sz w:val="18"/>
          <w:szCs w:val="18"/>
          <w:highlight w:val="red"/>
        </w:rPr>
        <w:t>При этом в ряде стран сфера инноваций считается приоритетным направлением развития ГЧП, значительная часть средств на инвестиции в сферу НИОКР в рамках партнерства государства и частного бизнеса в ряде передовых эко</w:t>
      </w:r>
      <w:r w:rsidRPr="004E0FC4">
        <w:rPr>
          <w:rFonts w:ascii="Bookman Old Style" w:eastAsia="Bookman Old Style" w:hAnsi="Bookman Old Style" w:cs="Bookman Old Style"/>
          <w:color w:val="231F20"/>
          <w:sz w:val="18"/>
          <w:szCs w:val="18"/>
          <w:highlight w:val="red"/>
        </w:rPr>
        <w:softHyphen/>
        <w:t>номик привлекается из-за рубежа.</w:t>
      </w:r>
    </w:p>
    <w:p w14:paraId="4E874071" w14:textId="77777777" w:rsidR="00350396" w:rsidRPr="004E0FC4" w:rsidRDefault="00350396" w:rsidP="004E0FC4">
      <w:pPr>
        <w:widowControl w:val="0"/>
        <w:spacing w:line="245" w:lineRule="exact"/>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Дальний Восток и Арктика — стратегически важные регионы России. В 2022 году их важность возросла еще больше в связи с активизацией сотрудничества со странами Азиатско-Тихоокеанского региона. В связи с этим экономическое развитие Дальнего Востока и Арктики является одной из приоритетных национальных задач. </w:t>
      </w:r>
    </w:p>
    <w:p w14:paraId="35C00140" w14:textId="77777777" w:rsidR="00350396" w:rsidRPr="004E0FC4" w:rsidRDefault="00350396" w:rsidP="004E0FC4">
      <w:pPr>
        <w:widowControl w:val="0"/>
        <w:spacing w:line="245" w:lineRule="exact"/>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Для качественного развития инфраструктуры Дальнего Востока и Арктики требуются значительные инвестиции, и выделяемых на эти цели бюджетных средств недостаточно. Привлекать внебюджетные средства в развитие общественной инфраструктуры помогают механизмы государственно-частного партнерства.</w:t>
      </w:r>
    </w:p>
    <w:p w14:paraId="21FCC014" w14:textId="77777777" w:rsidR="00350396" w:rsidRPr="004E0FC4" w:rsidRDefault="00350396" w:rsidP="004E0FC4">
      <w:pPr>
        <w:widowControl w:val="0"/>
        <w:spacing w:line="245" w:lineRule="exact"/>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В Китае, Индии, Бразилии, Индонезии и Малайзии, в Саудовской Аравии и некоторых других странах ближнего Востока, а также в ряде странах Африки большинство реализуемых в последние годы и перспективных крупных проектов транспортной инфраструктуры стараются структурировать в разных формах ГЧП для разделения рисков и оптимизации финансирования.</w:t>
      </w:r>
      <w:r w:rsidRPr="004E0FC4">
        <w:rPr>
          <w:rFonts w:ascii="Bookman Old Style" w:eastAsia="Bookman Old Style" w:hAnsi="Bookman Old Style" w:cs="Bookman Old Style"/>
          <w:color w:val="231F20"/>
          <w:sz w:val="18"/>
          <w:szCs w:val="18"/>
        </w:rPr>
        <w:t xml:space="preserve"> </w:t>
      </w:r>
    </w:p>
    <w:p w14:paraId="78619235" w14:textId="77777777" w:rsidR="00350396" w:rsidRPr="004E0FC4" w:rsidRDefault="00350396" w:rsidP="004E0FC4">
      <w:pPr>
        <w:widowControl w:val="0"/>
        <w:spacing w:line="245" w:lineRule="exact"/>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highlight w:val="green"/>
        </w:rPr>
        <w:t xml:space="preserve">Также за последние 25 лет в мире реализовано несколько крупных </w:t>
      </w:r>
      <w:r w:rsidRPr="004E0FC4">
        <w:rPr>
          <w:rFonts w:ascii="Bookman Old Style" w:eastAsia="Bookman Old Style" w:hAnsi="Bookman Old Style" w:cs="Bookman Old Style"/>
          <w:color w:val="231F20"/>
          <w:sz w:val="18"/>
          <w:szCs w:val="18"/>
          <w:highlight w:val="green"/>
        </w:rPr>
        <w:lastRenderedPageBreak/>
        <w:t>знаковых трансграничных транспортных проектов ГЧП.</w:t>
      </w:r>
      <w:r w:rsidRPr="004E0FC4">
        <w:rPr>
          <w:rFonts w:ascii="Bookman Old Style" w:eastAsia="Bookman Old Style" w:hAnsi="Bookman Old Style" w:cs="Bookman Old Style"/>
          <w:color w:val="231F20"/>
          <w:sz w:val="18"/>
          <w:szCs w:val="18"/>
        </w:rPr>
        <w:t xml:space="preserve"> </w:t>
      </w:r>
    </w:p>
    <w:p w14:paraId="5232FE61" w14:textId="77777777" w:rsidR="00350396" w:rsidRPr="004E0FC4" w:rsidRDefault="00350396" w:rsidP="004E0FC4">
      <w:pPr>
        <w:widowControl w:val="0"/>
        <w:spacing w:line="245" w:lineRule="exact"/>
        <w:rPr>
          <w:rFonts w:ascii="Bookman Old Style" w:eastAsia="Bookman Old Style" w:hAnsi="Bookman Old Style" w:cs="Bookman Old Style"/>
          <w:color w:val="231F20"/>
          <w:sz w:val="18"/>
          <w:szCs w:val="18"/>
        </w:rPr>
      </w:pPr>
    </w:p>
    <w:p w14:paraId="0955A449"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77" w:name="bookmark66"/>
      <w:bookmarkStart w:id="78" w:name="_Toc118131274"/>
      <w:r w:rsidRPr="004E0FC4">
        <w:rPr>
          <w:rFonts w:ascii="Bookman Old Style" w:eastAsia="Arial Narrow" w:hAnsi="Bookman Old Style" w:cs="Arial Narrow"/>
          <w:b/>
          <w:bCs/>
          <w:i/>
          <w:iCs/>
          <w:color w:val="231F20"/>
          <w:sz w:val="18"/>
          <w:szCs w:val="18"/>
        </w:rPr>
        <w:t>Практикум</w:t>
      </w:r>
      <w:bookmarkEnd w:id="77"/>
      <w:bookmarkEnd w:id="78"/>
    </w:p>
    <w:p w14:paraId="358C3E37" w14:textId="77777777" w:rsidR="00350396" w:rsidRPr="004E0FC4" w:rsidRDefault="00350396" w:rsidP="004E0FC4">
      <w:pPr>
        <w:widowControl w:val="0"/>
        <w:spacing w:line="20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Вопросы и задания для самоконтроля</w:t>
      </w:r>
    </w:p>
    <w:p w14:paraId="603B9893" w14:textId="77777777" w:rsidR="00350396" w:rsidRPr="004E0FC4" w:rsidRDefault="00350396" w:rsidP="004E0FC4">
      <w:pPr>
        <w:widowControl w:val="0"/>
        <w:numPr>
          <w:ilvl w:val="0"/>
          <w:numId w:val="86"/>
        </w:numPr>
        <w:tabs>
          <w:tab w:val="left" w:pos="59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Назовите исторические примеры и актуальные сегодня области при</w:t>
      </w:r>
      <w:r w:rsidRPr="004E0FC4">
        <w:rPr>
          <w:rFonts w:ascii="Bookman Old Style" w:eastAsia="Bookman Old Style" w:hAnsi="Bookman Old Style" w:cs="Bookman Old Style"/>
          <w:color w:val="231F20"/>
          <w:sz w:val="18"/>
          <w:szCs w:val="18"/>
        </w:rPr>
        <w:softHyphen/>
        <w:t>менения ГЧП.</w:t>
      </w:r>
    </w:p>
    <w:p w14:paraId="69591C03" w14:textId="77777777" w:rsidR="00350396" w:rsidRPr="004E0FC4" w:rsidRDefault="00350396" w:rsidP="004E0FC4">
      <w:pPr>
        <w:widowControl w:val="0"/>
        <w:numPr>
          <w:ilvl w:val="0"/>
          <w:numId w:val="86"/>
        </w:numPr>
        <w:tabs>
          <w:tab w:val="left" w:pos="599"/>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чем состоят признаки ГЧП?</w:t>
      </w:r>
    </w:p>
    <w:p w14:paraId="1A948C6A" w14:textId="77777777" w:rsidR="00350396" w:rsidRPr="004E0FC4" w:rsidRDefault="00350396" w:rsidP="004E0FC4">
      <w:pPr>
        <w:widowControl w:val="0"/>
        <w:numPr>
          <w:ilvl w:val="0"/>
          <w:numId w:val="86"/>
        </w:numPr>
        <w:tabs>
          <w:tab w:val="left" w:pos="599"/>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Назовите основные формы реализации ГЧП.</w:t>
      </w:r>
    </w:p>
    <w:p w14:paraId="4FDB7282" w14:textId="77777777" w:rsidR="00350396" w:rsidRPr="004E0FC4" w:rsidRDefault="00350396" w:rsidP="004E0FC4">
      <w:pPr>
        <w:widowControl w:val="0"/>
        <w:numPr>
          <w:ilvl w:val="0"/>
          <w:numId w:val="86"/>
        </w:numPr>
        <w:tabs>
          <w:tab w:val="left" w:pos="59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силу каких причин отношения, возникающие между государством и частным бизнесом в рамках госзаказа, т. е. Федеральных законов «О фе</w:t>
      </w:r>
      <w:r w:rsidRPr="004E0FC4">
        <w:rPr>
          <w:rFonts w:ascii="Bookman Old Style" w:eastAsia="Bookman Old Style" w:hAnsi="Bookman Old Style" w:cs="Bookman Old Style"/>
          <w:color w:val="231F20"/>
          <w:sz w:val="18"/>
          <w:szCs w:val="18"/>
        </w:rPr>
        <w:softHyphen/>
        <w:t>деральной контрактной системе» и «О государственном оборонном заказе» в России и аналогичных законов о государственном заказе за рубежом, в большинстве случаев не приводят к возникновению отношений ГЧП?</w:t>
      </w:r>
    </w:p>
    <w:p w14:paraId="30C4C151" w14:textId="77777777" w:rsidR="00350396" w:rsidRPr="004E0FC4" w:rsidRDefault="00350396" w:rsidP="004E0FC4">
      <w:pPr>
        <w:widowControl w:val="0"/>
        <w:numPr>
          <w:ilvl w:val="0"/>
          <w:numId w:val="86"/>
        </w:numPr>
        <w:tabs>
          <w:tab w:val="left" w:pos="59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Какие контракты, заключаемые в рамках Федеральных законов «О федеральной контрактной системе» и «О государственном оборонном заказе», могут быть отнесены к ГЧП?</w:t>
      </w:r>
    </w:p>
    <w:p w14:paraId="0738FCF9" w14:textId="77777777" w:rsidR="00350396" w:rsidRPr="004E0FC4" w:rsidRDefault="00350396" w:rsidP="004E0FC4">
      <w:pPr>
        <w:widowControl w:val="0"/>
        <w:numPr>
          <w:ilvl w:val="0"/>
          <w:numId w:val="86"/>
        </w:numPr>
        <w:tabs>
          <w:tab w:val="left" w:pos="599"/>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чем состоят характерные признаки концессии?</w:t>
      </w:r>
    </w:p>
    <w:p w14:paraId="304D86F1" w14:textId="77777777" w:rsidR="00350396" w:rsidRPr="004E0FC4" w:rsidRDefault="00350396" w:rsidP="004E0FC4">
      <w:pPr>
        <w:widowControl w:val="0"/>
        <w:numPr>
          <w:ilvl w:val="0"/>
          <w:numId w:val="86"/>
        </w:numPr>
        <w:tabs>
          <w:tab w:val="left" w:pos="59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каких отраслях </w:t>
      </w:r>
      <w:r w:rsidRPr="004E0FC4">
        <w:rPr>
          <w:rFonts w:ascii="Bookman Old Style" w:eastAsia="Bookman Old Style" w:hAnsi="Bookman Old Style" w:cs="Bookman Old Style"/>
          <w:color w:val="231F20"/>
          <w:sz w:val="18"/>
          <w:szCs w:val="18"/>
          <w:highlight w:val="green"/>
        </w:rPr>
        <w:t>в основном</w:t>
      </w:r>
      <w:r w:rsidRPr="004E0FC4">
        <w:rPr>
          <w:rFonts w:ascii="Bookman Old Style" w:eastAsia="Bookman Old Style" w:hAnsi="Bookman Old Style" w:cs="Bookman Old Style"/>
          <w:color w:val="231F20"/>
          <w:sz w:val="18"/>
          <w:szCs w:val="18"/>
        </w:rPr>
        <w:t xml:space="preserve"> заключа</w:t>
      </w:r>
      <w:r w:rsidRPr="004E0FC4">
        <w:rPr>
          <w:rFonts w:ascii="Bookman Old Style" w:eastAsia="Bookman Old Style" w:hAnsi="Bookman Old Style" w:cs="Bookman Old Style"/>
          <w:color w:val="231F20"/>
          <w:sz w:val="18"/>
          <w:szCs w:val="18"/>
          <w:highlight w:val="green"/>
        </w:rPr>
        <w:t>лись</w:t>
      </w:r>
      <w:r w:rsidRPr="004E0FC4">
        <w:rPr>
          <w:rFonts w:ascii="Bookman Old Style" w:eastAsia="Bookman Old Style" w:hAnsi="Bookman Old Style" w:cs="Bookman Old Style"/>
          <w:color w:val="231F20"/>
          <w:sz w:val="18"/>
          <w:szCs w:val="18"/>
        </w:rPr>
        <w:t xml:space="preserve"> концессионные соглашения в России в 2015</w:t>
      </w:r>
      <w:r w:rsidRPr="004E0FC4">
        <w:rPr>
          <w:rFonts w:ascii="Bookman Old Style" w:eastAsia="Bookman Old Style" w:hAnsi="Bookman Old Style" w:cs="Bookman Old Style"/>
          <w:color w:val="231F20"/>
          <w:sz w:val="18"/>
          <w:szCs w:val="18"/>
          <w:highlight w:val="green"/>
        </w:rPr>
        <w:t>-2022 г</w:t>
      </w:r>
      <w:r w:rsidRPr="004E0FC4">
        <w:rPr>
          <w:rFonts w:ascii="Bookman Old Style" w:eastAsia="Bookman Old Style" w:hAnsi="Bookman Old Style" w:cs="Bookman Old Style"/>
          <w:color w:val="231F20"/>
          <w:sz w:val="18"/>
          <w:szCs w:val="18"/>
        </w:rPr>
        <w:t>г.?</w:t>
      </w:r>
    </w:p>
    <w:p w14:paraId="293EA504" w14:textId="77777777" w:rsidR="00350396" w:rsidRPr="004E0FC4" w:rsidRDefault="00350396" w:rsidP="004E0FC4">
      <w:pPr>
        <w:widowControl w:val="0"/>
        <w:numPr>
          <w:ilvl w:val="0"/>
          <w:numId w:val="86"/>
        </w:numPr>
        <w:tabs>
          <w:tab w:val="left" w:pos="59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чем отличие концессионных соглашений от СРП и арендных от</w:t>
      </w:r>
      <w:r w:rsidRPr="004E0FC4">
        <w:rPr>
          <w:rFonts w:ascii="Bookman Old Style" w:eastAsia="Bookman Old Style" w:hAnsi="Bookman Old Style" w:cs="Bookman Old Style"/>
          <w:color w:val="231F20"/>
          <w:sz w:val="18"/>
          <w:szCs w:val="18"/>
        </w:rPr>
        <w:softHyphen/>
        <w:t>ношений?</w:t>
      </w:r>
    </w:p>
    <w:p w14:paraId="634D5FA5" w14:textId="77777777" w:rsidR="00350396" w:rsidRPr="004E0FC4" w:rsidRDefault="00350396" w:rsidP="004E0FC4">
      <w:pPr>
        <w:widowControl w:val="0"/>
        <w:numPr>
          <w:ilvl w:val="0"/>
          <w:numId w:val="86"/>
        </w:numPr>
        <w:tabs>
          <w:tab w:val="left" w:pos="59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чем состоят особенности контрактов, которые относят к классу </w:t>
      </w:r>
      <w:r w:rsidRPr="004E0FC4">
        <w:rPr>
          <w:rFonts w:ascii="Bookman Old Style" w:eastAsia="Bookman Old Style" w:hAnsi="Bookman Old Style" w:cs="Bookman Old Style"/>
          <w:i/>
          <w:iCs/>
          <w:color w:val="231F20"/>
          <w:sz w:val="18"/>
          <w:szCs w:val="18"/>
          <w:lang w:val="en-US" w:eastAsia="en-US" w:bidi="en-US"/>
        </w:rPr>
        <w:t>greenfiel</w:t>
      </w:r>
      <w:r w:rsidRPr="004E0FC4">
        <w:rPr>
          <w:rFonts w:ascii="Bookman Old Style" w:eastAsia="Bookman Old Style" w:hAnsi="Bookman Old Style" w:cs="Bookman Old Style"/>
          <w:i/>
          <w:iCs/>
          <w:color w:val="231F20"/>
          <w:sz w:val="18"/>
          <w:szCs w:val="18"/>
          <w:lang w:eastAsia="en-US" w:bidi="en-US"/>
        </w:rPr>
        <w:t xml:space="preserve"> </w:t>
      </w:r>
      <w:r w:rsidRPr="004E0FC4">
        <w:rPr>
          <w:rFonts w:ascii="Bookman Old Style" w:eastAsia="Bookman Old Style" w:hAnsi="Bookman Old Style" w:cs="Bookman Old Style"/>
          <w:i/>
          <w:iCs/>
          <w:color w:val="231F20"/>
          <w:sz w:val="18"/>
          <w:szCs w:val="18"/>
          <w:lang w:val="en-US" w:eastAsia="en-US" w:bidi="en-US"/>
        </w:rPr>
        <w:t>projects</w:t>
      </w:r>
      <w:r w:rsidRPr="004E0FC4">
        <w:rPr>
          <w:rFonts w:ascii="Bookman Old Style" w:eastAsia="Bookman Old Style" w:hAnsi="Bookman Old Style" w:cs="Bookman Old Style"/>
          <w:i/>
          <w:iCs/>
          <w:color w:val="231F20"/>
          <w:sz w:val="18"/>
          <w:szCs w:val="18"/>
          <w:lang w:eastAsia="en-US" w:bidi="en-US"/>
        </w:rPr>
        <w:t>?</w:t>
      </w:r>
    </w:p>
    <w:p w14:paraId="2A5B2AF0" w14:textId="77777777" w:rsidR="00350396" w:rsidRPr="004E0FC4" w:rsidRDefault="00350396" w:rsidP="004E0FC4">
      <w:pPr>
        <w:widowControl w:val="0"/>
        <w:numPr>
          <w:ilvl w:val="0"/>
          <w:numId w:val="86"/>
        </w:numPr>
        <w:tabs>
          <w:tab w:val="left" w:pos="6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Назовите термины, которые используются для обозначения основных функций частного партнера в различных механизмах (типах) ГЧП и дайте характеристику основным механизмам ГЧП.</w:t>
      </w:r>
    </w:p>
    <w:p w14:paraId="068B058B" w14:textId="77777777" w:rsidR="00350396" w:rsidRPr="004E0FC4" w:rsidRDefault="00350396" w:rsidP="004E0FC4">
      <w:pPr>
        <w:widowControl w:val="0"/>
        <w:numPr>
          <w:ilvl w:val="0"/>
          <w:numId w:val="86"/>
        </w:numPr>
        <w:tabs>
          <w:tab w:val="left" w:pos="663"/>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 соотносятся вовлеченность в проект и риски государства и част</w:t>
      </w:r>
      <w:r w:rsidRPr="004E0FC4">
        <w:rPr>
          <w:rFonts w:ascii="Bookman Old Style" w:eastAsia="Bookman Old Style" w:hAnsi="Bookman Old Style" w:cs="Bookman Old Style"/>
          <w:color w:val="231F20"/>
          <w:sz w:val="18"/>
          <w:szCs w:val="18"/>
        </w:rPr>
        <w:softHyphen/>
        <w:t>ного партнера в зависимости от используемого механизма ГЧП?</w:t>
      </w:r>
    </w:p>
    <w:p w14:paraId="1E605C7F" w14:textId="77777777" w:rsidR="00350396" w:rsidRPr="004E0FC4" w:rsidRDefault="00350396" w:rsidP="004E0FC4">
      <w:pPr>
        <w:widowControl w:val="0"/>
        <w:numPr>
          <w:ilvl w:val="0"/>
          <w:numId w:val="86"/>
        </w:numPr>
        <w:tabs>
          <w:tab w:val="left" w:pos="690"/>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Опишите три «идеальные» модели ГЧП.</w:t>
      </w:r>
    </w:p>
    <w:p w14:paraId="71C9340C" w14:textId="77777777" w:rsidR="00350396" w:rsidRPr="004E0FC4" w:rsidRDefault="00350396" w:rsidP="004E0FC4">
      <w:pPr>
        <w:widowControl w:val="0"/>
        <w:numPr>
          <w:ilvl w:val="0"/>
          <w:numId w:val="86"/>
        </w:numPr>
        <w:tabs>
          <w:tab w:val="left" w:pos="663"/>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чем состоят характерные черты ГЧП, отличающие его проекты от других форм отношений государства и частного бизнеса?</w:t>
      </w:r>
    </w:p>
    <w:p w14:paraId="4EDEAE3D" w14:textId="77777777" w:rsidR="00350396" w:rsidRPr="004E0FC4" w:rsidRDefault="00350396" w:rsidP="004E0FC4">
      <w:pPr>
        <w:widowControl w:val="0"/>
        <w:numPr>
          <w:ilvl w:val="0"/>
          <w:numId w:val="86"/>
        </w:numPr>
        <w:tabs>
          <w:tab w:val="left" w:pos="6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Какие выгоды учитываются при оценке общественной эффективности заключения соглашения о ГЧП?</w:t>
      </w:r>
    </w:p>
    <w:p w14:paraId="4FCF39FE" w14:textId="77777777" w:rsidR="00350396" w:rsidRPr="004E0FC4" w:rsidRDefault="00350396" w:rsidP="004E0FC4">
      <w:pPr>
        <w:widowControl w:val="0"/>
        <w:numPr>
          <w:ilvl w:val="0"/>
          <w:numId w:val="86"/>
        </w:numPr>
        <w:tabs>
          <w:tab w:val="left" w:pos="6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чем заключаются основные изменения в законодательстве после вступления в силу федерального Закона о ГЧП (1 января 2016 г.)?</w:t>
      </w:r>
    </w:p>
    <w:p w14:paraId="5BF0AB53" w14:textId="77777777" w:rsidR="00350396" w:rsidRPr="004E0FC4" w:rsidRDefault="00350396" w:rsidP="004E0FC4">
      <w:pPr>
        <w:widowControl w:val="0"/>
        <w:numPr>
          <w:ilvl w:val="0"/>
          <w:numId w:val="86"/>
        </w:numPr>
        <w:tabs>
          <w:tab w:val="left" w:pos="6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Какие новые возможности открыл российский Закон о ГЧП, какие в нем сохраняются ограничения?</w:t>
      </w:r>
    </w:p>
    <w:p w14:paraId="3AE97821" w14:textId="77777777" w:rsidR="00350396" w:rsidRPr="004E0FC4" w:rsidRDefault="00350396" w:rsidP="004E0FC4">
      <w:pPr>
        <w:widowControl w:val="0"/>
        <w:numPr>
          <w:ilvl w:val="0"/>
          <w:numId w:val="86"/>
        </w:numPr>
        <w:tabs>
          <w:tab w:val="left" w:pos="6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Каким образом оценивается «сравнительное преимущество» при за</w:t>
      </w:r>
      <w:r w:rsidRPr="004E0FC4">
        <w:rPr>
          <w:rFonts w:ascii="Bookman Old Style" w:eastAsia="Bookman Old Style" w:hAnsi="Bookman Old Style" w:cs="Bookman Old Style"/>
          <w:color w:val="231F20"/>
          <w:sz w:val="18"/>
          <w:szCs w:val="18"/>
        </w:rPr>
        <w:softHyphen/>
        <w:t>ключении соглашения о ГЧП?</w:t>
      </w:r>
    </w:p>
    <w:p w14:paraId="29B24FD3" w14:textId="77777777" w:rsidR="00350396" w:rsidRPr="004E0FC4" w:rsidRDefault="00350396" w:rsidP="004E0FC4">
      <w:pPr>
        <w:widowControl w:val="0"/>
        <w:numPr>
          <w:ilvl w:val="0"/>
          <w:numId w:val="86"/>
        </w:numPr>
        <w:tabs>
          <w:tab w:val="left" w:pos="6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 чем заключается связь между уровнем налогообложения населения и популярностью ГЧП в данной стране?</w:t>
      </w:r>
    </w:p>
    <w:p w14:paraId="38AD1038" w14:textId="77777777" w:rsidR="00350396" w:rsidRPr="004E0FC4" w:rsidRDefault="00350396" w:rsidP="004E0FC4">
      <w:pPr>
        <w:widowControl w:val="0"/>
        <w:numPr>
          <w:ilvl w:val="0"/>
          <w:numId w:val="86"/>
        </w:numPr>
        <w:tabs>
          <w:tab w:val="left" w:pos="663"/>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Каковы тенденции развития ГЧП в странах англосаксонской правовой системы в последние годы?</w:t>
      </w:r>
    </w:p>
    <w:p w14:paraId="62540185" w14:textId="77777777" w:rsidR="00350396" w:rsidRPr="004E0FC4" w:rsidRDefault="00350396" w:rsidP="004E0FC4">
      <w:pPr>
        <w:widowControl w:val="0"/>
        <w:numPr>
          <w:ilvl w:val="0"/>
          <w:numId w:val="86"/>
        </w:numPr>
        <w:tabs>
          <w:tab w:val="left" w:pos="6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Какие сектора экономики охватывают отношения ГЧП в развитых и развивающихся странах?</w:t>
      </w:r>
    </w:p>
    <w:p w14:paraId="4BCB289A" w14:textId="77777777" w:rsidR="00350396" w:rsidRPr="004E0FC4" w:rsidRDefault="00350396" w:rsidP="004E0FC4">
      <w:pPr>
        <w:widowControl w:val="0"/>
        <w:numPr>
          <w:ilvl w:val="0"/>
          <w:numId w:val="86"/>
        </w:numPr>
        <w:tabs>
          <w:tab w:val="left" w:pos="705"/>
        </w:tabs>
        <w:spacing w:line="216"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Какими тенденциями характеризуется развитие ГЧП в России в 2010-х гг.?</w:t>
      </w:r>
    </w:p>
    <w:p w14:paraId="4BE17B41" w14:textId="77777777" w:rsidR="00350396" w:rsidRPr="004E0FC4" w:rsidRDefault="00350396" w:rsidP="004E0FC4">
      <w:pPr>
        <w:widowControl w:val="0"/>
        <w:numPr>
          <w:ilvl w:val="0"/>
          <w:numId w:val="86"/>
        </w:numPr>
        <w:tabs>
          <w:tab w:val="left" w:pos="668"/>
        </w:tabs>
        <w:spacing w:line="216"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 каких основных формах заключаются соглашения о ГЧП в России и в какие сферы направляются инвестиции в проектах ГЧП?</w:t>
      </w:r>
    </w:p>
    <w:p w14:paraId="24424841" w14:textId="77777777" w:rsidR="00350396" w:rsidRPr="004E0FC4" w:rsidRDefault="00350396" w:rsidP="004E0FC4">
      <w:pPr>
        <w:widowControl w:val="0"/>
        <w:numPr>
          <w:ilvl w:val="0"/>
          <w:numId w:val="86"/>
        </w:numPr>
        <w:tabs>
          <w:tab w:val="left" w:pos="663"/>
        </w:tabs>
        <w:spacing w:line="216" w:lineRule="exact"/>
        <w:rPr>
          <w:rFonts w:ascii="Bookman Old Style" w:hAnsi="Bookman Old Style"/>
          <w:sz w:val="18"/>
          <w:szCs w:val="18"/>
          <w:highlight w:val="red"/>
        </w:rPr>
      </w:pPr>
      <w:r w:rsidRPr="004E0FC4">
        <w:rPr>
          <w:rFonts w:ascii="Bookman Old Style" w:eastAsia="Bookman Old Style" w:hAnsi="Bookman Old Style" w:cs="Bookman Old Style"/>
          <w:color w:val="231F20"/>
          <w:sz w:val="18"/>
          <w:szCs w:val="18"/>
          <w:highlight w:val="red"/>
        </w:rPr>
        <w:t>В чем состоят различия в интересах участвующих сторон и препят</w:t>
      </w:r>
      <w:r w:rsidRPr="004E0FC4">
        <w:rPr>
          <w:rFonts w:ascii="Bookman Old Style" w:eastAsia="Bookman Old Style" w:hAnsi="Bookman Old Style" w:cs="Bookman Old Style"/>
          <w:color w:val="231F20"/>
          <w:sz w:val="18"/>
          <w:szCs w:val="18"/>
          <w:highlight w:val="red"/>
        </w:rPr>
        <w:softHyphen/>
        <w:t>ствия на пути развития практики ГЧП в регионах России?</w:t>
      </w:r>
    </w:p>
    <w:p w14:paraId="1DDA9EB6" w14:textId="77777777" w:rsidR="00350396" w:rsidRPr="004E0FC4" w:rsidRDefault="00350396" w:rsidP="004E0FC4">
      <w:pPr>
        <w:widowControl w:val="0"/>
        <w:numPr>
          <w:ilvl w:val="0"/>
          <w:numId w:val="86"/>
        </w:numPr>
        <w:tabs>
          <w:tab w:val="left" w:pos="663"/>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В чем состоят перспективные возможности и имеющиеся в России ограничения в применении инфраструктурных облигаций?</w:t>
      </w:r>
    </w:p>
    <w:p w14:paraId="67076F53" w14:textId="77777777" w:rsidR="00350396" w:rsidRPr="004E0FC4" w:rsidRDefault="00350396" w:rsidP="004E0FC4">
      <w:pPr>
        <w:widowControl w:val="0"/>
        <w:numPr>
          <w:ilvl w:val="0"/>
          <w:numId w:val="86"/>
        </w:numPr>
        <w:tabs>
          <w:tab w:val="left" w:pos="668"/>
        </w:tabs>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Опишите модель использования ГЧП при решении задач финансиро</w:t>
      </w:r>
      <w:r w:rsidRPr="004E0FC4">
        <w:rPr>
          <w:rFonts w:ascii="Bookman Old Style" w:eastAsia="Bookman Old Style" w:hAnsi="Bookman Old Style" w:cs="Bookman Old Style"/>
          <w:color w:val="231F20"/>
          <w:sz w:val="18"/>
          <w:szCs w:val="18"/>
        </w:rPr>
        <w:softHyphen/>
        <w:t xml:space="preserve">вания инновационных проектов и развития инновационной инфраструктуры </w:t>
      </w:r>
      <w:r w:rsidRPr="004E0FC4">
        <w:rPr>
          <w:rFonts w:ascii="Bookman Old Style" w:eastAsia="Bookman Old Style" w:hAnsi="Bookman Old Style" w:cs="Bookman Old Style"/>
          <w:color w:val="231F20"/>
          <w:sz w:val="18"/>
          <w:szCs w:val="18"/>
          <w:highlight w:val="red"/>
        </w:rPr>
        <w:t>в развитых странах</w:t>
      </w:r>
      <w:r w:rsidRPr="004E0FC4">
        <w:rPr>
          <w:rFonts w:ascii="Bookman Old Style" w:eastAsia="Bookman Old Style" w:hAnsi="Bookman Old Style" w:cs="Bookman Old Style"/>
          <w:color w:val="231F20"/>
          <w:sz w:val="18"/>
          <w:szCs w:val="18"/>
        </w:rPr>
        <w:t>.</w:t>
      </w:r>
    </w:p>
    <w:p w14:paraId="2346C0BC" w14:textId="77777777" w:rsidR="00350396" w:rsidRPr="004E0FC4" w:rsidRDefault="00350396" w:rsidP="004E0FC4">
      <w:pPr>
        <w:widowControl w:val="0"/>
        <w:numPr>
          <w:ilvl w:val="0"/>
          <w:numId w:val="86"/>
        </w:numPr>
        <w:tabs>
          <w:tab w:val="left" w:pos="668"/>
        </w:tabs>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Каковы ключевые направления и ограничения развития ГЧП в научно</w:t>
      </w:r>
      <w:r w:rsidRPr="004E0FC4">
        <w:rPr>
          <w:rFonts w:ascii="Bookman Old Style" w:eastAsia="Bookman Old Style" w:hAnsi="Bookman Old Style" w:cs="Bookman Old Style"/>
          <w:color w:val="231F20"/>
          <w:sz w:val="18"/>
          <w:szCs w:val="18"/>
        </w:rPr>
        <w:softHyphen/>
        <w:t>инновационной сфере России?</w:t>
      </w:r>
    </w:p>
    <w:p w14:paraId="6C5CB041" w14:textId="77777777" w:rsidR="00350396" w:rsidRPr="004E0FC4" w:rsidRDefault="00350396" w:rsidP="004E0FC4">
      <w:pPr>
        <w:widowControl w:val="0"/>
        <w:numPr>
          <w:ilvl w:val="0"/>
          <w:numId w:val="86"/>
        </w:numPr>
        <w:tabs>
          <w:tab w:val="left" w:pos="668"/>
        </w:tabs>
        <w:spacing w:line="216" w:lineRule="exact"/>
        <w:ind w:firstLine="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Какую роль для развития инфраструктуры Дальнего Востока и Арктики в России играют заключаемые соглашения ГЧП и концессии?</w:t>
      </w:r>
    </w:p>
    <w:p w14:paraId="3AE2A427" w14:textId="77777777" w:rsidR="00350396" w:rsidRPr="004E0FC4" w:rsidRDefault="00350396" w:rsidP="004E0FC4">
      <w:pPr>
        <w:widowControl w:val="0"/>
        <w:numPr>
          <w:ilvl w:val="0"/>
          <w:numId w:val="86"/>
        </w:numPr>
        <w:tabs>
          <w:tab w:val="left" w:pos="668"/>
        </w:tabs>
        <w:spacing w:line="216" w:lineRule="exact"/>
        <w:ind w:firstLine="0"/>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В чём заключаются особенности работы механизма дальневосточной и арктической концессии? </w:t>
      </w:r>
    </w:p>
    <w:p w14:paraId="23C02D6F" w14:textId="77777777" w:rsidR="00350396" w:rsidRPr="004E0FC4" w:rsidRDefault="00350396" w:rsidP="004E0FC4">
      <w:pPr>
        <w:widowControl w:val="0"/>
        <w:numPr>
          <w:ilvl w:val="0"/>
          <w:numId w:val="86"/>
        </w:numPr>
        <w:tabs>
          <w:tab w:val="left" w:pos="668"/>
        </w:tabs>
        <w:spacing w:line="216" w:lineRule="exact"/>
        <w:ind w:firstLine="0"/>
        <w:rPr>
          <w:rFonts w:ascii="Bookman Old Style" w:eastAsia="Bookman Old Style" w:hAnsi="Bookman Old Style" w:cs="Bookman Old Style"/>
          <w:color w:val="231F20"/>
          <w:sz w:val="18"/>
          <w:szCs w:val="18"/>
          <w:highlight w:val="green"/>
        </w:rPr>
      </w:pPr>
    </w:p>
    <w:p w14:paraId="1E9BB6D2" w14:textId="77777777" w:rsidR="00350396" w:rsidRPr="004E0FC4" w:rsidRDefault="00350396" w:rsidP="004E0FC4">
      <w:pPr>
        <w:widowControl w:val="0"/>
        <w:tabs>
          <w:tab w:val="left" w:pos="668"/>
        </w:tabs>
        <w:spacing w:line="216" w:lineRule="exact"/>
        <w:ind w:firstLine="0"/>
        <w:rPr>
          <w:rFonts w:ascii="Bookman Old Style" w:eastAsia="Bookman Old Style" w:hAnsi="Bookman Old Style" w:cs="Bookman Old Style"/>
          <w:color w:val="231F20"/>
          <w:sz w:val="18"/>
          <w:szCs w:val="18"/>
        </w:rPr>
      </w:pPr>
    </w:p>
    <w:p w14:paraId="56C1524E" w14:textId="77777777" w:rsidR="00350396" w:rsidRPr="004E0FC4" w:rsidRDefault="00350396" w:rsidP="004E0FC4">
      <w:pPr>
        <w:widowControl w:val="0"/>
        <w:spacing w:line="20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Кейсы</w:t>
      </w:r>
    </w:p>
    <w:p w14:paraId="517F6722"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79" w:name="_Toc118131275"/>
      <w:r w:rsidRPr="004E0FC4">
        <w:rPr>
          <w:rFonts w:ascii="Bookman Old Style" w:eastAsia="Bookman Old Style" w:hAnsi="Bookman Old Style" w:cs="Bookman Old Style"/>
          <w:b/>
          <w:bCs/>
          <w:i/>
          <w:iCs/>
          <w:color w:val="231F20"/>
          <w:sz w:val="18"/>
          <w:szCs w:val="18"/>
        </w:rPr>
        <w:t>Кейс 1. Создание и последующая эксплуатация объекта</w:t>
      </w:r>
      <w:r w:rsidRPr="004E0FC4">
        <w:rPr>
          <w:rFonts w:ascii="Bookman Old Style" w:eastAsia="Bookman Old Style" w:hAnsi="Bookman Old Style" w:cs="Bookman Old Style"/>
          <w:b/>
          <w:bCs/>
          <w:i/>
          <w:iCs/>
          <w:color w:val="231F20"/>
          <w:sz w:val="18"/>
          <w:szCs w:val="18"/>
        </w:rPr>
        <w:br/>
        <w:t>спорта — плавательного бассейна с местами для зрителей</w:t>
      </w:r>
      <w:r w:rsidRPr="004E0FC4">
        <w:rPr>
          <w:rFonts w:ascii="Bookman Old Style" w:eastAsia="Bookman Old Style" w:hAnsi="Bookman Old Style" w:cs="Bookman Old Style"/>
          <w:b/>
          <w:bCs/>
          <w:i/>
          <w:iCs/>
          <w:color w:val="231F20"/>
          <w:sz w:val="18"/>
          <w:szCs w:val="18"/>
        </w:rPr>
        <w:br/>
        <w:t>в г. Гатчина Ленинградской области</w:t>
      </w:r>
      <w:bookmarkEnd w:id="79"/>
    </w:p>
    <w:p w14:paraId="1FA4534D"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 создания объекта спорта — плавательный бассейн с ме</w:t>
      </w:r>
      <w:r w:rsidRPr="004E0FC4">
        <w:rPr>
          <w:rFonts w:ascii="Bookman Old Style" w:eastAsia="Bookman Old Style" w:hAnsi="Bookman Old Style" w:cs="Bookman Old Style"/>
          <w:color w:val="231F20"/>
          <w:sz w:val="18"/>
          <w:szCs w:val="18"/>
        </w:rPr>
        <w:softHyphen/>
        <w:t>стами для зрителей в г. Гатчина — на основе концессионного со</w:t>
      </w:r>
      <w:r w:rsidRPr="004E0FC4">
        <w:rPr>
          <w:rFonts w:ascii="Bookman Old Style" w:eastAsia="Bookman Old Style" w:hAnsi="Bookman Old Style" w:cs="Bookman Old Style"/>
          <w:color w:val="231F20"/>
          <w:sz w:val="18"/>
          <w:szCs w:val="18"/>
        </w:rPr>
        <w:softHyphen/>
        <w:t>глашения реализуется в рамках проекта создания сети плаватель</w:t>
      </w:r>
      <w:r w:rsidRPr="004E0FC4">
        <w:rPr>
          <w:rFonts w:ascii="Bookman Old Style" w:eastAsia="Bookman Old Style" w:hAnsi="Bookman Old Style" w:cs="Bookman Old Style"/>
          <w:color w:val="231F20"/>
          <w:sz w:val="18"/>
          <w:szCs w:val="18"/>
        </w:rPr>
        <w:softHyphen/>
        <w:t>ный бассейнов на территории Ленинградской области и является первым в сфере физической культуры и спорта в области. Город Гатчина в качестве первого места реализации проекта был выбран неслучайно — население города более 50 тыс. человек, в Гатчине расположены три спортивные школы. Созданный объект спорта будет включать три чаши бассейна, в том числе спортивный бас</w:t>
      </w:r>
      <w:r w:rsidRPr="004E0FC4">
        <w:rPr>
          <w:rFonts w:ascii="Bookman Old Style" w:eastAsia="Bookman Old Style" w:hAnsi="Bookman Old Style" w:cs="Bookman Old Style"/>
          <w:color w:val="231F20"/>
          <w:sz w:val="18"/>
          <w:szCs w:val="18"/>
        </w:rPr>
        <w:softHyphen/>
        <w:t>сейн, параметры которого в соответствии с действующими норма</w:t>
      </w:r>
      <w:r w:rsidRPr="004E0FC4">
        <w:rPr>
          <w:rFonts w:ascii="Bookman Old Style" w:eastAsia="Bookman Old Style" w:hAnsi="Bookman Old Style" w:cs="Bookman Old Style"/>
          <w:color w:val="231F20"/>
          <w:sz w:val="18"/>
          <w:szCs w:val="18"/>
        </w:rPr>
        <w:softHyphen/>
        <w:t>ми и нормативами позволят проводить тренировки и соревнования сборных команд Ленинградской области.</w:t>
      </w:r>
    </w:p>
    <w:p w14:paraId="7E1C838A"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Структура концессионного соглашения сформирована таким об</w:t>
      </w:r>
      <w:r w:rsidRPr="004E0FC4">
        <w:rPr>
          <w:rFonts w:ascii="Bookman Old Style" w:eastAsia="Bookman Old Style" w:hAnsi="Bookman Old Style" w:cs="Bookman Old Style"/>
          <w:color w:val="231F20"/>
          <w:sz w:val="18"/>
          <w:szCs w:val="18"/>
        </w:rPr>
        <w:softHyphen/>
        <w:t>разом, что позволит его тиражировать при реализации проектов в других населенных пунктах Ленинградской области. В настоящее время Правительством Ленинградской области принято решение о возможности заключения концессионного соглашения о создании и последующей эксплуатации плавательного бассейна в г. Сертоло- во, следующим местом реализации проекта выбран г. Отрадное. Форма реализации проекта позволит создать качественную инфра</w:t>
      </w:r>
      <w:r w:rsidRPr="004E0FC4">
        <w:rPr>
          <w:rFonts w:ascii="Bookman Old Style" w:eastAsia="Bookman Old Style" w:hAnsi="Bookman Old Style" w:cs="Bookman Old Style"/>
          <w:color w:val="231F20"/>
          <w:sz w:val="18"/>
          <w:szCs w:val="18"/>
        </w:rPr>
        <w:softHyphen/>
        <w:t>структуру в сфере спорта, а также снизить нагрузку на региональ</w:t>
      </w:r>
      <w:r w:rsidRPr="004E0FC4">
        <w:rPr>
          <w:rFonts w:ascii="Bookman Old Style" w:eastAsia="Bookman Old Style" w:hAnsi="Bookman Old Style" w:cs="Bookman Old Style"/>
          <w:color w:val="231F20"/>
          <w:sz w:val="18"/>
          <w:szCs w:val="18"/>
        </w:rPr>
        <w:softHyphen/>
        <w:t>ный бюджет за счет привлечения частных инвестиций.</w:t>
      </w:r>
    </w:p>
    <w:p w14:paraId="26EF4BC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Объект соглашения: плавательный бассейн с местами для зри</w:t>
      </w:r>
      <w:r w:rsidRPr="004E0FC4">
        <w:rPr>
          <w:rFonts w:ascii="Bookman Old Style" w:eastAsia="Bookman Old Style" w:hAnsi="Bookman Old Style" w:cs="Bookman Old Style"/>
          <w:color w:val="231F20"/>
          <w:sz w:val="18"/>
          <w:szCs w:val="18"/>
        </w:rPr>
        <w:softHyphen/>
        <w:t>телей в г. Гатчина общей площадью не менее 8700 кв. м.</w:t>
      </w:r>
    </w:p>
    <w:p w14:paraId="453AFAD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Предмет соглашения: проектирование, строительство, целевая эксплуатация, техническое обслуживание и содержание.</w:t>
      </w:r>
    </w:p>
    <w:p w14:paraId="02B6EDDE"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Публичная сторона: Ленинградская область в лице Правитель</w:t>
      </w:r>
      <w:r w:rsidRPr="004E0FC4">
        <w:rPr>
          <w:rFonts w:ascii="Bookman Old Style" w:eastAsia="Bookman Old Style" w:hAnsi="Bookman Old Style" w:cs="Bookman Old Style"/>
          <w:color w:val="231F20"/>
          <w:sz w:val="18"/>
          <w:szCs w:val="18"/>
        </w:rPr>
        <w:softHyphen/>
        <w:t>ства Ленинградской области.</w:t>
      </w:r>
    </w:p>
    <w:p w14:paraId="3ED0219C"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Частная сторона: ООО «Бассейн ГАТ».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62"/>
        <w:gridCol w:w="4229"/>
      </w:tblGrid>
      <w:tr w:rsidR="00350396" w:rsidRPr="004E0FC4" w14:paraId="40B7DD2B" w14:textId="77777777" w:rsidTr="006D7F71">
        <w:trPr>
          <w:trHeight w:hRule="exact" w:val="989"/>
          <w:jc w:val="center"/>
        </w:trPr>
        <w:tc>
          <w:tcPr>
            <w:tcW w:w="2362" w:type="dxa"/>
            <w:tcBorders>
              <w:top w:val="single" w:sz="4" w:space="0" w:color="auto"/>
              <w:left w:val="single" w:sz="4" w:space="0" w:color="auto"/>
            </w:tcBorders>
            <w:shd w:val="clear" w:color="auto" w:fill="FFFFFF"/>
          </w:tcPr>
          <w:p w14:paraId="51A62DD9"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Основные требования к ваннам и местам для зрителей объекта спорта</w:t>
            </w:r>
          </w:p>
        </w:tc>
        <w:tc>
          <w:tcPr>
            <w:tcW w:w="4229" w:type="dxa"/>
            <w:tcBorders>
              <w:top w:val="single" w:sz="4" w:space="0" w:color="auto"/>
              <w:left w:val="single" w:sz="4" w:space="0" w:color="auto"/>
              <w:right w:val="single" w:sz="4" w:space="0" w:color="auto"/>
            </w:tcBorders>
            <w:shd w:val="clear" w:color="auto" w:fill="FFFFFF"/>
            <w:vAlign w:val="bottom"/>
          </w:tcPr>
          <w:p w14:paraId="6F39B5F2"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 бассейна, из них 1 спортивный (25 X 25 м,</w:t>
            </w:r>
          </w:p>
          <w:p w14:paraId="1405F622"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 дорожек) с местами для зрителей — 160 мест;</w:t>
            </w:r>
          </w:p>
          <w:p w14:paraId="43C03B83"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 оздоровительный (12 X 7 м); 1 для обучения плаванию детей 7—10 лет (10 X 6 м)</w:t>
            </w:r>
          </w:p>
        </w:tc>
      </w:tr>
      <w:tr w:rsidR="00350396" w:rsidRPr="004E0FC4" w14:paraId="61D14BDB" w14:textId="77777777" w:rsidTr="006D7F71">
        <w:trPr>
          <w:trHeight w:hRule="exact" w:val="763"/>
          <w:jc w:val="center"/>
        </w:trPr>
        <w:tc>
          <w:tcPr>
            <w:tcW w:w="2362" w:type="dxa"/>
            <w:tcBorders>
              <w:top w:val="single" w:sz="4" w:space="0" w:color="auto"/>
              <w:left w:val="single" w:sz="4" w:space="0" w:color="auto"/>
            </w:tcBorders>
            <w:shd w:val="clear" w:color="auto" w:fill="FFFFFF"/>
          </w:tcPr>
          <w:p w14:paraId="68AC8685"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Этажность, наличие под</w:t>
            </w:r>
            <w:r w:rsidRPr="004E0FC4">
              <w:rPr>
                <w:rFonts w:ascii="Bookman Old Style" w:eastAsia="Bookman Old Style" w:hAnsi="Bookman Old Style" w:cs="Bookman Old Style"/>
                <w:color w:val="231F20"/>
                <w:sz w:val="18"/>
                <w:szCs w:val="18"/>
              </w:rPr>
              <w:softHyphen/>
              <w:t>земного этажа</w:t>
            </w:r>
          </w:p>
        </w:tc>
        <w:tc>
          <w:tcPr>
            <w:tcW w:w="4229" w:type="dxa"/>
            <w:tcBorders>
              <w:top w:val="single" w:sz="4" w:space="0" w:color="auto"/>
              <w:left w:val="single" w:sz="4" w:space="0" w:color="auto"/>
              <w:right w:val="single" w:sz="4" w:space="0" w:color="auto"/>
            </w:tcBorders>
            <w:shd w:val="clear" w:color="auto" w:fill="FFFFFF"/>
            <w:vAlign w:val="bottom"/>
          </w:tcPr>
          <w:p w14:paraId="3DB19C98" w14:textId="77777777" w:rsidR="00350396" w:rsidRPr="004E0FC4" w:rsidRDefault="00350396" w:rsidP="004E0FC4">
            <w:pPr>
              <w:framePr w:w="6590"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 менее 3 этажей, включая подземный или цокольный этаж (уточняется проектной доку</w:t>
            </w:r>
            <w:r w:rsidRPr="004E0FC4">
              <w:rPr>
                <w:rFonts w:ascii="Bookman Old Style" w:eastAsia="Bookman Old Style" w:hAnsi="Bookman Old Style" w:cs="Bookman Old Style"/>
                <w:color w:val="231F20"/>
                <w:sz w:val="18"/>
                <w:szCs w:val="18"/>
              </w:rPr>
              <w:softHyphen/>
              <w:t>ментацией)</w:t>
            </w:r>
          </w:p>
        </w:tc>
      </w:tr>
      <w:tr w:rsidR="00350396" w:rsidRPr="004E0FC4" w14:paraId="5987CB0A" w14:textId="77777777" w:rsidTr="006D7F71">
        <w:trPr>
          <w:trHeight w:hRule="exact" w:val="557"/>
          <w:jc w:val="center"/>
        </w:trPr>
        <w:tc>
          <w:tcPr>
            <w:tcW w:w="2362" w:type="dxa"/>
            <w:tcBorders>
              <w:top w:val="single" w:sz="4" w:space="0" w:color="auto"/>
              <w:left w:val="single" w:sz="4" w:space="0" w:color="auto"/>
              <w:bottom w:val="single" w:sz="4" w:space="0" w:color="auto"/>
            </w:tcBorders>
            <w:shd w:val="clear" w:color="auto" w:fill="FFFFFF"/>
            <w:vAlign w:val="bottom"/>
          </w:tcPr>
          <w:p w14:paraId="35580C31" w14:textId="77777777" w:rsidR="00350396" w:rsidRPr="004E0FC4" w:rsidRDefault="00350396" w:rsidP="004E0FC4">
            <w:pPr>
              <w:framePr w:w="6590"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Основные требования к спортивным залам</w:t>
            </w:r>
          </w:p>
        </w:tc>
        <w:tc>
          <w:tcPr>
            <w:tcW w:w="4229" w:type="dxa"/>
            <w:tcBorders>
              <w:top w:val="single" w:sz="4" w:space="0" w:color="auto"/>
              <w:left w:val="single" w:sz="4" w:space="0" w:color="auto"/>
              <w:bottom w:val="single" w:sz="4" w:space="0" w:color="auto"/>
              <w:right w:val="single" w:sz="4" w:space="0" w:color="auto"/>
            </w:tcBorders>
            <w:shd w:val="clear" w:color="auto" w:fill="FFFFFF"/>
            <w:vAlign w:val="bottom"/>
          </w:tcPr>
          <w:p w14:paraId="0DD88267"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Количество залов для занятий 4 (162; 144; 81;</w:t>
            </w:r>
          </w:p>
          <w:p w14:paraId="460F71A6" w14:textId="77777777" w:rsidR="00350396" w:rsidRPr="004E0FC4" w:rsidRDefault="00350396" w:rsidP="004E0FC4">
            <w:pPr>
              <w:framePr w:w="6590"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200 кв. м)</w:t>
            </w:r>
          </w:p>
        </w:tc>
      </w:tr>
    </w:tbl>
    <w:p w14:paraId="49852163" w14:textId="77777777" w:rsidR="00350396" w:rsidRPr="004E0FC4" w:rsidRDefault="00350396" w:rsidP="004E0FC4">
      <w:pPr>
        <w:framePr w:w="6590" w:wrap="notBeside" w:vAnchor="text" w:hAnchor="text" w:xAlign="center" w:y="1"/>
        <w:widowControl w:val="0"/>
        <w:spacing w:line="240" w:lineRule="auto"/>
        <w:ind w:firstLine="0"/>
        <w:rPr>
          <w:rFonts w:ascii="Bookman Old Style" w:hAnsi="Bookman Old Style"/>
          <w:sz w:val="18"/>
          <w:szCs w:val="18"/>
        </w:rPr>
      </w:pPr>
    </w:p>
    <w:p w14:paraId="135EBC3E" w14:textId="77777777" w:rsidR="00350396" w:rsidRPr="004E0FC4" w:rsidRDefault="00350396" w:rsidP="004E0FC4">
      <w:pPr>
        <w:widowControl w:val="0"/>
        <w:spacing w:line="240" w:lineRule="auto"/>
        <w:ind w:firstLine="0"/>
        <w:rPr>
          <w:rFonts w:ascii="Bookman Old Style" w:hAnsi="Bookman Old Style"/>
          <w:sz w:val="18"/>
          <w:szCs w:val="18"/>
        </w:rPr>
      </w:pPr>
    </w:p>
    <w:p w14:paraId="346851DE" w14:textId="77777777" w:rsidR="00350396" w:rsidRPr="004E0FC4" w:rsidRDefault="00350396" w:rsidP="004E0FC4">
      <w:pPr>
        <w:widowControl w:val="0"/>
        <w:spacing w:before="109"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Дата подписания: 21.07.2017. Срок проекта: 20 лет.</w:t>
      </w:r>
    </w:p>
    <w:p w14:paraId="21198618"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Объем капитальных затрат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capex</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тыс. руб.: 635 700, в том чис</w:t>
      </w:r>
      <w:r w:rsidRPr="004E0FC4">
        <w:rPr>
          <w:rFonts w:ascii="Bookman Old Style" w:eastAsia="Bookman Old Style" w:hAnsi="Bookman Old Style" w:cs="Bookman Old Style"/>
          <w:color w:val="231F20"/>
          <w:sz w:val="18"/>
          <w:szCs w:val="18"/>
        </w:rPr>
        <w:softHyphen/>
        <w:t>ле 96 200 — частные, 539 500 — бюджетные средства.</w:t>
      </w:r>
    </w:p>
    <w:p w14:paraId="6B3A156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Модель возврата инвестиций: прямой сбор денег с потребите</w:t>
      </w:r>
      <w:r w:rsidRPr="004E0FC4">
        <w:rPr>
          <w:rFonts w:ascii="Bookman Old Style" w:eastAsia="Bookman Old Style" w:hAnsi="Bookman Old Style" w:cs="Bookman Old Style"/>
          <w:color w:val="231F20"/>
          <w:sz w:val="18"/>
          <w:szCs w:val="18"/>
        </w:rPr>
        <w:softHyphen/>
        <w:t>лей + бюджетные инвестиции в составе платы концедента после ввода объекта в эксплуатацию (67 % затрат на проектирование, 58,3 % затрат на строительство).</w:t>
      </w:r>
    </w:p>
    <w:p w14:paraId="2E5392E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Текущий статус: инвестиционный.</w:t>
      </w:r>
    </w:p>
    <w:p w14:paraId="57370E84" w14:textId="77777777" w:rsidR="00350396" w:rsidRPr="004E0FC4" w:rsidRDefault="00350396" w:rsidP="004E0FC4">
      <w:pPr>
        <w:widowControl w:val="0"/>
        <w:spacing w:line="240" w:lineRule="auto"/>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Иное бюджетное софинансирование: возмещение расходов на оказание услуг по предоставлению бассейна для проведения тренировок и соревнований сборных команд Ленинградской обла</w:t>
      </w:r>
      <w:r w:rsidRPr="004E0FC4">
        <w:rPr>
          <w:rFonts w:ascii="Bookman Old Style" w:eastAsia="Bookman Old Style" w:hAnsi="Bookman Old Style" w:cs="Bookman Old Style"/>
          <w:color w:val="231F20"/>
          <w:sz w:val="18"/>
          <w:szCs w:val="18"/>
        </w:rPr>
        <w:softHyphen/>
        <w:t>сти (ЛО).</w:t>
      </w:r>
    </w:p>
    <w:p w14:paraId="7634C80C" w14:textId="77777777" w:rsidR="00350396" w:rsidRPr="004E0FC4" w:rsidRDefault="00350396" w:rsidP="004E0FC4">
      <w:pPr>
        <w:widowControl w:val="0"/>
        <w:spacing w:line="240" w:lineRule="auto"/>
        <w:ind w:firstLine="320"/>
        <w:rPr>
          <w:rFonts w:ascii="Bookman Old Style" w:hAnsi="Bookman Old Style"/>
          <w:sz w:val="18"/>
          <w:szCs w:val="18"/>
        </w:rPr>
        <w:sectPr w:rsidR="00350396" w:rsidRPr="004E0FC4">
          <w:footerReference w:type="even" r:id="rId81"/>
          <w:footerReference w:type="default" r:id="rId82"/>
          <w:headerReference w:type="first" r:id="rId83"/>
          <w:footerReference w:type="first" r:id="rId84"/>
          <w:pgSz w:w="8789" w:h="13493"/>
          <w:pgMar w:top="752" w:right="1075" w:bottom="1292" w:left="1070" w:header="0" w:footer="3" w:gutter="0"/>
          <w:cols w:space="720"/>
          <w:noEndnote/>
          <w:titlePg/>
          <w:docGrid w:linePitch="360"/>
        </w:sectPr>
      </w:pPr>
      <w:r w:rsidRPr="004E0FC4">
        <w:rPr>
          <w:rFonts w:ascii="Bookman Old Style" w:eastAsia="Bookman Old Style" w:hAnsi="Bookman Old Style" w:cs="Bookman Old Style"/>
          <w:color w:val="231F20"/>
          <w:sz w:val="18"/>
          <w:szCs w:val="18"/>
        </w:rPr>
        <w:t>Концессионная плата: 10 200 тыс. руб. в течение 6 месяцев с даты получения разрешения на ввод в эксплуатацию. Выплата воз</w:t>
      </w:r>
      <w:r w:rsidRPr="004E0FC4">
        <w:rPr>
          <w:rFonts w:ascii="Bookman Old Style" w:eastAsia="Bookman Old Style" w:hAnsi="Bookman Old Style" w:cs="Bookman Old Style"/>
          <w:color w:val="231F20"/>
          <w:sz w:val="18"/>
          <w:szCs w:val="18"/>
        </w:rPr>
        <w:softHyphen/>
        <w:t>можна единовременно или отдельными платежами по усмотрению концессионера.</w:t>
      </w:r>
    </w:p>
    <w:p w14:paraId="61EB7C5A"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Концедент определил полномочия органов исполнительной вла</w:t>
      </w:r>
      <w:r w:rsidRPr="004E0FC4">
        <w:rPr>
          <w:rFonts w:ascii="Bookman Old Style" w:eastAsia="Bookman Old Style" w:hAnsi="Bookman Old Style" w:cs="Bookman Old Style"/>
          <w:color w:val="231F20"/>
          <w:sz w:val="18"/>
          <w:szCs w:val="18"/>
        </w:rPr>
        <w:softHyphen/>
        <w:t>сти, которые выступают от его лица при реализации концессионно</w:t>
      </w:r>
      <w:r w:rsidRPr="004E0FC4">
        <w:rPr>
          <w:rFonts w:ascii="Bookman Old Style" w:eastAsia="Bookman Old Style" w:hAnsi="Bookman Old Style" w:cs="Bookman Old Style"/>
          <w:color w:val="231F20"/>
          <w:sz w:val="18"/>
          <w:szCs w:val="18"/>
        </w:rPr>
        <w:softHyphen/>
        <w:t>го проекта.</w:t>
      </w:r>
    </w:p>
    <w:p w14:paraId="220E7C9D" w14:textId="77777777" w:rsidR="00350396" w:rsidRPr="004E0FC4" w:rsidRDefault="00350396" w:rsidP="004E0FC4">
      <w:pPr>
        <w:widowControl w:val="0"/>
        <w:spacing w:line="240" w:lineRule="auto"/>
        <w:ind w:firstLine="34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соответствии с постановлением Правительства Ленинградской области от 21.09.2017 № 382:</w:t>
      </w:r>
    </w:p>
    <w:p w14:paraId="20CF4670" w14:textId="77777777" w:rsidR="00350396" w:rsidRPr="004E0FC4" w:rsidRDefault="00350396" w:rsidP="004E0FC4">
      <w:pPr>
        <w:widowControl w:val="0"/>
        <w:numPr>
          <w:ilvl w:val="0"/>
          <w:numId w:val="67"/>
        </w:numPr>
        <w:tabs>
          <w:tab w:val="left" w:pos="625"/>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Ленинградскому областному комитету по управлению госу</w:t>
      </w:r>
      <w:r w:rsidRPr="004E0FC4">
        <w:rPr>
          <w:rFonts w:ascii="Bookman Old Style" w:eastAsia="Bookman Old Style" w:hAnsi="Bookman Old Style" w:cs="Bookman Old Style"/>
          <w:color w:val="231F20"/>
          <w:sz w:val="18"/>
          <w:szCs w:val="18"/>
        </w:rPr>
        <w:softHyphen/>
        <w:t>дарственным имуществом — предоставить земельный участок (ЗУ) и объект концессионного соглашения (КС);</w:t>
      </w:r>
    </w:p>
    <w:p w14:paraId="4ACE0164" w14:textId="77777777" w:rsidR="00350396" w:rsidRPr="004E0FC4" w:rsidRDefault="00350396" w:rsidP="004E0FC4">
      <w:pPr>
        <w:widowControl w:val="0"/>
        <w:numPr>
          <w:ilvl w:val="0"/>
          <w:numId w:val="67"/>
        </w:numPr>
        <w:tabs>
          <w:tab w:val="left" w:pos="625"/>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Комитету по строительству Ленинградской области — ис</w:t>
      </w:r>
      <w:r w:rsidRPr="004E0FC4">
        <w:rPr>
          <w:rFonts w:ascii="Bookman Old Style" w:eastAsia="Bookman Old Style" w:hAnsi="Bookman Old Style" w:cs="Bookman Old Style"/>
          <w:color w:val="231F20"/>
          <w:sz w:val="18"/>
          <w:szCs w:val="18"/>
        </w:rPr>
        <w:softHyphen/>
        <w:t>полнять обязанности концедента на этапе проектирования и стро</w:t>
      </w:r>
      <w:r w:rsidRPr="004E0FC4">
        <w:rPr>
          <w:rFonts w:ascii="Bookman Old Style" w:eastAsia="Bookman Old Style" w:hAnsi="Bookman Old Style" w:cs="Bookman Old Style"/>
          <w:color w:val="231F20"/>
          <w:sz w:val="18"/>
          <w:szCs w:val="18"/>
        </w:rPr>
        <w:softHyphen/>
        <w:t>ительства;</w:t>
      </w:r>
    </w:p>
    <w:p w14:paraId="5C1836D6" w14:textId="77777777" w:rsidR="00350396" w:rsidRPr="004E0FC4" w:rsidRDefault="00350396" w:rsidP="004E0FC4">
      <w:pPr>
        <w:widowControl w:val="0"/>
        <w:numPr>
          <w:ilvl w:val="0"/>
          <w:numId w:val="67"/>
        </w:numPr>
        <w:tabs>
          <w:tab w:val="left" w:pos="625"/>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Комитету экономического развития и инвестиционной дея</w:t>
      </w:r>
      <w:r w:rsidRPr="004E0FC4">
        <w:rPr>
          <w:rFonts w:ascii="Bookman Old Style" w:eastAsia="Bookman Old Style" w:hAnsi="Bookman Old Style" w:cs="Bookman Old Style"/>
          <w:color w:val="231F20"/>
          <w:sz w:val="18"/>
          <w:szCs w:val="18"/>
        </w:rPr>
        <w:softHyphen/>
        <w:t>тельности Ленинградской области — исполнять обязанности кон- цедента на этапе финансового закрытия;</w:t>
      </w:r>
    </w:p>
    <w:p w14:paraId="27FCA3F5" w14:textId="77777777" w:rsidR="00350396" w:rsidRPr="004E0FC4" w:rsidRDefault="00350396" w:rsidP="004E0FC4">
      <w:pPr>
        <w:widowControl w:val="0"/>
        <w:numPr>
          <w:ilvl w:val="0"/>
          <w:numId w:val="67"/>
        </w:numPr>
        <w:tabs>
          <w:tab w:val="left" w:pos="625"/>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Комитету по физической культуре и спорту Ленинградской области — исполнять обязанности концедента в период с даты го</w:t>
      </w:r>
      <w:r w:rsidRPr="004E0FC4">
        <w:rPr>
          <w:rFonts w:ascii="Bookman Old Style" w:eastAsia="Bookman Old Style" w:hAnsi="Bookman Old Style" w:cs="Bookman Old Style"/>
          <w:color w:val="231F20"/>
          <w:sz w:val="18"/>
          <w:szCs w:val="18"/>
        </w:rPr>
        <w:softHyphen/>
        <w:t>сударственной регистрации прав владения и пользования концесси</w:t>
      </w:r>
      <w:r w:rsidRPr="004E0FC4">
        <w:rPr>
          <w:rFonts w:ascii="Bookman Old Style" w:eastAsia="Bookman Old Style" w:hAnsi="Bookman Old Style" w:cs="Bookman Old Style"/>
          <w:color w:val="231F20"/>
          <w:sz w:val="18"/>
          <w:szCs w:val="18"/>
        </w:rPr>
        <w:softHyphen/>
        <w:t>онером до даты истечения КС.</w:t>
      </w:r>
    </w:p>
    <w:p w14:paraId="222ABD48" w14:textId="77777777" w:rsidR="00350396" w:rsidRPr="004E0FC4" w:rsidRDefault="00350396" w:rsidP="004E0FC4">
      <w:pPr>
        <w:widowControl w:val="0"/>
        <w:spacing w:line="240" w:lineRule="auto"/>
        <w:ind w:firstLine="0"/>
        <w:rPr>
          <w:rFonts w:ascii="Bookman Old Style" w:hAnsi="Bookman Old Style"/>
          <w:sz w:val="18"/>
          <w:szCs w:val="18"/>
        </w:rPr>
      </w:pPr>
      <w:r w:rsidRPr="004E0FC4">
        <w:rPr>
          <w:rFonts w:ascii="Bookman Old Style" w:eastAsia="Arial Narrow" w:hAnsi="Bookman Old Style" w:cs="Arial Narrow"/>
          <w:i/>
          <w:iCs/>
          <w:color w:val="231F20"/>
          <w:sz w:val="18"/>
          <w:szCs w:val="18"/>
        </w:rPr>
        <w:t>Таблица К1</w:t>
      </w:r>
    </w:p>
    <w:p w14:paraId="5CAC2D60" w14:textId="77777777" w:rsidR="00350396" w:rsidRPr="004E0FC4" w:rsidRDefault="00350396" w:rsidP="004E0FC4">
      <w:pPr>
        <w:framePr w:w="6576" w:wrap="notBeside" w:vAnchor="text" w:hAnchor="text" w:xAlign="center" w:y="1"/>
        <w:widowControl w:val="0"/>
        <w:spacing w:line="194" w:lineRule="exact"/>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Матрица рисков проекта</w:t>
      </w:r>
      <w:r w:rsidRPr="004E0FC4">
        <w:rPr>
          <w:rFonts w:ascii="Bookman Old Style" w:eastAsia="Arial Narrow" w:hAnsi="Bookman Old Style" w:cs="Arial Narrow"/>
          <w:b/>
          <w:bCs/>
          <w:color w:val="231F20"/>
          <w:sz w:val="18"/>
          <w:szCs w:val="18"/>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1320"/>
        <w:gridCol w:w="1742"/>
        <w:gridCol w:w="1618"/>
      </w:tblGrid>
      <w:tr w:rsidR="00350396" w:rsidRPr="004E0FC4" w14:paraId="6408CFBF" w14:textId="77777777" w:rsidTr="006D7F71">
        <w:trPr>
          <w:trHeight w:hRule="exact" w:val="552"/>
          <w:jc w:val="center"/>
        </w:trPr>
        <w:tc>
          <w:tcPr>
            <w:tcW w:w="1896" w:type="dxa"/>
            <w:tcBorders>
              <w:top w:val="single" w:sz="4" w:space="0" w:color="auto"/>
              <w:left w:val="single" w:sz="4" w:space="0" w:color="auto"/>
            </w:tcBorders>
            <w:shd w:val="clear" w:color="auto" w:fill="FFFFFF"/>
          </w:tcPr>
          <w:p w14:paraId="54559AE2"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Риск</w:t>
            </w:r>
          </w:p>
        </w:tc>
        <w:tc>
          <w:tcPr>
            <w:tcW w:w="1320" w:type="dxa"/>
            <w:tcBorders>
              <w:top w:val="single" w:sz="4" w:space="0" w:color="auto"/>
              <w:left w:val="single" w:sz="4" w:space="0" w:color="auto"/>
            </w:tcBorders>
            <w:shd w:val="clear" w:color="auto" w:fill="FFFFFF"/>
            <w:vAlign w:val="bottom"/>
          </w:tcPr>
          <w:p w14:paraId="7323B63A"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Последствия</w:t>
            </w:r>
          </w:p>
          <w:p w14:paraId="3C12BF04"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риска</w:t>
            </w:r>
          </w:p>
        </w:tc>
        <w:tc>
          <w:tcPr>
            <w:tcW w:w="1742" w:type="dxa"/>
            <w:tcBorders>
              <w:top w:val="single" w:sz="4" w:space="0" w:color="auto"/>
              <w:left w:val="single" w:sz="4" w:space="0" w:color="auto"/>
            </w:tcBorders>
            <w:shd w:val="clear" w:color="auto" w:fill="FFFFFF"/>
            <w:vAlign w:val="bottom"/>
          </w:tcPr>
          <w:p w14:paraId="3636BE51"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Действия по пре</w:t>
            </w:r>
            <w:r w:rsidRPr="004E0FC4">
              <w:rPr>
                <w:rFonts w:ascii="Bookman Old Style" w:eastAsia="Bookman Old Style" w:hAnsi="Bookman Old Style" w:cs="Bookman Old Style"/>
                <w:b/>
                <w:bCs/>
                <w:color w:val="231F20"/>
                <w:sz w:val="18"/>
                <w:szCs w:val="18"/>
              </w:rPr>
              <w:softHyphen/>
              <w:t>дотвращению</w:t>
            </w:r>
          </w:p>
        </w:tc>
        <w:tc>
          <w:tcPr>
            <w:tcW w:w="1618" w:type="dxa"/>
            <w:tcBorders>
              <w:top w:val="single" w:sz="4" w:space="0" w:color="auto"/>
              <w:left w:val="single" w:sz="4" w:space="0" w:color="auto"/>
              <w:right w:val="single" w:sz="4" w:space="0" w:color="auto"/>
            </w:tcBorders>
            <w:shd w:val="clear" w:color="auto" w:fill="FFFFFF"/>
          </w:tcPr>
          <w:p w14:paraId="6D2FF64D"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Владелец риска</w:t>
            </w:r>
          </w:p>
        </w:tc>
      </w:tr>
      <w:tr w:rsidR="00350396" w:rsidRPr="004E0FC4" w14:paraId="212718B9" w14:textId="77777777" w:rsidTr="006D7F71">
        <w:trPr>
          <w:trHeight w:hRule="exact" w:val="322"/>
          <w:jc w:val="center"/>
        </w:trPr>
        <w:tc>
          <w:tcPr>
            <w:tcW w:w="6576" w:type="dxa"/>
            <w:gridSpan w:val="4"/>
            <w:tcBorders>
              <w:top w:val="single" w:sz="4" w:space="0" w:color="auto"/>
              <w:left w:val="single" w:sz="4" w:space="0" w:color="auto"/>
              <w:right w:val="single" w:sz="4" w:space="0" w:color="auto"/>
            </w:tcBorders>
            <w:shd w:val="clear" w:color="auto" w:fill="FFFFFF"/>
            <w:vAlign w:val="bottom"/>
          </w:tcPr>
          <w:p w14:paraId="4116C241"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1. </w:t>
            </w:r>
            <w:r w:rsidRPr="004E0FC4">
              <w:rPr>
                <w:rFonts w:ascii="Bookman Old Style" w:eastAsia="Bookman Old Style" w:hAnsi="Bookman Old Style" w:cs="Bookman Old Style"/>
                <w:i/>
                <w:iCs/>
                <w:color w:val="231F20"/>
                <w:sz w:val="18"/>
                <w:szCs w:val="18"/>
                <w:lang w:eastAsia="en-US" w:bidi="en-US"/>
              </w:rPr>
              <w:t>Риски, связанные с предоставлением и использованием ЗУ</w:t>
            </w:r>
          </w:p>
        </w:tc>
      </w:tr>
      <w:tr w:rsidR="00350396" w:rsidRPr="004E0FC4" w14:paraId="5B7C7B1A" w14:textId="77777777" w:rsidTr="006D7F71">
        <w:trPr>
          <w:trHeight w:hRule="exact" w:val="317"/>
          <w:jc w:val="center"/>
        </w:trPr>
        <w:tc>
          <w:tcPr>
            <w:tcW w:w="1896" w:type="dxa"/>
            <w:tcBorders>
              <w:top w:val="single" w:sz="4" w:space="0" w:color="auto"/>
              <w:left w:val="single" w:sz="4" w:space="0" w:color="auto"/>
            </w:tcBorders>
            <w:shd w:val="clear" w:color="auto" w:fill="FFFFFF"/>
            <w:vAlign w:val="bottom"/>
          </w:tcPr>
          <w:p w14:paraId="73EC3444"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отсут-</w:t>
            </w:r>
          </w:p>
        </w:tc>
        <w:tc>
          <w:tcPr>
            <w:tcW w:w="1320" w:type="dxa"/>
            <w:tcBorders>
              <w:top w:val="single" w:sz="4" w:space="0" w:color="auto"/>
              <w:left w:val="single" w:sz="4" w:space="0" w:color="auto"/>
            </w:tcBorders>
            <w:shd w:val="clear" w:color="auto" w:fill="FFFFFF"/>
            <w:vAlign w:val="bottom"/>
          </w:tcPr>
          <w:p w14:paraId="479E0459"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w:t>
            </w:r>
          </w:p>
        </w:tc>
        <w:tc>
          <w:tcPr>
            <w:tcW w:w="1742" w:type="dxa"/>
            <w:tcBorders>
              <w:top w:val="single" w:sz="4" w:space="0" w:color="auto"/>
              <w:left w:val="single" w:sz="4" w:space="0" w:color="auto"/>
            </w:tcBorders>
            <w:shd w:val="clear" w:color="auto" w:fill="FFFFFF"/>
            <w:vAlign w:val="bottom"/>
          </w:tcPr>
          <w:p w14:paraId="141996B0"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Разработка</w:t>
            </w:r>
          </w:p>
        </w:tc>
        <w:tc>
          <w:tcPr>
            <w:tcW w:w="1618" w:type="dxa"/>
            <w:tcBorders>
              <w:top w:val="single" w:sz="4" w:space="0" w:color="auto"/>
              <w:left w:val="single" w:sz="4" w:space="0" w:color="auto"/>
              <w:right w:val="single" w:sz="4" w:space="0" w:color="auto"/>
            </w:tcBorders>
            <w:shd w:val="clear" w:color="auto" w:fill="FFFFFF"/>
            <w:vAlign w:val="bottom"/>
          </w:tcPr>
          <w:p w14:paraId="34B694F0"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Стороны КС:</w:t>
            </w:r>
          </w:p>
        </w:tc>
      </w:tr>
      <w:tr w:rsidR="00350396" w:rsidRPr="004E0FC4" w14:paraId="44B46299" w14:textId="77777777" w:rsidTr="006D7F71">
        <w:trPr>
          <w:trHeight w:hRule="exact" w:val="197"/>
          <w:jc w:val="center"/>
        </w:trPr>
        <w:tc>
          <w:tcPr>
            <w:tcW w:w="1896" w:type="dxa"/>
            <w:tcBorders>
              <w:left w:val="single" w:sz="4" w:space="0" w:color="auto"/>
            </w:tcBorders>
            <w:shd w:val="clear" w:color="auto" w:fill="FFFFFF"/>
            <w:vAlign w:val="bottom"/>
          </w:tcPr>
          <w:p w14:paraId="518B6BF6"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ствия результатов</w:t>
            </w:r>
          </w:p>
        </w:tc>
        <w:tc>
          <w:tcPr>
            <w:tcW w:w="1320" w:type="dxa"/>
            <w:tcBorders>
              <w:left w:val="single" w:sz="4" w:space="0" w:color="auto"/>
            </w:tcBorders>
            <w:shd w:val="clear" w:color="auto" w:fill="FFFFFF"/>
            <w:vAlign w:val="bottom"/>
          </w:tcPr>
          <w:p w14:paraId="6CB99C33"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стоимости</w:t>
            </w:r>
          </w:p>
        </w:tc>
        <w:tc>
          <w:tcPr>
            <w:tcW w:w="1742" w:type="dxa"/>
            <w:tcBorders>
              <w:left w:val="single" w:sz="4" w:space="0" w:color="auto"/>
            </w:tcBorders>
            <w:shd w:val="clear" w:color="auto" w:fill="FFFFFF"/>
            <w:vAlign w:val="bottom"/>
          </w:tcPr>
          <w:p w14:paraId="27AA3695"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жестких критериев</w:t>
            </w:r>
          </w:p>
        </w:tc>
        <w:tc>
          <w:tcPr>
            <w:tcW w:w="1618" w:type="dxa"/>
            <w:tcBorders>
              <w:left w:val="single" w:sz="4" w:space="0" w:color="auto"/>
              <w:right w:val="single" w:sz="4" w:space="0" w:color="auto"/>
            </w:tcBorders>
            <w:shd w:val="clear" w:color="auto" w:fill="FFFFFF"/>
            <w:vAlign w:val="bottom"/>
          </w:tcPr>
          <w:p w14:paraId="47FCB4E4"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концедент</w:t>
            </w:r>
          </w:p>
        </w:tc>
      </w:tr>
      <w:tr w:rsidR="00350396" w:rsidRPr="004E0FC4" w14:paraId="1C1D5AE6" w14:textId="77777777" w:rsidTr="006D7F71">
        <w:trPr>
          <w:trHeight w:hRule="exact" w:val="221"/>
          <w:jc w:val="center"/>
        </w:trPr>
        <w:tc>
          <w:tcPr>
            <w:tcW w:w="1896" w:type="dxa"/>
            <w:tcBorders>
              <w:left w:val="single" w:sz="4" w:space="0" w:color="auto"/>
            </w:tcBorders>
            <w:shd w:val="clear" w:color="auto" w:fill="FFFFFF"/>
          </w:tcPr>
          <w:p w14:paraId="57376444"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изысканий ЗУ есть</w:t>
            </w:r>
          </w:p>
        </w:tc>
        <w:tc>
          <w:tcPr>
            <w:tcW w:w="1320" w:type="dxa"/>
            <w:tcBorders>
              <w:left w:val="single" w:sz="4" w:space="0" w:color="auto"/>
            </w:tcBorders>
            <w:shd w:val="clear" w:color="auto" w:fill="FFFFFF"/>
          </w:tcPr>
          <w:p w14:paraId="030E78FF"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проекта /</w:t>
            </w:r>
          </w:p>
        </w:tc>
        <w:tc>
          <w:tcPr>
            <w:tcW w:w="1742" w:type="dxa"/>
            <w:tcBorders>
              <w:left w:val="single" w:sz="4" w:space="0" w:color="auto"/>
            </w:tcBorders>
            <w:shd w:val="clear" w:color="auto" w:fill="FFFFFF"/>
          </w:tcPr>
          <w:p w14:paraId="5D447E84"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отбора квалифици-</w:t>
            </w:r>
          </w:p>
        </w:tc>
        <w:tc>
          <w:tcPr>
            <w:tcW w:w="1618" w:type="dxa"/>
            <w:tcBorders>
              <w:left w:val="single" w:sz="4" w:space="0" w:color="auto"/>
              <w:right w:val="single" w:sz="4" w:space="0" w:color="auto"/>
            </w:tcBorders>
            <w:shd w:val="clear" w:color="auto" w:fill="FFFFFF"/>
          </w:tcPr>
          <w:p w14:paraId="27B66A6B"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случае выяв-</w:t>
            </w:r>
          </w:p>
        </w:tc>
      </w:tr>
      <w:tr w:rsidR="00350396" w:rsidRPr="004E0FC4" w14:paraId="17E79CC1" w14:textId="77777777" w:rsidTr="006D7F71">
        <w:trPr>
          <w:trHeight w:hRule="exact" w:val="240"/>
          <w:jc w:val="center"/>
        </w:trPr>
        <w:tc>
          <w:tcPr>
            <w:tcW w:w="1896" w:type="dxa"/>
            <w:tcBorders>
              <w:left w:val="single" w:sz="4" w:space="0" w:color="auto"/>
            </w:tcBorders>
            <w:shd w:val="clear" w:color="auto" w:fill="FFFFFF"/>
          </w:tcPr>
          <w:p w14:paraId="2D34DCBB"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риск обнаружения</w:t>
            </w:r>
          </w:p>
        </w:tc>
        <w:tc>
          <w:tcPr>
            <w:tcW w:w="1320" w:type="dxa"/>
            <w:tcBorders>
              <w:left w:val="single" w:sz="4" w:space="0" w:color="auto"/>
            </w:tcBorders>
            <w:shd w:val="clear" w:color="auto" w:fill="FFFFFF"/>
          </w:tcPr>
          <w:p w14:paraId="6004CE18"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прекращение</w:t>
            </w:r>
          </w:p>
        </w:tc>
        <w:tc>
          <w:tcPr>
            <w:tcW w:w="1742" w:type="dxa"/>
            <w:tcBorders>
              <w:left w:val="single" w:sz="4" w:space="0" w:color="auto"/>
            </w:tcBorders>
            <w:shd w:val="clear" w:color="auto" w:fill="FFFFFF"/>
          </w:tcPr>
          <w:p w14:paraId="33635898"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рованного и опыт-</w:t>
            </w:r>
          </w:p>
        </w:tc>
        <w:tc>
          <w:tcPr>
            <w:tcW w:w="1618" w:type="dxa"/>
            <w:tcBorders>
              <w:left w:val="single" w:sz="4" w:space="0" w:color="auto"/>
              <w:right w:val="single" w:sz="4" w:space="0" w:color="auto"/>
            </w:tcBorders>
            <w:shd w:val="clear" w:color="auto" w:fill="FFFFFF"/>
          </w:tcPr>
          <w:p w14:paraId="054A8BF3"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ления объектов</w:t>
            </w:r>
          </w:p>
        </w:tc>
      </w:tr>
      <w:tr w:rsidR="00350396" w:rsidRPr="004E0FC4" w14:paraId="2213CFC2" w14:textId="77777777" w:rsidTr="006D7F71">
        <w:trPr>
          <w:trHeight w:hRule="exact" w:val="221"/>
          <w:jc w:val="center"/>
        </w:trPr>
        <w:tc>
          <w:tcPr>
            <w:tcW w:w="1896" w:type="dxa"/>
            <w:tcBorders>
              <w:left w:val="single" w:sz="4" w:space="0" w:color="auto"/>
            </w:tcBorders>
            <w:shd w:val="clear" w:color="auto" w:fill="FFFFFF"/>
          </w:tcPr>
          <w:p w14:paraId="2B7569C9"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ЗУ объектов куль-</w:t>
            </w:r>
          </w:p>
        </w:tc>
        <w:tc>
          <w:tcPr>
            <w:tcW w:w="1320" w:type="dxa"/>
            <w:tcBorders>
              <w:left w:val="single" w:sz="4" w:space="0" w:color="auto"/>
            </w:tcBorders>
            <w:shd w:val="clear" w:color="auto" w:fill="FFFFFF"/>
          </w:tcPr>
          <w:p w14:paraId="52681D68"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 выплата</w:t>
            </w:r>
          </w:p>
        </w:tc>
        <w:tc>
          <w:tcPr>
            <w:tcW w:w="1742" w:type="dxa"/>
            <w:tcBorders>
              <w:left w:val="single" w:sz="4" w:space="0" w:color="auto"/>
            </w:tcBorders>
            <w:shd w:val="clear" w:color="auto" w:fill="FFFFFF"/>
          </w:tcPr>
          <w:p w14:paraId="7F3D135E"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ного подрядчика</w:t>
            </w:r>
          </w:p>
        </w:tc>
        <w:tc>
          <w:tcPr>
            <w:tcW w:w="1618" w:type="dxa"/>
            <w:tcBorders>
              <w:left w:val="single" w:sz="4" w:space="0" w:color="auto"/>
              <w:right w:val="single" w:sz="4" w:space="0" w:color="auto"/>
            </w:tcBorders>
            <w:shd w:val="clear" w:color="auto" w:fill="FFFFFF"/>
          </w:tcPr>
          <w:p w14:paraId="651CEF43"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стадии про-</w:t>
            </w:r>
          </w:p>
        </w:tc>
      </w:tr>
      <w:tr w:rsidR="00350396" w:rsidRPr="004E0FC4" w14:paraId="44B28142" w14:textId="77777777" w:rsidTr="006D7F71">
        <w:trPr>
          <w:trHeight w:hRule="exact" w:val="202"/>
          <w:jc w:val="center"/>
        </w:trPr>
        <w:tc>
          <w:tcPr>
            <w:tcW w:w="1896" w:type="dxa"/>
            <w:tcBorders>
              <w:left w:val="single" w:sz="4" w:space="0" w:color="auto"/>
            </w:tcBorders>
            <w:shd w:val="clear" w:color="auto" w:fill="FFFFFF"/>
            <w:vAlign w:val="bottom"/>
          </w:tcPr>
          <w:p w14:paraId="6D1606F6"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турного наследия,</w:t>
            </w:r>
          </w:p>
        </w:tc>
        <w:tc>
          <w:tcPr>
            <w:tcW w:w="1320" w:type="dxa"/>
            <w:tcBorders>
              <w:left w:val="single" w:sz="4" w:space="0" w:color="auto"/>
            </w:tcBorders>
            <w:shd w:val="clear" w:color="auto" w:fill="FFFFFF"/>
            <w:vAlign w:val="bottom"/>
          </w:tcPr>
          <w:p w14:paraId="01160222"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компенсации</w:t>
            </w:r>
          </w:p>
        </w:tc>
        <w:tc>
          <w:tcPr>
            <w:tcW w:w="1742" w:type="dxa"/>
            <w:tcBorders>
              <w:left w:val="single" w:sz="4" w:space="0" w:color="auto"/>
            </w:tcBorders>
            <w:shd w:val="clear" w:color="auto" w:fill="FFFFFF"/>
            <w:vAlign w:val="bottom"/>
          </w:tcPr>
          <w:p w14:paraId="445C8215"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выполнение</w:t>
            </w:r>
          </w:p>
        </w:tc>
        <w:tc>
          <w:tcPr>
            <w:tcW w:w="1618" w:type="dxa"/>
            <w:tcBorders>
              <w:left w:val="single" w:sz="4" w:space="0" w:color="auto"/>
              <w:right w:val="single" w:sz="4" w:space="0" w:color="auto"/>
            </w:tcBorders>
            <w:shd w:val="clear" w:color="auto" w:fill="FFFFFF"/>
            <w:vAlign w:val="bottom"/>
          </w:tcPr>
          <w:p w14:paraId="2BF72E28"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ектирования,</w:t>
            </w:r>
          </w:p>
        </w:tc>
      </w:tr>
      <w:tr w:rsidR="00350396" w:rsidRPr="004E0FC4" w14:paraId="7CE1CA53" w14:textId="77777777" w:rsidTr="006D7F71">
        <w:trPr>
          <w:trHeight w:hRule="exact" w:val="230"/>
          <w:jc w:val="center"/>
        </w:trPr>
        <w:tc>
          <w:tcPr>
            <w:tcW w:w="1896" w:type="dxa"/>
            <w:tcBorders>
              <w:left w:val="single" w:sz="4" w:space="0" w:color="auto"/>
            </w:tcBorders>
            <w:shd w:val="clear" w:color="auto" w:fill="FFFFFF"/>
            <w:vAlign w:val="bottom"/>
          </w:tcPr>
          <w:p w14:paraId="0F159AD2"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опасных веществ,</w:t>
            </w:r>
          </w:p>
        </w:tc>
        <w:tc>
          <w:tcPr>
            <w:tcW w:w="1320" w:type="dxa"/>
            <w:tcBorders>
              <w:left w:val="single" w:sz="4" w:space="0" w:color="auto"/>
            </w:tcBorders>
            <w:shd w:val="clear" w:color="auto" w:fill="FFFFFF"/>
          </w:tcPr>
          <w:p w14:paraId="4AE11599"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tcBorders>
            <w:shd w:val="clear" w:color="auto" w:fill="FFFFFF"/>
            <w:vAlign w:val="bottom"/>
          </w:tcPr>
          <w:p w14:paraId="380667F9"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работ по обследо-</w:t>
            </w:r>
          </w:p>
        </w:tc>
        <w:tc>
          <w:tcPr>
            <w:tcW w:w="1618" w:type="dxa"/>
            <w:tcBorders>
              <w:left w:val="single" w:sz="4" w:space="0" w:color="auto"/>
              <w:right w:val="single" w:sz="4" w:space="0" w:color="auto"/>
            </w:tcBorders>
            <w:shd w:val="clear" w:color="auto" w:fill="FFFFFF"/>
            <w:vAlign w:val="bottom"/>
          </w:tcPr>
          <w:p w14:paraId="68CF89AE"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выплата компен-</w:t>
            </w:r>
          </w:p>
        </w:tc>
      </w:tr>
      <w:tr w:rsidR="00350396" w:rsidRPr="004E0FC4" w14:paraId="21310F06" w14:textId="77777777" w:rsidTr="006D7F71">
        <w:trPr>
          <w:trHeight w:hRule="exact" w:val="206"/>
          <w:jc w:val="center"/>
        </w:trPr>
        <w:tc>
          <w:tcPr>
            <w:tcW w:w="1896" w:type="dxa"/>
            <w:tcBorders>
              <w:left w:val="single" w:sz="4" w:space="0" w:color="auto"/>
            </w:tcBorders>
            <w:shd w:val="clear" w:color="auto" w:fill="FFFFFF"/>
            <w:vAlign w:val="bottom"/>
          </w:tcPr>
          <w:p w14:paraId="7D1BC47D"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военных коммуни-</w:t>
            </w:r>
          </w:p>
        </w:tc>
        <w:tc>
          <w:tcPr>
            <w:tcW w:w="1320" w:type="dxa"/>
            <w:tcBorders>
              <w:left w:val="single" w:sz="4" w:space="0" w:color="auto"/>
            </w:tcBorders>
            <w:shd w:val="clear" w:color="auto" w:fill="FFFFFF"/>
          </w:tcPr>
          <w:p w14:paraId="2D4DF6CF"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tcBorders>
            <w:shd w:val="clear" w:color="auto" w:fill="FFFFFF"/>
            <w:vAlign w:val="bottom"/>
          </w:tcPr>
          <w:p w14:paraId="23021F5E"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ванию ЗУ.</w:t>
            </w:r>
          </w:p>
        </w:tc>
        <w:tc>
          <w:tcPr>
            <w:tcW w:w="1618" w:type="dxa"/>
            <w:tcBorders>
              <w:left w:val="single" w:sz="4" w:space="0" w:color="auto"/>
              <w:right w:val="single" w:sz="4" w:space="0" w:color="auto"/>
            </w:tcBorders>
            <w:shd w:val="clear" w:color="auto" w:fill="FFFFFF"/>
            <w:vAlign w:val="bottom"/>
          </w:tcPr>
          <w:p w14:paraId="237A2D85"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сации в случае</w:t>
            </w:r>
          </w:p>
        </w:tc>
      </w:tr>
      <w:tr w:rsidR="00350396" w:rsidRPr="004E0FC4" w14:paraId="5AFF1183" w14:textId="77777777" w:rsidTr="006D7F71">
        <w:trPr>
          <w:trHeight w:hRule="exact" w:val="216"/>
          <w:jc w:val="center"/>
        </w:trPr>
        <w:tc>
          <w:tcPr>
            <w:tcW w:w="1896" w:type="dxa"/>
            <w:tcBorders>
              <w:left w:val="single" w:sz="4" w:space="0" w:color="auto"/>
            </w:tcBorders>
            <w:shd w:val="clear" w:color="auto" w:fill="FFFFFF"/>
            <w:vAlign w:val="bottom"/>
          </w:tcPr>
          <w:p w14:paraId="721A2C7F"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каций или объектов,</w:t>
            </w:r>
          </w:p>
        </w:tc>
        <w:tc>
          <w:tcPr>
            <w:tcW w:w="1320" w:type="dxa"/>
            <w:tcBorders>
              <w:left w:val="single" w:sz="4" w:space="0" w:color="auto"/>
            </w:tcBorders>
            <w:shd w:val="clear" w:color="auto" w:fill="FFFFFF"/>
          </w:tcPr>
          <w:p w14:paraId="712A03BD"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tcBorders>
            <w:shd w:val="clear" w:color="auto" w:fill="FFFFFF"/>
            <w:vAlign w:val="bottom"/>
          </w:tcPr>
          <w:p w14:paraId="73DE5062"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Качественное</w:t>
            </w:r>
          </w:p>
        </w:tc>
        <w:tc>
          <w:tcPr>
            <w:tcW w:w="1618" w:type="dxa"/>
            <w:tcBorders>
              <w:left w:val="single" w:sz="4" w:space="0" w:color="auto"/>
              <w:right w:val="single" w:sz="4" w:space="0" w:color="auto"/>
            </w:tcBorders>
            <w:shd w:val="clear" w:color="auto" w:fill="FFFFFF"/>
            <w:vAlign w:val="bottom"/>
          </w:tcPr>
          <w:p w14:paraId="32BEC101"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расторжения</w:t>
            </w:r>
          </w:p>
        </w:tc>
      </w:tr>
      <w:tr w:rsidR="00350396" w:rsidRPr="004E0FC4" w14:paraId="640368D0" w14:textId="77777777" w:rsidTr="006D7F71">
        <w:trPr>
          <w:trHeight w:hRule="exact" w:val="221"/>
          <w:jc w:val="center"/>
        </w:trPr>
        <w:tc>
          <w:tcPr>
            <w:tcW w:w="1896" w:type="dxa"/>
            <w:tcBorders>
              <w:left w:val="single" w:sz="4" w:space="0" w:color="auto"/>
            </w:tcBorders>
            <w:shd w:val="clear" w:color="auto" w:fill="FFFFFF"/>
          </w:tcPr>
          <w:p w14:paraId="064FB9BE"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иных обстоятельств</w:t>
            </w:r>
          </w:p>
        </w:tc>
        <w:tc>
          <w:tcPr>
            <w:tcW w:w="1320" w:type="dxa"/>
            <w:tcBorders>
              <w:left w:val="single" w:sz="4" w:space="0" w:color="auto"/>
            </w:tcBorders>
            <w:shd w:val="clear" w:color="auto" w:fill="FFFFFF"/>
          </w:tcPr>
          <w:p w14:paraId="3B9557C2"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w:t>
            </w:r>
          </w:p>
        </w:tc>
        <w:tc>
          <w:tcPr>
            <w:tcW w:w="1742" w:type="dxa"/>
            <w:tcBorders>
              <w:left w:val="single" w:sz="4" w:space="0" w:color="auto"/>
            </w:tcBorders>
            <w:shd w:val="clear" w:color="auto" w:fill="FFFFFF"/>
          </w:tcPr>
          <w:p w14:paraId="6B548DFB"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обследование</w:t>
            </w:r>
          </w:p>
        </w:tc>
        <w:tc>
          <w:tcPr>
            <w:tcW w:w="1618" w:type="dxa"/>
            <w:tcBorders>
              <w:left w:val="single" w:sz="4" w:space="0" w:color="auto"/>
              <w:right w:val="single" w:sz="4" w:space="0" w:color="auto"/>
            </w:tcBorders>
            <w:shd w:val="clear" w:color="auto" w:fill="FFFFFF"/>
          </w:tcPr>
          <w:p w14:paraId="25D7D497"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особому обсто-</w:t>
            </w:r>
          </w:p>
        </w:tc>
      </w:tr>
      <w:tr w:rsidR="00350396" w:rsidRPr="004E0FC4" w14:paraId="2E411101" w14:textId="77777777" w:rsidTr="006D7F71">
        <w:trPr>
          <w:trHeight w:hRule="exact" w:val="240"/>
          <w:jc w:val="center"/>
        </w:trPr>
        <w:tc>
          <w:tcPr>
            <w:tcW w:w="1896" w:type="dxa"/>
            <w:tcBorders>
              <w:left w:val="single" w:sz="4" w:space="0" w:color="auto"/>
            </w:tcBorders>
            <w:shd w:val="clear" w:color="auto" w:fill="FFFFFF"/>
          </w:tcPr>
          <w:p w14:paraId="71D8EA19"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(включая геологиче-</w:t>
            </w:r>
          </w:p>
        </w:tc>
        <w:tc>
          <w:tcPr>
            <w:tcW w:w="1320" w:type="dxa"/>
            <w:tcBorders>
              <w:left w:val="single" w:sz="4" w:space="0" w:color="auto"/>
            </w:tcBorders>
            <w:shd w:val="clear" w:color="auto" w:fill="FFFFFF"/>
          </w:tcPr>
          <w:p w14:paraId="2999A88F"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расходов /</w:t>
            </w:r>
          </w:p>
        </w:tc>
        <w:tc>
          <w:tcPr>
            <w:tcW w:w="1742" w:type="dxa"/>
            <w:tcBorders>
              <w:left w:val="single" w:sz="4" w:space="0" w:color="auto"/>
            </w:tcBorders>
            <w:shd w:val="clear" w:color="auto" w:fill="FFFFFF"/>
          </w:tcPr>
          <w:p w14:paraId="06E449F3"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ЗУ на максимально</w:t>
            </w:r>
          </w:p>
        </w:tc>
        <w:tc>
          <w:tcPr>
            <w:tcW w:w="1618" w:type="dxa"/>
            <w:tcBorders>
              <w:left w:val="single" w:sz="4" w:space="0" w:color="auto"/>
              <w:right w:val="single" w:sz="4" w:space="0" w:color="auto"/>
            </w:tcBorders>
            <w:shd w:val="clear" w:color="auto" w:fill="FFFFFF"/>
          </w:tcPr>
          <w:p w14:paraId="7EF59423"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ятельству);</w:t>
            </w:r>
          </w:p>
        </w:tc>
      </w:tr>
      <w:tr w:rsidR="00350396" w:rsidRPr="004E0FC4" w14:paraId="46243658" w14:textId="77777777" w:rsidTr="006D7F71">
        <w:trPr>
          <w:trHeight w:hRule="exact" w:val="211"/>
          <w:jc w:val="center"/>
        </w:trPr>
        <w:tc>
          <w:tcPr>
            <w:tcW w:w="1896" w:type="dxa"/>
            <w:tcBorders>
              <w:left w:val="single" w:sz="4" w:space="0" w:color="auto"/>
            </w:tcBorders>
            <w:shd w:val="clear" w:color="auto" w:fill="FFFFFF"/>
            <w:vAlign w:val="bottom"/>
          </w:tcPr>
          <w:p w14:paraId="11362ACF"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ские факторы).</w:t>
            </w:r>
          </w:p>
        </w:tc>
        <w:tc>
          <w:tcPr>
            <w:tcW w:w="1320" w:type="dxa"/>
            <w:tcBorders>
              <w:left w:val="single" w:sz="4" w:space="0" w:color="auto"/>
            </w:tcBorders>
            <w:shd w:val="clear" w:color="auto" w:fill="FFFFFF"/>
            <w:vAlign w:val="bottom"/>
          </w:tcPr>
          <w:p w14:paraId="6614F9B3"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прекращение</w:t>
            </w:r>
          </w:p>
        </w:tc>
        <w:tc>
          <w:tcPr>
            <w:tcW w:w="1742" w:type="dxa"/>
            <w:tcBorders>
              <w:left w:val="single" w:sz="4" w:space="0" w:color="auto"/>
            </w:tcBorders>
            <w:shd w:val="clear" w:color="auto" w:fill="FFFFFF"/>
            <w:vAlign w:val="bottom"/>
          </w:tcPr>
          <w:p w14:paraId="4DBC3233"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ранней стадии.</w:t>
            </w:r>
          </w:p>
        </w:tc>
        <w:tc>
          <w:tcPr>
            <w:tcW w:w="1618" w:type="dxa"/>
            <w:tcBorders>
              <w:left w:val="single" w:sz="4" w:space="0" w:color="auto"/>
              <w:right w:val="single" w:sz="4" w:space="0" w:color="auto"/>
            </w:tcBorders>
            <w:shd w:val="clear" w:color="auto" w:fill="FFFFFF"/>
            <w:vAlign w:val="bottom"/>
          </w:tcPr>
          <w:p w14:paraId="47DEB721"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концессионер</w:t>
            </w:r>
          </w:p>
        </w:tc>
      </w:tr>
      <w:tr w:rsidR="00350396" w:rsidRPr="004E0FC4" w14:paraId="1F7221BF" w14:textId="77777777" w:rsidTr="006D7F71">
        <w:trPr>
          <w:trHeight w:hRule="exact" w:val="216"/>
          <w:jc w:val="center"/>
        </w:trPr>
        <w:tc>
          <w:tcPr>
            <w:tcW w:w="1896" w:type="dxa"/>
            <w:tcBorders>
              <w:left w:val="single" w:sz="4" w:space="0" w:color="auto"/>
            </w:tcBorders>
            <w:shd w:val="clear" w:color="auto" w:fill="FFFFFF"/>
            <w:vAlign w:val="bottom"/>
          </w:tcPr>
          <w:p w14:paraId="7645A123"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отсут-</w:t>
            </w:r>
          </w:p>
        </w:tc>
        <w:tc>
          <w:tcPr>
            <w:tcW w:w="1320" w:type="dxa"/>
            <w:tcBorders>
              <w:left w:val="single" w:sz="4" w:space="0" w:color="auto"/>
            </w:tcBorders>
            <w:shd w:val="clear" w:color="auto" w:fill="FFFFFF"/>
            <w:vAlign w:val="bottom"/>
          </w:tcPr>
          <w:p w14:paraId="6843AD61"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 выплата</w:t>
            </w:r>
          </w:p>
        </w:tc>
        <w:tc>
          <w:tcPr>
            <w:tcW w:w="1742" w:type="dxa"/>
            <w:tcBorders>
              <w:left w:val="single" w:sz="4" w:space="0" w:color="auto"/>
            </w:tcBorders>
            <w:shd w:val="clear" w:color="auto" w:fill="FFFFFF"/>
            <w:vAlign w:val="bottom"/>
          </w:tcPr>
          <w:p w14:paraId="075F5136"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Разработка</w:t>
            </w:r>
          </w:p>
        </w:tc>
        <w:tc>
          <w:tcPr>
            <w:tcW w:w="1618" w:type="dxa"/>
            <w:tcBorders>
              <w:left w:val="single" w:sz="4" w:space="0" w:color="auto"/>
              <w:right w:val="single" w:sz="4" w:space="0" w:color="auto"/>
            </w:tcBorders>
            <w:shd w:val="clear" w:color="auto" w:fill="FFFFFF"/>
            <w:vAlign w:val="bottom"/>
          </w:tcPr>
          <w:p w14:paraId="6EBB3877"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случае выяв-</w:t>
            </w:r>
          </w:p>
        </w:tc>
      </w:tr>
      <w:tr w:rsidR="00350396" w:rsidRPr="004E0FC4" w14:paraId="28BC6E83" w14:textId="77777777" w:rsidTr="006D7F71">
        <w:trPr>
          <w:trHeight w:hRule="exact" w:val="216"/>
          <w:jc w:val="center"/>
        </w:trPr>
        <w:tc>
          <w:tcPr>
            <w:tcW w:w="1896" w:type="dxa"/>
            <w:tcBorders>
              <w:left w:val="single" w:sz="4" w:space="0" w:color="auto"/>
            </w:tcBorders>
            <w:shd w:val="clear" w:color="auto" w:fill="FFFFFF"/>
          </w:tcPr>
          <w:p w14:paraId="7885613E"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ствия обязательной</w:t>
            </w:r>
          </w:p>
        </w:tc>
        <w:tc>
          <w:tcPr>
            <w:tcW w:w="1320" w:type="dxa"/>
            <w:tcBorders>
              <w:left w:val="single" w:sz="4" w:space="0" w:color="auto"/>
            </w:tcBorders>
            <w:shd w:val="clear" w:color="auto" w:fill="FFFFFF"/>
          </w:tcPr>
          <w:p w14:paraId="2FF084F4"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компенсации</w:t>
            </w:r>
          </w:p>
        </w:tc>
        <w:tc>
          <w:tcPr>
            <w:tcW w:w="1742" w:type="dxa"/>
            <w:tcBorders>
              <w:left w:val="single" w:sz="4" w:space="0" w:color="auto"/>
            </w:tcBorders>
            <w:shd w:val="clear" w:color="auto" w:fill="FFFFFF"/>
          </w:tcPr>
          <w:p w14:paraId="3929612E"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жестких критериев</w:t>
            </w:r>
          </w:p>
        </w:tc>
        <w:tc>
          <w:tcPr>
            <w:tcW w:w="1618" w:type="dxa"/>
            <w:tcBorders>
              <w:left w:val="single" w:sz="4" w:space="0" w:color="auto"/>
              <w:right w:val="single" w:sz="4" w:space="0" w:color="auto"/>
            </w:tcBorders>
            <w:shd w:val="clear" w:color="auto" w:fill="FFFFFF"/>
          </w:tcPr>
          <w:p w14:paraId="0381E1B4"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ления объектов</w:t>
            </w:r>
          </w:p>
        </w:tc>
      </w:tr>
      <w:tr w:rsidR="00350396" w:rsidRPr="004E0FC4" w14:paraId="4D36F378" w14:textId="77777777" w:rsidTr="006D7F71">
        <w:trPr>
          <w:trHeight w:hRule="exact" w:val="240"/>
          <w:jc w:val="center"/>
        </w:trPr>
        <w:tc>
          <w:tcPr>
            <w:tcW w:w="1896" w:type="dxa"/>
            <w:tcBorders>
              <w:left w:val="single" w:sz="4" w:space="0" w:color="auto"/>
            </w:tcBorders>
            <w:shd w:val="clear" w:color="auto" w:fill="FFFFFF"/>
          </w:tcPr>
          <w:p w14:paraId="5FE8734D"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регистрации линей-</w:t>
            </w:r>
          </w:p>
        </w:tc>
        <w:tc>
          <w:tcPr>
            <w:tcW w:w="1320" w:type="dxa"/>
            <w:tcBorders>
              <w:left w:val="single" w:sz="4" w:space="0" w:color="auto"/>
            </w:tcBorders>
            <w:shd w:val="clear" w:color="auto" w:fill="FFFFFF"/>
          </w:tcPr>
          <w:p w14:paraId="739C3766"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tcBorders>
            <w:shd w:val="clear" w:color="auto" w:fill="FFFFFF"/>
          </w:tcPr>
          <w:p w14:paraId="4B062982"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отбора квалифици-</w:t>
            </w:r>
          </w:p>
        </w:tc>
        <w:tc>
          <w:tcPr>
            <w:tcW w:w="1618" w:type="dxa"/>
            <w:tcBorders>
              <w:left w:val="single" w:sz="4" w:space="0" w:color="auto"/>
              <w:right w:val="single" w:sz="4" w:space="0" w:color="auto"/>
            </w:tcBorders>
            <w:shd w:val="clear" w:color="auto" w:fill="FFFFFF"/>
          </w:tcPr>
          <w:p w14:paraId="467337F8"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стадии строи-</w:t>
            </w:r>
          </w:p>
        </w:tc>
      </w:tr>
      <w:tr w:rsidR="00350396" w:rsidRPr="004E0FC4" w14:paraId="6CD17F94" w14:textId="77777777" w:rsidTr="006D7F71">
        <w:trPr>
          <w:trHeight w:hRule="exact" w:val="192"/>
          <w:jc w:val="center"/>
        </w:trPr>
        <w:tc>
          <w:tcPr>
            <w:tcW w:w="1896" w:type="dxa"/>
            <w:tcBorders>
              <w:left w:val="single" w:sz="4" w:space="0" w:color="auto"/>
            </w:tcBorders>
            <w:shd w:val="clear" w:color="auto" w:fill="FFFFFF"/>
          </w:tcPr>
          <w:p w14:paraId="50271C48"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ных объектов есть</w:t>
            </w:r>
          </w:p>
        </w:tc>
        <w:tc>
          <w:tcPr>
            <w:tcW w:w="1320" w:type="dxa"/>
            <w:tcBorders>
              <w:left w:val="single" w:sz="4" w:space="0" w:color="auto"/>
            </w:tcBorders>
            <w:shd w:val="clear" w:color="auto" w:fill="FFFFFF"/>
          </w:tcPr>
          <w:p w14:paraId="0774E042"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tcBorders>
            <w:shd w:val="clear" w:color="auto" w:fill="FFFFFF"/>
          </w:tcPr>
          <w:p w14:paraId="29CBFF3F"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рованного и опыт-</w:t>
            </w:r>
          </w:p>
        </w:tc>
        <w:tc>
          <w:tcPr>
            <w:tcW w:w="1618" w:type="dxa"/>
            <w:tcBorders>
              <w:left w:val="single" w:sz="4" w:space="0" w:color="auto"/>
              <w:right w:val="single" w:sz="4" w:space="0" w:color="auto"/>
            </w:tcBorders>
            <w:shd w:val="clear" w:color="auto" w:fill="FFFFFF"/>
          </w:tcPr>
          <w:p w14:paraId="120BE15E"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тельства или экс-</w:t>
            </w:r>
          </w:p>
        </w:tc>
      </w:tr>
      <w:tr w:rsidR="00350396" w:rsidRPr="004E0FC4" w14:paraId="056685EE" w14:textId="77777777" w:rsidTr="006D7F71">
        <w:trPr>
          <w:trHeight w:hRule="exact" w:val="250"/>
          <w:jc w:val="center"/>
        </w:trPr>
        <w:tc>
          <w:tcPr>
            <w:tcW w:w="1896" w:type="dxa"/>
            <w:tcBorders>
              <w:left w:val="single" w:sz="4" w:space="0" w:color="auto"/>
            </w:tcBorders>
            <w:shd w:val="clear" w:color="auto" w:fill="FFFFFF"/>
            <w:vAlign w:val="bottom"/>
          </w:tcPr>
          <w:p w14:paraId="3C1845F4"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риск обнаружения</w:t>
            </w:r>
          </w:p>
        </w:tc>
        <w:tc>
          <w:tcPr>
            <w:tcW w:w="1320" w:type="dxa"/>
            <w:tcBorders>
              <w:left w:val="single" w:sz="4" w:space="0" w:color="auto"/>
            </w:tcBorders>
            <w:shd w:val="clear" w:color="auto" w:fill="FFFFFF"/>
          </w:tcPr>
          <w:p w14:paraId="0A407EC8"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tcBorders>
            <w:shd w:val="clear" w:color="auto" w:fill="FFFFFF"/>
            <w:vAlign w:val="bottom"/>
          </w:tcPr>
          <w:p w14:paraId="674C69AA"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ного подрядчика</w:t>
            </w:r>
          </w:p>
        </w:tc>
        <w:tc>
          <w:tcPr>
            <w:tcW w:w="1618" w:type="dxa"/>
            <w:tcBorders>
              <w:left w:val="single" w:sz="4" w:space="0" w:color="auto"/>
              <w:right w:val="single" w:sz="4" w:space="0" w:color="auto"/>
            </w:tcBorders>
            <w:shd w:val="clear" w:color="auto" w:fill="FFFFFF"/>
            <w:vAlign w:val="bottom"/>
          </w:tcPr>
          <w:p w14:paraId="797E82A2"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плуатации, при</w:t>
            </w:r>
          </w:p>
        </w:tc>
      </w:tr>
      <w:tr w:rsidR="00350396" w:rsidRPr="004E0FC4" w14:paraId="4B82B3E2" w14:textId="77777777" w:rsidTr="006D7F71">
        <w:trPr>
          <w:trHeight w:hRule="exact" w:val="202"/>
          <w:jc w:val="center"/>
        </w:trPr>
        <w:tc>
          <w:tcPr>
            <w:tcW w:w="1896" w:type="dxa"/>
            <w:tcBorders>
              <w:left w:val="single" w:sz="4" w:space="0" w:color="auto"/>
            </w:tcBorders>
            <w:shd w:val="clear" w:color="auto" w:fill="FFFFFF"/>
          </w:tcPr>
          <w:p w14:paraId="492C9F5A"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незарегистрирован-</w:t>
            </w:r>
          </w:p>
        </w:tc>
        <w:tc>
          <w:tcPr>
            <w:tcW w:w="1320" w:type="dxa"/>
            <w:tcBorders>
              <w:left w:val="single" w:sz="4" w:space="0" w:color="auto"/>
            </w:tcBorders>
            <w:shd w:val="clear" w:color="auto" w:fill="FFFFFF"/>
          </w:tcPr>
          <w:p w14:paraId="4FEA19C2"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tcBorders>
            <w:shd w:val="clear" w:color="auto" w:fill="FFFFFF"/>
          </w:tcPr>
          <w:p w14:paraId="62EB0E0D"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выполнение</w:t>
            </w:r>
          </w:p>
        </w:tc>
        <w:tc>
          <w:tcPr>
            <w:tcW w:w="1618" w:type="dxa"/>
            <w:tcBorders>
              <w:left w:val="single" w:sz="4" w:space="0" w:color="auto"/>
              <w:right w:val="single" w:sz="4" w:space="0" w:color="auto"/>
            </w:tcBorders>
            <w:shd w:val="clear" w:color="auto" w:fill="FFFFFF"/>
          </w:tcPr>
          <w:p w14:paraId="6E86FC1C"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наличии ошибок</w:t>
            </w:r>
          </w:p>
        </w:tc>
      </w:tr>
      <w:tr w:rsidR="00350396" w:rsidRPr="004E0FC4" w14:paraId="59B5C847" w14:textId="77777777" w:rsidTr="006D7F71">
        <w:trPr>
          <w:trHeight w:hRule="exact" w:val="221"/>
          <w:jc w:val="center"/>
        </w:trPr>
        <w:tc>
          <w:tcPr>
            <w:tcW w:w="1896" w:type="dxa"/>
            <w:tcBorders>
              <w:left w:val="single" w:sz="4" w:space="0" w:color="auto"/>
            </w:tcBorders>
            <w:shd w:val="clear" w:color="auto" w:fill="FFFFFF"/>
            <w:vAlign w:val="bottom"/>
          </w:tcPr>
          <w:p w14:paraId="703BCCBA"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ных сетей на ЗУ, под-</w:t>
            </w:r>
          </w:p>
        </w:tc>
        <w:tc>
          <w:tcPr>
            <w:tcW w:w="1320" w:type="dxa"/>
            <w:tcBorders>
              <w:left w:val="single" w:sz="4" w:space="0" w:color="auto"/>
            </w:tcBorders>
            <w:shd w:val="clear" w:color="auto" w:fill="FFFFFF"/>
          </w:tcPr>
          <w:p w14:paraId="4129DD6D"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tcBorders>
            <w:shd w:val="clear" w:color="auto" w:fill="FFFFFF"/>
            <w:vAlign w:val="bottom"/>
          </w:tcPr>
          <w:p w14:paraId="7E208120"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работ по обследо-</w:t>
            </w:r>
          </w:p>
        </w:tc>
        <w:tc>
          <w:tcPr>
            <w:tcW w:w="1618" w:type="dxa"/>
            <w:tcBorders>
              <w:left w:val="single" w:sz="4" w:space="0" w:color="auto"/>
              <w:right w:val="single" w:sz="4" w:space="0" w:color="auto"/>
            </w:tcBorders>
            <w:shd w:val="clear" w:color="auto" w:fill="FFFFFF"/>
            <w:vAlign w:val="bottom"/>
          </w:tcPr>
          <w:p w14:paraId="4006A35C"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 изыскатель-</w:t>
            </w:r>
          </w:p>
        </w:tc>
      </w:tr>
      <w:tr w:rsidR="00350396" w:rsidRPr="004E0FC4" w14:paraId="73AB7F7C" w14:textId="77777777" w:rsidTr="006D7F71">
        <w:trPr>
          <w:trHeight w:hRule="exact" w:val="259"/>
          <w:jc w:val="center"/>
        </w:trPr>
        <w:tc>
          <w:tcPr>
            <w:tcW w:w="1896" w:type="dxa"/>
            <w:tcBorders>
              <w:left w:val="single" w:sz="4" w:space="0" w:color="auto"/>
              <w:bottom w:val="single" w:sz="4" w:space="0" w:color="auto"/>
            </w:tcBorders>
            <w:shd w:val="clear" w:color="auto" w:fill="FFFFFF"/>
          </w:tcPr>
          <w:p w14:paraId="2DD12D0D"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лежащих выносу</w:t>
            </w:r>
          </w:p>
        </w:tc>
        <w:tc>
          <w:tcPr>
            <w:tcW w:w="1320" w:type="dxa"/>
            <w:tcBorders>
              <w:left w:val="single" w:sz="4" w:space="0" w:color="auto"/>
              <w:bottom w:val="single" w:sz="4" w:space="0" w:color="auto"/>
            </w:tcBorders>
            <w:shd w:val="clear" w:color="auto" w:fill="FFFFFF"/>
          </w:tcPr>
          <w:p w14:paraId="4CBA1CB8"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left w:val="single" w:sz="4" w:space="0" w:color="auto"/>
              <w:bottom w:val="single" w:sz="4" w:space="0" w:color="auto"/>
            </w:tcBorders>
            <w:shd w:val="clear" w:color="auto" w:fill="FFFFFF"/>
          </w:tcPr>
          <w:p w14:paraId="1AECA63F"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ванию ЗУ</w:t>
            </w:r>
          </w:p>
        </w:tc>
        <w:tc>
          <w:tcPr>
            <w:tcW w:w="1618" w:type="dxa"/>
            <w:tcBorders>
              <w:left w:val="single" w:sz="4" w:space="0" w:color="auto"/>
              <w:bottom w:val="single" w:sz="4" w:space="0" w:color="auto"/>
              <w:right w:val="single" w:sz="4" w:space="0" w:color="auto"/>
            </w:tcBorders>
            <w:shd w:val="clear" w:color="auto" w:fill="FFFFFF"/>
          </w:tcPr>
          <w:p w14:paraId="03B28BD8" w14:textId="77777777" w:rsidR="00350396" w:rsidRPr="004E0FC4" w:rsidRDefault="00350396" w:rsidP="004E0FC4">
            <w:pPr>
              <w:framePr w:w="6576" w:wrap="notBeside" w:vAnchor="text" w:hAnchor="text" w:xAlign="center" w:y="1"/>
              <w:widowControl w:val="0"/>
              <w:spacing w:line="19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ских работах)</w:t>
            </w:r>
          </w:p>
        </w:tc>
      </w:tr>
    </w:tbl>
    <w:p w14:paraId="1546A3B9"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p w14:paraId="5203A46E" w14:textId="77777777" w:rsidR="00350396" w:rsidRPr="004E0FC4" w:rsidRDefault="00350396" w:rsidP="004E0FC4">
      <w:pPr>
        <w:widowControl w:val="0"/>
        <w:spacing w:line="240" w:lineRule="auto"/>
        <w:ind w:firstLine="0"/>
        <w:rPr>
          <w:rFonts w:ascii="Bookman Old Style" w:hAnsi="Bookman Old Style"/>
          <w:sz w:val="18"/>
          <w:szCs w:val="18"/>
        </w:rPr>
      </w:pPr>
    </w:p>
    <w:p w14:paraId="70C800F3"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headerReference w:type="even" r:id="rId85"/>
          <w:headerReference w:type="default" r:id="rId86"/>
          <w:footerReference w:type="even" r:id="rId87"/>
          <w:footerReference w:type="default" r:id="rId88"/>
          <w:footerReference w:type="first" r:id="rId89"/>
          <w:pgSz w:w="8789" w:h="13493"/>
          <w:pgMar w:top="752" w:right="1075" w:bottom="1292" w:left="1070"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1320"/>
        <w:gridCol w:w="1742"/>
        <w:gridCol w:w="1618"/>
      </w:tblGrid>
      <w:tr w:rsidR="00350396" w:rsidRPr="004E0FC4" w14:paraId="077D345D" w14:textId="77777777" w:rsidTr="006D7F71">
        <w:trPr>
          <w:trHeight w:hRule="exact" w:val="552"/>
          <w:jc w:val="center"/>
        </w:trPr>
        <w:tc>
          <w:tcPr>
            <w:tcW w:w="1896" w:type="dxa"/>
            <w:tcBorders>
              <w:top w:val="single" w:sz="4" w:space="0" w:color="auto"/>
              <w:left w:val="single" w:sz="4" w:space="0" w:color="auto"/>
            </w:tcBorders>
            <w:shd w:val="clear" w:color="auto" w:fill="FFFFFF"/>
            <w:vAlign w:val="center"/>
          </w:tcPr>
          <w:p w14:paraId="43D9672F"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Риск</w:t>
            </w:r>
          </w:p>
        </w:tc>
        <w:tc>
          <w:tcPr>
            <w:tcW w:w="1320" w:type="dxa"/>
            <w:tcBorders>
              <w:top w:val="single" w:sz="4" w:space="0" w:color="auto"/>
              <w:left w:val="single" w:sz="4" w:space="0" w:color="auto"/>
            </w:tcBorders>
            <w:shd w:val="clear" w:color="auto" w:fill="FFFFFF"/>
            <w:vAlign w:val="bottom"/>
          </w:tcPr>
          <w:p w14:paraId="06584820"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Последствия</w:t>
            </w:r>
          </w:p>
          <w:p w14:paraId="03D3A322"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риска</w:t>
            </w:r>
          </w:p>
        </w:tc>
        <w:tc>
          <w:tcPr>
            <w:tcW w:w="1742" w:type="dxa"/>
            <w:tcBorders>
              <w:top w:val="single" w:sz="4" w:space="0" w:color="auto"/>
              <w:left w:val="single" w:sz="4" w:space="0" w:color="auto"/>
            </w:tcBorders>
            <w:shd w:val="clear" w:color="auto" w:fill="FFFFFF"/>
            <w:vAlign w:val="bottom"/>
          </w:tcPr>
          <w:p w14:paraId="692608F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Действия по пре</w:t>
            </w:r>
            <w:r w:rsidRPr="004E0FC4">
              <w:rPr>
                <w:rFonts w:ascii="Bookman Old Style" w:eastAsia="Bookman Old Style" w:hAnsi="Bookman Old Style" w:cs="Bookman Old Style"/>
                <w:b/>
                <w:bCs/>
                <w:color w:val="231F20"/>
                <w:sz w:val="18"/>
                <w:szCs w:val="18"/>
              </w:rPr>
              <w:softHyphen/>
              <w:t>дотвращению</w:t>
            </w:r>
          </w:p>
        </w:tc>
        <w:tc>
          <w:tcPr>
            <w:tcW w:w="1618" w:type="dxa"/>
            <w:tcBorders>
              <w:top w:val="single" w:sz="4" w:space="0" w:color="auto"/>
              <w:left w:val="single" w:sz="4" w:space="0" w:color="auto"/>
              <w:right w:val="single" w:sz="4" w:space="0" w:color="auto"/>
            </w:tcBorders>
            <w:shd w:val="clear" w:color="auto" w:fill="FFFFFF"/>
            <w:vAlign w:val="center"/>
          </w:tcPr>
          <w:p w14:paraId="73330614"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Владелец риска</w:t>
            </w:r>
          </w:p>
        </w:tc>
      </w:tr>
      <w:tr w:rsidR="00350396" w:rsidRPr="004E0FC4" w14:paraId="0787C5E8" w14:textId="77777777" w:rsidTr="006D7F71">
        <w:trPr>
          <w:trHeight w:hRule="exact" w:val="326"/>
          <w:jc w:val="center"/>
        </w:trPr>
        <w:tc>
          <w:tcPr>
            <w:tcW w:w="6576" w:type="dxa"/>
            <w:gridSpan w:val="4"/>
            <w:tcBorders>
              <w:top w:val="single" w:sz="4" w:space="0" w:color="auto"/>
              <w:left w:val="single" w:sz="4" w:space="0" w:color="auto"/>
              <w:right w:val="single" w:sz="4" w:space="0" w:color="auto"/>
            </w:tcBorders>
            <w:shd w:val="clear" w:color="auto" w:fill="FFFFFF"/>
            <w:vAlign w:val="bottom"/>
          </w:tcPr>
          <w:p w14:paraId="694E9A71"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2. </w:t>
            </w:r>
            <w:r w:rsidRPr="004E0FC4">
              <w:rPr>
                <w:rFonts w:ascii="Bookman Old Style" w:eastAsia="Bookman Old Style" w:hAnsi="Bookman Old Style" w:cs="Bookman Old Style"/>
                <w:i/>
                <w:iCs/>
                <w:color w:val="231F20"/>
                <w:sz w:val="18"/>
                <w:szCs w:val="18"/>
              </w:rPr>
              <w:t>Риски проектирования</w:t>
            </w:r>
          </w:p>
        </w:tc>
      </w:tr>
      <w:tr w:rsidR="00350396" w:rsidRPr="004E0FC4" w14:paraId="4CC5C2DF" w14:textId="77777777" w:rsidTr="006D7F71">
        <w:trPr>
          <w:trHeight w:hRule="exact" w:val="4066"/>
          <w:jc w:val="center"/>
        </w:trPr>
        <w:tc>
          <w:tcPr>
            <w:tcW w:w="1896" w:type="dxa"/>
            <w:tcBorders>
              <w:top w:val="single" w:sz="4" w:space="0" w:color="auto"/>
              <w:left w:val="single" w:sz="4" w:space="0" w:color="auto"/>
            </w:tcBorders>
            <w:shd w:val="clear" w:color="auto" w:fill="FFFFFF"/>
          </w:tcPr>
          <w:p w14:paraId="7EC01B7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отсут</w:t>
            </w:r>
            <w:r w:rsidRPr="004E0FC4">
              <w:rPr>
                <w:rFonts w:ascii="Bookman Old Style" w:eastAsia="Bookman Old Style" w:hAnsi="Bookman Old Style" w:cs="Bookman Old Style"/>
                <w:color w:val="231F20"/>
                <w:sz w:val="18"/>
                <w:szCs w:val="18"/>
              </w:rPr>
              <w:softHyphen/>
              <w:t>ствия свободной мощности есть риск отказа ресурсоснаб</w:t>
            </w:r>
            <w:r w:rsidRPr="004E0FC4">
              <w:rPr>
                <w:rFonts w:ascii="Bookman Old Style" w:eastAsia="Bookman Old Style" w:hAnsi="Bookman Old Style" w:cs="Bookman Old Style"/>
                <w:color w:val="231F20"/>
                <w:sz w:val="18"/>
                <w:szCs w:val="18"/>
              </w:rPr>
              <w:softHyphen/>
              <w:t>жающих организа</w:t>
            </w:r>
            <w:r w:rsidRPr="004E0FC4">
              <w:rPr>
                <w:rFonts w:ascii="Bookman Old Style" w:eastAsia="Bookman Old Style" w:hAnsi="Bookman Old Style" w:cs="Bookman Old Style"/>
                <w:color w:val="231F20"/>
                <w:sz w:val="18"/>
                <w:szCs w:val="18"/>
              </w:rPr>
              <w:softHyphen/>
              <w:t>ций в заключении договоров техноло</w:t>
            </w:r>
            <w:r w:rsidRPr="004E0FC4">
              <w:rPr>
                <w:rFonts w:ascii="Bookman Old Style" w:eastAsia="Bookman Old Style" w:hAnsi="Bookman Old Style" w:cs="Bookman Old Style"/>
                <w:color w:val="231F20"/>
                <w:sz w:val="18"/>
                <w:szCs w:val="18"/>
              </w:rPr>
              <w:softHyphen/>
              <w:t>гического подклю</w:t>
            </w:r>
            <w:r w:rsidRPr="004E0FC4">
              <w:rPr>
                <w:rFonts w:ascii="Bookman Old Style" w:eastAsia="Bookman Old Style" w:hAnsi="Bookman Old Style" w:cs="Bookman Old Style"/>
                <w:color w:val="231F20"/>
                <w:sz w:val="18"/>
                <w:szCs w:val="18"/>
              </w:rPr>
              <w:softHyphen/>
              <w:t>чения.</w:t>
            </w:r>
          </w:p>
          <w:p w14:paraId="2AEB6BD2"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при</w:t>
            </w:r>
            <w:r w:rsidRPr="004E0FC4">
              <w:rPr>
                <w:rFonts w:ascii="Bookman Old Style" w:eastAsia="Bookman Old Style" w:hAnsi="Bookman Old Style" w:cs="Bookman Old Style"/>
                <w:color w:val="231F20"/>
                <w:sz w:val="18"/>
                <w:szCs w:val="18"/>
              </w:rPr>
              <w:softHyphen/>
              <w:t>влечения недобро</w:t>
            </w:r>
            <w:r w:rsidRPr="004E0FC4">
              <w:rPr>
                <w:rFonts w:ascii="Bookman Old Style" w:eastAsia="Bookman Old Style" w:hAnsi="Bookman Old Style" w:cs="Bookman Old Style"/>
                <w:color w:val="231F20"/>
                <w:sz w:val="18"/>
                <w:szCs w:val="18"/>
              </w:rPr>
              <w:softHyphen/>
              <w:t>совестных под</w:t>
            </w:r>
            <w:r w:rsidRPr="004E0FC4">
              <w:rPr>
                <w:rFonts w:ascii="Bookman Old Style" w:eastAsia="Bookman Old Style" w:hAnsi="Bookman Old Style" w:cs="Bookman Old Style"/>
                <w:color w:val="231F20"/>
                <w:sz w:val="18"/>
                <w:szCs w:val="18"/>
              </w:rPr>
              <w:softHyphen/>
              <w:t>рядчиков есть риск</w:t>
            </w:r>
          </w:p>
          <w:p w14:paraId="24940FDD"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несоответствия</w:t>
            </w:r>
          </w:p>
          <w:p w14:paraId="5F314A14"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проектной докумен</w:t>
            </w:r>
            <w:r w:rsidRPr="004E0FC4">
              <w:rPr>
                <w:rFonts w:ascii="Bookman Old Style" w:eastAsia="Bookman Old Style" w:hAnsi="Bookman Old Style" w:cs="Bookman Old Style"/>
                <w:color w:val="231F20"/>
                <w:sz w:val="18"/>
                <w:szCs w:val="18"/>
              </w:rPr>
              <w:softHyphen/>
              <w:t>тации условиям КС.</w:t>
            </w:r>
          </w:p>
        </w:tc>
        <w:tc>
          <w:tcPr>
            <w:tcW w:w="1320" w:type="dxa"/>
            <w:tcBorders>
              <w:top w:val="single" w:sz="4" w:space="0" w:color="auto"/>
              <w:left w:val="single" w:sz="4" w:space="0" w:color="auto"/>
            </w:tcBorders>
            <w:shd w:val="clear" w:color="auto" w:fill="FFFFFF"/>
            <w:vAlign w:val="bottom"/>
          </w:tcPr>
          <w:p w14:paraId="00F3D555"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w:t>
            </w:r>
          </w:p>
          <w:p w14:paraId="254BDF3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сроков проек</w:t>
            </w:r>
            <w:r w:rsidRPr="004E0FC4">
              <w:rPr>
                <w:rFonts w:ascii="Bookman Old Style" w:eastAsia="Bookman Old Style" w:hAnsi="Bookman Old Style" w:cs="Bookman Old Style"/>
                <w:color w:val="231F20"/>
                <w:sz w:val="18"/>
                <w:szCs w:val="18"/>
              </w:rPr>
              <w:softHyphen/>
              <w:t>тирования / прекращение</w:t>
            </w:r>
          </w:p>
          <w:p w14:paraId="6ABF29CE" w14:textId="77777777" w:rsidR="00350396" w:rsidRPr="004E0FC4" w:rsidRDefault="00350396" w:rsidP="004E0FC4">
            <w:pPr>
              <w:framePr w:w="6576" w:wrap="notBeside" w:vAnchor="text" w:hAnchor="text" w:xAlign="center" w:y="1"/>
              <w:widowControl w:val="0"/>
              <w:spacing w:after="220"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w:t>
            </w:r>
          </w:p>
          <w:p w14:paraId="42B3AD99" w14:textId="77777777" w:rsidR="00350396" w:rsidRPr="004E0FC4" w:rsidRDefault="00350396" w:rsidP="004E0FC4">
            <w:pPr>
              <w:framePr w:w="6576" w:wrap="notBeside" w:vAnchor="text" w:hAnchor="text" w:xAlign="center" w:y="1"/>
              <w:widowControl w:val="0"/>
              <w:spacing w:before="220"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w:t>
            </w:r>
          </w:p>
          <w:p w14:paraId="02179C01"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сроков проек</w:t>
            </w:r>
            <w:r w:rsidRPr="004E0FC4">
              <w:rPr>
                <w:rFonts w:ascii="Bookman Old Style" w:eastAsia="Bookman Old Style" w:hAnsi="Bookman Old Style" w:cs="Bookman Old Style"/>
                <w:color w:val="231F20"/>
                <w:sz w:val="18"/>
                <w:szCs w:val="18"/>
              </w:rPr>
              <w:softHyphen/>
              <w:t>тирования / прекращение</w:t>
            </w:r>
          </w:p>
          <w:p w14:paraId="5EC88889" w14:textId="77777777" w:rsidR="00350396" w:rsidRPr="004E0FC4" w:rsidRDefault="00350396" w:rsidP="004E0FC4">
            <w:pPr>
              <w:framePr w:w="6576" w:wrap="notBeside" w:vAnchor="text" w:hAnchor="text" w:xAlign="center" w:y="1"/>
              <w:widowControl w:val="0"/>
              <w:spacing w:after="220"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w:t>
            </w:r>
          </w:p>
          <w:p w14:paraId="4E2AD620" w14:textId="77777777" w:rsidR="00350396" w:rsidRPr="004E0FC4" w:rsidRDefault="00350396" w:rsidP="004E0FC4">
            <w:pPr>
              <w:framePr w:w="6576" w:wrap="notBeside" w:vAnchor="text" w:hAnchor="text" w:xAlign="center" w:y="1"/>
              <w:widowControl w:val="0"/>
              <w:spacing w:before="220"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w:t>
            </w:r>
            <w:r w:rsidRPr="004E0FC4">
              <w:rPr>
                <w:rFonts w:ascii="Bookman Old Style" w:eastAsia="Bookman Old Style" w:hAnsi="Bookman Old Style" w:cs="Bookman Old Style"/>
                <w:color w:val="231F20"/>
                <w:sz w:val="18"/>
                <w:szCs w:val="18"/>
              </w:rPr>
              <w:softHyphen/>
              <w:t>ние сроков</w:t>
            </w:r>
          </w:p>
          <w:p w14:paraId="5C6558B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получения</w:t>
            </w:r>
          </w:p>
          <w:p w14:paraId="370A9066"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разрешения</w:t>
            </w:r>
          </w:p>
          <w:p w14:paraId="2B5259F2"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строитель</w:t>
            </w:r>
            <w:r w:rsidRPr="004E0FC4">
              <w:rPr>
                <w:rFonts w:ascii="Bookman Old Style" w:eastAsia="Bookman Old Style" w:hAnsi="Bookman Old Style" w:cs="Bookman Old Style"/>
                <w:color w:val="231F20"/>
                <w:sz w:val="18"/>
                <w:szCs w:val="18"/>
              </w:rPr>
              <w:softHyphen/>
              <w:t>ство</w:t>
            </w:r>
          </w:p>
        </w:tc>
        <w:tc>
          <w:tcPr>
            <w:tcW w:w="1742" w:type="dxa"/>
            <w:tcBorders>
              <w:top w:val="single" w:sz="4" w:space="0" w:color="auto"/>
              <w:left w:val="single" w:sz="4" w:space="0" w:color="auto"/>
            </w:tcBorders>
            <w:shd w:val="clear" w:color="auto" w:fill="FFFFFF"/>
            <w:vAlign w:val="bottom"/>
          </w:tcPr>
          <w:p w14:paraId="115157EF" w14:textId="77777777" w:rsidR="00350396" w:rsidRPr="004E0FC4" w:rsidRDefault="00350396" w:rsidP="004E0FC4">
            <w:pPr>
              <w:framePr w:w="6576" w:wrap="notBeside" w:vAnchor="text" w:hAnchor="text" w:xAlign="center" w:y="1"/>
              <w:widowControl w:val="0"/>
              <w:numPr>
                <w:ilvl w:val="0"/>
                <w:numId w:val="87"/>
              </w:numPr>
              <w:tabs>
                <w:tab w:val="left" w:pos="130"/>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Использование</w:t>
            </w:r>
          </w:p>
          <w:p w14:paraId="78A71615"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административно</w:t>
            </w:r>
            <w:r w:rsidRPr="004E0FC4">
              <w:rPr>
                <w:rFonts w:ascii="Bookman Old Style" w:eastAsia="Bookman Old Style" w:hAnsi="Bookman Old Style" w:cs="Bookman Old Style"/>
                <w:color w:val="231F20"/>
                <w:sz w:val="18"/>
                <w:szCs w:val="18"/>
              </w:rPr>
              <w:softHyphen/>
              <w:t>го ресурса.</w:t>
            </w:r>
          </w:p>
          <w:p w14:paraId="3D070E8D" w14:textId="77777777" w:rsidR="00350396" w:rsidRPr="004E0FC4" w:rsidRDefault="00350396" w:rsidP="004E0FC4">
            <w:pPr>
              <w:framePr w:w="6576" w:wrap="notBeside" w:vAnchor="text" w:hAnchor="text" w:xAlign="center" w:y="1"/>
              <w:widowControl w:val="0"/>
              <w:numPr>
                <w:ilvl w:val="0"/>
                <w:numId w:val="87"/>
              </w:numPr>
              <w:tabs>
                <w:tab w:val="left" w:pos="154"/>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Поиск альтер</w:t>
            </w:r>
            <w:r w:rsidRPr="004E0FC4">
              <w:rPr>
                <w:rFonts w:ascii="Bookman Old Style" w:eastAsia="Bookman Old Style" w:hAnsi="Bookman Old Style" w:cs="Bookman Old Style"/>
                <w:color w:val="231F20"/>
                <w:sz w:val="18"/>
                <w:szCs w:val="18"/>
              </w:rPr>
              <w:softHyphen/>
              <w:t>нативных ресур</w:t>
            </w:r>
            <w:r w:rsidRPr="004E0FC4">
              <w:rPr>
                <w:rFonts w:ascii="Bookman Old Style" w:eastAsia="Bookman Old Style" w:hAnsi="Bookman Old Style" w:cs="Bookman Old Style"/>
                <w:color w:val="231F20"/>
                <w:sz w:val="18"/>
                <w:szCs w:val="18"/>
              </w:rPr>
              <w:softHyphen/>
              <w:t>соснабжающих организаций</w:t>
            </w:r>
          </w:p>
          <w:p w14:paraId="52C618DA" w14:textId="77777777" w:rsidR="00350396" w:rsidRPr="004E0FC4" w:rsidRDefault="00350396" w:rsidP="004E0FC4">
            <w:pPr>
              <w:framePr w:w="6576" w:wrap="notBeside" w:vAnchor="text" w:hAnchor="text" w:xAlign="center" w:y="1"/>
              <w:widowControl w:val="0"/>
              <w:spacing w:after="220"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вариантов под</w:t>
            </w:r>
            <w:r w:rsidRPr="004E0FC4">
              <w:rPr>
                <w:rFonts w:ascii="Bookman Old Style" w:eastAsia="Bookman Old Style" w:hAnsi="Bookman Old Style" w:cs="Bookman Old Style"/>
                <w:color w:val="231F20"/>
                <w:sz w:val="18"/>
                <w:szCs w:val="18"/>
              </w:rPr>
              <w:softHyphen/>
              <w:t>ключения.</w:t>
            </w:r>
          </w:p>
          <w:p w14:paraId="14B4570A" w14:textId="77777777" w:rsidR="00350396" w:rsidRPr="004E0FC4" w:rsidRDefault="00350396" w:rsidP="004E0FC4">
            <w:pPr>
              <w:framePr w:w="6576" w:wrap="notBeside" w:vAnchor="text" w:hAnchor="text" w:xAlign="center" w:y="1"/>
              <w:widowControl w:val="0"/>
              <w:numPr>
                <w:ilvl w:val="0"/>
                <w:numId w:val="87"/>
              </w:numPr>
              <w:tabs>
                <w:tab w:val="left" w:pos="163"/>
              </w:tabs>
              <w:spacing w:before="220"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Разработка жестких критериев отбора квалифици</w:t>
            </w:r>
            <w:r w:rsidRPr="004E0FC4">
              <w:rPr>
                <w:rFonts w:ascii="Bookman Old Style" w:eastAsia="Bookman Old Style" w:hAnsi="Bookman Old Style" w:cs="Bookman Old Style"/>
                <w:color w:val="231F20"/>
                <w:sz w:val="18"/>
                <w:szCs w:val="18"/>
              </w:rPr>
              <w:softHyphen/>
              <w:t>рованного и опыт</w:t>
            </w:r>
            <w:r w:rsidRPr="004E0FC4">
              <w:rPr>
                <w:rFonts w:ascii="Bookman Old Style" w:eastAsia="Bookman Old Style" w:hAnsi="Bookman Old Style" w:cs="Bookman Old Style"/>
                <w:color w:val="231F20"/>
                <w:sz w:val="18"/>
                <w:szCs w:val="18"/>
              </w:rPr>
              <w:softHyphen/>
              <w:t>ного подрядчика</w:t>
            </w:r>
          </w:p>
          <w:p w14:paraId="657BC71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выполнение работ по рекон</w:t>
            </w:r>
            <w:r w:rsidRPr="004E0FC4">
              <w:rPr>
                <w:rFonts w:ascii="Bookman Old Style" w:eastAsia="Bookman Old Style" w:hAnsi="Bookman Old Style" w:cs="Bookman Old Style"/>
                <w:color w:val="231F20"/>
                <w:sz w:val="18"/>
                <w:szCs w:val="18"/>
              </w:rPr>
              <w:softHyphen/>
              <w:t>струкции</w:t>
            </w:r>
          </w:p>
        </w:tc>
        <w:tc>
          <w:tcPr>
            <w:tcW w:w="1618" w:type="dxa"/>
            <w:tcBorders>
              <w:top w:val="single" w:sz="4" w:space="0" w:color="auto"/>
              <w:left w:val="single" w:sz="4" w:space="0" w:color="auto"/>
              <w:right w:val="single" w:sz="4" w:space="0" w:color="auto"/>
            </w:tcBorders>
            <w:shd w:val="clear" w:color="auto" w:fill="FFFFFF"/>
          </w:tcPr>
          <w:p w14:paraId="5890A600"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(прод</w:t>
            </w:r>
            <w:r w:rsidRPr="004E0FC4">
              <w:rPr>
                <w:rFonts w:ascii="Bookman Old Style" w:eastAsia="Bookman Old Style" w:hAnsi="Bookman Old Style" w:cs="Bookman Old Style"/>
                <w:color w:val="231F20"/>
                <w:sz w:val="18"/>
                <w:szCs w:val="18"/>
              </w:rPr>
              <w:softHyphen/>
              <w:t>ление сроков</w:t>
            </w:r>
          </w:p>
          <w:p w14:paraId="403D2B23" w14:textId="77777777" w:rsidR="00350396" w:rsidRPr="004E0FC4" w:rsidRDefault="00350396" w:rsidP="004E0FC4">
            <w:pPr>
              <w:framePr w:w="6576" w:wrap="notBeside" w:vAnchor="text" w:hAnchor="text" w:xAlign="center" w:y="1"/>
              <w:widowControl w:val="0"/>
              <w:spacing w:after="440"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проектирования без штрафных санкций для кон</w:t>
            </w:r>
            <w:r w:rsidRPr="004E0FC4">
              <w:rPr>
                <w:rFonts w:ascii="Bookman Old Style" w:eastAsia="Bookman Old Style" w:hAnsi="Bookman Old Style" w:cs="Bookman Old Style"/>
                <w:color w:val="231F20"/>
                <w:sz w:val="18"/>
                <w:szCs w:val="18"/>
              </w:rPr>
              <w:softHyphen/>
              <w:t>цессионера).</w:t>
            </w:r>
          </w:p>
          <w:p w14:paraId="05ACAF17" w14:textId="77777777" w:rsidR="00350396" w:rsidRPr="004E0FC4" w:rsidRDefault="00350396" w:rsidP="004E0FC4">
            <w:pPr>
              <w:framePr w:w="6576" w:wrap="notBeside" w:vAnchor="text" w:hAnchor="text" w:xAlign="center" w:y="1"/>
              <w:widowControl w:val="0"/>
              <w:spacing w:before="440"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(ответствен</w:t>
            </w:r>
            <w:r w:rsidRPr="004E0FC4">
              <w:rPr>
                <w:rFonts w:ascii="Bookman Old Style" w:eastAsia="Bookman Old Style" w:hAnsi="Bookman Old Style" w:cs="Bookman Old Style"/>
                <w:color w:val="231F20"/>
                <w:sz w:val="18"/>
                <w:szCs w:val="18"/>
              </w:rPr>
              <w:softHyphen/>
              <w:t>ность за действия подрядчиков как за свои собствен</w:t>
            </w:r>
            <w:r w:rsidRPr="004E0FC4">
              <w:rPr>
                <w:rFonts w:ascii="Bookman Old Style" w:eastAsia="Bookman Old Style" w:hAnsi="Bookman Old Style" w:cs="Bookman Old Style"/>
                <w:color w:val="231F20"/>
                <w:sz w:val="18"/>
                <w:szCs w:val="18"/>
              </w:rPr>
              <w:softHyphen/>
              <w:t>ные)</w:t>
            </w:r>
          </w:p>
        </w:tc>
      </w:tr>
      <w:tr w:rsidR="00350396" w:rsidRPr="004E0FC4" w14:paraId="7965A4F5" w14:textId="77777777" w:rsidTr="006D7F71">
        <w:trPr>
          <w:trHeight w:hRule="exact" w:val="4282"/>
          <w:jc w:val="center"/>
        </w:trPr>
        <w:tc>
          <w:tcPr>
            <w:tcW w:w="1896" w:type="dxa"/>
            <w:tcBorders>
              <w:top w:val="single" w:sz="4" w:space="0" w:color="auto"/>
              <w:left w:val="single" w:sz="4" w:space="0" w:color="auto"/>
            </w:tcBorders>
            <w:shd w:val="clear" w:color="auto" w:fill="FFFFFF"/>
          </w:tcPr>
          <w:p w14:paraId="59D1C3B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возмож</w:t>
            </w:r>
            <w:r w:rsidRPr="004E0FC4">
              <w:rPr>
                <w:rFonts w:ascii="Bookman Old Style" w:eastAsia="Bookman Old Style" w:hAnsi="Bookman Old Style" w:cs="Bookman Old Style"/>
                <w:color w:val="231F20"/>
                <w:sz w:val="18"/>
                <w:szCs w:val="18"/>
              </w:rPr>
              <w:softHyphen/>
              <w:t>ности затягивания</w:t>
            </w:r>
          </w:p>
          <w:p w14:paraId="5F4E5A76"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сроков проведения государственной экспертизы проек- тно- сметной доку</w:t>
            </w:r>
            <w:r w:rsidRPr="004E0FC4">
              <w:rPr>
                <w:rFonts w:ascii="Bookman Old Style" w:eastAsia="Bookman Old Style" w:hAnsi="Bookman Old Style" w:cs="Bookman Old Style"/>
                <w:color w:val="231F20"/>
                <w:sz w:val="18"/>
                <w:szCs w:val="18"/>
              </w:rPr>
              <w:softHyphen/>
              <w:t>ментации есть риск</w:t>
            </w:r>
          </w:p>
          <w:p w14:paraId="5BF13AEE"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увеличения сроков</w:t>
            </w:r>
          </w:p>
          <w:p w14:paraId="506EA309"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получения разреше</w:t>
            </w:r>
            <w:r w:rsidRPr="004E0FC4">
              <w:rPr>
                <w:rFonts w:ascii="Bookman Old Style" w:eastAsia="Bookman Old Style" w:hAnsi="Bookman Old Style" w:cs="Bookman Old Style"/>
                <w:color w:val="231F20"/>
                <w:sz w:val="18"/>
                <w:szCs w:val="18"/>
              </w:rPr>
              <w:softHyphen/>
              <w:t>ния на строитель</w:t>
            </w:r>
            <w:r w:rsidRPr="004E0FC4">
              <w:rPr>
                <w:rFonts w:ascii="Bookman Old Style" w:eastAsia="Bookman Old Style" w:hAnsi="Bookman Old Style" w:cs="Bookman Old Style"/>
                <w:color w:val="231F20"/>
                <w:sz w:val="18"/>
                <w:szCs w:val="18"/>
              </w:rPr>
              <w:softHyphen/>
              <w:t>ство, не связанный с действиями/без</w:t>
            </w:r>
            <w:r w:rsidRPr="004E0FC4">
              <w:rPr>
                <w:rFonts w:ascii="Bookman Old Style" w:eastAsia="Bookman Old Style" w:hAnsi="Bookman Old Style" w:cs="Bookman Old Style"/>
                <w:color w:val="231F20"/>
                <w:sz w:val="18"/>
                <w:szCs w:val="18"/>
              </w:rPr>
              <w:softHyphen/>
              <w:t>действием сторон КС</w:t>
            </w:r>
          </w:p>
        </w:tc>
        <w:tc>
          <w:tcPr>
            <w:tcW w:w="1320" w:type="dxa"/>
            <w:tcBorders>
              <w:top w:val="single" w:sz="4" w:space="0" w:color="auto"/>
              <w:left w:val="single" w:sz="4" w:space="0" w:color="auto"/>
            </w:tcBorders>
            <w:shd w:val="clear" w:color="auto" w:fill="FFFFFF"/>
          </w:tcPr>
          <w:p w14:paraId="3F7183A9"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top w:val="single" w:sz="4" w:space="0" w:color="auto"/>
              <w:left w:val="single" w:sz="4" w:space="0" w:color="auto"/>
            </w:tcBorders>
            <w:shd w:val="clear" w:color="auto" w:fill="FFFFFF"/>
            <w:vAlign w:val="bottom"/>
          </w:tcPr>
          <w:p w14:paraId="00D4B9BF" w14:textId="77777777" w:rsidR="00350396" w:rsidRPr="004E0FC4" w:rsidRDefault="00350396" w:rsidP="004E0FC4">
            <w:pPr>
              <w:framePr w:w="6576" w:wrap="notBeside" w:vAnchor="text" w:hAnchor="text" w:xAlign="center" w:y="1"/>
              <w:widowControl w:val="0"/>
              <w:numPr>
                <w:ilvl w:val="0"/>
                <w:numId w:val="88"/>
              </w:numPr>
              <w:tabs>
                <w:tab w:val="left" w:pos="149"/>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Детальная юридическая про</w:t>
            </w:r>
            <w:r w:rsidRPr="004E0FC4">
              <w:rPr>
                <w:rFonts w:ascii="Bookman Old Style" w:eastAsia="Bookman Old Style" w:hAnsi="Bookman Old Style" w:cs="Bookman Old Style"/>
                <w:color w:val="231F20"/>
                <w:sz w:val="18"/>
                <w:szCs w:val="18"/>
              </w:rPr>
              <w:softHyphen/>
              <w:t>работка договоров подряда.</w:t>
            </w:r>
          </w:p>
          <w:p w14:paraId="7BE69592" w14:textId="77777777" w:rsidR="00350396" w:rsidRPr="004E0FC4" w:rsidRDefault="00350396" w:rsidP="004E0FC4">
            <w:pPr>
              <w:framePr w:w="6576" w:wrap="notBeside" w:vAnchor="text" w:hAnchor="text" w:xAlign="center" w:y="1"/>
              <w:widowControl w:val="0"/>
              <w:numPr>
                <w:ilvl w:val="0"/>
                <w:numId w:val="88"/>
              </w:numPr>
              <w:tabs>
                <w:tab w:val="left" w:pos="115"/>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Установление</w:t>
            </w:r>
          </w:p>
          <w:p w14:paraId="5805034A"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КС сроков стро</w:t>
            </w:r>
            <w:r w:rsidRPr="004E0FC4">
              <w:rPr>
                <w:rFonts w:ascii="Bookman Old Style" w:eastAsia="Bookman Old Style" w:hAnsi="Bookman Old Style" w:cs="Bookman Old Style"/>
                <w:color w:val="231F20"/>
                <w:sz w:val="18"/>
                <w:szCs w:val="18"/>
              </w:rPr>
              <w:softHyphen/>
              <w:t>ительства с даты</w:t>
            </w:r>
          </w:p>
          <w:p w14:paraId="535C1FF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прохождения госу</w:t>
            </w:r>
            <w:r w:rsidRPr="004E0FC4">
              <w:rPr>
                <w:rFonts w:ascii="Bookman Old Style" w:eastAsia="Bookman Old Style" w:hAnsi="Bookman Old Style" w:cs="Bookman Old Style"/>
                <w:color w:val="231F20"/>
                <w:sz w:val="18"/>
                <w:szCs w:val="18"/>
              </w:rPr>
              <w:softHyphen/>
              <w:t>дарственной экс</w:t>
            </w:r>
            <w:r w:rsidRPr="004E0FC4">
              <w:rPr>
                <w:rFonts w:ascii="Bookman Old Style" w:eastAsia="Bookman Old Style" w:hAnsi="Bookman Old Style" w:cs="Bookman Old Style"/>
                <w:color w:val="231F20"/>
                <w:sz w:val="18"/>
                <w:szCs w:val="18"/>
              </w:rPr>
              <w:softHyphen/>
              <w:t>пертизы (просрочка</w:t>
            </w:r>
          </w:p>
          <w:p w14:paraId="10446BF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 влияет на со</w:t>
            </w:r>
            <w:r w:rsidRPr="004E0FC4">
              <w:rPr>
                <w:rFonts w:ascii="Bookman Old Style" w:eastAsia="Bookman Old Style" w:hAnsi="Bookman Old Style" w:cs="Bookman Old Style"/>
                <w:color w:val="231F20"/>
                <w:sz w:val="18"/>
                <w:szCs w:val="18"/>
              </w:rPr>
              <w:softHyphen/>
              <w:t>блюдение сроков концессионером).</w:t>
            </w:r>
          </w:p>
          <w:p w14:paraId="2BEF36B4" w14:textId="77777777" w:rsidR="00350396" w:rsidRPr="004E0FC4" w:rsidRDefault="00350396" w:rsidP="004E0FC4">
            <w:pPr>
              <w:framePr w:w="6576" w:wrap="notBeside" w:vAnchor="text" w:hAnchor="text" w:xAlign="center" w:y="1"/>
              <w:widowControl w:val="0"/>
              <w:numPr>
                <w:ilvl w:val="0"/>
                <w:numId w:val="88"/>
              </w:numPr>
              <w:tabs>
                <w:tab w:val="left" w:pos="15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Взаимодействие с государственной экспертизой до мо</w:t>
            </w:r>
            <w:r w:rsidRPr="004E0FC4">
              <w:rPr>
                <w:rFonts w:ascii="Bookman Old Style" w:eastAsia="Bookman Old Style" w:hAnsi="Bookman Old Style" w:cs="Bookman Old Style"/>
                <w:color w:val="231F20"/>
                <w:sz w:val="18"/>
                <w:szCs w:val="18"/>
              </w:rPr>
              <w:softHyphen/>
              <w:t>мента направления проектно-сметной документации</w:t>
            </w:r>
          </w:p>
        </w:tc>
        <w:tc>
          <w:tcPr>
            <w:tcW w:w="1618" w:type="dxa"/>
            <w:tcBorders>
              <w:top w:val="single" w:sz="4" w:space="0" w:color="auto"/>
              <w:left w:val="single" w:sz="4" w:space="0" w:color="auto"/>
              <w:right w:val="single" w:sz="4" w:space="0" w:color="auto"/>
            </w:tcBorders>
            <w:shd w:val="clear" w:color="auto" w:fill="FFFFFF"/>
          </w:tcPr>
          <w:p w14:paraId="13126BEA"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(прод</w:t>
            </w:r>
            <w:r w:rsidRPr="004E0FC4">
              <w:rPr>
                <w:rFonts w:ascii="Bookman Old Style" w:eastAsia="Bookman Old Style" w:hAnsi="Bookman Old Style" w:cs="Bookman Old Style"/>
                <w:color w:val="231F20"/>
                <w:sz w:val="18"/>
                <w:szCs w:val="18"/>
              </w:rPr>
              <w:softHyphen/>
              <w:t>ление сроков</w:t>
            </w:r>
          </w:p>
          <w:p w14:paraId="44C29F4A"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проектирования без штрафных санкций для кон</w:t>
            </w:r>
            <w:r w:rsidRPr="004E0FC4">
              <w:rPr>
                <w:rFonts w:ascii="Bookman Old Style" w:eastAsia="Bookman Old Style" w:hAnsi="Bookman Old Style" w:cs="Bookman Old Style"/>
                <w:color w:val="231F20"/>
                <w:sz w:val="18"/>
                <w:szCs w:val="18"/>
              </w:rPr>
              <w:softHyphen/>
              <w:t>цессионера)</w:t>
            </w:r>
          </w:p>
        </w:tc>
      </w:tr>
      <w:tr w:rsidR="00350396" w:rsidRPr="004E0FC4" w14:paraId="1435C1BF" w14:textId="77777777" w:rsidTr="006D7F71">
        <w:trPr>
          <w:trHeight w:hRule="exact" w:val="326"/>
          <w:jc w:val="center"/>
        </w:trPr>
        <w:tc>
          <w:tcPr>
            <w:tcW w:w="6576" w:type="dxa"/>
            <w:gridSpan w:val="4"/>
            <w:tcBorders>
              <w:top w:val="single" w:sz="4" w:space="0" w:color="auto"/>
              <w:left w:val="single" w:sz="4" w:space="0" w:color="auto"/>
              <w:right w:val="single" w:sz="4" w:space="0" w:color="auto"/>
            </w:tcBorders>
            <w:shd w:val="clear" w:color="auto" w:fill="FFFFFF"/>
            <w:vAlign w:val="bottom"/>
          </w:tcPr>
          <w:p w14:paraId="4B764B5B"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3. </w:t>
            </w:r>
            <w:r w:rsidRPr="004E0FC4">
              <w:rPr>
                <w:rFonts w:ascii="Bookman Old Style" w:eastAsia="Bookman Old Style" w:hAnsi="Bookman Old Style" w:cs="Bookman Old Style"/>
                <w:i/>
                <w:iCs/>
                <w:color w:val="231F20"/>
                <w:sz w:val="18"/>
                <w:szCs w:val="18"/>
              </w:rPr>
              <w:t>Риски финансового закрытия</w:t>
            </w:r>
          </w:p>
        </w:tc>
      </w:tr>
      <w:tr w:rsidR="00350396" w:rsidRPr="004E0FC4" w14:paraId="5C0A4735" w14:textId="77777777" w:rsidTr="006D7F71">
        <w:trPr>
          <w:trHeight w:hRule="exact" w:val="1435"/>
          <w:jc w:val="center"/>
        </w:trPr>
        <w:tc>
          <w:tcPr>
            <w:tcW w:w="1896" w:type="dxa"/>
            <w:tcBorders>
              <w:top w:val="single" w:sz="4" w:space="0" w:color="auto"/>
              <w:left w:val="single" w:sz="4" w:space="0" w:color="auto"/>
              <w:bottom w:val="single" w:sz="4" w:space="0" w:color="auto"/>
            </w:tcBorders>
            <w:shd w:val="clear" w:color="auto" w:fill="FFFFFF"/>
          </w:tcPr>
          <w:p w14:paraId="6D566E23"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не</w:t>
            </w:r>
            <w:r w:rsidRPr="004E0FC4">
              <w:rPr>
                <w:rFonts w:ascii="Bookman Old Style" w:eastAsia="Bookman Old Style" w:hAnsi="Bookman Old Style" w:cs="Bookman Old Style"/>
                <w:color w:val="231F20"/>
                <w:sz w:val="18"/>
                <w:szCs w:val="18"/>
              </w:rPr>
              <w:softHyphen/>
              <w:t>обходимости при</w:t>
            </w:r>
            <w:r w:rsidRPr="004E0FC4">
              <w:rPr>
                <w:rFonts w:ascii="Bookman Old Style" w:eastAsia="Bookman Old Style" w:hAnsi="Bookman Old Style" w:cs="Bookman Old Style"/>
                <w:color w:val="231F20"/>
                <w:sz w:val="18"/>
                <w:szCs w:val="18"/>
              </w:rPr>
              <w:softHyphen/>
              <w:t>влечения заемного финансирования для создания объекта</w:t>
            </w:r>
          </w:p>
        </w:tc>
        <w:tc>
          <w:tcPr>
            <w:tcW w:w="1320" w:type="dxa"/>
            <w:tcBorders>
              <w:top w:val="single" w:sz="4" w:space="0" w:color="auto"/>
              <w:left w:val="single" w:sz="4" w:space="0" w:color="auto"/>
              <w:bottom w:val="single" w:sz="4" w:space="0" w:color="auto"/>
            </w:tcBorders>
            <w:shd w:val="clear" w:color="auto" w:fill="FFFFFF"/>
          </w:tcPr>
          <w:p w14:paraId="27CC25EF"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Прекращение</w:t>
            </w:r>
          </w:p>
          <w:p w14:paraId="5DD806FB"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w:t>
            </w:r>
          </w:p>
        </w:tc>
        <w:tc>
          <w:tcPr>
            <w:tcW w:w="1742" w:type="dxa"/>
            <w:tcBorders>
              <w:top w:val="single" w:sz="4" w:space="0" w:color="auto"/>
              <w:left w:val="single" w:sz="4" w:space="0" w:color="auto"/>
              <w:bottom w:val="single" w:sz="4" w:space="0" w:color="auto"/>
            </w:tcBorders>
            <w:shd w:val="clear" w:color="auto" w:fill="FFFFFF"/>
            <w:vAlign w:val="bottom"/>
          </w:tcPr>
          <w:p w14:paraId="4390BE20"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КС установле</w:t>
            </w:r>
            <w:r w:rsidRPr="004E0FC4">
              <w:rPr>
                <w:rFonts w:ascii="Bookman Old Style" w:eastAsia="Bookman Old Style" w:hAnsi="Bookman Old Style" w:cs="Bookman Old Style"/>
                <w:color w:val="231F20"/>
                <w:sz w:val="18"/>
                <w:szCs w:val="18"/>
              </w:rPr>
              <w:softHyphen/>
              <w:t>на возможность</w:t>
            </w:r>
          </w:p>
          <w:p w14:paraId="22DA9D88"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уступки права тре</w:t>
            </w:r>
            <w:r w:rsidRPr="004E0FC4">
              <w:rPr>
                <w:rFonts w:ascii="Bookman Old Style" w:eastAsia="Bookman Old Style" w:hAnsi="Bookman Old Style" w:cs="Bookman Old Style"/>
                <w:color w:val="231F20"/>
                <w:sz w:val="18"/>
                <w:szCs w:val="18"/>
              </w:rPr>
              <w:softHyphen/>
              <w:t>бования денежных средств от конце-</w:t>
            </w:r>
          </w:p>
          <w:p w14:paraId="37DA1DF5"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дента в пользу</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14:paraId="45BC18A5"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(вы</w:t>
            </w:r>
            <w:r w:rsidRPr="004E0FC4">
              <w:rPr>
                <w:rFonts w:ascii="Bookman Old Style" w:eastAsia="Bookman Old Style" w:hAnsi="Bookman Old Style" w:cs="Bookman Old Style"/>
                <w:color w:val="231F20"/>
                <w:sz w:val="18"/>
                <w:szCs w:val="18"/>
              </w:rPr>
              <w:softHyphen/>
              <w:t>плата компен</w:t>
            </w:r>
            <w:r w:rsidRPr="004E0FC4">
              <w:rPr>
                <w:rFonts w:ascii="Bookman Old Style" w:eastAsia="Bookman Old Style" w:hAnsi="Bookman Old Style" w:cs="Bookman Old Style"/>
                <w:color w:val="231F20"/>
                <w:sz w:val="18"/>
                <w:szCs w:val="18"/>
              </w:rPr>
              <w:softHyphen/>
              <w:t>сации концесси</w:t>
            </w:r>
            <w:r w:rsidRPr="004E0FC4">
              <w:rPr>
                <w:rFonts w:ascii="Bookman Old Style" w:eastAsia="Bookman Old Style" w:hAnsi="Bookman Old Style" w:cs="Bookman Old Style"/>
                <w:color w:val="231F20"/>
                <w:sz w:val="18"/>
                <w:szCs w:val="18"/>
              </w:rPr>
              <w:softHyphen/>
              <w:t>онеру в случае расторжения КС)</w:t>
            </w:r>
          </w:p>
        </w:tc>
      </w:tr>
    </w:tbl>
    <w:p w14:paraId="115AB138"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p w14:paraId="5F4D7993" w14:textId="77777777" w:rsidR="00350396" w:rsidRPr="004E0FC4" w:rsidRDefault="00350396" w:rsidP="004E0FC4">
      <w:pPr>
        <w:widowControl w:val="0"/>
        <w:spacing w:line="240" w:lineRule="auto"/>
        <w:ind w:firstLine="0"/>
        <w:rPr>
          <w:rFonts w:ascii="Bookman Old Style" w:hAnsi="Bookman Old Style"/>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1320"/>
        <w:gridCol w:w="1742"/>
        <w:gridCol w:w="1618"/>
      </w:tblGrid>
      <w:tr w:rsidR="00350396" w:rsidRPr="004E0FC4" w14:paraId="3120D56E" w14:textId="77777777" w:rsidTr="006D7F71">
        <w:trPr>
          <w:trHeight w:hRule="exact" w:val="552"/>
          <w:jc w:val="center"/>
        </w:trPr>
        <w:tc>
          <w:tcPr>
            <w:tcW w:w="1896" w:type="dxa"/>
            <w:tcBorders>
              <w:top w:val="single" w:sz="4" w:space="0" w:color="auto"/>
              <w:left w:val="single" w:sz="4" w:space="0" w:color="auto"/>
            </w:tcBorders>
            <w:shd w:val="clear" w:color="auto" w:fill="FFFFFF"/>
            <w:vAlign w:val="center"/>
          </w:tcPr>
          <w:p w14:paraId="3A3DDA23"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Риск</w:t>
            </w:r>
          </w:p>
        </w:tc>
        <w:tc>
          <w:tcPr>
            <w:tcW w:w="1320" w:type="dxa"/>
            <w:tcBorders>
              <w:top w:val="single" w:sz="4" w:space="0" w:color="auto"/>
              <w:left w:val="single" w:sz="4" w:space="0" w:color="auto"/>
            </w:tcBorders>
            <w:shd w:val="clear" w:color="auto" w:fill="FFFFFF"/>
            <w:vAlign w:val="bottom"/>
          </w:tcPr>
          <w:p w14:paraId="71E65378"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Последствия</w:t>
            </w:r>
          </w:p>
          <w:p w14:paraId="2C1D0BDF"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риска</w:t>
            </w:r>
          </w:p>
        </w:tc>
        <w:tc>
          <w:tcPr>
            <w:tcW w:w="1742" w:type="dxa"/>
            <w:tcBorders>
              <w:top w:val="single" w:sz="4" w:space="0" w:color="auto"/>
              <w:left w:val="single" w:sz="4" w:space="0" w:color="auto"/>
            </w:tcBorders>
            <w:shd w:val="clear" w:color="auto" w:fill="FFFFFF"/>
            <w:vAlign w:val="bottom"/>
          </w:tcPr>
          <w:p w14:paraId="715D256D"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Действия по пре</w:t>
            </w:r>
            <w:r w:rsidRPr="004E0FC4">
              <w:rPr>
                <w:rFonts w:ascii="Bookman Old Style" w:eastAsia="Bookman Old Style" w:hAnsi="Bookman Old Style" w:cs="Bookman Old Style"/>
                <w:b/>
                <w:bCs/>
                <w:color w:val="231F20"/>
                <w:sz w:val="18"/>
                <w:szCs w:val="18"/>
              </w:rPr>
              <w:softHyphen/>
              <w:t>дотвращению</w:t>
            </w:r>
          </w:p>
        </w:tc>
        <w:tc>
          <w:tcPr>
            <w:tcW w:w="1618" w:type="dxa"/>
            <w:tcBorders>
              <w:top w:val="single" w:sz="4" w:space="0" w:color="auto"/>
              <w:left w:val="single" w:sz="4" w:space="0" w:color="auto"/>
              <w:right w:val="single" w:sz="4" w:space="0" w:color="auto"/>
            </w:tcBorders>
            <w:shd w:val="clear" w:color="auto" w:fill="FFFFFF"/>
            <w:vAlign w:val="center"/>
          </w:tcPr>
          <w:p w14:paraId="1D71C860"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Владелец риска</w:t>
            </w:r>
          </w:p>
        </w:tc>
      </w:tr>
      <w:tr w:rsidR="00350396" w:rsidRPr="004E0FC4" w14:paraId="72088E6F" w14:textId="77777777" w:rsidTr="006D7F71">
        <w:trPr>
          <w:trHeight w:hRule="exact" w:val="2746"/>
          <w:jc w:val="center"/>
        </w:trPr>
        <w:tc>
          <w:tcPr>
            <w:tcW w:w="1896" w:type="dxa"/>
            <w:tcBorders>
              <w:top w:val="single" w:sz="4" w:space="0" w:color="auto"/>
              <w:left w:val="single" w:sz="4" w:space="0" w:color="auto"/>
            </w:tcBorders>
            <w:shd w:val="clear" w:color="auto" w:fill="FFFFFF"/>
          </w:tcPr>
          <w:p w14:paraId="53A8AC89"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есть риск невозмож</w:t>
            </w:r>
            <w:r w:rsidRPr="004E0FC4">
              <w:rPr>
                <w:rFonts w:ascii="Bookman Old Style" w:eastAsia="Bookman Old Style" w:hAnsi="Bookman Old Style" w:cs="Bookman Old Style"/>
                <w:color w:val="231F20"/>
                <w:sz w:val="18"/>
                <w:szCs w:val="18"/>
              </w:rPr>
              <w:softHyphen/>
              <w:t>ности подтвержде</w:t>
            </w:r>
            <w:r w:rsidRPr="004E0FC4">
              <w:rPr>
                <w:rFonts w:ascii="Bookman Old Style" w:eastAsia="Bookman Old Style" w:hAnsi="Bookman Old Style" w:cs="Bookman Old Style"/>
                <w:color w:val="231F20"/>
                <w:sz w:val="18"/>
                <w:szCs w:val="18"/>
              </w:rPr>
              <w:softHyphen/>
              <w:t>ния наличия доступа к финансированию</w:t>
            </w:r>
          </w:p>
        </w:tc>
        <w:tc>
          <w:tcPr>
            <w:tcW w:w="1320" w:type="dxa"/>
            <w:tcBorders>
              <w:top w:val="single" w:sz="4" w:space="0" w:color="auto"/>
              <w:left w:val="single" w:sz="4" w:space="0" w:color="auto"/>
            </w:tcBorders>
            <w:shd w:val="clear" w:color="auto" w:fill="FFFFFF"/>
          </w:tcPr>
          <w:p w14:paraId="08EFD9DE"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c>
          <w:tcPr>
            <w:tcW w:w="1742" w:type="dxa"/>
            <w:tcBorders>
              <w:top w:val="single" w:sz="4" w:space="0" w:color="auto"/>
              <w:left w:val="single" w:sz="4" w:space="0" w:color="auto"/>
            </w:tcBorders>
            <w:shd w:val="clear" w:color="auto" w:fill="FFFFFF"/>
            <w:vAlign w:val="bottom"/>
          </w:tcPr>
          <w:p w14:paraId="7485C1C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финансирующих</w:t>
            </w:r>
          </w:p>
          <w:p w14:paraId="4A6909D3"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организаций.</w:t>
            </w:r>
          </w:p>
          <w:p w14:paraId="3AAAC596"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КС установ</w:t>
            </w:r>
            <w:r w:rsidRPr="004E0FC4">
              <w:rPr>
                <w:rFonts w:ascii="Bookman Old Style" w:eastAsia="Bookman Old Style" w:hAnsi="Bookman Old Style" w:cs="Bookman Old Style"/>
                <w:color w:val="231F20"/>
                <w:sz w:val="18"/>
                <w:szCs w:val="18"/>
              </w:rPr>
              <w:softHyphen/>
              <w:t>лено основание</w:t>
            </w:r>
          </w:p>
          <w:p w14:paraId="446ACE7A"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для расторжения</w:t>
            </w:r>
          </w:p>
          <w:p w14:paraId="508006F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 по инициативе концессионера</w:t>
            </w:r>
          </w:p>
          <w:p w14:paraId="5A9934F5"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случае отказа</w:t>
            </w:r>
          </w:p>
          <w:p w14:paraId="4291906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концедента в под</w:t>
            </w:r>
            <w:r w:rsidRPr="004E0FC4">
              <w:rPr>
                <w:rFonts w:ascii="Bookman Old Style" w:eastAsia="Bookman Old Style" w:hAnsi="Bookman Old Style" w:cs="Bookman Old Style"/>
                <w:color w:val="231F20"/>
                <w:sz w:val="18"/>
                <w:szCs w:val="18"/>
              </w:rPr>
              <w:softHyphen/>
              <w:t>писании прямого</w:t>
            </w:r>
          </w:p>
          <w:p w14:paraId="655E248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с ком</w:t>
            </w:r>
            <w:r w:rsidRPr="004E0FC4">
              <w:rPr>
                <w:rFonts w:ascii="Bookman Old Style" w:eastAsia="Bookman Old Style" w:hAnsi="Bookman Old Style" w:cs="Bookman Old Style"/>
                <w:color w:val="231F20"/>
                <w:sz w:val="18"/>
                <w:szCs w:val="18"/>
              </w:rPr>
              <w:softHyphen/>
              <w:t>пенсацией</w:t>
            </w:r>
          </w:p>
        </w:tc>
        <w:tc>
          <w:tcPr>
            <w:tcW w:w="1618" w:type="dxa"/>
            <w:tcBorders>
              <w:top w:val="single" w:sz="4" w:space="0" w:color="auto"/>
              <w:left w:val="single" w:sz="4" w:space="0" w:color="auto"/>
              <w:right w:val="single" w:sz="4" w:space="0" w:color="auto"/>
            </w:tcBorders>
            <w:shd w:val="clear" w:color="auto" w:fill="FFFFFF"/>
          </w:tcPr>
          <w:p w14:paraId="67ACFA3B"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tc>
      </w:tr>
      <w:tr w:rsidR="00350396" w:rsidRPr="004E0FC4" w14:paraId="25A3EE9F" w14:textId="77777777" w:rsidTr="006D7F71">
        <w:trPr>
          <w:trHeight w:hRule="exact" w:val="326"/>
          <w:jc w:val="center"/>
        </w:trPr>
        <w:tc>
          <w:tcPr>
            <w:tcW w:w="6576" w:type="dxa"/>
            <w:gridSpan w:val="4"/>
            <w:tcBorders>
              <w:top w:val="single" w:sz="4" w:space="0" w:color="auto"/>
              <w:left w:val="single" w:sz="4" w:space="0" w:color="auto"/>
              <w:right w:val="single" w:sz="4" w:space="0" w:color="auto"/>
            </w:tcBorders>
            <w:shd w:val="clear" w:color="auto" w:fill="FFFFFF"/>
            <w:vAlign w:val="bottom"/>
          </w:tcPr>
          <w:p w14:paraId="4D4D32D5"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4. </w:t>
            </w:r>
            <w:r w:rsidRPr="004E0FC4">
              <w:rPr>
                <w:rFonts w:ascii="Bookman Old Style" w:eastAsia="Bookman Old Style" w:hAnsi="Bookman Old Style" w:cs="Bookman Old Style"/>
                <w:i/>
                <w:iCs/>
                <w:color w:val="231F20"/>
                <w:sz w:val="18"/>
                <w:szCs w:val="18"/>
              </w:rPr>
              <w:t>Риски строительства</w:t>
            </w:r>
          </w:p>
        </w:tc>
      </w:tr>
      <w:tr w:rsidR="00350396" w:rsidRPr="004E0FC4" w14:paraId="5F02C663" w14:textId="77777777" w:rsidTr="006D7F71">
        <w:trPr>
          <w:trHeight w:hRule="exact" w:val="2726"/>
          <w:jc w:val="center"/>
        </w:trPr>
        <w:tc>
          <w:tcPr>
            <w:tcW w:w="1896" w:type="dxa"/>
            <w:tcBorders>
              <w:top w:val="single" w:sz="4" w:space="0" w:color="auto"/>
              <w:left w:val="single" w:sz="4" w:space="0" w:color="auto"/>
            </w:tcBorders>
            <w:shd w:val="clear" w:color="auto" w:fill="FFFFFF"/>
            <w:vAlign w:val="center"/>
          </w:tcPr>
          <w:p w14:paraId="1D060A0D"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установ</w:t>
            </w:r>
            <w:r w:rsidRPr="004E0FC4">
              <w:rPr>
                <w:rFonts w:ascii="Bookman Old Style" w:eastAsia="Bookman Old Style" w:hAnsi="Bookman Old Style" w:cs="Bookman Old Style"/>
                <w:color w:val="231F20"/>
                <w:sz w:val="18"/>
                <w:szCs w:val="18"/>
              </w:rPr>
              <w:softHyphen/>
              <w:t>ления платы за под</w:t>
            </w:r>
            <w:r w:rsidRPr="004E0FC4">
              <w:rPr>
                <w:rFonts w:ascii="Bookman Old Style" w:eastAsia="Bookman Old Style" w:hAnsi="Bookman Old Style" w:cs="Bookman Old Style"/>
                <w:color w:val="231F20"/>
                <w:sz w:val="18"/>
                <w:szCs w:val="18"/>
              </w:rPr>
              <w:softHyphen/>
              <w:t>ключение объекта</w:t>
            </w:r>
          </w:p>
          <w:p w14:paraId="0BBC68B9"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 сетям</w:t>
            </w:r>
          </w:p>
          <w:p w14:paraId="560A2612"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инженерно-техни</w:t>
            </w:r>
            <w:r w:rsidRPr="004E0FC4">
              <w:rPr>
                <w:rFonts w:ascii="Bookman Old Style" w:eastAsia="Bookman Old Style" w:hAnsi="Bookman Old Style" w:cs="Bookman Old Style"/>
                <w:color w:val="231F20"/>
                <w:sz w:val="18"/>
                <w:szCs w:val="18"/>
              </w:rPr>
              <w:softHyphen/>
              <w:t>ческого обеспече</w:t>
            </w:r>
            <w:r w:rsidRPr="004E0FC4">
              <w:rPr>
                <w:rFonts w:ascii="Bookman Old Style" w:eastAsia="Bookman Old Style" w:hAnsi="Bookman Old Style" w:cs="Bookman Old Style"/>
                <w:color w:val="231F20"/>
                <w:sz w:val="18"/>
                <w:szCs w:val="18"/>
              </w:rPr>
              <w:softHyphen/>
              <w:t>ния в соответствии</w:t>
            </w:r>
          </w:p>
          <w:p w14:paraId="5E636877"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 индивидуальными тарифами есть риск увеличения сметной стоимости строи</w:t>
            </w:r>
            <w:r w:rsidRPr="004E0FC4">
              <w:rPr>
                <w:rFonts w:ascii="Bookman Old Style" w:eastAsia="Bookman Old Style" w:hAnsi="Bookman Old Style" w:cs="Bookman Old Style"/>
                <w:color w:val="231F20"/>
                <w:sz w:val="18"/>
                <w:szCs w:val="18"/>
              </w:rPr>
              <w:softHyphen/>
              <w:t>тельства</w:t>
            </w:r>
          </w:p>
        </w:tc>
        <w:tc>
          <w:tcPr>
            <w:tcW w:w="1320" w:type="dxa"/>
            <w:tcBorders>
              <w:top w:val="single" w:sz="4" w:space="0" w:color="auto"/>
              <w:left w:val="single" w:sz="4" w:space="0" w:color="auto"/>
            </w:tcBorders>
            <w:shd w:val="clear" w:color="auto" w:fill="FFFFFF"/>
          </w:tcPr>
          <w:p w14:paraId="26AB7499"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w:t>
            </w:r>
          </w:p>
          <w:p w14:paraId="1AA4E37B"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стоимости</w:t>
            </w:r>
          </w:p>
          <w:p w14:paraId="42B7AD9D"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проекта</w:t>
            </w:r>
          </w:p>
        </w:tc>
        <w:tc>
          <w:tcPr>
            <w:tcW w:w="1742" w:type="dxa"/>
            <w:tcBorders>
              <w:top w:val="single" w:sz="4" w:space="0" w:color="auto"/>
              <w:left w:val="single" w:sz="4" w:space="0" w:color="auto"/>
            </w:tcBorders>
            <w:shd w:val="clear" w:color="auto" w:fill="FFFFFF"/>
          </w:tcPr>
          <w:p w14:paraId="1B8C4843"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 установлена формула участия концедента в фи</w:t>
            </w:r>
            <w:r w:rsidRPr="004E0FC4">
              <w:rPr>
                <w:rFonts w:ascii="Bookman Old Style" w:eastAsia="Bookman Old Style" w:hAnsi="Bookman Old Style" w:cs="Bookman Old Style"/>
                <w:color w:val="231F20"/>
                <w:sz w:val="18"/>
                <w:szCs w:val="18"/>
              </w:rPr>
              <w:softHyphen/>
              <w:t>нансировании проекта без указа</w:t>
            </w:r>
            <w:r w:rsidRPr="004E0FC4">
              <w:rPr>
                <w:rFonts w:ascii="Bookman Old Style" w:eastAsia="Bookman Old Style" w:hAnsi="Bookman Old Style" w:cs="Bookman Old Style"/>
                <w:color w:val="231F20"/>
                <w:sz w:val="18"/>
                <w:szCs w:val="18"/>
              </w:rPr>
              <w:softHyphen/>
              <w:t>ния предельного</w:t>
            </w:r>
          </w:p>
          <w:p w14:paraId="6FBCFF37"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размера компен</w:t>
            </w:r>
            <w:r w:rsidRPr="004E0FC4">
              <w:rPr>
                <w:rFonts w:ascii="Bookman Old Style" w:eastAsia="Bookman Old Style" w:hAnsi="Bookman Old Style" w:cs="Bookman Old Style"/>
                <w:color w:val="231F20"/>
                <w:sz w:val="18"/>
                <w:szCs w:val="18"/>
              </w:rPr>
              <w:softHyphen/>
              <w:t>сации стоимости</w:t>
            </w:r>
          </w:p>
          <w:p w14:paraId="4097C8C2"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подключения (принятие риска)</w:t>
            </w:r>
          </w:p>
        </w:tc>
        <w:tc>
          <w:tcPr>
            <w:tcW w:w="1618" w:type="dxa"/>
            <w:tcBorders>
              <w:top w:val="single" w:sz="4" w:space="0" w:color="auto"/>
              <w:left w:val="single" w:sz="4" w:space="0" w:color="auto"/>
              <w:right w:val="single" w:sz="4" w:space="0" w:color="auto"/>
            </w:tcBorders>
            <w:shd w:val="clear" w:color="auto" w:fill="FFFFFF"/>
          </w:tcPr>
          <w:p w14:paraId="19FD83F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(ком</w:t>
            </w:r>
            <w:r w:rsidRPr="004E0FC4">
              <w:rPr>
                <w:rFonts w:ascii="Bookman Old Style" w:eastAsia="Bookman Old Style" w:hAnsi="Bookman Old Style" w:cs="Bookman Old Style"/>
                <w:color w:val="231F20"/>
                <w:sz w:val="18"/>
                <w:szCs w:val="18"/>
              </w:rPr>
              <w:softHyphen/>
              <w:t>пенсация 100 %</w:t>
            </w:r>
          </w:p>
          <w:p w14:paraId="2DBD154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стоимости техно</w:t>
            </w:r>
            <w:r w:rsidRPr="004E0FC4">
              <w:rPr>
                <w:rFonts w:ascii="Bookman Old Style" w:eastAsia="Bookman Old Style" w:hAnsi="Bookman Old Style" w:cs="Bookman Old Style"/>
                <w:color w:val="231F20"/>
                <w:sz w:val="18"/>
                <w:szCs w:val="18"/>
              </w:rPr>
              <w:softHyphen/>
              <w:t>логического</w:t>
            </w:r>
          </w:p>
          <w:p w14:paraId="49E6A14E"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присоедине</w:t>
            </w:r>
            <w:r w:rsidRPr="004E0FC4">
              <w:rPr>
                <w:rFonts w:ascii="Bookman Old Style" w:eastAsia="Bookman Old Style" w:hAnsi="Bookman Old Style" w:cs="Bookman Old Style"/>
                <w:color w:val="231F20"/>
                <w:sz w:val="18"/>
                <w:szCs w:val="18"/>
              </w:rPr>
              <w:softHyphen/>
              <w:t>ния по итогам</w:t>
            </w:r>
          </w:p>
          <w:p w14:paraId="2FC71CF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государственной</w:t>
            </w:r>
          </w:p>
          <w:p w14:paraId="04AF9564"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экспертизы)</w:t>
            </w:r>
          </w:p>
        </w:tc>
      </w:tr>
      <w:tr w:rsidR="00350396" w:rsidRPr="004E0FC4" w14:paraId="61B403F5" w14:textId="77777777" w:rsidTr="006D7F71">
        <w:trPr>
          <w:trHeight w:hRule="exact" w:val="4642"/>
          <w:jc w:val="center"/>
        </w:trPr>
        <w:tc>
          <w:tcPr>
            <w:tcW w:w="1896" w:type="dxa"/>
            <w:tcBorders>
              <w:top w:val="single" w:sz="4" w:space="0" w:color="auto"/>
              <w:left w:val="single" w:sz="4" w:space="0" w:color="auto"/>
              <w:bottom w:val="single" w:sz="4" w:space="0" w:color="auto"/>
            </w:tcBorders>
            <w:shd w:val="clear" w:color="auto" w:fill="FFFFFF"/>
          </w:tcPr>
          <w:p w14:paraId="0881B27D"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роста инфляции есть риск увеличения стоимо</w:t>
            </w:r>
            <w:r w:rsidRPr="004E0FC4">
              <w:rPr>
                <w:rFonts w:ascii="Bookman Old Style" w:eastAsia="Bookman Old Style" w:hAnsi="Bookman Old Style" w:cs="Bookman Old Style"/>
                <w:color w:val="231F20"/>
                <w:sz w:val="18"/>
                <w:szCs w:val="18"/>
              </w:rPr>
              <w:softHyphen/>
              <w:t>сти объекта</w:t>
            </w:r>
          </w:p>
        </w:tc>
        <w:tc>
          <w:tcPr>
            <w:tcW w:w="1320" w:type="dxa"/>
            <w:tcBorders>
              <w:top w:val="single" w:sz="4" w:space="0" w:color="auto"/>
              <w:left w:val="single" w:sz="4" w:space="0" w:color="auto"/>
              <w:bottom w:val="single" w:sz="4" w:space="0" w:color="auto"/>
            </w:tcBorders>
            <w:shd w:val="clear" w:color="auto" w:fill="FFFFFF"/>
          </w:tcPr>
          <w:p w14:paraId="72A915D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w:t>
            </w:r>
          </w:p>
          <w:p w14:paraId="5BB6B37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стоимости</w:t>
            </w:r>
          </w:p>
          <w:p w14:paraId="0B0EB8AA"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проекта</w:t>
            </w:r>
          </w:p>
        </w:tc>
        <w:tc>
          <w:tcPr>
            <w:tcW w:w="1742" w:type="dxa"/>
            <w:tcBorders>
              <w:top w:val="single" w:sz="4" w:space="0" w:color="auto"/>
              <w:left w:val="single" w:sz="4" w:space="0" w:color="auto"/>
              <w:bottom w:val="single" w:sz="4" w:space="0" w:color="auto"/>
            </w:tcBorders>
            <w:shd w:val="clear" w:color="auto" w:fill="FFFFFF"/>
          </w:tcPr>
          <w:p w14:paraId="4ECF1797" w14:textId="77777777" w:rsidR="00350396" w:rsidRPr="004E0FC4" w:rsidRDefault="00350396" w:rsidP="004E0FC4">
            <w:pPr>
              <w:framePr w:w="6576" w:wrap="notBeside" w:vAnchor="text" w:hAnchor="text" w:xAlign="center" w:y="1"/>
              <w:widowControl w:val="0"/>
              <w:numPr>
                <w:ilvl w:val="0"/>
                <w:numId w:val="89"/>
              </w:numPr>
              <w:tabs>
                <w:tab w:val="left" w:pos="154"/>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КС установлена формула платы концедента в объ</w:t>
            </w:r>
            <w:r w:rsidRPr="004E0FC4">
              <w:rPr>
                <w:rFonts w:ascii="Bookman Old Style" w:eastAsia="Bookman Old Style" w:hAnsi="Bookman Old Style" w:cs="Bookman Old Style"/>
                <w:color w:val="231F20"/>
                <w:sz w:val="18"/>
                <w:szCs w:val="18"/>
              </w:rPr>
              <w:softHyphen/>
              <w:t>ект.</w:t>
            </w:r>
          </w:p>
          <w:p w14:paraId="79C8E0C8" w14:textId="77777777" w:rsidR="00350396" w:rsidRPr="004E0FC4" w:rsidRDefault="00350396" w:rsidP="004E0FC4">
            <w:pPr>
              <w:framePr w:w="6576" w:wrap="notBeside" w:vAnchor="text" w:hAnchor="text" w:xAlign="center" w:y="1"/>
              <w:widowControl w:val="0"/>
              <w:numPr>
                <w:ilvl w:val="0"/>
                <w:numId w:val="89"/>
              </w:numPr>
              <w:tabs>
                <w:tab w:val="left" w:pos="163"/>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КС: 100 % затрат на проектно-изы</w:t>
            </w:r>
            <w:r w:rsidRPr="004E0FC4">
              <w:rPr>
                <w:rFonts w:ascii="Bookman Old Style" w:eastAsia="Bookman Old Style" w:hAnsi="Bookman Old Style" w:cs="Bookman Old Style"/>
                <w:color w:val="231F20"/>
                <w:sz w:val="18"/>
                <w:szCs w:val="18"/>
              </w:rPr>
              <w:softHyphen/>
              <w:t>скательские и 87 % затрат на строи</w:t>
            </w:r>
            <w:r w:rsidRPr="004E0FC4">
              <w:rPr>
                <w:rFonts w:ascii="Bookman Old Style" w:eastAsia="Bookman Old Style" w:hAnsi="Bookman Old Style" w:cs="Bookman Old Style"/>
                <w:color w:val="231F20"/>
                <w:sz w:val="18"/>
                <w:szCs w:val="18"/>
              </w:rPr>
              <w:softHyphen/>
              <w:t>тельно-монтажные работы, но не бо</w:t>
            </w:r>
            <w:r w:rsidRPr="004E0FC4">
              <w:rPr>
                <w:rFonts w:ascii="Bookman Old Style" w:eastAsia="Bookman Old Style" w:hAnsi="Bookman Old Style" w:cs="Bookman Old Style"/>
                <w:color w:val="231F20"/>
                <w:sz w:val="18"/>
                <w:szCs w:val="18"/>
              </w:rPr>
              <w:softHyphen/>
              <w:t>лее 539,5 млн руб. в ценах 2017 г.</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14:paraId="2A644C33"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Стороны КС:</w:t>
            </w:r>
          </w:p>
          <w:p w14:paraId="64CBF799" w14:textId="77777777" w:rsidR="00350396" w:rsidRPr="004E0FC4" w:rsidRDefault="00350396" w:rsidP="004E0FC4">
            <w:pPr>
              <w:framePr w:w="6576" w:wrap="notBeside" w:vAnchor="text" w:hAnchor="text" w:xAlign="center" w:y="1"/>
              <w:widowControl w:val="0"/>
              <w:numPr>
                <w:ilvl w:val="0"/>
                <w:numId w:val="90"/>
              </w:numPr>
              <w:tabs>
                <w:tab w:val="left" w:pos="163"/>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(возмеща</w:t>
            </w:r>
            <w:r w:rsidRPr="004E0FC4">
              <w:rPr>
                <w:rFonts w:ascii="Bookman Old Style" w:eastAsia="Bookman Old Style" w:hAnsi="Bookman Old Style" w:cs="Bookman Old Style"/>
                <w:color w:val="231F20"/>
                <w:sz w:val="18"/>
                <w:szCs w:val="18"/>
              </w:rPr>
              <w:softHyphen/>
              <w:t>ет стоимость</w:t>
            </w:r>
          </w:p>
          <w:p w14:paraId="7FE695D3"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строительства</w:t>
            </w:r>
          </w:p>
          <w:p w14:paraId="4C0EB969"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установленных КС пределах с учетом при</w:t>
            </w:r>
            <w:r w:rsidRPr="004E0FC4">
              <w:rPr>
                <w:rFonts w:ascii="Bookman Old Style" w:eastAsia="Bookman Old Style" w:hAnsi="Bookman Old Style" w:cs="Bookman Old Style"/>
                <w:color w:val="231F20"/>
                <w:sz w:val="18"/>
                <w:szCs w:val="18"/>
              </w:rPr>
              <w:softHyphen/>
              <w:t>ведения в цены</w:t>
            </w:r>
          </w:p>
          <w:p w14:paraId="6BEBD16D"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дату экспер</w:t>
            </w:r>
            <w:r w:rsidRPr="004E0FC4">
              <w:rPr>
                <w:rFonts w:ascii="Bookman Old Style" w:eastAsia="Bookman Old Style" w:hAnsi="Bookman Old Style" w:cs="Bookman Old Style"/>
                <w:color w:val="231F20"/>
                <w:sz w:val="18"/>
                <w:szCs w:val="18"/>
              </w:rPr>
              <w:softHyphen/>
              <w:t>тизы);</w:t>
            </w:r>
          </w:p>
          <w:p w14:paraId="50CE2C19" w14:textId="77777777" w:rsidR="00350396" w:rsidRPr="004E0FC4" w:rsidRDefault="00350396" w:rsidP="004E0FC4">
            <w:pPr>
              <w:framePr w:w="6576" w:wrap="notBeside" w:vAnchor="text" w:hAnchor="text" w:xAlign="center" w:y="1"/>
              <w:widowControl w:val="0"/>
              <w:numPr>
                <w:ilvl w:val="0"/>
                <w:numId w:val="90"/>
              </w:numPr>
              <w:tabs>
                <w:tab w:val="left" w:pos="1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(возмещает стои</w:t>
            </w:r>
            <w:r w:rsidRPr="004E0FC4">
              <w:rPr>
                <w:rFonts w:ascii="Bookman Old Style" w:eastAsia="Bookman Old Style" w:hAnsi="Bookman Old Style" w:cs="Bookman Old Style"/>
                <w:color w:val="231F20"/>
                <w:sz w:val="18"/>
                <w:szCs w:val="18"/>
              </w:rPr>
              <w:softHyphen/>
              <w:t>мость строитель</w:t>
            </w:r>
            <w:r w:rsidRPr="004E0FC4">
              <w:rPr>
                <w:rFonts w:ascii="Bookman Old Style" w:eastAsia="Bookman Old Style" w:hAnsi="Bookman Old Style" w:cs="Bookman Old Style"/>
                <w:color w:val="231F20"/>
                <w:sz w:val="18"/>
                <w:szCs w:val="18"/>
              </w:rPr>
              <w:softHyphen/>
              <w:t>ства за преде</w:t>
            </w:r>
            <w:r w:rsidRPr="004E0FC4">
              <w:rPr>
                <w:rFonts w:ascii="Bookman Old Style" w:eastAsia="Bookman Old Style" w:hAnsi="Bookman Old Style" w:cs="Bookman Old Style"/>
                <w:color w:val="231F20"/>
                <w:sz w:val="18"/>
                <w:szCs w:val="18"/>
              </w:rPr>
              <w:softHyphen/>
              <w:t>лами лимитов</w:t>
            </w:r>
          </w:p>
          <w:p w14:paraId="107E8B55"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случае их пре</w:t>
            </w:r>
            <w:r w:rsidRPr="004E0FC4">
              <w:rPr>
                <w:rFonts w:ascii="Bookman Old Style" w:eastAsia="Bookman Old Style" w:hAnsi="Bookman Old Style" w:cs="Bookman Old Style"/>
                <w:color w:val="231F20"/>
                <w:sz w:val="18"/>
                <w:szCs w:val="18"/>
              </w:rPr>
              <w:softHyphen/>
              <w:t>вышения, риск роста стоимости после эксперти</w:t>
            </w:r>
            <w:r w:rsidRPr="004E0FC4">
              <w:rPr>
                <w:rFonts w:ascii="Bookman Old Style" w:eastAsia="Bookman Old Style" w:hAnsi="Bookman Old Style" w:cs="Bookman Old Style"/>
                <w:color w:val="231F20"/>
                <w:sz w:val="18"/>
                <w:szCs w:val="18"/>
              </w:rPr>
              <w:softHyphen/>
              <w:t>зы)</w:t>
            </w:r>
          </w:p>
        </w:tc>
      </w:tr>
    </w:tbl>
    <w:p w14:paraId="5208C42A"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p w14:paraId="355A6A42"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pgSz w:w="8789" w:h="13493"/>
          <w:pgMar w:top="1173" w:right="1109" w:bottom="1041" w:left="110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1320"/>
        <w:gridCol w:w="1742"/>
        <w:gridCol w:w="1618"/>
      </w:tblGrid>
      <w:tr w:rsidR="00350396" w:rsidRPr="004E0FC4" w14:paraId="1996EF23" w14:textId="77777777" w:rsidTr="006D7F71">
        <w:trPr>
          <w:trHeight w:hRule="exact" w:val="552"/>
          <w:jc w:val="center"/>
        </w:trPr>
        <w:tc>
          <w:tcPr>
            <w:tcW w:w="1896" w:type="dxa"/>
            <w:tcBorders>
              <w:top w:val="single" w:sz="4" w:space="0" w:color="auto"/>
              <w:left w:val="single" w:sz="4" w:space="0" w:color="auto"/>
            </w:tcBorders>
            <w:shd w:val="clear" w:color="auto" w:fill="FFFFFF"/>
            <w:vAlign w:val="center"/>
          </w:tcPr>
          <w:p w14:paraId="68AB2823"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Риск</w:t>
            </w:r>
          </w:p>
        </w:tc>
        <w:tc>
          <w:tcPr>
            <w:tcW w:w="1320" w:type="dxa"/>
            <w:tcBorders>
              <w:top w:val="single" w:sz="4" w:space="0" w:color="auto"/>
              <w:left w:val="single" w:sz="4" w:space="0" w:color="auto"/>
            </w:tcBorders>
            <w:shd w:val="clear" w:color="auto" w:fill="FFFFFF"/>
            <w:vAlign w:val="bottom"/>
          </w:tcPr>
          <w:p w14:paraId="092FAF78"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Последствия</w:t>
            </w:r>
          </w:p>
          <w:p w14:paraId="056B3F87"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риска</w:t>
            </w:r>
          </w:p>
        </w:tc>
        <w:tc>
          <w:tcPr>
            <w:tcW w:w="1742" w:type="dxa"/>
            <w:tcBorders>
              <w:top w:val="single" w:sz="4" w:space="0" w:color="auto"/>
              <w:left w:val="single" w:sz="4" w:space="0" w:color="auto"/>
            </w:tcBorders>
            <w:shd w:val="clear" w:color="auto" w:fill="FFFFFF"/>
            <w:vAlign w:val="bottom"/>
          </w:tcPr>
          <w:p w14:paraId="7E70C29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Действия по пре</w:t>
            </w:r>
            <w:r w:rsidRPr="004E0FC4">
              <w:rPr>
                <w:rFonts w:ascii="Bookman Old Style" w:eastAsia="Bookman Old Style" w:hAnsi="Bookman Old Style" w:cs="Bookman Old Style"/>
                <w:b/>
                <w:bCs/>
                <w:color w:val="231F20"/>
                <w:sz w:val="18"/>
                <w:szCs w:val="18"/>
              </w:rPr>
              <w:softHyphen/>
              <w:t>дотвращению</w:t>
            </w:r>
          </w:p>
        </w:tc>
        <w:tc>
          <w:tcPr>
            <w:tcW w:w="1618" w:type="dxa"/>
            <w:tcBorders>
              <w:top w:val="single" w:sz="4" w:space="0" w:color="auto"/>
              <w:left w:val="single" w:sz="4" w:space="0" w:color="auto"/>
              <w:right w:val="single" w:sz="4" w:space="0" w:color="auto"/>
            </w:tcBorders>
            <w:shd w:val="clear" w:color="auto" w:fill="FFFFFF"/>
            <w:vAlign w:val="center"/>
          </w:tcPr>
          <w:p w14:paraId="46E6A6B9"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Владелец риска</w:t>
            </w:r>
          </w:p>
        </w:tc>
      </w:tr>
      <w:tr w:rsidR="00350396" w:rsidRPr="004E0FC4" w14:paraId="1F492AF7" w14:textId="77777777" w:rsidTr="006D7F71">
        <w:trPr>
          <w:trHeight w:hRule="exact" w:val="2285"/>
          <w:jc w:val="center"/>
        </w:trPr>
        <w:tc>
          <w:tcPr>
            <w:tcW w:w="1896" w:type="dxa"/>
            <w:tcBorders>
              <w:top w:val="single" w:sz="4" w:space="0" w:color="auto"/>
              <w:left w:val="single" w:sz="4" w:space="0" w:color="auto"/>
            </w:tcBorders>
            <w:shd w:val="clear" w:color="auto" w:fill="FFFFFF"/>
          </w:tcPr>
          <w:p w14:paraId="4E60C2B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роста инфляции и курса валют есть риск уве</w:t>
            </w:r>
            <w:r w:rsidRPr="004E0FC4">
              <w:rPr>
                <w:rFonts w:ascii="Bookman Old Style" w:eastAsia="Bookman Old Style" w:hAnsi="Bookman Old Style" w:cs="Bookman Old Style"/>
                <w:color w:val="231F20"/>
                <w:sz w:val="18"/>
                <w:szCs w:val="18"/>
              </w:rPr>
              <w:softHyphen/>
              <w:t>личения стоимости</w:t>
            </w:r>
          </w:p>
          <w:p w14:paraId="711ADEBD"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объекта</w:t>
            </w:r>
          </w:p>
        </w:tc>
        <w:tc>
          <w:tcPr>
            <w:tcW w:w="1320" w:type="dxa"/>
            <w:tcBorders>
              <w:top w:val="single" w:sz="4" w:space="0" w:color="auto"/>
              <w:left w:val="single" w:sz="4" w:space="0" w:color="auto"/>
            </w:tcBorders>
            <w:shd w:val="clear" w:color="auto" w:fill="FFFFFF"/>
          </w:tcPr>
          <w:p w14:paraId="2EDFE6F5"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w:t>
            </w:r>
          </w:p>
          <w:p w14:paraId="5EAC06DD"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стоимости объекта / прекращение</w:t>
            </w:r>
          </w:p>
          <w:p w14:paraId="08903F87"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w:t>
            </w:r>
          </w:p>
        </w:tc>
        <w:tc>
          <w:tcPr>
            <w:tcW w:w="1742" w:type="dxa"/>
            <w:tcBorders>
              <w:top w:val="single" w:sz="4" w:space="0" w:color="auto"/>
              <w:left w:val="single" w:sz="4" w:space="0" w:color="auto"/>
            </w:tcBorders>
            <w:shd w:val="clear" w:color="auto" w:fill="FFFFFF"/>
          </w:tcPr>
          <w:p w14:paraId="20E1DF75" w14:textId="77777777" w:rsidR="00350396" w:rsidRPr="004E0FC4" w:rsidRDefault="00350396" w:rsidP="004E0FC4">
            <w:pPr>
              <w:framePr w:w="6576" w:wrap="notBeside" w:vAnchor="text" w:hAnchor="text" w:xAlign="center" w:y="1"/>
              <w:widowControl w:val="0"/>
              <w:numPr>
                <w:ilvl w:val="0"/>
                <w:numId w:val="91"/>
              </w:numPr>
              <w:tabs>
                <w:tab w:val="left" w:pos="154"/>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Проработка вариантов альтер</w:t>
            </w:r>
            <w:r w:rsidRPr="004E0FC4">
              <w:rPr>
                <w:rFonts w:ascii="Bookman Old Style" w:eastAsia="Bookman Old Style" w:hAnsi="Bookman Old Style" w:cs="Bookman Old Style"/>
                <w:color w:val="231F20"/>
                <w:sz w:val="18"/>
                <w:szCs w:val="18"/>
              </w:rPr>
              <w:softHyphen/>
              <w:t>нативных постав</w:t>
            </w:r>
            <w:r w:rsidRPr="004E0FC4">
              <w:rPr>
                <w:rFonts w:ascii="Bookman Old Style" w:eastAsia="Bookman Old Style" w:hAnsi="Bookman Old Style" w:cs="Bookman Old Style"/>
                <w:color w:val="231F20"/>
                <w:sz w:val="18"/>
                <w:szCs w:val="18"/>
              </w:rPr>
              <w:softHyphen/>
              <w:t>щиков.</w:t>
            </w:r>
          </w:p>
          <w:p w14:paraId="144654F0" w14:textId="77777777" w:rsidR="00350396" w:rsidRPr="004E0FC4" w:rsidRDefault="00350396" w:rsidP="004E0FC4">
            <w:pPr>
              <w:framePr w:w="6576" w:wrap="notBeside" w:vAnchor="text" w:hAnchor="text" w:xAlign="center" w:y="1"/>
              <w:widowControl w:val="0"/>
              <w:numPr>
                <w:ilvl w:val="0"/>
                <w:numId w:val="91"/>
              </w:numPr>
              <w:tabs>
                <w:tab w:val="left" w:pos="154"/>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Предусмотре</w:t>
            </w:r>
            <w:r w:rsidRPr="004E0FC4">
              <w:rPr>
                <w:rFonts w:ascii="Bookman Old Style" w:eastAsia="Bookman Old Style" w:hAnsi="Bookman Old Style" w:cs="Bookman Old Style"/>
                <w:color w:val="231F20"/>
                <w:sz w:val="18"/>
                <w:szCs w:val="18"/>
              </w:rPr>
              <w:softHyphen/>
              <w:t>ние финансовых резервов на случай реализации риска</w:t>
            </w:r>
          </w:p>
        </w:tc>
        <w:tc>
          <w:tcPr>
            <w:tcW w:w="1618" w:type="dxa"/>
            <w:tcBorders>
              <w:top w:val="single" w:sz="4" w:space="0" w:color="auto"/>
              <w:left w:val="single" w:sz="4" w:space="0" w:color="auto"/>
              <w:right w:val="single" w:sz="4" w:space="0" w:color="auto"/>
            </w:tcBorders>
            <w:shd w:val="clear" w:color="auto" w:fill="FFFFFF"/>
          </w:tcPr>
          <w:p w14:paraId="69352EF6"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Стороны КС:</w:t>
            </w:r>
          </w:p>
          <w:p w14:paraId="385780EA" w14:textId="77777777" w:rsidR="00350396" w:rsidRPr="004E0FC4" w:rsidRDefault="00350396" w:rsidP="004E0FC4">
            <w:pPr>
              <w:framePr w:w="6576" w:wrap="notBeside" w:vAnchor="text" w:hAnchor="text" w:xAlign="center" w:y="1"/>
              <w:widowControl w:val="0"/>
              <w:numPr>
                <w:ilvl w:val="0"/>
                <w:numId w:val="92"/>
              </w:numPr>
              <w:tabs>
                <w:tab w:val="left" w:pos="15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(воз</w:t>
            </w:r>
            <w:r w:rsidRPr="004E0FC4">
              <w:rPr>
                <w:rFonts w:ascii="Bookman Old Style" w:eastAsia="Bookman Old Style" w:hAnsi="Bookman Old Style" w:cs="Bookman Old Style"/>
                <w:color w:val="231F20"/>
                <w:sz w:val="18"/>
                <w:szCs w:val="18"/>
              </w:rPr>
              <w:softHyphen/>
              <w:t>можность выхода</w:t>
            </w:r>
          </w:p>
          <w:p w14:paraId="0FF959E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из проекта кон</w:t>
            </w:r>
            <w:r w:rsidRPr="004E0FC4">
              <w:rPr>
                <w:rFonts w:ascii="Bookman Old Style" w:eastAsia="Bookman Old Style" w:hAnsi="Bookman Old Style" w:cs="Bookman Old Style"/>
                <w:color w:val="231F20"/>
                <w:sz w:val="18"/>
                <w:szCs w:val="18"/>
              </w:rPr>
              <w:softHyphen/>
              <w:t>цессионера);</w:t>
            </w:r>
          </w:p>
          <w:p w14:paraId="6BFB35BB" w14:textId="77777777" w:rsidR="00350396" w:rsidRPr="004E0FC4" w:rsidRDefault="00350396" w:rsidP="004E0FC4">
            <w:pPr>
              <w:framePr w:w="6576" w:wrap="notBeside" w:vAnchor="text" w:hAnchor="text" w:xAlign="center" w:y="1"/>
              <w:widowControl w:val="0"/>
              <w:numPr>
                <w:ilvl w:val="0"/>
                <w:numId w:val="92"/>
              </w:numPr>
              <w:tabs>
                <w:tab w:val="left" w:pos="16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(в случае приня</w:t>
            </w:r>
            <w:r w:rsidRPr="004E0FC4">
              <w:rPr>
                <w:rFonts w:ascii="Bookman Old Style" w:eastAsia="Bookman Old Style" w:hAnsi="Bookman Old Style" w:cs="Bookman Old Style"/>
                <w:color w:val="231F20"/>
                <w:sz w:val="18"/>
                <w:szCs w:val="18"/>
              </w:rPr>
              <w:softHyphen/>
              <w:t>тия риска и невы</w:t>
            </w:r>
            <w:r w:rsidRPr="004E0FC4">
              <w:rPr>
                <w:rFonts w:ascii="Bookman Old Style" w:eastAsia="Bookman Old Style" w:hAnsi="Bookman Old Style" w:cs="Bookman Old Style"/>
                <w:color w:val="231F20"/>
                <w:sz w:val="18"/>
                <w:szCs w:val="18"/>
              </w:rPr>
              <w:softHyphen/>
              <w:t>хода из КС)</w:t>
            </w:r>
          </w:p>
        </w:tc>
      </w:tr>
      <w:tr w:rsidR="00350396" w:rsidRPr="004E0FC4" w14:paraId="69EF3260" w14:textId="77777777" w:rsidTr="006D7F71">
        <w:trPr>
          <w:trHeight w:hRule="exact" w:val="2645"/>
          <w:jc w:val="center"/>
        </w:trPr>
        <w:tc>
          <w:tcPr>
            <w:tcW w:w="1896" w:type="dxa"/>
            <w:tcBorders>
              <w:top w:val="single" w:sz="4" w:space="0" w:color="auto"/>
              <w:left w:val="single" w:sz="4" w:space="0" w:color="auto"/>
            </w:tcBorders>
            <w:shd w:val="clear" w:color="auto" w:fill="FFFFFF"/>
          </w:tcPr>
          <w:p w14:paraId="55020C16" w14:textId="77777777" w:rsidR="00350396" w:rsidRPr="004E0FC4" w:rsidRDefault="00350396" w:rsidP="004E0FC4">
            <w:pPr>
              <w:framePr w:w="6576" w:wrap="notBeside" w:vAnchor="text" w:hAnchor="text" w:xAlign="center" w:y="1"/>
              <w:widowControl w:val="0"/>
              <w:spacing w:line="20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несво</w:t>
            </w:r>
            <w:r w:rsidRPr="004E0FC4">
              <w:rPr>
                <w:rFonts w:ascii="Bookman Old Style" w:eastAsia="Bookman Old Style" w:hAnsi="Bookman Old Style" w:cs="Bookman Old Style"/>
                <w:color w:val="231F20"/>
                <w:sz w:val="18"/>
                <w:szCs w:val="18"/>
              </w:rPr>
              <w:softHyphen/>
              <w:t>евременного подве</w:t>
            </w:r>
            <w:r w:rsidRPr="004E0FC4">
              <w:rPr>
                <w:rFonts w:ascii="Bookman Old Style" w:eastAsia="Bookman Old Style" w:hAnsi="Bookman Old Style" w:cs="Bookman Old Style"/>
                <w:color w:val="231F20"/>
                <w:sz w:val="18"/>
                <w:szCs w:val="18"/>
              </w:rPr>
              <w:softHyphen/>
              <w:t>дения эксплуатиру</w:t>
            </w:r>
            <w:r w:rsidRPr="004E0FC4">
              <w:rPr>
                <w:rFonts w:ascii="Bookman Old Style" w:eastAsia="Bookman Old Style" w:hAnsi="Bookman Old Style" w:cs="Bookman Old Style"/>
                <w:color w:val="231F20"/>
                <w:sz w:val="18"/>
                <w:szCs w:val="18"/>
              </w:rPr>
              <w:softHyphen/>
              <w:t>ющей организацией инженерных сетей и (или) энергетиче</w:t>
            </w:r>
            <w:r w:rsidRPr="004E0FC4">
              <w:rPr>
                <w:rFonts w:ascii="Bookman Old Style" w:eastAsia="Bookman Old Style" w:hAnsi="Bookman Old Style" w:cs="Bookman Old Style"/>
                <w:color w:val="231F20"/>
                <w:sz w:val="18"/>
                <w:szCs w:val="18"/>
              </w:rPr>
              <w:softHyphen/>
              <w:t>ских ресурсов к гра</w:t>
            </w:r>
            <w:r w:rsidRPr="004E0FC4">
              <w:rPr>
                <w:rFonts w:ascii="Bookman Old Style" w:eastAsia="Bookman Old Style" w:hAnsi="Bookman Old Style" w:cs="Bookman Old Style"/>
                <w:color w:val="231F20"/>
                <w:sz w:val="18"/>
                <w:szCs w:val="18"/>
              </w:rPr>
              <w:softHyphen/>
              <w:t>ницам ЗУ есть риск задержки ввода объекта КС в эксплу</w:t>
            </w:r>
            <w:r w:rsidRPr="004E0FC4">
              <w:rPr>
                <w:rFonts w:ascii="Bookman Old Style" w:eastAsia="Bookman Old Style" w:hAnsi="Bookman Old Style" w:cs="Bookman Old Style"/>
                <w:color w:val="231F20"/>
                <w:sz w:val="18"/>
                <w:szCs w:val="18"/>
              </w:rPr>
              <w:softHyphen/>
              <w:t>атацию</w:t>
            </w:r>
          </w:p>
        </w:tc>
        <w:tc>
          <w:tcPr>
            <w:tcW w:w="1320" w:type="dxa"/>
            <w:tcBorders>
              <w:top w:val="single" w:sz="4" w:space="0" w:color="auto"/>
              <w:left w:val="single" w:sz="4" w:space="0" w:color="auto"/>
            </w:tcBorders>
            <w:shd w:val="clear" w:color="auto" w:fill="FFFFFF"/>
          </w:tcPr>
          <w:p w14:paraId="4A969756" w14:textId="77777777" w:rsidR="00350396" w:rsidRPr="004E0FC4" w:rsidRDefault="00350396" w:rsidP="004E0FC4">
            <w:pPr>
              <w:framePr w:w="6576" w:wrap="notBeside" w:vAnchor="text" w:hAnchor="text" w:xAlign="center" w:y="1"/>
              <w:widowControl w:val="0"/>
              <w:spacing w:line="20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 сроков стро</w:t>
            </w:r>
            <w:r w:rsidRPr="004E0FC4">
              <w:rPr>
                <w:rFonts w:ascii="Bookman Old Style" w:eastAsia="Bookman Old Style" w:hAnsi="Bookman Old Style" w:cs="Bookman Old Style"/>
                <w:color w:val="231F20"/>
                <w:sz w:val="18"/>
                <w:szCs w:val="18"/>
              </w:rPr>
              <w:softHyphen/>
              <w:t>ительства / прекращение КС, выплата компенсации</w:t>
            </w:r>
          </w:p>
        </w:tc>
        <w:tc>
          <w:tcPr>
            <w:tcW w:w="1742" w:type="dxa"/>
            <w:tcBorders>
              <w:top w:val="single" w:sz="4" w:space="0" w:color="auto"/>
              <w:left w:val="single" w:sz="4" w:space="0" w:color="auto"/>
            </w:tcBorders>
            <w:shd w:val="clear" w:color="auto" w:fill="FFFFFF"/>
          </w:tcPr>
          <w:p w14:paraId="0E3894F0" w14:textId="77777777" w:rsidR="00350396" w:rsidRPr="004E0FC4" w:rsidRDefault="00350396" w:rsidP="004E0FC4">
            <w:pPr>
              <w:framePr w:w="6576" w:wrap="notBeside" w:vAnchor="text" w:hAnchor="text" w:xAlign="center" w:y="1"/>
              <w:widowControl w:val="0"/>
              <w:numPr>
                <w:ilvl w:val="0"/>
                <w:numId w:val="93"/>
              </w:numPr>
              <w:tabs>
                <w:tab w:val="left" w:pos="149"/>
              </w:tabs>
              <w:spacing w:line="20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Детальная юридическая про</w:t>
            </w:r>
            <w:r w:rsidRPr="004E0FC4">
              <w:rPr>
                <w:rFonts w:ascii="Bookman Old Style" w:eastAsia="Bookman Old Style" w:hAnsi="Bookman Old Style" w:cs="Bookman Old Style"/>
                <w:color w:val="231F20"/>
                <w:sz w:val="18"/>
                <w:szCs w:val="18"/>
              </w:rPr>
              <w:softHyphen/>
              <w:t>работка договоров технологического присоединения.</w:t>
            </w:r>
          </w:p>
          <w:p w14:paraId="2BB674BC" w14:textId="77777777" w:rsidR="00350396" w:rsidRPr="004E0FC4" w:rsidRDefault="00350396" w:rsidP="004E0FC4">
            <w:pPr>
              <w:framePr w:w="6576" w:wrap="notBeside" w:vAnchor="text" w:hAnchor="text" w:xAlign="center" w:y="1"/>
              <w:widowControl w:val="0"/>
              <w:numPr>
                <w:ilvl w:val="0"/>
                <w:numId w:val="93"/>
              </w:numPr>
              <w:tabs>
                <w:tab w:val="left" w:pos="158"/>
              </w:tabs>
              <w:spacing w:line="20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Взаимодействие с ресурсоснабжаю</w:t>
            </w:r>
            <w:r w:rsidRPr="004E0FC4">
              <w:rPr>
                <w:rFonts w:ascii="Bookman Old Style" w:eastAsia="Bookman Old Style" w:hAnsi="Bookman Old Style" w:cs="Bookman Old Style"/>
                <w:color w:val="231F20"/>
                <w:sz w:val="18"/>
                <w:szCs w:val="18"/>
              </w:rPr>
              <w:softHyphen/>
              <w:t>щими организаци</w:t>
            </w:r>
            <w:r w:rsidRPr="004E0FC4">
              <w:rPr>
                <w:rFonts w:ascii="Bookman Old Style" w:eastAsia="Bookman Old Style" w:hAnsi="Bookman Old Style" w:cs="Bookman Old Style"/>
                <w:color w:val="231F20"/>
                <w:sz w:val="18"/>
                <w:szCs w:val="18"/>
              </w:rPr>
              <w:softHyphen/>
              <w:t>ями (администра</w:t>
            </w:r>
            <w:r w:rsidRPr="004E0FC4">
              <w:rPr>
                <w:rFonts w:ascii="Bookman Old Style" w:eastAsia="Bookman Old Style" w:hAnsi="Bookman Old Style" w:cs="Bookman Old Style"/>
                <w:color w:val="231F20"/>
                <w:sz w:val="18"/>
                <w:szCs w:val="18"/>
              </w:rPr>
              <w:softHyphen/>
              <w:t>тивный ресурс)</w:t>
            </w:r>
          </w:p>
        </w:tc>
        <w:tc>
          <w:tcPr>
            <w:tcW w:w="1618" w:type="dxa"/>
            <w:tcBorders>
              <w:top w:val="single" w:sz="4" w:space="0" w:color="auto"/>
              <w:left w:val="single" w:sz="4" w:space="0" w:color="auto"/>
              <w:right w:val="single" w:sz="4" w:space="0" w:color="auto"/>
            </w:tcBorders>
            <w:shd w:val="clear" w:color="auto" w:fill="FFFFFF"/>
          </w:tcPr>
          <w:p w14:paraId="11A916F5" w14:textId="77777777" w:rsidR="00350396" w:rsidRPr="004E0FC4" w:rsidRDefault="00350396" w:rsidP="004E0FC4">
            <w:pPr>
              <w:framePr w:w="6576" w:wrap="notBeside" w:vAnchor="text" w:hAnchor="text" w:xAlign="center" w:y="1"/>
              <w:widowControl w:val="0"/>
              <w:spacing w:line="20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(прод</w:t>
            </w:r>
            <w:r w:rsidRPr="004E0FC4">
              <w:rPr>
                <w:rFonts w:ascii="Bookman Old Style" w:eastAsia="Bookman Old Style" w:hAnsi="Bookman Old Style" w:cs="Bookman Old Style"/>
                <w:color w:val="231F20"/>
                <w:sz w:val="18"/>
                <w:szCs w:val="18"/>
              </w:rPr>
              <w:softHyphen/>
              <w:t>ление сроков строительства без штрафных санк</w:t>
            </w:r>
            <w:r w:rsidRPr="004E0FC4">
              <w:rPr>
                <w:rFonts w:ascii="Bookman Old Style" w:eastAsia="Bookman Old Style" w:hAnsi="Bookman Old Style" w:cs="Bookman Old Style"/>
                <w:color w:val="231F20"/>
                <w:sz w:val="18"/>
                <w:szCs w:val="18"/>
              </w:rPr>
              <w:softHyphen/>
              <w:t>ций для концес</w:t>
            </w:r>
            <w:r w:rsidRPr="004E0FC4">
              <w:rPr>
                <w:rFonts w:ascii="Bookman Old Style" w:eastAsia="Bookman Old Style" w:hAnsi="Bookman Old Style" w:cs="Bookman Old Style"/>
                <w:color w:val="231F20"/>
                <w:sz w:val="18"/>
                <w:szCs w:val="18"/>
              </w:rPr>
              <w:softHyphen/>
              <w:t>сионера, выплата</w:t>
            </w:r>
          </w:p>
          <w:p w14:paraId="1EE2737F" w14:textId="77777777" w:rsidR="00350396" w:rsidRPr="004E0FC4" w:rsidRDefault="00350396" w:rsidP="004E0FC4">
            <w:pPr>
              <w:framePr w:w="6576" w:wrap="notBeside" w:vAnchor="text" w:hAnchor="text" w:xAlign="center" w:y="1"/>
              <w:widowControl w:val="0"/>
              <w:spacing w:line="20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компенсации</w:t>
            </w:r>
          </w:p>
          <w:p w14:paraId="70759558" w14:textId="77777777" w:rsidR="00350396" w:rsidRPr="004E0FC4" w:rsidRDefault="00350396" w:rsidP="004E0FC4">
            <w:pPr>
              <w:framePr w:w="6576" w:wrap="notBeside" w:vAnchor="text" w:hAnchor="text" w:xAlign="center" w:y="1"/>
              <w:widowControl w:val="0"/>
              <w:spacing w:line="20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особым обсто</w:t>
            </w:r>
            <w:r w:rsidRPr="004E0FC4">
              <w:rPr>
                <w:rFonts w:ascii="Bookman Old Style" w:eastAsia="Bookman Old Style" w:hAnsi="Bookman Old Style" w:cs="Bookman Old Style"/>
                <w:color w:val="231F20"/>
                <w:sz w:val="18"/>
                <w:szCs w:val="18"/>
              </w:rPr>
              <w:softHyphen/>
              <w:t>ятельствам)</w:t>
            </w:r>
          </w:p>
        </w:tc>
      </w:tr>
      <w:tr w:rsidR="00350396" w:rsidRPr="004E0FC4" w14:paraId="182DCFC5" w14:textId="77777777" w:rsidTr="006D7F71">
        <w:trPr>
          <w:trHeight w:hRule="exact" w:val="2299"/>
          <w:jc w:val="center"/>
        </w:trPr>
        <w:tc>
          <w:tcPr>
            <w:tcW w:w="1896" w:type="dxa"/>
            <w:tcBorders>
              <w:top w:val="single" w:sz="4" w:space="0" w:color="auto"/>
              <w:left w:val="single" w:sz="4" w:space="0" w:color="auto"/>
            </w:tcBorders>
            <w:shd w:val="clear" w:color="auto" w:fill="FFFFFF"/>
          </w:tcPr>
          <w:p w14:paraId="186C6BD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при</w:t>
            </w:r>
            <w:r w:rsidRPr="004E0FC4">
              <w:rPr>
                <w:rFonts w:ascii="Bookman Old Style" w:eastAsia="Bookman Old Style" w:hAnsi="Bookman Old Style" w:cs="Bookman Old Style"/>
                <w:color w:val="231F20"/>
                <w:sz w:val="18"/>
                <w:szCs w:val="18"/>
              </w:rPr>
              <w:softHyphen/>
              <w:t>влечения недобро</w:t>
            </w:r>
            <w:r w:rsidRPr="004E0FC4">
              <w:rPr>
                <w:rFonts w:ascii="Bookman Old Style" w:eastAsia="Bookman Old Style" w:hAnsi="Bookman Old Style" w:cs="Bookman Old Style"/>
                <w:color w:val="231F20"/>
                <w:sz w:val="18"/>
                <w:szCs w:val="18"/>
              </w:rPr>
              <w:softHyphen/>
              <w:t>совестных под</w:t>
            </w:r>
            <w:r w:rsidRPr="004E0FC4">
              <w:rPr>
                <w:rFonts w:ascii="Bookman Old Style" w:eastAsia="Bookman Old Style" w:hAnsi="Bookman Old Style" w:cs="Bookman Old Style"/>
                <w:color w:val="231F20"/>
                <w:sz w:val="18"/>
                <w:szCs w:val="18"/>
              </w:rPr>
              <w:softHyphen/>
              <w:t>рядчиков есть риск</w:t>
            </w:r>
          </w:p>
          <w:p w14:paraId="1270C35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несоответствия</w:t>
            </w:r>
          </w:p>
          <w:p w14:paraId="0B036E2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созданного объекта проектной докумен</w:t>
            </w:r>
            <w:r w:rsidRPr="004E0FC4">
              <w:rPr>
                <w:rFonts w:ascii="Bookman Old Style" w:eastAsia="Bookman Old Style" w:hAnsi="Bookman Old Style" w:cs="Bookman Old Style"/>
                <w:color w:val="231F20"/>
                <w:sz w:val="18"/>
                <w:szCs w:val="18"/>
              </w:rPr>
              <w:softHyphen/>
              <w:t>тации</w:t>
            </w:r>
          </w:p>
        </w:tc>
        <w:tc>
          <w:tcPr>
            <w:tcW w:w="1320" w:type="dxa"/>
            <w:tcBorders>
              <w:top w:val="single" w:sz="4" w:space="0" w:color="auto"/>
              <w:left w:val="single" w:sz="4" w:space="0" w:color="auto"/>
            </w:tcBorders>
            <w:shd w:val="clear" w:color="auto" w:fill="FFFFFF"/>
          </w:tcPr>
          <w:p w14:paraId="1DA482F7"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 сроков / пре</w:t>
            </w:r>
            <w:r w:rsidRPr="004E0FC4">
              <w:rPr>
                <w:rFonts w:ascii="Bookman Old Style" w:eastAsia="Bookman Old Style" w:hAnsi="Bookman Old Style" w:cs="Bookman Old Style"/>
                <w:color w:val="231F20"/>
                <w:sz w:val="18"/>
                <w:szCs w:val="18"/>
              </w:rPr>
              <w:softHyphen/>
              <w:t>кращение КС</w:t>
            </w:r>
          </w:p>
        </w:tc>
        <w:tc>
          <w:tcPr>
            <w:tcW w:w="1742" w:type="dxa"/>
            <w:tcBorders>
              <w:top w:val="single" w:sz="4" w:space="0" w:color="auto"/>
              <w:left w:val="single" w:sz="4" w:space="0" w:color="auto"/>
            </w:tcBorders>
            <w:shd w:val="clear" w:color="auto" w:fill="FFFFFF"/>
          </w:tcPr>
          <w:p w14:paraId="4B410031"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Обязательное за</w:t>
            </w:r>
            <w:r w:rsidRPr="004E0FC4">
              <w:rPr>
                <w:rFonts w:ascii="Bookman Old Style" w:eastAsia="Bookman Old Style" w:hAnsi="Bookman Old Style" w:cs="Bookman Old Style"/>
                <w:color w:val="231F20"/>
                <w:sz w:val="18"/>
                <w:szCs w:val="18"/>
              </w:rPr>
              <w:softHyphen/>
              <w:t>ключение договора строительного</w:t>
            </w:r>
          </w:p>
          <w:p w14:paraId="17B1361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контроля по усло</w:t>
            </w:r>
            <w:r w:rsidRPr="004E0FC4">
              <w:rPr>
                <w:rFonts w:ascii="Bookman Old Style" w:eastAsia="Bookman Old Style" w:hAnsi="Bookman Old Style" w:cs="Bookman Old Style"/>
                <w:color w:val="231F20"/>
                <w:sz w:val="18"/>
                <w:szCs w:val="18"/>
              </w:rPr>
              <w:softHyphen/>
              <w:t>виям КС</w:t>
            </w:r>
          </w:p>
        </w:tc>
        <w:tc>
          <w:tcPr>
            <w:tcW w:w="1618" w:type="dxa"/>
            <w:tcBorders>
              <w:top w:val="single" w:sz="4" w:space="0" w:color="auto"/>
              <w:left w:val="single" w:sz="4" w:space="0" w:color="auto"/>
              <w:right w:val="single" w:sz="4" w:space="0" w:color="auto"/>
            </w:tcBorders>
            <w:shd w:val="clear" w:color="auto" w:fill="FFFFFF"/>
          </w:tcPr>
          <w:p w14:paraId="0473CAA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(ответствен</w:t>
            </w:r>
            <w:r w:rsidRPr="004E0FC4">
              <w:rPr>
                <w:rFonts w:ascii="Bookman Old Style" w:eastAsia="Bookman Old Style" w:hAnsi="Bookman Old Style" w:cs="Bookman Old Style"/>
                <w:color w:val="231F20"/>
                <w:sz w:val="18"/>
                <w:szCs w:val="18"/>
              </w:rPr>
              <w:softHyphen/>
              <w:t>ность за действия подрядчиков как за свои собствен</w:t>
            </w:r>
            <w:r w:rsidRPr="004E0FC4">
              <w:rPr>
                <w:rFonts w:ascii="Bookman Old Style" w:eastAsia="Bookman Old Style" w:hAnsi="Bookman Old Style" w:cs="Bookman Old Style"/>
                <w:color w:val="231F20"/>
                <w:sz w:val="18"/>
                <w:szCs w:val="18"/>
              </w:rPr>
              <w:softHyphen/>
              <w:t>ные, заключение</w:t>
            </w:r>
          </w:p>
          <w:p w14:paraId="6931023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договора строи</w:t>
            </w:r>
            <w:r w:rsidRPr="004E0FC4">
              <w:rPr>
                <w:rFonts w:ascii="Bookman Old Style" w:eastAsia="Bookman Old Style" w:hAnsi="Bookman Old Style" w:cs="Bookman Old Style"/>
                <w:color w:val="231F20"/>
                <w:sz w:val="18"/>
                <w:szCs w:val="18"/>
              </w:rPr>
              <w:softHyphen/>
              <w:t>тельного контро</w:t>
            </w:r>
            <w:r w:rsidRPr="004E0FC4">
              <w:rPr>
                <w:rFonts w:ascii="Bookman Old Style" w:eastAsia="Bookman Old Style" w:hAnsi="Bookman Old Style" w:cs="Bookman Old Style"/>
                <w:color w:val="231F20"/>
                <w:sz w:val="18"/>
                <w:szCs w:val="18"/>
              </w:rPr>
              <w:softHyphen/>
              <w:t>ля)</w:t>
            </w:r>
          </w:p>
        </w:tc>
      </w:tr>
      <w:tr w:rsidR="00350396" w:rsidRPr="004E0FC4" w14:paraId="622E9428" w14:textId="77777777" w:rsidTr="006D7F71">
        <w:trPr>
          <w:trHeight w:hRule="exact" w:val="3192"/>
          <w:jc w:val="center"/>
        </w:trPr>
        <w:tc>
          <w:tcPr>
            <w:tcW w:w="1896" w:type="dxa"/>
            <w:tcBorders>
              <w:top w:val="single" w:sz="4" w:space="0" w:color="auto"/>
              <w:left w:val="single" w:sz="4" w:space="0" w:color="auto"/>
              <w:bottom w:val="single" w:sz="4" w:space="0" w:color="auto"/>
            </w:tcBorders>
            <w:shd w:val="clear" w:color="auto" w:fill="FFFFFF"/>
          </w:tcPr>
          <w:p w14:paraId="3088745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при</w:t>
            </w:r>
            <w:r w:rsidRPr="004E0FC4">
              <w:rPr>
                <w:rFonts w:ascii="Bookman Old Style" w:eastAsia="Bookman Old Style" w:hAnsi="Bookman Old Style" w:cs="Bookman Old Style"/>
                <w:color w:val="231F20"/>
                <w:sz w:val="18"/>
                <w:szCs w:val="18"/>
              </w:rPr>
              <w:softHyphen/>
              <w:t>влечения недобро</w:t>
            </w:r>
            <w:r w:rsidRPr="004E0FC4">
              <w:rPr>
                <w:rFonts w:ascii="Bookman Old Style" w:eastAsia="Bookman Old Style" w:hAnsi="Bookman Old Style" w:cs="Bookman Old Style"/>
                <w:color w:val="231F20"/>
                <w:sz w:val="18"/>
                <w:szCs w:val="18"/>
              </w:rPr>
              <w:softHyphen/>
              <w:t>совестных под</w:t>
            </w:r>
            <w:r w:rsidRPr="004E0FC4">
              <w:rPr>
                <w:rFonts w:ascii="Bookman Old Style" w:eastAsia="Bookman Old Style" w:hAnsi="Bookman Old Style" w:cs="Bookman Old Style"/>
                <w:color w:val="231F20"/>
                <w:sz w:val="18"/>
                <w:szCs w:val="18"/>
              </w:rPr>
              <w:softHyphen/>
              <w:t>рядчиков есть риск причинения вреда жизни, здоровью и имуществу третьих</w:t>
            </w:r>
          </w:p>
          <w:p w14:paraId="7DE4C54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лиц</w:t>
            </w:r>
          </w:p>
        </w:tc>
        <w:tc>
          <w:tcPr>
            <w:tcW w:w="1320" w:type="dxa"/>
            <w:tcBorders>
              <w:top w:val="single" w:sz="4" w:space="0" w:color="auto"/>
              <w:left w:val="single" w:sz="4" w:space="0" w:color="auto"/>
              <w:bottom w:val="single" w:sz="4" w:space="0" w:color="auto"/>
            </w:tcBorders>
            <w:shd w:val="clear" w:color="auto" w:fill="FFFFFF"/>
          </w:tcPr>
          <w:p w14:paraId="4C726A60"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w:t>
            </w:r>
          </w:p>
          <w:p w14:paraId="5C67B652"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стоимости проекта / прекращение</w:t>
            </w:r>
          </w:p>
          <w:p w14:paraId="11CA52A4"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w:t>
            </w:r>
          </w:p>
        </w:tc>
        <w:tc>
          <w:tcPr>
            <w:tcW w:w="1742" w:type="dxa"/>
            <w:tcBorders>
              <w:top w:val="single" w:sz="4" w:space="0" w:color="auto"/>
              <w:left w:val="single" w:sz="4" w:space="0" w:color="auto"/>
              <w:bottom w:val="single" w:sz="4" w:space="0" w:color="auto"/>
            </w:tcBorders>
            <w:shd w:val="clear" w:color="auto" w:fill="FFFFFF"/>
          </w:tcPr>
          <w:p w14:paraId="19D111CE"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Обязательное страхование стро</w:t>
            </w:r>
            <w:r w:rsidRPr="004E0FC4">
              <w:rPr>
                <w:rFonts w:ascii="Bookman Old Style" w:eastAsia="Bookman Old Style" w:hAnsi="Bookman Old Style" w:cs="Bookman Old Style"/>
                <w:color w:val="231F20"/>
                <w:sz w:val="18"/>
                <w:szCs w:val="18"/>
              </w:rPr>
              <w:softHyphen/>
              <w:t>ительных рисков по условиям КС</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14:paraId="04A4D67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(ответствен</w:t>
            </w:r>
            <w:r w:rsidRPr="004E0FC4">
              <w:rPr>
                <w:rFonts w:ascii="Bookman Old Style" w:eastAsia="Bookman Old Style" w:hAnsi="Bookman Old Style" w:cs="Bookman Old Style"/>
                <w:color w:val="231F20"/>
                <w:sz w:val="18"/>
                <w:szCs w:val="18"/>
              </w:rPr>
              <w:softHyphen/>
              <w:t>ность за действия подрядчиков как за свои собствен</w:t>
            </w:r>
            <w:r w:rsidRPr="004E0FC4">
              <w:rPr>
                <w:rFonts w:ascii="Bookman Old Style" w:eastAsia="Bookman Old Style" w:hAnsi="Bookman Old Style" w:cs="Bookman Old Style"/>
                <w:color w:val="231F20"/>
                <w:sz w:val="18"/>
                <w:szCs w:val="18"/>
              </w:rPr>
              <w:softHyphen/>
              <w:t>ные, возможность</w:t>
            </w:r>
          </w:p>
          <w:p w14:paraId="42C469C6"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расторжения</w:t>
            </w:r>
          </w:p>
          <w:p w14:paraId="041AA2E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ЛО КС в односто</w:t>
            </w:r>
            <w:r w:rsidRPr="004E0FC4">
              <w:rPr>
                <w:rFonts w:ascii="Bookman Old Style" w:eastAsia="Bookman Old Style" w:hAnsi="Bookman Old Style" w:cs="Bookman Old Style"/>
                <w:color w:val="231F20"/>
                <w:sz w:val="18"/>
                <w:szCs w:val="18"/>
              </w:rPr>
              <w:softHyphen/>
              <w:t>роннем порядке</w:t>
            </w:r>
          </w:p>
          <w:p w14:paraId="0CE846D2"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соответствии</w:t>
            </w:r>
          </w:p>
          <w:p w14:paraId="45F1A40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 п. 4 ч. 5 ст. 13 Закона о концес</w:t>
            </w:r>
            <w:r w:rsidRPr="004E0FC4">
              <w:rPr>
                <w:rFonts w:ascii="Bookman Old Style" w:eastAsia="Bookman Old Style" w:hAnsi="Bookman Old Style" w:cs="Bookman Old Style"/>
                <w:color w:val="231F20"/>
                <w:sz w:val="18"/>
                <w:szCs w:val="18"/>
              </w:rPr>
              <w:softHyphen/>
              <w:t>сиях</w:t>
            </w:r>
          </w:p>
        </w:tc>
      </w:tr>
    </w:tbl>
    <w:p w14:paraId="2FF6A6C9"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p w14:paraId="24694836" w14:textId="77777777" w:rsidR="00350396" w:rsidRPr="004E0FC4" w:rsidRDefault="00350396" w:rsidP="004E0FC4">
      <w:pPr>
        <w:widowControl w:val="0"/>
        <w:spacing w:line="240" w:lineRule="auto"/>
        <w:ind w:firstLine="0"/>
        <w:rPr>
          <w:rFonts w:ascii="Bookman Old Style" w:hAnsi="Bookman Old Style"/>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1320"/>
        <w:gridCol w:w="1742"/>
        <w:gridCol w:w="1618"/>
      </w:tblGrid>
      <w:tr w:rsidR="00350396" w:rsidRPr="004E0FC4" w14:paraId="0EBB86B7" w14:textId="77777777" w:rsidTr="006D7F71">
        <w:trPr>
          <w:trHeight w:hRule="exact" w:val="552"/>
          <w:jc w:val="center"/>
        </w:trPr>
        <w:tc>
          <w:tcPr>
            <w:tcW w:w="1896" w:type="dxa"/>
            <w:tcBorders>
              <w:top w:val="single" w:sz="4" w:space="0" w:color="auto"/>
              <w:left w:val="single" w:sz="4" w:space="0" w:color="auto"/>
            </w:tcBorders>
            <w:shd w:val="clear" w:color="auto" w:fill="FFFFFF"/>
            <w:vAlign w:val="center"/>
          </w:tcPr>
          <w:p w14:paraId="7603F543"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Риск</w:t>
            </w:r>
          </w:p>
        </w:tc>
        <w:tc>
          <w:tcPr>
            <w:tcW w:w="1320" w:type="dxa"/>
            <w:tcBorders>
              <w:top w:val="single" w:sz="4" w:space="0" w:color="auto"/>
              <w:left w:val="single" w:sz="4" w:space="0" w:color="auto"/>
            </w:tcBorders>
            <w:shd w:val="clear" w:color="auto" w:fill="FFFFFF"/>
            <w:vAlign w:val="bottom"/>
          </w:tcPr>
          <w:p w14:paraId="10E50DA5"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Последствия</w:t>
            </w:r>
          </w:p>
          <w:p w14:paraId="3E49219F"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риска</w:t>
            </w:r>
          </w:p>
        </w:tc>
        <w:tc>
          <w:tcPr>
            <w:tcW w:w="1742" w:type="dxa"/>
            <w:tcBorders>
              <w:top w:val="single" w:sz="4" w:space="0" w:color="auto"/>
              <w:left w:val="single" w:sz="4" w:space="0" w:color="auto"/>
            </w:tcBorders>
            <w:shd w:val="clear" w:color="auto" w:fill="FFFFFF"/>
            <w:vAlign w:val="bottom"/>
          </w:tcPr>
          <w:p w14:paraId="169BB0D3"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Действия по пре</w:t>
            </w:r>
            <w:r w:rsidRPr="004E0FC4">
              <w:rPr>
                <w:rFonts w:ascii="Bookman Old Style" w:eastAsia="Bookman Old Style" w:hAnsi="Bookman Old Style" w:cs="Bookman Old Style"/>
                <w:b/>
                <w:bCs/>
                <w:color w:val="231F20"/>
                <w:sz w:val="18"/>
                <w:szCs w:val="18"/>
              </w:rPr>
              <w:softHyphen/>
              <w:t>дотвращению</w:t>
            </w:r>
          </w:p>
        </w:tc>
        <w:tc>
          <w:tcPr>
            <w:tcW w:w="1618" w:type="dxa"/>
            <w:tcBorders>
              <w:top w:val="single" w:sz="4" w:space="0" w:color="auto"/>
              <w:left w:val="single" w:sz="4" w:space="0" w:color="auto"/>
              <w:right w:val="single" w:sz="4" w:space="0" w:color="auto"/>
            </w:tcBorders>
            <w:shd w:val="clear" w:color="auto" w:fill="FFFFFF"/>
            <w:vAlign w:val="center"/>
          </w:tcPr>
          <w:p w14:paraId="6DDB3CE1"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Владелец риска</w:t>
            </w:r>
          </w:p>
        </w:tc>
      </w:tr>
      <w:tr w:rsidR="00350396" w:rsidRPr="004E0FC4" w14:paraId="6D74600C" w14:textId="77777777" w:rsidTr="006D7F71">
        <w:trPr>
          <w:trHeight w:hRule="exact" w:val="475"/>
          <w:jc w:val="center"/>
        </w:trPr>
        <w:tc>
          <w:tcPr>
            <w:tcW w:w="6576" w:type="dxa"/>
            <w:gridSpan w:val="4"/>
            <w:tcBorders>
              <w:top w:val="single" w:sz="4" w:space="0" w:color="auto"/>
              <w:left w:val="single" w:sz="4" w:space="0" w:color="auto"/>
              <w:right w:val="single" w:sz="4" w:space="0" w:color="auto"/>
            </w:tcBorders>
            <w:shd w:val="clear" w:color="auto" w:fill="FFFFFF"/>
            <w:vAlign w:val="center"/>
          </w:tcPr>
          <w:p w14:paraId="4B2BE170"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5. </w:t>
            </w:r>
            <w:r w:rsidRPr="004E0FC4">
              <w:rPr>
                <w:rFonts w:ascii="Bookman Old Style" w:eastAsia="Bookman Old Style" w:hAnsi="Bookman Old Style" w:cs="Bookman Old Style"/>
                <w:i/>
                <w:iCs/>
                <w:color w:val="231F20"/>
                <w:sz w:val="18"/>
                <w:szCs w:val="18"/>
              </w:rPr>
              <w:t>Риски эксплуатации</w:t>
            </w:r>
          </w:p>
        </w:tc>
      </w:tr>
      <w:tr w:rsidR="00350396" w:rsidRPr="004E0FC4" w14:paraId="4DC87CD9" w14:textId="77777777" w:rsidTr="006D7F71">
        <w:trPr>
          <w:trHeight w:hRule="exact" w:val="3552"/>
          <w:jc w:val="center"/>
        </w:trPr>
        <w:tc>
          <w:tcPr>
            <w:tcW w:w="1896" w:type="dxa"/>
            <w:tcBorders>
              <w:top w:val="single" w:sz="4" w:space="0" w:color="auto"/>
              <w:left w:val="single" w:sz="4" w:space="0" w:color="auto"/>
            </w:tcBorders>
            <w:shd w:val="clear" w:color="auto" w:fill="FFFFFF"/>
          </w:tcPr>
          <w:p w14:paraId="2495AED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отсут</w:t>
            </w:r>
            <w:r w:rsidRPr="004E0FC4">
              <w:rPr>
                <w:rFonts w:ascii="Bookman Old Style" w:eastAsia="Bookman Old Style" w:hAnsi="Bookman Old Style" w:cs="Bookman Old Style"/>
                <w:color w:val="231F20"/>
                <w:sz w:val="18"/>
                <w:szCs w:val="18"/>
              </w:rPr>
              <w:softHyphen/>
              <w:t>ствия потребности в установленном объеме представ</w:t>
            </w:r>
            <w:r w:rsidRPr="004E0FC4">
              <w:rPr>
                <w:rFonts w:ascii="Bookman Old Style" w:eastAsia="Bookman Old Style" w:hAnsi="Bookman Old Style" w:cs="Bookman Old Style"/>
                <w:color w:val="231F20"/>
                <w:sz w:val="18"/>
                <w:szCs w:val="18"/>
              </w:rPr>
              <w:softHyphen/>
              <w:t>ления бассейна для нужд ЛО есть риск незаполнения объ</w:t>
            </w:r>
            <w:r w:rsidRPr="004E0FC4">
              <w:rPr>
                <w:rFonts w:ascii="Bookman Old Style" w:eastAsia="Bookman Old Style" w:hAnsi="Bookman Old Style" w:cs="Bookman Old Style"/>
                <w:color w:val="231F20"/>
                <w:sz w:val="18"/>
                <w:szCs w:val="18"/>
              </w:rPr>
              <w:softHyphen/>
              <w:t>екта</w:t>
            </w:r>
          </w:p>
        </w:tc>
        <w:tc>
          <w:tcPr>
            <w:tcW w:w="1320" w:type="dxa"/>
            <w:tcBorders>
              <w:top w:val="single" w:sz="4" w:space="0" w:color="auto"/>
              <w:left w:val="single" w:sz="4" w:space="0" w:color="auto"/>
            </w:tcBorders>
            <w:shd w:val="clear" w:color="auto" w:fill="FFFFFF"/>
          </w:tcPr>
          <w:p w14:paraId="1D601E2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Неполучение концессионе</w:t>
            </w:r>
            <w:r w:rsidRPr="004E0FC4">
              <w:rPr>
                <w:rFonts w:ascii="Bookman Old Style" w:eastAsia="Bookman Old Style" w:hAnsi="Bookman Old Style" w:cs="Bookman Old Style"/>
                <w:color w:val="231F20"/>
                <w:sz w:val="18"/>
                <w:szCs w:val="18"/>
              </w:rPr>
              <w:softHyphen/>
              <w:t>ром планиру</w:t>
            </w:r>
            <w:r w:rsidRPr="004E0FC4">
              <w:rPr>
                <w:rFonts w:ascii="Bookman Old Style" w:eastAsia="Bookman Old Style" w:hAnsi="Bookman Old Style" w:cs="Bookman Old Style"/>
                <w:color w:val="231F20"/>
                <w:sz w:val="18"/>
                <w:szCs w:val="18"/>
              </w:rPr>
              <w:softHyphen/>
              <w:t>емого дохода</w:t>
            </w:r>
          </w:p>
        </w:tc>
        <w:tc>
          <w:tcPr>
            <w:tcW w:w="1742" w:type="dxa"/>
            <w:tcBorders>
              <w:top w:val="single" w:sz="4" w:space="0" w:color="auto"/>
              <w:left w:val="single" w:sz="4" w:space="0" w:color="auto"/>
            </w:tcBorders>
            <w:shd w:val="clear" w:color="auto" w:fill="FFFFFF"/>
            <w:vAlign w:val="center"/>
          </w:tcPr>
          <w:p w14:paraId="0B72A288" w14:textId="77777777" w:rsidR="00350396" w:rsidRPr="004E0FC4" w:rsidRDefault="00350396" w:rsidP="004E0FC4">
            <w:pPr>
              <w:framePr w:w="6576" w:wrap="notBeside" w:vAnchor="text" w:hAnchor="text" w:xAlign="center" w:y="1"/>
              <w:widowControl w:val="0"/>
              <w:numPr>
                <w:ilvl w:val="0"/>
                <w:numId w:val="94"/>
              </w:numPr>
              <w:tabs>
                <w:tab w:val="left" w:pos="154"/>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Предваритель</w:t>
            </w:r>
            <w:r w:rsidRPr="004E0FC4">
              <w:rPr>
                <w:rFonts w:ascii="Bookman Old Style" w:eastAsia="Bookman Old Style" w:hAnsi="Bookman Old Style" w:cs="Bookman Old Style"/>
                <w:color w:val="231F20"/>
                <w:sz w:val="18"/>
                <w:szCs w:val="18"/>
              </w:rPr>
              <w:softHyphen/>
              <w:t>ный анализ по</w:t>
            </w:r>
            <w:r w:rsidRPr="004E0FC4">
              <w:rPr>
                <w:rFonts w:ascii="Bookman Old Style" w:eastAsia="Bookman Old Style" w:hAnsi="Bookman Old Style" w:cs="Bookman Old Style"/>
                <w:color w:val="231F20"/>
                <w:sz w:val="18"/>
                <w:szCs w:val="18"/>
              </w:rPr>
              <w:softHyphen/>
              <w:t>требности ЛО в ме</w:t>
            </w:r>
            <w:r w:rsidRPr="004E0FC4">
              <w:rPr>
                <w:rFonts w:ascii="Bookman Old Style" w:eastAsia="Bookman Old Style" w:hAnsi="Bookman Old Style" w:cs="Bookman Old Style"/>
                <w:color w:val="231F20"/>
                <w:sz w:val="18"/>
                <w:szCs w:val="18"/>
              </w:rPr>
              <w:softHyphen/>
              <w:t>сте для тренировок и соревнований сборных команд</w:t>
            </w:r>
          </w:p>
          <w:p w14:paraId="47D1EA63"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ЛО.</w:t>
            </w:r>
          </w:p>
          <w:p w14:paraId="5B19AD88" w14:textId="77777777" w:rsidR="00350396" w:rsidRPr="004E0FC4" w:rsidRDefault="00350396" w:rsidP="004E0FC4">
            <w:pPr>
              <w:framePr w:w="6576" w:wrap="notBeside" w:vAnchor="text" w:hAnchor="text" w:xAlign="center" w:y="1"/>
              <w:widowControl w:val="0"/>
              <w:numPr>
                <w:ilvl w:val="0"/>
                <w:numId w:val="94"/>
              </w:numPr>
              <w:tabs>
                <w:tab w:val="left" w:pos="163"/>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КС предусмо</w:t>
            </w:r>
            <w:r w:rsidRPr="004E0FC4">
              <w:rPr>
                <w:rFonts w:ascii="Bookman Old Style" w:eastAsia="Bookman Old Style" w:hAnsi="Bookman Old Style" w:cs="Bookman Old Style"/>
                <w:color w:val="231F20"/>
                <w:sz w:val="18"/>
                <w:szCs w:val="18"/>
              </w:rPr>
              <w:softHyphen/>
              <w:t>трен объем обяза</w:t>
            </w:r>
            <w:r w:rsidRPr="004E0FC4">
              <w:rPr>
                <w:rFonts w:ascii="Bookman Old Style" w:eastAsia="Bookman Old Style" w:hAnsi="Bookman Old Style" w:cs="Bookman Old Style"/>
                <w:color w:val="231F20"/>
                <w:sz w:val="18"/>
                <w:szCs w:val="18"/>
              </w:rPr>
              <w:softHyphen/>
              <w:t>тельств, концедент возмещает недопо</w:t>
            </w:r>
            <w:r w:rsidRPr="004E0FC4">
              <w:rPr>
                <w:rFonts w:ascii="Bookman Old Style" w:eastAsia="Bookman Old Style" w:hAnsi="Bookman Old Style" w:cs="Bookman Old Style"/>
                <w:color w:val="231F20"/>
                <w:sz w:val="18"/>
                <w:szCs w:val="18"/>
              </w:rPr>
              <w:softHyphen/>
              <w:t>лученные доходы</w:t>
            </w:r>
          </w:p>
          <w:p w14:paraId="032324E2"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концессионера</w:t>
            </w:r>
          </w:p>
          <w:p w14:paraId="764AA9D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определенном объеме</w:t>
            </w:r>
          </w:p>
        </w:tc>
        <w:tc>
          <w:tcPr>
            <w:tcW w:w="1618" w:type="dxa"/>
            <w:tcBorders>
              <w:top w:val="single" w:sz="4" w:space="0" w:color="auto"/>
              <w:left w:val="single" w:sz="4" w:space="0" w:color="auto"/>
              <w:right w:val="single" w:sz="4" w:space="0" w:color="auto"/>
            </w:tcBorders>
            <w:shd w:val="clear" w:color="auto" w:fill="FFFFFF"/>
          </w:tcPr>
          <w:p w14:paraId="2962C912"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(обе</w:t>
            </w:r>
            <w:r w:rsidRPr="004E0FC4">
              <w:rPr>
                <w:rFonts w:ascii="Bookman Old Style" w:eastAsia="Bookman Old Style" w:hAnsi="Bookman Old Style" w:cs="Bookman Old Style"/>
                <w:color w:val="231F20"/>
                <w:sz w:val="18"/>
                <w:szCs w:val="18"/>
              </w:rPr>
              <w:softHyphen/>
              <w:t>спечивает вы</w:t>
            </w:r>
            <w:r w:rsidRPr="004E0FC4">
              <w:rPr>
                <w:rFonts w:ascii="Bookman Old Style" w:eastAsia="Bookman Old Style" w:hAnsi="Bookman Old Style" w:cs="Bookman Old Style"/>
                <w:color w:val="231F20"/>
                <w:sz w:val="18"/>
                <w:szCs w:val="18"/>
              </w:rPr>
              <w:softHyphen/>
              <w:t>плату бюджетных субсидий)</w:t>
            </w:r>
          </w:p>
        </w:tc>
      </w:tr>
      <w:tr w:rsidR="00350396" w:rsidRPr="004E0FC4" w14:paraId="4A2315D3" w14:textId="77777777" w:rsidTr="006D7F71">
        <w:trPr>
          <w:trHeight w:hRule="exact" w:val="3278"/>
          <w:jc w:val="center"/>
        </w:trPr>
        <w:tc>
          <w:tcPr>
            <w:tcW w:w="1896" w:type="dxa"/>
            <w:tcBorders>
              <w:top w:val="single" w:sz="4" w:space="0" w:color="auto"/>
              <w:left w:val="single" w:sz="4" w:space="0" w:color="auto"/>
            </w:tcBorders>
            <w:shd w:val="clear" w:color="auto" w:fill="FFFFFF"/>
          </w:tcPr>
          <w:p w14:paraId="1F6A6B59"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фи</w:t>
            </w:r>
            <w:r w:rsidRPr="004E0FC4">
              <w:rPr>
                <w:rFonts w:ascii="Bookman Old Style" w:eastAsia="Bookman Old Style" w:hAnsi="Bookman Old Style" w:cs="Bookman Old Style"/>
                <w:color w:val="231F20"/>
                <w:sz w:val="18"/>
                <w:szCs w:val="18"/>
              </w:rPr>
              <w:softHyphen/>
              <w:t>нансовой неза</w:t>
            </w:r>
            <w:r w:rsidRPr="004E0FC4">
              <w:rPr>
                <w:rFonts w:ascii="Bookman Old Style" w:eastAsia="Bookman Old Style" w:hAnsi="Bookman Old Style" w:cs="Bookman Old Style"/>
                <w:color w:val="231F20"/>
                <w:sz w:val="18"/>
                <w:szCs w:val="18"/>
              </w:rPr>
              <w:softHyphen/>
              <w:t>интересованности концессионера в пре</w:t>
            </w:r>
            <w:r w:rsidRPr="004E0FC4">
              <w:rPr>
                <w:rFonts w:ascii="Bookman Old Style" w:eastAsia="Bookman Old Style" w:hAnsi="Bookman Old Style" w:cs="Bookman Old Style"/>
                <w:color w:val="231F20"/>
                <w:sz w:val="18"/>
                <w:szCs w:val="18"/>
              </w:rPr>
              <w:softHyphen/>
              <w:t>доставлении бассей</w:t>
            </w:r>
            <w:r w:rsidRPr="004E0FC4">
              <w:rPr>
                <w:rFonts w:ascii="Bookman Old Style" w:eastAsia="Bookman Old Style" w:hAnsi="Bookman Old Style" w:cs="Bookman Old Style"/>
                <w:color w:val="231F20"/>
                <w:sz w:val="18"/>
                <w:szCs w:val="18"/>
              </w:rPr>
              <w:softHyphen/>
              <w:t>на для нужд ЛО есть риск заполняемости объекта только для коммерческих нужд</w:t>
            </w:r>
          </w:p>
        </w:tc>
        <w:tc>
          <w:tcPr>
            <w:tcW w:w="1320" w:type="dxa"/>
            <w:tcBorders>
              <w:top w:val="single" w:sz="4" w:space="0" w:color="auto"/>
              <w:left w:val="single" w:sz="4" w:space="0" w:color="auto"/>
            </w:tcBorders>
            <w:shd w:val="clear" w:color="auto" w:fill="FFFFFF"/>
          </w:tcPr>
          <w:p w14:paraId="50A4F8FE"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Невыполне</w:t>
            </w:r>
            <w:r w:rsidRPr="004E0FC4">
              <w:rPr>
                <w:rFonts w:ascii="Bookman Old Style" w:eastAsia="Bookman Old Style" w:hAnsi="Bookman Old Style" w:cs="Bookman Old Style"/>
                <w:color w:val="231F20"/>
                <w:sz w:val="18"/>
                <w:szCs w:val="18"/>
              </w:rPr>
              <w:softHyphen/>
              <w:t>ние социаль</w:t>
            </w:r>
            <w:r w:rsidRPr="004E0FC4">
              <w:rPr>
                <w:rFonts w:ascii="Bookman Old Style" w:eastAsia="Bookman Old Style" w:hAnsi="Bookman Old Style" w:cs="Bookman Old Style"/>
                <w:color w:val="231F20"/>
                <w:sz w:val="18"/>
                <w:szCs w:val="18"/>
              </w:rPr>
              <w:softHyphen/>
              <w:t>ной функции КС</w:t>
            </w:r>
          </w:p>
        </w:tc>
        <w:tc>
          <w:tcPr>
            <w:tcW w:w="1742" w:type="dxa"/>
            <w:tcBorders>
              <w:top w:val="single" w:sz="4" w:space="0" w:color="auto"/>
              <w:left w:val="single" w:sz="4" w:space="0" w:color="auto"/>
            </w:tcBorders>
            <w:shd w:val="clear" w:color="auto" w:fill="FFFFFF"/>
            <w:vAlign w:val="center"/>
          </w:tcPr>
          <w:p w14:paraId="63F102E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 предусмотрены высокие штрафные санкции за несо</w:t>
            </w:r>
            <w:r w:rsidRPr="004E0FC4">
              <w:rPr>
                <w:rFonts w:ascii="Bookman Old Style" w:eastAsia="Bookman Old Style" w:hAnsi="Bookman Old Style" w:cs="Bookman Old Style"/>
                <w:color w:val="231F20"/>
                <w:sz w:val="18"/>
                <w:szCs w:val="18"/>
              </w:rPr>
              <w:softHyphen/>
              <w:t>ответствие фак</w:t>
            </w:r>
            <w:r w:rsidRPr="004E0FC4">
              <w:rPr>
                <w:rFonts w:ascii="Bookman Old Style" w:eastAsia="Bookman Old Style" w:hAnsi="Bookman Old Style" w:cs="Bookman Old Style"/>
                <w:color w:val="231F20"/>
                <w:sz w:val="18"/>
                <w:szCs w:val="18"/>
              </w:rPr>
              <w:softHyphen/>
              <w:t>тического объема услуг по проведе</w:t>
            </w:r>
            <w:r w:rsidRPr="004E0FC4">
              <w:rPr>
                <w:rFonts w:ascii="Bookman Old Style" w:eastAsia="Bookman Old Style" w:hAnsi="Bookman Old Style" w:cs="Bookman Old Style"/>
                <w:color w:val="231F20"/>
                <w:sz w:val="18"/>
                <w:szCs w:val="18"/>
              </w:rPr>
              <w:softHyphen/>
              <w:t>нию тренировок и соревнований сборных команд</w:t>
            </w:r>
          </w:p>
          <w:p w14:paraId="300A82C9"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ЛО, планируемому по обстоятель</w:t>
            </w:r>
            <w:r w:rsidRPr="004E0FC4">
              <w:rPr>
                <w:rFonts w:ascii="Bookman Old Style" w:eastAsia="Bookman Old Style" w:hAnsi="Bookman Old Style" w:cs="Bookman Old Style"/>
                <w:color w:val="231F20"/>
                <w:sz w:val="18"/>
                <w:szCs w:val="18"/>
              </w:rPr>
              <w:softHyphen/>
              <w:t>ствам, зависящим от концессионера (принятие риска)</w:t>
            </w:r>
          </w:p>
        </w:tc>
        <w:tc>
          <w:tcPr>
            <w:tcW w:w="1618" w:type="dxa"/>
            <w:tcBorders>
              <w:top w:val="single" w:sz="4" w:space="0" w:color="auto"/>
              <w:left w:val="single" w:sz="4" w:space="0" w:color="auto"/>
              <w:right w:val="single" w:sz="4" w:space="0" w:color="auto"/>
            </w:tcBorders>
            <w:shd w:val="clear" w:color="auto" w:fill="FFFFFF"/>
          </w:tcPr>
          <w:p w14:paraId="1E482B71"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(высокие штраф</w:t>
            </w:r>
            <w:r w:rsidRPr="004E0FC4">
              <w:rPr>
                <w:rFonts w:ascii="Bookman Old Style" w:eastAsia="Bookman Old Style" w:hAnsi="Bookman Old Style" w:cs="Bookman Old Style"/>
                <w:color w:val="231F20"/>
                <w:sz w:val="18"/>
                <w:szCs w:val="18"/>
              </w:rPr>
              <w:softHyphen/>
              <w:t>ные санкции, возможность</w:t>
            </w:r>
          </w:p>
          <w:p w14:paraId="51B76065"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расторжения</w:t>
            </w:r>
          </w:p>
          <w:p w14:paraId="02F9F47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 по вине кон</w:t>
            </w:r>
            <w:r w:rsidRPr="004E0FC4">
              <w:rPr>
                <w:rFonts w:ascii="Bookman Old Style" w:eastAsia="Bookman Old Style" w:hAnsi="Bookman Old Style" w:cs="Bookman Old Style"/>
                <w:color w:val="231F20"/>
                <w:sz w:val="18"/>
                <w:szCs w:val="18"/>
              </w:rPr>
              <w:softHyphen/>
              <w:t>цессионера)</w:t>
            </w:r>
          </w:p>
        </w:tc>
      </w:tr>
      <w:tr w:rsidR="00350396" w:rsidRPr="004E0FC4" w14:paraId="6E78927F" w14:textId="77777777" w:rsidTr="006D7F71">
        <w:trPr>
          <w:trHeight w:hRule="exact" w:val="1987"/>
          <w:jc w:val="center"/>
        </w:trPr>
        <w:tc>
          <w:tcPr>
            <w:tcW w:w="1896" w:type="dxa"/>
            <w:tcBorders>
              <w:top w:val="single" w:sz="4" w:space="0" w:color="auto"/>
              <w:left w:val="single" w:sz="4" w:space="0" w:color="auto"/>
            </w:tcBorders>
            <w:shd w:val="clear" w:color="auto" w:fill="FFFFFF"/>
          </w:tcPr>
          <w:p w14:paraId="3F090EC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воз</w:t>
            </w:r>
            <w:r w:rsidRPr="004E0FC4">
              <w:rPr>
                <w:rFonts w:ascii="Bookman Old Style" w:eastAsia="Bookman Old Style" w:hAnsi="Bookman Old Style" w:cs="Bookman Old Style"/>
                <w:color w:val="231F20"/>
                <w:sz w:val="18"/>
                <w:szCs w:val="18"/>
              </w:rPr>
              <w:softHyphen/>
              <w:t>можного отсутствия платежеспособного спроса есть риск</w:t>
            </w:r>
          </w:p>
          <w:p w14:paraId="5988D1F1"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незаполняемости</w:t>
            </w:r>
          </w:p>
          <w:p w14:paraId="70EAE8B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объекта</w:t>
            </w:r>
          </w:p>
        </w:tc>
        <w:tc>
          <w:tcPr>
            <w:tcW w:w="1320" w:type="dxa"/>
            <w:tcBorders>
              <w:top w:val="single" w:sz="4" w:space="0" w:color="auto"/>
              <w:left w:val="single" w:sz="4" w:space="0" w:color="auto"/>
            </w:tcBorders>
            <w:shd w:val="clear" w:color="auto" w:fill="FFFFFF"/>
          </w:tcPr>
          <w:p w14:paraId="7EEF5A7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Снижение до</w:t>
            </w:r>
            <w:r w:rsidRPr="004E0FC4">
              <w:rPr>
                <w:rFonts w:ascii="Bookman Old Style" w:eastAsia="Bookman Old Style" w:hAnsi="Bookman Old Style" w:cs="Bookman Old Style"/>
                <w:color w:val="231F20"/>
                <w:sz w:val="18"/>
                <w:szCs w:val="18"/>
              </w:rPr>
              <w:softHyphen/>
              <w:t>хода концес</w:t>
            </w:r>
            <w:r w:rsidRPr="004E0FC4">
              <w:rPr>
                <w:rFonts w:ascii="Bookman Old Style" w:eastAsia="Bookman Old Style" w:hAnsi="Bookman Old Style" w:cs="Bookman Old Style"/>
                <w:color w:val="231F20"/>
                <w:sz w:val="18"/>
                <w:szCs w:val="18"/>
              </w:rPr>
              <w:softHyphen/>
              <w:t>сионера</w:t>
            </w:r>
          </w:p>
        </w:tc>
        <w:tc>
          <w:tcPr>
            <w:tcW w:w="1742" w:type="dxa"/>
            <w:tcBorders>
              <w:top w:val="single" w:sz="4" w:space="0" w:color="auto"/>
              <w:left w:val="single" w:sz="4" w:space="0" w:color="auto"/>
            </w:tcBorders>
            <w:shd w:val="clear" w:color="auto" w:fill="FFFFFF"/>
          </w:tcPr>
          <w:p w14:paraId="3F6FB10C" w14:textId="77777777" w:rsidR="00350396" w:rsidRPr="004E0FC4" w:rsidRDefault="00350396" w:rsidP="004E0FC4">
            <w:pPr>
              <w:framePr w:w="6576" w:wrap="notBeside" w:vAnchor="text" w:hAnchor="text" w:xAlign="center" w:y="1"/>
              <w:widowControl w:val="0"/>
              <w:numPr>
                <w:ilvl w:val="0"/>
                <w:numId w:val="95"/>
              </w:numPr>
              <w:tabs>
                <w:tab w:val="left" w:pos="154"/>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Предваритель</w:t>
            </w:r>
            <w:r w:rsidRPr="004E0FC4">
              <w:rPr>
                <w:rFonts w:ascii="Bookman Old Style" w:eastAsia="Bookman Old Style" w:hAnsi="Bookman Old Style" w:cs="Bookman Old Style"/>
                <w:color w:val="231F20"/>
                <w:sz w:val="18"/>
                <w:szCs w:val="18"/>
              </w:rPr>
              <w:softHyphen/>
              <w:t>ные маркетинго</w:t>
            </w:r>
            <w:r w:rsidRPr="004E0FC4">
              <w:rPr>
                <w:rFonts w:ascii="Bookman Old Style" w:eastAsia="Bookman Old Style" w:hAnsi="Bookman Old Style" w:cs="Bookman Old Style"/>
                <w:color w:val="231F20"/>
                <w:sz w:val="18"/>
                <w:szCs w:val="18"/>
              </w:rPr>
              <w:softHyphen/>
              <w:t>вые исследования.</w:t>
            </w:r>
          </w:p>
          <w:p w14:paraId="3AE7FD64" w14:textId="77777777" w:rsidR="00350396" w:rsidRPr="004E0FC4" w:rsidRDefault="00350396" w:rsidP="004E0FC4">
            <w:pPr>
              <w:framePr w:w="6576" w:wrap="notBeside" w:vAnchor="text" w:hAnchor="text" w:xAlign="center" w:y="1"/>
              <w:widowControl w:val="0"/>
              <w:numPr>
                <w:ilvl w:val="0"/>
                <w:numId w:val="95"/>
              </w:numPr>
              <w:tabs>
                <w:tab w:val="left" w:pos="130"/>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Предоставление</w:t>
            </w:r>
          </w:p>
          <w:p w14:paraId="70F0AB9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качественных</w:t>
            </w:r>
          </w:p>
          <w:p w14:paraId="5BF4680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услуг.</w:t>
            </w:r>
          </w:p>
          <w:p w14:paraId="4A486F3F" w14:textId="77777777" w:rsidR="00350396" w:rsidRPr="004E0FC4" w:rsidRDefault="00350396" w:rsidP="004E0FC4">
            <w:pPr>
              <w:framePr w:w="6576" w:wrap="notBeside" w:vAnchor="text" w:hAnchor="text" w:xAlign="center" w:y="1"/>
              <w:widowControl w:val="0"/>
              <w:numPr>
                <w:ilvl w:val="0"/>
                <w:numId w:val="95"/>
              </w:numPr>
              <w:tabs>
                <w:tab w:val="left" w:pos="134"/>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Реклама</w:t>
            </w:r>
          </w:p>
        </w:tc>
        <w:tc>
          <w:tcPr>
            <w:tcW w:w="1618" w:type="dxa"/>
            <w:tcBorders>
              <w:top w:val="single" w:sz="4" w:space="0" w:color="auto"/>
              <w:left w:val="single" w:sz="4" w:space="0" w:color="auto"/>
              <w:right w:val="single" w:sz="4" w:space="0" w:color="auto"/>
            </w:tcBorders>
            <w:shd w:val="clear" w:color="auto" w:fill="FFFFFF"/>
            <w:vAlign w:val="center"/>
          </w:tcPr>
          <w:p w14:paraId="57E0AA63"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(заполняемость объекта для ком</w:t>
            </w:r>
            <w:r w:rsidRPr="004E0FC4">
              <w:rPr>
                <w:rFonts w:ascii="Bookman Old Style" w:eastAsia="Bookman Old Style" w:hAnsi="Bookman Old Style" w:cs="Bookman Old Style"/>
                <w:color w:val="231F20"/>
                <w:sz w:val="18"/>
                <w:szCs w:val="18"/>
              </w:rPr>
              <w:softHyphen/>
              <w:t>мерческих целей обеспечивается</w:t>
            </w:r>
          </w:p>
          <w:p w14:paraId="60F58462"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исключительно</w:t>
            </w:r>
          </w:p>
          <w:p w14:paraId="45E49D6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силами концесси</w:t>
            </w:r>
            <w:r w:rsidRPr="004E0FC4">
              <w:rPr>
                <w:rFonts w:ascii="Bookman Old Style" w:eastAsia="Bookman Old Style" w:hAnsi="Bookman Old Style" w:cs="Bookman Old Style"/>
                <w:color w:val="231F20"/>
                <w:sz w:val="18"/>
                <w:szCs w:val="18"/>
              </w:rPr>
              <w:softHyphen/>
              <w:t>онера)</w:t>
            </w:r>
          </w:p>
        </w:tc>
      </w:tr>
      <w:tr w:rsidR="00350396" w:rsidRPr="004E0FC4" w14:paraId="1AD14C2B" w14:textId="77777777" w:rsidTr="006D7F71">
        <w:trPr>
          <w:trHeight w:hRule="exact" w:val="1128"/>
          <w:jc w:val="center"/>
        </w:trPr>
        <w:tc>
          <w:tcPr>
            <w:tcW w:w="1896" w:type="dxa"/>
            <w:tcBorders>
              <w:top w:val="single" w:sz="4" w:space="0" w:color="auto"/>
              <w:left w:val="single" w:sz="4" w:space="0" w:color="auto"/>
              <w:bottom w:val="single" w:sz="4" w:space="0" w:color="auto"/>
            </w:tcBorders>
            <w:shd w:val="clear" w:color="auto" w:fill="FFFFFF"/>
          </w:tcPr>
          <w:p w14:paraId="229916E9"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Риск повреждения объекта КС</w:t>
            </w:r>
          </w:p>
        </w:tc>
        <w:tc>
          <w:tcPr>
            <w:tcW w:w="1320" w:type="dxa"/>
            <w:tcBorders>
              <w:top w:val="single" w:sz="4" w:space="0" w:color="auto"/>
              <w:left w:val="single" w:sz="4" w:space="0" w:color="auto"/>
              <w:bottom w:val="single" w:sz="4" w:space="0" w:color="auto"/>
            </w:tcBorders>
            <w:shd w:val="clear" w:color="auto" w:fill="FFFFFF"/>
            <w:vAlign w:val="center"/>
          </w:tcPr>
          <w:p w14:paraId="6610BD63"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Проведение</w:t>
            </w:r>
          </w:p>
          <w:p w14:paraId="2B3E6984"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внепланового</w:t>
            </w:r>
          </w:p>
          <w:p w14:paraId="1462ABA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ремонта / ги</w:t>
            </w:r>
            <w:r w:rsidRPr="004E0FC4">
              <w:rPr>
                <w:rFonts w:ascii="Bookman Old Style" w:eastAsia="Bookman Old Style" w:hAnsi="Bookman Old Style" w:cs="Bookman Old Style"/>
                <w:color w:val="231F20"/>
                <w:sz w:val="18"/>
                <w:szCs w:val="18"/>
              </w:rPr>
              <w:softHyphen/>
              <w:t>бель объекта</w:t>
            </w:r>
          </w:p>
        </w:tc>
        <w:tc>
          <w:tcPr>
            <w:tcW w:w="1742" w:type="dxa"/>
            <w:tcBorders>
              <w:top w:val="single" w:sz="4" w:space="0" w:color="auto"/>
              <w:left w:val="single" w:sz="4" w:space="0" w:color="auto"/>
              <w:bottom w:val="single" w:sz="4" w:space="0" w:color="auto"/>
            </w:tcBorders>
            <w:shd w:val="clear" w:color="auto" w:fill="FFFFFF"/>
            <w:vAlign w:val="center"/>
          </w:tcPr>
          <w:p w14:paraId="28609A3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 предусмотрено заключение дого</w:t>
            </w:r>
            <w:r w:rsidRPr="004E0FC4">
              <w:rPr>
                <w:rFonts w:ascii="Bookman Old Style" w:eastAsia="Bookman Old Style" w:hAnsi="Bookman Old Style" w:cs="Bookman Old Style"/>
                <w:color w:val="231F20"/>
                <w:sz w:val="18"/>
                <w:szCs w:val="18"/>
              </w:rPr>
              <w:softHyphen/>
              <w:t>вора страхования объекта КС</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tcPr>
          <w:p w14:paraId="1D09C4D8"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(страхование объекта за свой счет)</w:t>
            </w:r>
          </w:p>
        </w:tc>
      </w:tr>
    </w:tbl>
    <w:p w14:paraId="6A63BBD9"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p w14:paraId="0F2A76CF" w14:textId="77777777" w:rsidR="00350396" w:rsidRPr="004E0FC4" w:rsidRDefault="00350396" w:rsidP="004E0FC4">
      <w:pPr>
        <w:widowControl w:val="0"/>
        <w:spacing w:line="240" w:lineRule="auto"/>
        <w:ind w:firstLine="0"/>
        <w:rPr>
          <w:rFonts w:ascii="Bookman Old Style" w:hAnsi="Bookman Old Style"/>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1320"/>
        <w:gridCol w:w="1742"/>
        <w:gridCol w:w="1618"/>
      </w:tblGrid>
      <w:tr w:rsidR="00350396" w:rsidRPr="004E0FC4" w14:paraId="6A85133E" w14:textId="77777777" w:rsidTr="006D7F71">
        <w:trPr>
          <w:trHeight w:hRule="exact" w:val="552"/>
          <w:jc w:val="center"/>
        </w:trPr>
        <w:tc>
          <w:tcPr>
            <w:tcW w:w="1896" w:type="dxa"/>
            <w:tcBorders>
              <w:top w:val="single" w:sz="4" w:space="0" w:color="auto"/>
              <w:left w:val="single" w:sz="4" w:space="0" w:color="auto"/>
            </w:tcBorders>
            <w:shd w:val="clear" w:color="auto" w:fill="FFFFFF"/>
            <w:vAlign w:val="center"/>
          </w:tcPr>
          <w:p w14:paraId="6B1CAA27"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Риск</w:t>
            </w:r>
          </w:p>
        </w:tc>
        <w:tc>
          <w:tcPr>
            <w:tcW w:w="1320" w:type="dxa"/>
            <w:tcBorders>
              <w:top w:val="single" w:sz="4" w:space="0" w:color="auto"/>
              <w:left w:val="single" w:sz="4" w:space="0" w:color="auto"/>
            </w:tcBorders>
            <w:shd w:val="clear" w:color="auto" w:fill="FFFFFF"/>
            <w:vAlign w:val="bottom"/>
          </w:tcPr>
          <w:p w14:paraId="45B89AE5"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Последствия</w:t>
            </w:r>
          </w:p>
          <w:p w14:paraId="561B1F6D"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риска</w:t>
            </w:r>
          </w:p>
        </w:tc>
        <w:tc>
          <w:tcPr>
            <w:tcW w:w="1742" w:type="dxa"/>
            <w:tcBorders>
              <w:top w:val="single" w:sz="4" w:space="0" w:color="auto"/>
              <w:left w:val="single" w:sz="4" w:space="0" w:color="auto"/>
            </w:tcBorders>
            <w:shd w:val="clear" w:color="auto" w:fill="FFFFFF"/>
            <w:vAlign w:val="bottom"/>
          </w:tcPr>
          <w:p w14:paraId="69918970"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Действия по пре</w:t>
            </w:r>
            <w:r w:rsidRPr="004E0FC4">
              <w:rPr>
                <w:rFonts w:ascii="Bookman Old Style" w:eastAsia="Bookman Old Style" w:hAnsi="Bookman Old Style" w:cs="Bookman Old Style"/>
                <w:b/>
                <w:bCs/>
                <w:color w:val="231F20"/>
                <w:sz w:val="18"/>
                <w:szCs w:val="18"/>
              </w:rPr>
              <w:softHyphen/>
              <w:t>дотвращению</w:t>
            </w:r>
          </w:p>
        </w:tc>
        <w:tc>
          <w:tcPr>
            <w:tcW w:w="1618" w:type="dxa"/>
            <w:tcBorders>
              <w:top w:val="single" w:sz="4" w:space="0" w:color="auto"/>
              <w:left w:val="single" w:sz="4" w:space="0" w:color="auto"/>
              <w:right w:val="single" w:sz="4" w:space="0" w:color="auto"/>
            </w:tcBorders>
            <w:shd w:val="clear" w:color="auto" w:fill="FFFFFF"/>
            <w:vAlign w:val="center"/>
          </w:tcPr>
          <w:p w14:paraId="0F527CA9" w14:textId="77777777" w:rsidR="00350396" w:rsidRPr="004E0FC4" w:rsidRDefault="00350396" w:rsidP="004E0FC4">
            <w:pPr>
              <w:framePr w:w="6576"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Владелец риска</w:t>
            </w:r>
          </w:p>
        </w:tc>
      </w:tr>
      <w:tr w:rsidR="00350396" w:rsidRPr="004E0FC4" w14:paraId="457ECB2F" w14:textId="77777777" w:rsidTr="006D7F71">
        <w:trPr>
          <w:trHeight w:hRule="exact" w:val="2587"/>
          <w:jc w:val="center"/>
        </w:trPr>
        <w:tc>
          <w:tcPr>
            <w:tcW w:w="1896" w:type="dxa"/>
            <w:tcBorders>
              <w:top w:val="single" w:sz="4" w:space="0" w:color="auto"/>
              <w:left w:val="single" w:sz="4" w:space="0" w:color="auto"/>
            </w:tcBorders>
            <w:shd w:val="clear" w:color="auto" w:fill="FFFFFF"/>
          </w:tcPr>
          <w:p w14:paraId="0E40260A"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ненад</w:t>
            </w:r>
            <w:r w:rsidRPr="004E0FC4">
              <w:rPr>
                <w:rFonts w:ascii="Bookman Old Style" w:eastAsia="Bookman Old Style" w:hAnsi="Bookman Old Style" w:cs="Bookman Old Style"/>
                <w:color w:val="231F20"/>
                <w:sz w:val="18"/>
                <w:szCs w:val="18"/>
              </w:rPr>
              <w:softHyphen/>
              <w:t>лежащего состояния объекта КС риск непринятия пере</w:t>
            </w:r>
            <w:r w:rsidRPr="004E0FC4">
              <w:rPr>
                <w:rFonts w:ascii="Bookman Old Style" w:eastAsia="Bookman Old Style" w:hAnsi="Bookman Old Style" w:cs="Bookman Old Style"/>
                <w:color w:val="231F20"/>
                <w:sz w:val="18"/>
                <w:szCs w:val="18"/>
              </w:rPr>
              <w:softHyphen/>
              <w:t>даточной комиссией объекта КС после окончания срока КС</w:t>
            </w:r>
          </w:p>
        </w:tc>
        <w:tc>
          <w:tcPr>
            <w:tcW w:w="1320" w:type="dxa"/>
            <w:tcBorders>
              <w:top w:val="single" w:sz="4" w:space="0" w:color="auto"/>
              <w:left w:val="single" w:sz="4" w:space="0" w:color="auto"/>
            </w:tcBorders>
            <w:shd w:val="clear" w:color="auto" w:fill="FFFFFF"/>
          </w:tcPr>
          <w:p w14:paraId="4E00126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Увеличение расходов по исправле</w:t>
            </w:r>
            <w:r w:rsidRPr="004E0FC4">
              <w:rPr>
                <w:rFonts w:ascii="Bookman Old Style" w:eastAsia="Bookman Old Style" w:hAnsi="Bookman Old Style" w:cs="Bookman Old Style"/>
                <w:color w:val="231F20"/>
                <w:sz w:val="18"/>
                <w:szCs w:val="18"/>
              </w:rPr>
              <w:softHyphen/>
              <w:t>нию наруше</w:t>
            </w:r>
            <w:r w:rsidRPr="004E0FC4">
              <w:rPr>
                <w:rFonts w:ascii="Bookman Old Style" w:eastAsia="Bookman Old Style" w:hAnsi="Bookman Old Style" w:cs="Bookman Old Style"/>
                <w:color w:val="231F20"/>
                <w:sz w:val="18"/>
                <w:szCs w:val="18"/>
              </w:rPr>
              <w:softHyphen/>
              <w:t>ний</w:t>
            </w:r>
          </w:p>
        </w:tc>
        <w:tc>
          <w:tcPr>
            <w:tcW w:w="1742" w:type="dxa"/>
            <w:tcBorders>
              <w:top w:val="single" w:sz="4" w:space="0" w:color="auto"/>
              <w:left w:val="single" w:sz="4" w:space="0" w:color="auto"/>
            </w:tcBorders>
            <w:shd w:val="clear" w:color="auto" w:fill="FFFFFF"/>
          </w:tcPr>
          <w:p w14:paraId="73CF62F7"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КС предусмотрено осуществление концессионером технического об</w:t>
            </w:r>
            <w:r w:rsidRPr="004E0FC4">
              <w:rPr>
                <w:rFonts w:ascii="Bookman Old Style" w:eastAsia="Bookman Old Style" w:hAnsi="Bookman Old Style" w:cs="Bookman Old Style"/>
                <w:color w:val="231F20"/>
                <w:sz w:val="18"/>
                <w:szCs w:val="18"/>
              </w:rPr>
              <w:softHyphen/>
              <w:t>служивания объек</w:t>
            </w:r>
            <w:r w:rsidRPr="004E0FC4">
              <w:rPr>
                <w:rFonts w:ascii="Bookman Old Style" w:eastAsia="Bookman Old Style" w:hAnsi="Bookman Old Style" w:cs="Bookman Old Style"/>
                <w:color w:val="231F20"/>
                <w:sz w:val="18"/>
                <w:szCs w:val="18"/>
              </w:rPr>
              <w:softHyphen/>
              <w:t>та КС,реновации оборудования</w:t>
            </w:r>
          </w:p>
        </w:tc>
        <w:tc>
          <w:tcPr>
            <w:tcW w:w="1618" w:type="dxa"/>
            <w:tcBorders>
              <w:top w:val="single" w:sz="4" w:space="0" w:color="auto"/>
              <w:left w:val="single" w:sz="4" w:space="0" w:color="auto"/>
              <w:right w:val="single" w:sz="4" w:space="0" w:color="auto"/>
            </w:tcBorders>
            <w:shd w:val="clear" w:color="auto" w:fill="FFFFFF"/>
            <w:vAlign w:val="center"/>
          </w:tcPr>
          <w:p w14:paraId="7614A499"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 (обязанность по содержанию объекта в над</w:t>
            </w:r>
            <w:r w:rsidRPr="004E0FC4">
              <w:rPr>
                <w:rFonts w:ascii="Bookman Old Style" w:eastAsia="Bookman Old Style" w:hAnsi="Bookman Old Style" w:cs="Bookman Old Style"/>
                <w:color w:val="231F20"/>
                <w:sz w:val="18"/>
                <w:szCs w:val="18"/>
              </w:rPr>
              <w:softHyphen/>
              <w:t>лежащем со</w:t>
            </w:r>
            <w:r w:rsidRPr="004E0FC4">
              <w:rPr>
                <w:rFonts w:ascii="Bookman Old Style" w:eastAsia="Bookman Old Style" w:hAnsi="Bookman Old Style" w:cs="Bookman Old Style"/>
                <w:color w:val="231F20"/>
                <w:sz w:val="18"/>
                <w:szCs w:val="18"/>
              </w:rPr>
              <w:softHyphen/>
              <w:t>стоянии, ком</w:t>
            </w:r>
            <w:r w:rsidRPr="004E0FC4">
              <w:rPr>
                <w:rFonts w:ascii="Bookman Old Style" w:eastAsia="Bookman Old Style" w:hAnsi="Bookman Old Style" w:cs="Bookman Old Style"/>
                <w:color w:val="231F20"/>
                <w:sz w:val="18"/>
                <w:szCs w:val="18"/>
              </w:rPr>
              <w:softHyphen/>
              <w:t>пенсация затрат</w:t>
            </w:r>
          </w:p>
          <w:p w14:paraId="10FB7FFD"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концедента</w:t>
            </w:r>
          </w:p>
          <w:p w14:paraId="1B69D0DF"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 приведение объекта в надле</w:t>
            </w:r>
            <w:r w:rsidRPr="004E0FC4">
              <w:rPr>
                <w:rFonts w:ascii="Bookman Old Style" w:eastAsia="Bookman Old Style" w:hAnsi="Bookman Old Style" w:cs="Bookman Old Style"/>
                <w:color w:val="231F20"/>
                <w:sz w:val="18"/>
                <w:szCs w:val="18"/>
              </w:rPr>
              <w:softHyphen/>
              <w:t>жащий вид)</w:t>
            </w:r>
          </w:p>
        </w:tc>
      </w:tr>
      <w:tr w:rsidR="00350396" w:rsidRPr="004E0FC4" w14:paraId="08B94225" w14:textId="77777777" w:rsidTr="006D7F71">
        <w:trPr>
          <w:trHeight w:hRule="exact" w:val="427"/>
          <w:jc w:val="center"/>
        </w:trPr>
        <w:tc>
          <w:tcPr>
            <w:tcW w:w="6576" w:type="dxa"/>
            <w:gridSpan w:val="4"/>
            <w:tcBorders>
              <w:top w:val="single" w:sz="4" w:space="0" w:color="auto"/>
              <w:left w:val="single" w:sz="4" w:space="0" w:color="auto"/>
              <w:right w:val="single" w:sz="4" w:space="0" w:color="auto"/>
            </w:tcBorders>
            <w:shd w:val="clear" w:color="auto" w:fill="FFFFFF"/>
            <w:vAlign w:val="center"/>
          </w:tcPr>
          <w:p w14:paraId="2C45B18D" w14:textId="77777777" w:rsidR="00350396" w:rsidRPr="004E0FC4" w:rsidRDefault="00350396" w:rsidP="004E0FC4">
            <w:pPr>
              <w:framePr w:w="6576" w:wrap="notBeside" w:vAnchor="text" w:hAnchor="text" w:xAlign="center" w:y="1"/>
              <w:widowControl w:val="0"/>
              <w:spacing w:line="168"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6. </w:t>
            </w:r>
            <w:r w:rsidRPr="004E0FC4">
              <w:rPr>
                <w:rFonts w:ascii="Bookman Old Style" w:eastAsia="Bookman Old Style" w:hAnsi="Bookman Old Style" w:cs="Bookman Old Style"/>
                <w:i/>
                <w:iCs/>
                <w:color w:val="231F20"/>
                <w:sz w:val="18"/>
                <w:szCs w:val="18"/>
              </w:rPr>
              <w:t>Общие риски</w:t>
            </w:r>
          </w:p>
        </w:tc>
      </w:tr>
      <w:tr w:rsidR="00350396" w:rsidRPr="004E0FC4" w14:paraId="173BEAEF" w14:textId="77777777" w:rsidTr="006D7F71">
        <w:trPr>
          <w:trHeight w:hRule="exact" w:val="1978"/>
          <w:jc w:val="center"/>
        </w:trPr>
        <w:tc>
          <w:tcPr>
            <w:tcW w:w="1896" w:type="dxa"/>
            <w:tcBorders>
              <w:top w:val="single" w:sz="4" w:space="0" w:color="auto"/>
              <w:left w:val="single" w:sz="4" w:space="0" w:color="auto"/>
            </w:tcBorders>
            <w:shd w:val="clear" w:color="auto" w:fill="FFFFFF"/>
            <w:vAlign w:val="center"/>
          </w:tcPr>
          <w:p w14:paraId="462B49B3"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неправо</w:t>
            </w:r>
            <w:r w:rsidRPr="004E0FC4">
              <w:rPr>
                <w:rFonts w:ascii="Bookman Old Style" w:eastAsia="Bookman Old Style" w:hAnsi="Bookman Old Style" w:cs="Bookman Old Style"/>
                <w:color w:val="231F20"/>
                <w:sz w:val="18"/>
                <w:szCs w:val="18"/>
              </w:rPr>
              <w:softHyphen/>
              <w:t>мочного действия или бездействия органа власти есть</w:t>
            </w:r>
          </w:p>
          <w:p w14:paraId="05B74414"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риск задержки или</w:t>
            </w:r>
          </w:p>
          <w:p w14:paraId="62BB63E4" w14:textId="77777777" w:rsidR="00350396" w:rsidRPr="004E0FC4" w:rsidRDefault="00350396" w:rsidP="004E0FC4">
            <w:pPr>
              <w:framePr w:w="6576"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отказа в выдаче не</w:t>
            </w:r>
            <w:r w:rsidRPr="004E0FC4">
              <w:rPr>
                <w:rFonts w:ascii="Bookman Old Style" w:eastAsia="Bookman Old Style" w:hAnsi="Bookman Old Style" w:cs="Bookman Old Style"/>
                <w:color w:val="231F20"/>
                <w:sz w:val="18"/>
                <w:szCs w:val="18"/>
              </w:rPr>
              <w:softHyphen/>
              <w:t>обходимого разреше</w:t>
            </w:r>
            <w:r w:rsidRPr="004E0FC4">
              <w:rPr>
                <w:rFonts w:ascii="Bookman Old Style" w:eastAsia="Bookman Old Style" w:hAnsi="Bookman Old Style" w:cs="Bookman Old Style"/>
                <w:color w:val="231F20"/>
                <w:sz w:val="18"/>
                <w:szCs w:val="18"/>
              </w:rPr>
              <w:softHyphen/>
              <w:t>ния, согласования</w:t>
            </w:r>
          </w:p>
        </w:tc>
        <w:tc>
          <w:tcPr>
            <w:tcW w:w="1320" w:type="dxa"/>
            <w:tcBorders>
              <w:top w:val="single" w:sz="4" w:space="0" w:color="auto"/>
              <w:left w:val="single" w:sz="4" w:space="0" w:color="auto"/>
            </w:tcBorders>
            <w:shd w:val="clear" w:color="auto" w:fill="FFFFFF"/>
          </w:tcPr>
          <w:p w14:paraId="49F41D9C"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Нарушение сроков КС не по вине</w:t>
            </w:r>
          </w:p>
          <w:p w14:paraId="3520C636"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w:t>
            </w:r>
            <w:r w:rsidRPr="004E0FC4">
              <w:rPr>
                <w:rFonts w:ascii="Bookman Old Style" w:eastAsia="Bookman Old Style" w:hAnsi="Bookman Old Style" w:cs="Bookman Old Style"/>
                <w:color w:val="231F20"/>
                <w:sz w:val="18"/>
                <w:szCs w:val="18"/>
              </w:rPr>
              <w:softHyphen/>
            </w:r>
          </w:p>
          <w:p w14:paraId="4560C59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нера</w:t>
            </w:r>
          </w:p>
        </w:tc>
        <w:tc>
          <w:tcPr>
            <w:tcW w:w="1742" w:type="dxa"/>
            <w:tcBorders>
              <w:top w:val="single" w:sz="4" w:space="0" w:color="auto"/>
              <w:left w:val="single" w:sz="4" w:space="0" w:color="auto"/>
            </w:tcBorders>
            <w:shd w:val="clear" w:color="auto" w:fill="FFFFFF"/>
          </w:tcPr>
          <w:p w14:paraId="2C89A9CB"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Административ</w:t>
            </w:r>
            <w:r w:rsidRPr="004E0FC4">
              <w:rPr>
                <w:rFonts w:ascii="Bookman Old Style" w:eastAsia="Bookman Old Style" w:hAnsi="Bookman Old Style" w:cs="Bookman Old Style"/>
                <w:color w:val="231F20"/>
                <w:sz w:val="18"/>
                <w:szCs w:val="18"/>
              </w:rPr>
              <w:softHyphen/>
              <w:t>ный ресурс</w:t>
            </w:r>
          </w:p>
        </w:tc>
        <w:tc>
          <w:tcPr>
            <w:tcW w:w="1618" w:type="dxa"/>
            <w:tcBorders>
              <w:top w:val="single" w:sz="4" w:space="0" w:color="auto"/>
              <w:left w:val="single" w:sz="4" w:space="0" w:color="auto"/>
              <w:right w:val="single" w:sz="4" w:space="0" w:color="auto"/>
            </w:tcBorders>
            <w:shd w:val="clear" w:color="auto" w:fill="FFFFFF"/>
          </w:tcPr>
          <w:p w14:paraId="3843AC76" w14:textId="77777777" w:rsidR="00350396" w:rsidRPr="004E0FC4" w:rsidRDefault="00350396" w:rsidP="004E0FC4">
            <w:pPr>
              <w:framePr w:w="6576"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(прод</w:t>
            </w:r>
            <w:r w:rsidRPr="004E0FC4">
              <w:rPr>
                <w:rFonts w:ascii="Bookman Old Style" w:eastAsia="Bookman Old Style" w:hAnsi="Bookman Old Style" w:cs="Bookman Old Style"/>
                <w:color w:val="231F20"/>
                <w:sz w:val="18"/>
                <w:szCs w:val="18"/>
              </w:rPr>
              <w:softHyphen/>
              <w:t>ление сроков без штрафных санк</w:t>
            </w:r>
            <w:r w:rsidRPr="004E0FC4">
              <w:rPr>
                <w:rFonts w:ascii="Bookman Old Style" w:eastAsia="Bookman Old Style" w:hAnsi="Bookman Old Style" w:cs="Bookman Old Style"/>
                <w:color w:val="231F20"/>
                <w:sz w:val="18"/>
                <w:szCs w:val="18"/>
              </w:rPr>
              <w:softHyphen/>
              <w:t>ций для концес</w:t>
            </w:r>
            <w:r w:rsidRPr="004E0FC4">
              <w:rPr>
                <w:rFonts w:ascii="Bookman Old Style" w:eastAsia="Bookman Old Style" w:hAnsi="Bookman Old Style" w:cs="Bookman Old Style"/>
                <w:color w:val="231F20"/>
                <w:sz w:val="18"/>
                <w:szCs w:val="18"/>
              </w:rPr>
              <w:softHyphen/>
              <w:t>сионера)</w:t>
            </w:r>
          </w:p>
        </w:tc>
      </w:tr>
      <w:tr w:rsidR="00350396" w:rsidRPr="004E0FC4" w14:paraId="7D792CAB" w14:textId="77777777" w:rsidTr="006D7F71">
        <w:trPr>
          <w:trHeight w:hRule="exact" w:val="2237"/>
          <w:jc w:val="center"/>
        </w:trPr>
        <w:tc>
          <w:tcPr>
            <w:tcW w:w="1896" w:type="dxa"/>
            <w:tcBorders>
              <w:top w:val="single" w:sz="4" w:space="0" w:color="auto"/>
              <w:left w:val="single" w:sz="4" w:space="0" w:color="auto"/>
            </w:tcBorders>
            <w:shd w:val="clear" w:color="auto" w:fill="FFFFFF"/>
          </w:tcPr>
          <w:p w14:paraId="70B091E9"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измене</w:t>
            </w:r>
            <w:r w:rsidRPr="004E0FC4">
              <w:rPr>
                <w:rFonts w:ascii="Bookman Old Style" w:eastAsia="Bookman Old Style" w:hAnsi="Bookman Old Style" w:cs="Bookman Old Style"/>
                <w:color w:val="231F20"/>
                <w:sz w:val="18"/>
                <w:szCs w:val="18"/>
              </w:rPr>
              <w:softHyphen/>
              <w:t>ния законодатель</w:t>
            </w:r>
            <w:r w:rsidRPr="004E0FC4">
              <w:rPr>
                <w:rFonts w:ascii="Bookman Old Style" w:eastAsia="Bookman Old Style" w:hAnsi="Bookman Old Style" w:cs="Bookman Old Style"/>
                <w:color w:val="231F20"/>
                <w:sz w:val="18"/>
                <w:szCs w:val="18"/>
              </w:rPr>
              <w:softHyphen/>
              <w:t>ства, влекущего уве</w:t>
            </w:r>
            <w:r w:rsidRPr="004E0FC4">
              <w:rPr>
                <w:rFonts w:ascii="Bookman Old Style" w:eastAsia="Bookman Old Style" w:hAnsi="Bookman Old Style" w:cs="Bookman Old Style"/>
                <w:color w:val="231F20"/>
                <w:sz w:val="18"/>
                <w:szCs w:val="18"/>
              </w:rPr>
              <w:softHyphen/>
              <w:t>личение совокупной налоговой нагрузки, есть риск изменения финансовых показа</w:t>
            </w:r>
            <w:r w:rsidRPr="004E0FC4">
              <w:rPr>
                <w:rFonts w:ascii="Bookman Old Style" w:eastAsia="Bookman Old Style" w:hAnsi="Bookman Old Style" w:cs="Bookman Old Style"/>
                <w:color w:val="231F20"/>
                <w:sz w:val="18"/>
                <w:szCs w:val="18"/>
              </w:rPr>
              <w:softHyphen/>
              <w:t>телей проекта</w:t>
            </w:r>
          </w:p>
        </w:tc>
        <w:tc>
          <w:tcPr>
            <w:tcW w:w="1320" w:type="dxa"/>
            <w:tcBorders>
              <w:top w:val="single" w:sz="4" w:space="0" w:color="auto"/>
              <w:left w:val="single" w:sz="4" w:space="0" w:color="auto"/>
            </w:tcBorders>
            <w:shd w:val="clear" w:color="auto" w:fill="FFFFFF"/>
          </w:tcPr>
          <w:p w14:paraId="40DA9599"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Внесение</w:t>
            </w:r>
          </w:p>
          <w:p w14:paraId="1CA9F576"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изменений в КС в части сроков / прекращение КС, выплата компенсации</w:t>
            </w:r>
          </w:p>
        </w:tc>
        <w:tc>
          <w:tcPr>
            <w:tcW w:w="1742" w:type="dxa"/>
            <w:tcBorders>
              <w:top w:val="single" w:sz="4" w:space="0" w:color="auto"/>
              <w:left w:val="single" w:sz="4" w:space="0" w:color="auto"/>
            </w:tcBorders>
            <w:shd w:val="clear" w:color="auto" w:fill="FFFFFF"/>
          </w:tcPr>
          <w:p w14:paraId="3F3A7267"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Заключение до</w:t>
            </w:r>
            <w:r w:rsidRPr="004E0FC4">
              <w:rPr>
                <w:rFonts w:ascii="Bookman Old Style" w:eastAsia="Bookman Old Style" w:hAnsi="Bookman Old Style" w:cs="Bookman Old Style"/>
                <w:color w:val="231F20"/>
                <w:sz w:val="18"/>
                <w:szCs w:val="18"/>
              </w:rPr>
              <w:softHyphen/>
              <w:t>полнительного</w:t>
            </w:r>
          </w:p>
          <w:p w14:paraId="4043BEA5"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в це</w:t>
            </w:r>
            <w:r w:rsidRPr="004E0FC4">
              <w:rPr>
                <w:rFonts w:ascii="Bookman Old Style" w:eastAsia="Bookman Old Style" w:hAnsi="Bookman Old Style" w:cs="Bookman Old Style"/>
                <w:color w:val="231F20"/>
                <w:sz w:val="18"/>
                <w:szCs w:val="18"/>
              </w:rPr>
              <w:softHyphen/>
              <w:t>лях достижения договоренностей в случае наступле</w:t>
            </w:r>
            <w:r w:rsidRPr="004E0FC4">
              <w:rPr>
                <w:rFonts w:ascii="Bookman Old Style" w:eastAsia="Bookman Old Style" w:hAnsi="Bookman Old Style" w:cs="Bookman Old Style"/>
                <w:color w:val="231F20"/>
                <w:sz w:val="18"/>
                <w:szCs w:val="18"/>
              </w:rPr>
              <w:softHyphen/>
              <w:t>ния события (при</w:t>
            </w:r>
            <w:r w:rsidRPr="004E0FC4">
              <w:rPr>
                <w:rFonts w:ascii="Bookman Old Style" w:eastAsia="Bookman Old Style" w:hAnsi="Bookman Old Style" w:cs="Bookman Old Style"/>
                <w:color w:val="231F20"/>
                <w:sz w:val="18"/>
                <w:szCs w:val="18"/>
              </w:rPr>
              <w:softHyphen/>
              <w:t>нятие риска)</w:t>
            </w:r>
          </w:p>
        </w:tc>
        <w:tc>
          <w:tcPr>
            <w:tcW w:w="1618" w:type="dxa"/>
            <w:tcBorders>
              <w:top w:val="single" w:sz="4" w:space="0" w:color="auto"/>
              <w:left w:val="single" w:sz="4" w:space="0" w:color="auto"/>
              <w:right w:val="single" w:sz="4" w:space="0" w:color="auto"/>
            </w:tcBorders>
            <w:shd w:val="clear" w:color="auto" w:fill="FFFFFF"/>
            <w:vAlign w:val="center"/>
          </w:tcPr>
          <w:p w14:paraId="01F5A8FF"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(прод</w:t>
            </w:r>
            <w:r w:rsidRPr="004E0FC4">
              <w:rPr>
                <w:rFonts w:ascii="Bookman Old Style" w:eastAsia="Bookman Old Style" w:hAnsi="Bookman Old Style" w:cs="Bookman Old Style"/>
                <w:color w:val="231F20"/>
                <w:sz w:val="18"/>
                <w:szCs w:val="18"/>
              </w:rPr>
              <w:softHyphen/>
              <w:t>ление сроков без штрафных санкций для концессионера /</w:t>
            </w:r>
          </w:p>
          <w:p w14:paraId="4860E513"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выплата компен</w:t>
            </w:r>
            <w:r w:rsidRPr="004E0FC4">
              <w:rPr>
                <w:rFonts w:ascii="Bookman Old Style" w:eastAsia="Bookman Old Style" w:hAnsi="Bookman Old Style" w:cs="Bookman Old Style"/>
                <w:color w:val="231F20"/>
                <w:sz w:val="18"/>
                <w:szCs w:val="18"/>
              </w:rPr>
              <w:softHyphen/>
              <w:t>сации в случае</w:t>
            </w:r>
          </w:p>
          <w:p w14:paraId="4840EAB6"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расторжения по ОО)</w:t>
            </w:r>
          </w:p>
        </w:tc>
      </w:tr>
      <w:tr w:rsidR="00350396" w:rsidRPr="004E0FC4" w14:paraId="595DADB2" w14:textId="77777777" w:rsidTr="006D7F71">
        <w:trPr>
          <w:trHeight w:hRule="exact" w:val="3230"/>
          <w:jc w:val="center"/>
        </w:trPr>
        <w:tc>
          <w:tcPr>
            <w:tcW w:w="1896" w:type="dxa"/>
            <w:tcBorders>
              <w:top w:val="single" w:sz="4" w:space="0" w:color="auto"/>
              <w:left w:val="single" w:sz="4" w:space="0" w:color="auto"/>
              <w:bottom w:val="single" w:sz="4" w:space="0" w:color="auto"/>
            </w:tcBorders>
            <w:shd w:val="clear" w:color="auto" w:fill="FFFFFF"/>
          </w:tcPr>
          <w:p w14:paraId="2CB3932F"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По причине из</w:t>
            </w:r>
            <w:r w:rsidRPr="004E0FC4">
              <w:rPr>
                <w:rFonts w:ascii="Bookman Old Style" w:eastAsia="Bookman Old Style" w:hAnsi="Bookman Old Style" w:cs="Bookman Old Style"/>
                <w:color w:val="231F20"/>
                <w:sz w:val="18"/>
                <w:szCs w:val="18"/>
              </w:rPr>
              <w:softHyphen/>
              <w:t>менения законода</w:t>
            </w:r>
            <w:r w:rsidRPr="004E0FC4">
              <w:rPr>
                <w:rFonts w:ascii="Bookman Old Style" w:eastAsia="Bookman Old Style" w:hAnsi="Bookman Old Style" w:cs="Bookman Old Style"/>
                <w:color w:val="231F20"/>
                <w:sz w:val="18"/>
                <w:szCs w:val="18"/>
              </w:rPr>
              <w:softHyphen/>
              <w:t>тельства, влекущего необходимость</w:t>
            </w:r>
          </w:p>
          <w:p w14:paraId="00223DAE"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изменения технико</w:t>
            </w:r>
            <w:r w:rsidRPr="004E0FC4">
              <w:rPr>
                <w:rFonts w:ascii="Bookman Old Style" w:eastAsia="Bookman Old Style" w:hAnsi="Bookman Old Style" w:cs="Bookman Old Style"/>
                <w:color w:val="231F20"/>
                <w:sz w:val="18"/>
                <w:szCs w:val="18"/>
              </w:rPr>
              <w:softHyphen/>
              <w:t>экономических пока</w:t>
            </w:r>
            <w:r w:rsidRPr="004E0FC4">
              <w:rPr>
                <w:rFonts w:ascii="Bookman Old Style" w:eastAsia="Bookman Old Style" w:hAnsi="Bookman Old Style" w:cs="Bookman Old Style"/>
                <w:color w:val="231F20"/>
                <w:sz w:val="18"/>
                <w:szCs w:val="18"/>
              </w:rPr>
              <w:softHyphen/>
              <w:t>зателей объекта КС, есть риск невозмож</w:t>
            </w:r>
            <w:r w:rsidRPr="004E0FC4">
              <w:rPr>
                <w:rFonts w:ascii="Bookman Old Style" w:eastAsia="Bookman Old Style" w:hAnsi="Bookman Old Style" w:cs="Bookman Old Style"/>
                <w:color w:val="231F20"/>
                <w:sz w:val="18"/>
                <w:szCs w:val="18"/>
              </w:rPr>
              <w:softHyphen/>
              <w:t>ности осуществления</w:t>
            </w:r>
          </w:p>
          <w:p w14:paraId="3CA4FA41"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концессионером работ по реконструк</w:t>
            </w:r>
            <w:r w:rsidRPr="004E0FC4">
              <w:rPr>
                <w:rFonts w:ascii="Bookman Old Style" w:eastAsia="Bookman Old Style" w:hAnsi="Bookman Old Style" w:cs="Bookman Old Style"/>
                <w:color w:val="231F20"/>
                <w:sz w:val="18"/>
                <w:szCs w:val="18"/>
              </w:rPr>
              <w:softHyphen/>
              <w:t>ции и эксплуатации объекта КС</w:t>
            </w:r>
          </w:p>
        </w:tc>
        <w:tc>
          <w:tcPr>
            <w:tcW w:w="1320" w:type="dxa"/>
            <w:tcBorders>
              <w:top w:val="single" w:sz="4" w:space="0" w:color="auto"/>
              <w:left w:val="single" w:sz="4" w:space="0" w:color="auto"/>
              <w:bottom w:val="single" w:sz="4" w:space="0" w:color="auto"/>
            </w:tcBorders>
            <w:shd w:val="clear" w:color="auto" w:fill="FFFFFF"/>
          </w:tcPr>
          <w:p w14:paraId="20215261"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Внесение</w:t>
            </w:r>
          </w:p>
          <w:p w14:paraId="39620F08"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изменений в КС в части сроков / прекращение КС, выплата компенсации</w:t>
            </w:r>
          </w:p>
        </w:tc>
        <w:tc>
          <w:tcPr>
            <w:tcW w:w="1742" w:type="dxa"/>
            <w:tcBorders>
              <w:top w:val="single" w:sz="4" w:space="0" w:color="auto"/>
              <w:left w:val="single" w:sz="4" w:space="0" w:color="auto"/>
              <w:bottom w:val="single" w:sz="4" w:space="0" w:color="auto"/>
            </w:tcBorders>
            <w:shd w:val="clear" w:color="auto" w:fill="FFFFFF"/>
          </w:tcPr>
          <w:p w14:paraId="01E77DCD"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Заключение до</w:t>
            </w:r>
            <w:r w:rsidRPr="004E0FC4">
              <w:rPr>
                <w:rFonts w:ascii="Bookman Old Style" w:eastAsia="Bookman Old Style" w:hAnsi="Bookman Old Style" w:cs="Bookman Old Style"/>
                <w:color w:val="231F20"/>
                <w:sz w:val="18"/>
                <w:szCs w:val="18"/>
              </w:rPr>
              <w:softHyphen/>
              <w:t>полнительного</w:t>
            </w:r>
          </w:p>
          <w:p w14:paraId="28D1D76C"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соглашения в це</w:t>
            </w:r>
            <w:r w:rsidRPr="004E0FC4">
              <w:rPr>
                <w:rFonts w:ascii="Bookman Old Style" w:eastAsia="Bookman Old Style" w:hAnsi="Bookman Old Style" w:cs="Bookman Old Style"/>
                <w:color w:val="231F20"/>
                <w:sz w:val="18"/>
                <w:szCs w:val="18"/>
              </w:rPr>
              <w:softHyphen/>
              <w:t>лях достижения договоренностей в случае наступле</w:t>
            </w:r>
            <w:r w:rsidRPr="004E0FC4">
              <w:rPr>
                <w:rFonts w:ascii="Bookman Old Style" w:eastAsia="Bookman Old Style" w:hAnsi="Bookman Old Style" w:cs="Bookman Old Style"/>
                <w:color w:val="231F20"/>
                <w:sz w:val="18"/>
                <w:szCs w:val="18"/>
              </w:rPr>
              <w:softHyphen/>
              <w:t>ния события (при</w:t>
            </w:r>
            <w:r w:rsidRPr="004E0FC4">
              <w:rPr>
                <w:rFonts w:ascii="Bookman Old Style" w:eastAsia="Bookman Old Style" w:hAnsi="Bookman Old Style" w:cs="Bookman Old Style"/>
                <w:color w:val="231F20"/>
                <w:sz w:val="18"/>
                <w:szCs w:val="18"/>
              </w:rPr>
              <w:softHyphen/>
              <w:t>нятие риска)</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14:paraId="15421BB0"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Концедент прод</w:t>
            </w:r>
            <w:r w:rsidRPr="004E0FC4">
              <w:rPr>
                <w:rFonts w:ascii="Bookman Old Style" w:eastAsia="Bookman Old Style" w:hAnsi="Bookman Old Style" w:cs="Bookman Old Style"/>
                <w:color w:val="231F20"/>
                <w:sz w:val="18"/>
                <w:szCs w:val="18"/>
              </w:rPr>
              <w:softHyphen/>
              <w:t>ление сроков (без штрафных санкций для концессионера /</w:t>
            </w:r>
          </w:p>
          <w:p w14:paraId="242CE410"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выплата компен</w:t>
            </w:r>
            <w:r w:rsidRPr="004E0FC4">
              <w:rPr>
                <w:rFonts w:ascii="Bookman Old Style" w:eastAsia="Bookman Old Style" w:hAnsi="Bookman Old Style" w:cs="Bookman Old Style"/>
                <w:color w:val="231F20"/>
                <w:sz w:val="18"/>
                <w:szCs w:val="18"/>
              </w:rPr>
              <w:softHyphen/>
              <w:t>сации в случае</w:t>
            </w:r>
          </w:p>
          <w:p w14:paraId="69360B55" w14:textId="77777777" w:rsidR="00350396" w:rsidRPr="004E0FC4" w:rsidRDefault="00350396" w:rsidP="004E0FC4">
            <w:pPr>
              <w:framePr w:w="6576" w:wrap="notBeside" w:vAnchor="text" w:hAnchor="text" w:xAlign="center" w:y="1"/>
              <w:widowControl w:val="0"/>
              <w:spacing w:line="22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расторжения по ОО — особым обстоятельствам)</w:t>
            </w:r>
          </w:p>
        </w:tc>
      </w:tr>
    </w:tbl>
    <w:p w14:paraId="79DD5C21" w14:textId="77777777" w:rsidR="00350396" w:rsidRPr="004E0FC4" w:rsidRDefault="00350396" w:rsidP="004E0FC4">
      <w:pPr>
        <w:framePr w:w="6576" w:wrap="notBeside" w:vAnchor="text" w:hAnchor="text" w:xAlign="center" w:y="1"/>
        <w:widowControl w:val="0"/>
        <w:spacing w:line="240" w:lineRule="auto"/>
        <w:ind w:firstLine="0"/>
        <w:rPr>
          <w:rFonts w:ascii="Bookman Old Style" w:hAnsi="Bookman Old Style"/>
          <w:sz w:val="18"/>
          <w:szCs w:val="18"/>
        </w:rPr>
      </w:pPr>
    </w:p>
    <w:p w14:paraId="3C244F5B" w14:textId="77777777" w:rsidR="00350396" w:rsidRPr="004E0FC4" w:rsidRDefault="00350396" w:rsidP="004E0FC4">
      <w:pPr>
        <w:widowControl w:val="0"/>
        <w:spacing w:line="240" w:lineRule="auto"/>
        <w:ind w:firstLine="0"/>
        <w:rPr>
          <w:rFonts w:ascii="Bookman Old Style" w:hAnsi="Bookman Old Style"/>
          <w:sz w:val="18"/>
          <w:szCs w:val="18"/>
        </w:rPr>
      </w:pPr>
    </w:p>
    <w:p w14:paraId="58052927"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headerReference w:type="even" r:id="rId90"/>
          <w:headerReference w:type="default" r:id="rId91"/>
          <w:footerReference w:type="even" r:id="rId92"/>
          <w:footerReference w:type="default" r:id="rId93"/>
          <w:headerReference w:type="first" r:id="rId94"/>
          <w:footerReference w:type="first" r:id="rId95"/>
          <w:pgSz w:w="8789" w:h="13493"/>
          <w:pgMar w:top="1173" w:right="1109" w:bottom="1041" w:left="1104" w:header="0" w:footer="3" w:gutter="0"/>
          <w:cols w:space="720"/>
          <w:noEndnote/>
          <w:titlePg/>
          <w:docGrid w:linePitch="360"/>
        </w:sectPr>
      </w:pPr>
    </w:p>
    <w:p w14:paraId="5908A7DD" w14:textId="77777777" w:rsidR="00350396" w:rsidRPr="004E0FC4" w:rsidRDefault="00350396" w:rsidP="004E0FC4">
      <w:pPr>
        <w:widowControl w:val="0"/>
        <w:spacing w:after="62" w:line="20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lastRenderedPageBreak/>
        <w:t>Задания</w:t>
      </w:r>
    </w:p>
    <w:p w14:paraId="3C1CBC4D" w14:textId="77777777" w:rsidR="00350396" w:rsidRPr="004E0FC4" w:rsidRDefault="00350396" w:rsidP="004E0FC4">
      <w:pPr>
        <w:widowControl w:val="0"/>
        <w:numPr>
          <w:ilvl w:val="0"/>
          <w:numId w:val="96"/>
        </w:numPr>
        <w:tabs>
          <w:tab w:val="left" w:pos="631"/>
        </w:tabs>
        <w:spacing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Выясните, какие компании в вашем регионе выступают ини</w:t>
      </w:r>
      <w:r w:rsidRPr="004E0FC4">
        <w:rPr>
          <w:rFonts w:ascii="Bookman Old Style" w:eastAsia="Bookman Old Style" w:hAnsi="Bookman Old Style" w:cs="Bookman Old Style"/>
          <w:color w:val="231F20"/>
          <w:sz w:val="18"/>
          <w:szCs w:val="18"/>
        </w:rPr>
        <w:softHyphen/>
        <w:t>циаторами заключения соглашений о ГЧП на региональном и му</w:t>
      </w:r>
      <w:r w:rsidRPr="004E0FC4">
        <w:rPr>
          <w:rFonts w:ascii="Bookman Old Style" w:eastAsia="Bookman Old Style" w:hAnsi="Bookman Old Style" w:cs="Bookman Old Style"/>
          <w:color w:val="231F20"/>
          <w:sz w:val="18"/>
          <w:szCs w:val="18"/>
        </w:rPr>
        <w:softHyphen/>
        <w:t>ниципальном уровнях. Каковы предлагаемые условия? (База про</w:t>
      </w:r>
      <w:r w:rsidRPr="004E0FC4">
        <w:rPr>
          <w:rFonts w:ascii="Bookman Old Style" w:eastAsia="Bookman Old Style" w:hAnsi="Bookman Old Style" w:cs="Bookman Old Style"/>
          <w:color w:val="231F20"/>
          <w:sz w:val="18"/>
          <w:szCs w:val="18"/>
        </w:rPr>
        <w:softHyphen/>
        <w:t xml:space="preserve">ектов ГЧП — </w:t>
      </w:r>
      <w:hyperlink r:id="rId96" w:history="1">
        <w:r w:rsidRPr="004E0FC4">
          <w:rPr>
            <w:rFonts w:ascii="Bookman Old Style" w:eastAsia="Bookman Old Style" w:hAnsi="Bookman Old Style" w:cs="Bookman Old Style"/>
            <w:i/>
            <w:iCs/>
            <w:color w:val="231F20"/>
            <w:sz w:val="18"/>
            <w:szCs w:val="18"/>
            <w:lang w:val="en-US" w:eastAsia="en-US" w:bidi="en-US"/>
          </w:rPr>
          <w:t>http</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www</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pppi</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ru</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i/>
            <w:iCs/>
            <w:color w:val="231F20"/>
            <w:sz w:val="18"/>
            <w:szCs w:val="18"/>
            <w:lang w:val="en-US" w:eastAsia="en-US" w:bidi="en-US"/>
          </w:rPr>
          <w:t>projects</w:t>
        </w:r>
      </w:hyperlink>
      <w:r w:rsidRPr="004E0FC4">
        <w:rPr>
          <w:rFonts w:ascii="Bookman Old Style" w:eastAsia="Bookman Old Style" w:hAnsi="Bookman Old Style" w:cs="Bookman Old Style"/>
          <w:i/>
          <w:iCs/>
          <w:color w:val="231F20"/>
          <w:sz w:val="18"/>
          <w:szCs w:val="18"/>
          <w:lang w:eastAsia="en-US" w:bidi="en-US"/>
        </w:rPr>
        <w:t>).</w:t>
      </w:r>
    </w:p>
    <w:p w14:paraId="3570A8D8" w14:textId="77777777" w:rsidR="00350396" w:rsidRPr="004E0FC4" w:rsidRDefault="00350396" w:rsidP="004E0FC4">
      <w:pPr>
        <w:widowControl w:val="0"/>
        <w:numPr>
          <w:ilvl w:val="0"/>
          <w:numId w:val="96"/>
        </w:numPr>
        <w:tabs>
          <w:tab w:val="left" w:pos="631"/>
        </w:tabs>
        <w:spacing w:after="238" w:line="250"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Выберите один из примеров реализации проекта ГЧП в ва</w:t>
      </w:r>
      <w:r w:rsidRPr="004E0FC4">
        <w:rPr>
          <w:rFonts w:ascii="Bookman Old Style" w:eastAsia="Bookman Old Style" w:hAnsi="Bookman Old Style" w:cs="Bookman Old Style"/>
          <w:color w:val="231F20"/>
          <w:sz w:val="18"/>
          <w:szCs w:val="18"/>
        </w:rPr>
        <w:softHyphen/>
        <w:t>шем родном регионе, опишите его организационные, финансовые условия, по возможности — состав рисков и их распределение меж</w:t>
      </w:r>
      <w:r w:rsidRPr="004E0FC4">
        <w:rPr>
          <w:rFonts w:ascii="Bookman Old Style" w:eastAsia="Bookman Old Style" w:hAnsi="Bookman Old Style" w:cs="Bookman Old Style"/>
          <w:color w:val="231F20"/>
          <w:sz w:val="18"/>
          <w:szCs w:val="18"/>
        </w:rPr>
        <w:softHyphen/>
        <w:t>ду сторонами по образцу, приведенному выше.</w:t>
      </w:r>
    </w:p>
    <w:p w14:paraId="3E0A3C43"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80" w:name="_Toc118131276"/>
      <w:r w:rsidRPr="004E0FC4">
        <w:rPr>
          <w:rFonts w:ascii="Bookman Old Style" w:eastAsia="Bookman Old Style" w:hAnsi="Bookman Old Style" w:cs="Bookman Old Style"/>
          <w:b/>
          <w:bCs/>
          <w:i/>
          <w:iCs/>
          <w:color w:val="231F20"/>
          <w:sz w:val="18"/>
          <w:szCs w:val="18"/>
        </w:rPr>
        <w:t>Кейс 2. Инструменты ГЧП в инновационной сфере</w:t>
      </w:r>
      <w:bookmarkEnd w:id="80"/>
    </w:p>
    <w:p w14:paraId="29B6AF5B" w14:textId="77777777" w:rsidR="00350396" w:rsidRPr="004E0FC4" w:rsidRDefault="00350396" w:rsidP="004E0FC4">
      <w:pPr>
        <w:widowControl w:val="0"/>
        <w:spacing w:after="117" w:line="221" w:lineRule="exact"/>
        <w:ind w:firstLine="320"/>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В качестве инструментов ГЧП, которые </w:t>
      </w:r>
      <w:r w:rsidRPr="004E0FC4">
        <w:rPr>
          <w:rFonts w:ascii="Bookman Old Style" w:eastAsia="Bookman Old Style" w:hAnsi="Bookman Old Style" w:cs="Bookman Old Style"/>
          <w:color w:val="231F20"/>
          <w:sz w:val="18"/>
          <w:szCs w:val="18"/>
          <w:highlight w:val="green"/>
        </w:rPr>
        <w:t>прямо или</w:t>
      </w:r>
      <w:r w:rsidRPr="004E0FC4">
        <w:rPr>
          <w:rFonts w:ascii="Bookman Old Style" w:eastAsia="Bookman Old Style" w:hAnsi="Bookman Old Style" w:cs="Bookman Old Style"/>
          <w:color w:val="231F20"/>
          <w:sz w:val="18"/>
          <w:szCs w:val="18"/>
        </w:rPr>
        <w:t xml:space="preserve"> косвенно содействуют проник</w:t>
      </w:r>
      <w:r w:rsidRPr="004E0FC4">
        <w:rPr>
          <w:rFonts w:ascii="Bookman Old Style" w:eastAsia="Bookman Old Style" w:hAnsi="Bookman Old Style" w:cs="Bookman Old Style"/>
          <w:color w:val="231F20"/>
          <w:sz w:val="18"/>
          <w:szCs w:val="18"/>
        </w:rPr>
        <w:softHyphen/>
        <w:t>новению и развитию ГЧП в инновационной сфере, выделяют следующие (табл. К2).</w:t>
      </w:r>
    </w:p>
    <w:p w14:paraId="607207CE" w14:textId="77777777" w:rsidR="00350396" w:rsidRPr="004E0FC4" w:rsidRDefault="00350396" w:rsidP="004E0FC4">
      <w:pPr>
        <w:widowControl w:val="0"/>
        <w:spacing w:after="105"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Таблица К2</w:t>
      </w:r>
    </w:p>
    <w:p w14:paraId="11A24A32" w14:textId="77777777" w:rsidR="00350396" w:rsidRPr="004E0FC4" w:rsidRDefault="00350396" w:rsidP="004E0FC4">
      <w:pPr>
        <w:widowControl w:val="0"/>
        <w:spacing w:line="194" w:lineRule="exact"/>
        <w:ind w:firstLine="0"/>
        <w:rPr>
          <w:rFonts w:ascii="Bookman Old Style" w:hAnsi="Bookman Old Style"/>
          <w:sz w:val="18"/>
          <w:szCs w:val="18"/>
        </w:rPr>
      </w:pPr>
      <w:r w:rsidRPr="004E0FC4">
        <w:rPr>
          <w:rFonts w:ascii="Bookman Old Style" w:eastAsia="Arial Narrow" w:hAnsi="Bookman Old Style" w:cs="Arial Narrow"/>
          <w:b/>
          <w:bCs/>
          <w:color w:val="231F20"/>
          <w:sz w:val="18"/>
          <w:szCs w:val="18"/>
        </w:rPr>
        <w:t>Инструменты государственно-частного партнерства в инновационной сфере</w:t>
      </w:r>
      <w:r w:rsidRPr="004E0FC4">
        <w:rPr>
          <w:rFonts w:ascii="Bookman Old Style" w:eastAsia="Arial Narrow" w:hAnsi="Bookman Old Style" w:cs="Arial Narrow"/>
          <w:b/>
          <w:bCs/>
          <w:color w:val="231F20"/>
          <w:sz w:val="18"/>
          <w:szCs w:val="18"/>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22"/>
        <w:gridCol w:w="5059"/>
      </w:tblGrid>
      <w:tr w:rsidR="00350396" w:rsidRPr="004E0FC4" w14:paraId="75BDF79E" w14:textId="77777777" w:rsidTr="006D7F71">
        <w:trPr>
          <w:trHeight w:hRule="exact" w:val="331"/>
          <w:jc w:val="center"/>
        </w:trPr>
        <w:tc>
          <w:tcPr>
            <w:tcW w:w="1522" w:type="dxa"/>
            <w:tcBorders>
              <w:top w:val="single" w:sz="4" w:space="0" w:color="auto"/>
              <w:left w:val="single" w:sz="4" w:space="0" w:color="auto"/>
            </w:tcBorders>
            <w:shd w:val="clear" w:color="auto" w:fill="FFFFFF"/>
            <w:vAlign w:val="bottom"/>
          </w:tcPr>
          <w:p w14:paraId="1A052A45"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Тип</w:t>
            </w:r>
          </w:p>
        </w:tc>
        <w:tc>
          <w:tcPr>
            <w:tcW w:w="5059" w:type="dxa"/>
            <w:tcBorders>
              <w:top w:val="single" w:sz="4" w:space="0" w:color="auto"/>
              <w:left w:val="single" w:sz="4" w:space="0" w:color="auto"/>
              <w:right w:val="single" w:sz="4" w:space="0" w:color="auto"/>
            </w:tcBorders>
            <w:shd w:val="clear" w:color="auto" w:fill="FFFFFF"/>
            <w:vAlign w:val="bottom"/>
          </w:tcPr>
          <w:p w14:paraId="53336531"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Характеристика</w:t>
            </w:r>
          </w:p>
        </w:tc>
      </w:tr>
      <w:tr w:rsidR="00350396" w:rsidRPr="004E0FC4" w14:paraId="149C4152" w14:textId="77777777" w:rsidTr="006D7F71">
        <w:trPr>
          <w:trHeight w:hRule="exact" w:val="1253"/>
          <w:jc w:val="center"/>
        </w:trPr>
        <w:tc>
          <w:tcPr>
            <w:tcW w:w="1522" w:type="dxa"/>
            <w:tcBorders>
              <w:top w:val="single" w:sz="4" w:space="0" w:color="auto"/>
              <w:left w:val="single" w:sz="4" w:space="0" w:color="auto"/>
            </w:tcBorders>
            <w:shd w:val="clear" w:color="auto" w:fill="FFFFFF"/>
          </w:tcPr>
          <w:p w14:paraId="13D15B0B"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 Технико</w:t>
            </w:r>
            <w:r w:rsidRPr="004E0FC4">
              <w:rPr>
                <w:rFonts w:ascii="Bookman Old Style" w:eastAsia="Bookman Old Style" w:hAnsi="Bookman Old Style" w:cs="Bookman Old Style"/>
                <w:color w:val="231F20"/>
                <w:sz w:val="18"/>
                <w:szCs w:val="18"/>
              </w:rPr>
              <w:softHyphen/>
              <w:t>внедренческие зоны (ТВЗ)*</w:t>
            </w:r>
          </w:p>
        </w:tc>
        <w:tc>
          <w:tcPr>
            <w:tcW w:w="5059" w:type="dxa"/>
            <w:tcBorders>
              <w:top w:val="single" w:sz="4" w:space="0" w:color="auto"/>
              <w:left w:val="single" w:sz="4" w:space="0" w:color="auto"/>
              <w:right w:val="single" w:sz="4" w:space="0" w:color="auto"/>
            </w:tcBorders>
            <w:shd w:val="clear" w:color="auto" w:fill="FFFFFF"/>
            <w:vAlign w:val="center"/>
          </w:tcPr>
          <w:p w14:paraId="619E652C"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Резиденты ТВЗ имеют преференции и налоговые льготы при разработке и производстве инновационной продук</w:t>
            </w:r>
            <w:r w:rsidRPr="004E0FC4">
              <w:rPr>
                <w:rFonts w:ascii="Bookman Old Style" w:eastAsia="Bookman Old Style" w:hAnsi="Bookman Old Style" w:cs="Bookman Old Style"/>
                <w:color w:val="231F20"/>
                <w:sz w:val="18"/>
                <w:szCs w:val="18"/>
              </w:rPr>
              <w:softHyphen/>
              <w:t>ции, по сути, могут обладать определенными конкурент</w:t>
            </w:r>
            <w:r w:rsidRPr="004E0FC4">
              <w:rPr>
                <w:rFonts w:ascii="Bookman Old Style" w:eastAsia="Bookman Old Style" w:hAnsi="Bookman Old Style" w:cs="Bookman Old Style"/>
                <w:color w:val="231F20"/>
                <w:sz w:val="18"/>
                <w:szCs w:val="18"/>
              </w:rPr>
              <w:softHyphen/>
              <w:t>ными преимуществами для получения (на конкурсной ос</w:t>
            </w:r>
            <w:r w:rsidRPr="004E0FC4">
              <w:rPr>
                <w:rFonts w:ascii="Bookman Old Style" w:eastAsia="Bookman Old Style" w:hAnsi="Bookman Old Style" w:cs="Bookman Old Style"/>
                <w:color w:val="231F20"/>
                <w:sz w:val="18"/>
                <w:szCs w:val="18"/>
              </w:rPr>
              <w:softHyphen/>
              <w:t>нове) государственного контракта на поставку продуктов</w:t>
            </w:r>
          </w:p>
        </w:tc>
      </w:tr>
      <w:tr w:rsidR="00350396" w:rsidRPr="004E0FC4" w14:paraId="5B660924" w14:textId="77777777" w:rsidTr="006D7F71">
        <w:trPr>
          <w:trHeight w:hRule="exact" w:val="2131"/>
          <w:jc w:val="center"/>
        </w:trPr>
        <w:tc>
          <w:tcPr>
            <w:tcW w:w="1522" w:type="dxa"/>
            <w:tcBorders>
              <w:top w:val="single" w:sz="4" w:space="0" w:color="auto"/>
              <w:left w:val="single" w:sz="4" w:space="0" w:color="auto"/>
            </w:tcBorders>
            <w:shd w:val="clear" w:color="auto" w:fill="FFFFFF"/>
          </w:tcPr>
          <w:p w14:paraId="4982B5B0"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2. Технопарки,</w:t>
            </w:r>
          </w:p>
          <w:p w14:paraId="3681050B"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том числе бизнес-инкуба</w:t>
            </w:r>
            <w:r w:rsidRPr="004E0FC4">
              <w:rPr>
                <w:rFonts w:ascii="Bookman Old Style" w:eastAsia="Bookman Old Style" w:hAnsi="Bookman Old Style" w:cs="Bookman Old Style"/>
                <w:color w:val="231F20"/>
                <w:sz w:val="18"/>
                <w:szCs w:val="18"/>
              </w:rPr>
              <w:softHyphen/>
              <w:t>торы**</w:t>
            </w:r>
          </w:p>
        </w:tc>
        <w:tc>
          <w:tcPr>
            <w:tcW w:w="5059" w:type="dxa"/>
            <w:tcBorders>
              <w:top w:val="single" w:sz="4" w:space="0" w:color="auto"/>
              <w:left w:val="single" w:sz="4" w:space="0" w:color="auto"/>
              <w:right w:val="single" w:sz="4" w:space="0" w:color="auto"/>
            </w:tcBorders>
            <w:shd w:val="clear" w:color="auto" w:fill="FFFFFF"/>
            <w:vAlign w:val="center"/>
          </w:tcPr>
          <w:p w14:paraId="0EAB444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Специфика технопарков — научные, конструкторские, технологические разработки, связанные с высокими технологиями. Основные задачи технопарков: 1) пре</w:t>
            </w:r>
            <w:r w:rsidRPr="004E0FC4">
              <w:rPr>
                <w:rFonts w:ascii="Bookman Old Style" w:eastAsia="Bookman Old Style" w:hAnsi="Bookman Old Style" w:cs="Bookman Old Style"/>
                <w:color w:val="231F20"/>
                <w:sz w:val="18"/>
                <w:szCs w:val="18"/>
              </w:rPr>
              <w:softHyphen/>
              <w:t>вращение знаний и изобретений в технологии; 2) пре</w:t>
            </w:r>
            <w:r w:rsidRPr="004E0FC4">
              <w:rPr>
                <w:rFonts w:ascii="Bookman Old Style" w:eastAsia="Bookman Old Style" w:hAnsi="Bookman Old Style" w:cs="Bookman Old Style"/>
                <w:color w:val="231F20"/>
                <w:sz w:val="18"/>
                <w:szCs w:val="18"/>
              </w:rPr>
              <w:softHyphen/>
              <w:t>вращение технологий в коммерческий продукт; 3) пере</w:t>
            </w:r>
            <w:r w:rsidRPr="004E0FC4">
              <w:rPr>
                <w:rFonts w:ascii="Bookman Old Style" w:eastAsia="Bookman Old Style" w:hAnsi="Bookman Old Style" w:cs="Bookman Old Style"/>
                <w:color w:val="231F20"/>
                <w:sz w:val="18"/>
                <w:szCs w:val="18"/>
              </w:rPr>
              <w:softHyphen/>
              <w:t>дача технологий в промышленность через сектор малого инновационного предпринимательства; 4) формирование и рыночное становление наукоемких фирм; 5) поддержка предпринимателей в сфере наукоемкого бизнеса</w:t>
            </w:r>
          </w:p>
        </w:tc>
      </w:tr>
      <w:tr w:rsidR="00350396" w:rsidRPr="004E0FC4" w14:paraId="05AB0AEB" w14:textId="77777777" w:rsidTr="006D7F71">
        <w:trPr>
          <w:trHeight w:hRule="exact" w:val="2155"/>
          <w:jc w:val="center"/>
        </w:trPr>
        <w:tc>
          <w:tcPr>
            <w:tcW w:w="1522" w:type="dxa"/>
            <w:tcBorders>
              <w:top w:val="single" w:sz="4" w:space="0" w:color="auto"/>
              <w:left w:val="single" w:sz="4" w:space="0" w:color="auto"/>
              <w:bottom w:val="single" w:sz="4" w:space="0" w:color="auto"/>
            </w:tcBorders>
            <w:shd w:val="clear" w:color="auto" w:fill="FFFFFF"/>
          </w:tcPr>
          <w:p w14:paraId="74798543"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 Технологиче</w:t>
            </w:r>
            <w:r w:rsidRPr="004E0FC4">
              <w:rPr>
                <w:rFonts w:ascii="Bookman Old Style" w:eastAsia="Bookman Old Style" w:hAnsi="Bookman Old Style" w:cs="Bookman Old Style"/>
                <w:color w:val="231F20"/>
                <w:sz w:val="18"/>
                <w:szCs w:val="18"/>
              </w:rPr>
              <w:softHyphen/>
              <w:t>ские платфор</w:t>
            </w:r>
            <w:r w:rsidRPr="004E0FC4">
              <w:rPr>
                <w:rFonts w:ascii="Bookman Old Style" w:eastAsia="Bookman Old Style" w:hAnsi="Bookman Old Style" w:cs="Bookman Old Style"/>
                <w:color w:val="231F20"/>
                <w:sz w:val="18"/>
                <w:szCs w:val="18"/>
              </w:rPr>
              <w:softHyphen/>
            </w:r>
            <w:r w:rsidRPr="004E0FC4">
              <w:rPr>
                <w:rFonts w:ascii="Bookman Old Style" w:eastAsia="Bookman Old Style" w:hAnsi="Bookman Old Style" w:cs="Bookman Old Style"/>
                <w:color w:val="231F20"/>
                <w:sz w:val="18"/>
                <w:szCs w:val="18"/>
                <w:vertAlign w:val="subscript"/>
              </w:rPr>
              <w:t>мы</w:t>
            </w:r>
            <w:r w:rsidRPr="004E0FC4">
              <w:rPr>
                <w:rFonts w:ascii="Bookman Old Style" w:eastAsia="Bookman Old Style" w:hAnsi="Bookman Old Style" w:cs="Bookman Old Style"/>
                <w:color w:val="231F20"/>
                <w:sz w:val="18"/>
                <w:szCs w:val="18"/>
              </w:rPr>
              <w:t>***</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center"/>
          </w:tcPr>
          <w:p w14:paraId="74FA5DB6"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Цель технологических платформ — обеспечение взаимо</w:t>
            </w:r>
            <w:r w:rsidRPr="004E0FC4">
              <w:rPr>
                <w:rFonts w:ascii="Bookman Old Style" w:eastAsia="Bookman Old Style" w:hAnsi="Bookman Old Style" w:cs="Bookman Old Style"/>
                <w:color w:val="231F20"/>
                <w:sz w:val="18"/>
                <w:szCs w:val="18"/>
              </w:rPr>
              <w:softHyphen/>
              <w:t>действия бизнеса и науки по определению и развитию перспективных направлений технологического разви</w:t>
            </w:r>
            <w:r w:rsidRPr="004E0FC4">
              <w:rPr>
                <w:rFonts w:ascii="Bookman Old Style" w:eastAsia="Bookman Old Style" w:hAnsi="Bookman Old Style" w:cs="Bookman Old Style"/>
                <w:color w:val="231F20"/>
                <w:sz w:val="18"/>
                <w:szCs w:val="18"/>
              </w:rPr>
              <w:softHyphen/>
              <w:t>тия, развития механизма софинансирования расходов компаний на проведение НИР с применением системы предоставления грантов, софинансирования сетевых инновационных проектов, поддержка долгосрочных ин</w:t>
            </w:r>
            <w:r w:rsidRPr="004E0FC4">
              <w:rPr>
                <w:rFonts w:ascii="Bookman Old Style" w:eastAsia="Bookman Old Style" w:hAnsi="Bookman Old Style" w:cs="Bookman Old Style"/>
                <w:color w:val="231F20"/>
                <w:sz w:val="18"/>
                <w:szCs w:val="18"/>
              </w:rPr>
              <w:softHyphen/>
              <w:t>новационных партнерств по приоритетным для развития</w:t>
            </w:r>
          </w:p>
          <w:p w14:paraId="43EA116B"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экономики технологическим направлениям.</w:t>
            </w:r>
          </w:p>
        </w:tc>
      </w:tr>
    </w:tbl>
    <w:p w14:paraId="0DCE9312"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vertAlign w:val="superscript"/>
        </w:rPr>
        <w:t>1</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i/>
          <w:iCs/>
          <w:color w:val="231F20"/>
          <w:sz w:val="18"/>
          <w:szCs w:val="18"/>
        </w:rPr>
        <w:t>Горбенко Г. В.</w:t>
      </w:r>
      <w:r w:rsidRPr="004E0FC4">
        <w:rPr>
          <w:rFonts w:ascii="Bookman Old Style" w:eastAsia="Bookman Old Style" w:hAnsi="Bookman Old Style" w:cs="Bookman Old Style"/>
          <w:color w:val="231F20"/>
          <w:sz w:val="18"/>
          <w:szCs w:val="18"/>
        </w:rPr>
        <w:t xml:space="preserve"> Государственно-частное партнерство в инновационной сфере: перспективы развития в России // Материалы XIII Международной научной кон</w:t>
      </w:r>
      <w:r w:rsidRPr="004E0FC4">
        <w:rPr>
          <w:rFonts w:ascii="Bookman Old Style" w:eastAsia="Bookman Old Style" w:hAnsi="Bookman Old Style" w:cs="Bookman Old Style"/>
          <w:color w:val="231F20"/>
          <w:sz w:val="18"/>
          <w:szCs w:val="18"/>
        </w:rPr>
        <w:softHyphen/>
        <w:t xml:space="preserve">ференции «Модернизация России: ключевые проблемы и решения» (Москва, 20— 21 декабря 2012 года). М., 2013. </w:t>
      </w:r>
      <w:r w:rsidRPr="004E0FC4">
        <w:rPr>
          <w:rFonts w:ascii="Bookman Old Style" w:eastAsia="Bookman Old Style" w:hAnsi="Bookman Old Style" w:cs="Bookman Old Style"/>
          <w:color w:val="231F20"/>
          <w:sz w:val="18"/>
          <w:szCs w:val="18"/>
          <w:lang w:val="en-US" w:eastAsia="en-US" w:bidi="en-US"/>
        </w:rPr>
        <w:t xml:space="preserve">URL: </w:t>
      </w:r>
      <w:hyperlink r:id="rId97" w:history="1">
        <w:r w:rsidRPr="004E0FC4">
          <w:rPr>
            <w:rFonts w:ascii="Bookman Old Style" w:eastAsia="Bookman Old Style" w:hAnsi="Bookman Old Style" w:cs="Bookman Old Style"/>
            <w:color w:val="231F20"/>
            <w:sz w:val="18"/>
            <w:szCs w:val="18"/>
            <w:lang w:val="en-US" w:eastAsia="en-US" w:bidi="en-US"/>
          </w:rPr>
          <w:t>http://www.gosbook.ru/node/72995</w:t>
        </w:r>
      </w:hyperlink>
      <w:r w:rsidRPr="004E0FC4">
        <w:rPr>
          <w:rFonts w:ascii="Bookman Old Style" w:eastAsia="Bookman Old Style" w:hAnsi="Bookman Old Style" w:cs="Bookman Old Style"/>
          <w:color w:val="231F20"/>
          <w:sz w:val="18"/>
          <w:szCs w:val="18"/>
          <w:lang w:val="en-US" w:eastAsia="en-US" w:bidi="en-US"/>
        </w:rPr>
        <w:t xml:space="preserve"> </w:t>
      </w:r>
      <w:r w:rsidRPr="004E0FC4">
        <w:rPr>
          <w:rFonts w:ascii="Bookman Old Style" w:eastAsia="Bookman Old Style" w:hAnsi="Bookman Old Style" w:cs="Bookman Old Style"/>
          <w:color w:val="231F20"/>
          <w:sz w:val="18"/>
          <w:szCs w:val="18"/>
        </w:rPr>
        <w:t>(дата об</w:t>
      </w:r>
      <w:r w:rsidRPr="004E0FC4">
        <w:rPr>
          <w:rFonts w:ascii="Bookman Old Style" w:eastAsia="Bookman Old Style" w:hAnsi="Bookman Old Style" w:cs="Bookman Old Style"/>
          <w:color w:val="231F20"/>
          <w:sz w:val="18"/>
          <w:szCs w:val="18"/>
        </w:rPr>
        <w:softHyphen/>
        <w:t xml:space="preserve">ращения: </w:t>
      </w:r>
      <w:r w:rsidRPr="004E0FC4">
        <w:rPr>
          <w:rFonts w:ascii="Bookman Old Style" w:eastAsia="Bookman Old Style" w:hAnsi="Bookman Old Style" w:cs="Bookman Old Style"/>
          <w:color w:val="231F20"/>
          <w:sz w:val="18"/>
          <w:szCs w:val="18"/>
          <w:highlight w:val="green"/>
        </w:rPr>
        <w:t>14.10.2022</w:t>
      </w:r>
      <w:r w:rsidRPr="004E0FC4">
        <w:rPr>
          <w:rFonts w:ascii="Bookman Old Style" w:eastAsia="Bookman Old Style" w:hAnsi="Bookman Old Style" w:cs="Bookman Old Style"/>
          <w:color w:val="231F20"/>
          <w:sz w:val="18"/>
          <w:szCs w:val="18"/>
        </w:rPr>
        <w:t>).</w:t>
      </w:r>
    </w:p>
    <w:p w14:paraId="48ECC7C5"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3EB8AD2E" w14:textId="77777777" w:rsidR="00350396" w:rsidRPr="004E0FC4" w:rsidRDefault="00350396" w:rsidP="004E0FC4">
      <w:pPr>
        <w:widowControl w:val="0"/>
        <w:spacing w:line="240" w:lineRule="auto"/>
        <w:ind w:firstLine="0"/>
        <w:rPr>
          <w:rFonts w:ascii="Bookman Old Style" w:hAnsi="Bookman Old Style"/>
          <w:sz w:val="18"/>
          <w:szCs w:val="18"/>
        </w:rPr>
      </w:pPr>
    </w:p>
    <w:p w14:paraId="4DD884AB"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headerReference w:type="even" r:id="rId98"/>
          <w:headerReference w:type="default" r:id="rId99"/>
          <w:footerReference w:type="even" r:id="rId100"/>
          <w:footerReference w:type="default" r:id="rId101"/>
          <w:headerReference w:type="first" r:id="rId102"/>
          <w:footerReference w:type="first" r:id="rId103"/>
          <w:pgSz w:w="8789" w:h="13493"/>
          <w:pgMar w:top="948" w:right="1085" w:bottom="948" w:left="1075"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2"/>
        <w:gridCol w:w="5059"/>
      </w:tblGrid>
      <w:tr w:rsidR="00350396" w:rsidRPr="004E0FC4" w14:paraId="57E66641" w14:textId="77777777" w:rsidTr="006D7F71">
        <w:trPr>
          <w:trHeight w:hRule="exact" w:val="331"/>
          <w:jc w:val="center"/>
        </w:trPr>
        <w:tc>
          <w:tcPr>
            <w:tcW w:w="1522" w:type="dxa"/>
            <w:tcBorders>
              <w:top w:val="single" w:sz="4" w:space="0" w:color="auto"/>
              <w:left w:val="single" w:sz="4" w:space="0" w:color="auto"/>
            </w:tcBorders>
            <w:shd w:val="clear" w:color="auto" w:fill="FFFFFF"/>
            <w:vAlign w:val="bottom"/>
          </w:tcPr>
          <w:p w14:paraId="06666E7D"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Тип</w:t>
            </w:r>
          </w:p>
        </w:tc>
        <w:tc>
          <w:tcPr>
            <w:tcW w:w="5059" w:type="dxa"/>
            <w:tcBorders>
              <w:top w:val="single" w:sz="4" w:space="0" w:color="auto"/>
              <w:left w:val="single" w:sz="4" w:space="0" w:color="auto"/>
              <w:right w:val="single" w:sz="4" w:space="0" w:color="auto"/>
            </w:tcBorders>
            <w:shd w:val="clear" w:color="auto" w:fill="FFFFFF"/>
            <w:vAlign w:val="bottom"/>
          </w:tcPr>
          <w:p w14:paraId="22A96723"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Характеристика</w:t>
            </w:r>
          </w:p>
        </w:tc>
      </w:tr>
      <w:tr w:rsidR="00350396" w:rsidRPr="004E0FC4" w14:paraId="30F03E18" w14:textId="77777777" w:rsidTr="006D7F71">
        <w:trPr>
          <w:trHeight w:hRule="exact" w:val="1411"/>
          <w:jc w:val="center"/>
        </w:trPr>
        <w:tc>
          <w:tcPr>
            <w:tcW w:w="1522" w:type="dxa"/>
            <w:tcBorders>
              <w:top w:val="single" w:sz="4" w:space="0" w:color="auto"/>
              <w:left w:val="single" w:sz="4" w:space="0" w:color="auto"/>
            </w:tcBorders>
            <w:shd w:val="clear" w:color="auto" w:fill="FFFFFF"/>
          </w:tcPr>
          <w:p w14:paraId="3CEDC2D3"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tc>
        <w:tc>
          <w:tcPr>
            <w:tcW w:w="5059" w:type="dxa"/>
            <w:tcBorders>
              <w:top w:val="single" w:sz="4" w:space="0" w:color="auto"/>
              <w:left w:val="single" w:sz="4" w:space="0" w:color="auto"/>
              <w:right w:val="single" w:sz="4" w:space="0" w:color="auto"/>
            </w:tcBorders>
            <w:shd w:val="clear" w:color="auto" w:fill="FFFFFF"/>
            <w:vAlign w:val="bottom"/>
          </w:tcPr>
          <w:p w14:paraId="0857F21F"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Технологические платформы — это саморегулируемое сетевое объединение передовых научных организаций, лидирующих в отрасли: производственных компаний, некоммерческих организаций, государственных структур. Его считают институциональным элементом ГЧП комму</w:t>
            </w:r>
            <w:r w:rsidRPr="004E0FC4">
              <w:rPr>
                <w:rFonts w:ascii="Bookman Old Style" w:eastAsia="Bookman Old Style" w:hAnsi="Bookman Old Style" w:cs="Bookman Old Style"/>
                <w:color w:val="231F20"/>
                <w:sz w:val="18"/>
                <w:szCs w:val="18"/>
              </w:rPr>
              <w:softHyphen/>
              <w:t>никационной направленности</w:t>
            </w:r>
          </w:p>
        </w:tc>
      </w:tr>
      <w:tr w:rsidR="00350396" w:rsidRPr="004E0FC4" w14:paraId="104DC4B9" w14:textId="77777777" w:rsidTr="006D7F71">
        <w:trPr>
          <w:trHeight w:hRule="exact" w:val="1190"/>
          <w:jc w:val="center"/>
        </w:trPr>
        <w:tc>
          <w:tcPr>
            <w:tcW w:w="1522" w:type="dxa"/>
            <w:tcBorders>
              <w:top w:val="single" w:sz="4" w:space="0" w:color="auto"/>
              <w:left w:val="single" w:sz="4" w:space="0" w:color="auto"/>
            </w:tcBorders>
            <w:shd w:val="clear" w:color="auto" w:fill="FFFFFF"/>
          </w:tcPr>
          <w:p w14:paraId="0B8AE65B"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4. Российская корпорация на</w:t>
            </w:r>
            <w:r w:rsidRPr="004E0FC4">
              <w:rPr>
                <w:rFonts w:ascii="Bookman Old Style" w:eastAsia="Bookman Old Style" w:hAnsi="Bookman Old Style" w:cs="Bookman Old Style"/>
                <w:color w:val="231F20"/>
                <w:sz w:val="18"/>
                <w:szCs w:val="18"/>
              </w:rPr>
              <w:softHyphen/>
              <w:t>нотехнологий (РОСНАНО)</w:t>
            </w:r>
            <w:r w:rsidRPr="004E0FC4">
              <w:rPr>
                <w:rFonts w:ascii="Bookman Old Style" w:eastAsia="Bookman Old Style" w:hAnsi="Bookman Old Style" w:cs="Bookman Old Style"/>
                <w:color w:val="231F20"/>
                <w:sz w:val="18"/>
                <w:szCs w:val="18"/>
                <w:vertAlign w:val="superscript"/>
              </w:rPr>
              <w:t>1</w:t>
            </w:r>
          </w:p>
        </w:tc>
        <w:tc>
          <w:tcPr>
            <w:tcW w:w="5059" w:type="dxa"/>
            <w:tcBorders>
              <w:top w:val="single" w:sz="4" w:space="0" w:color="auto"/>
              <w:left w:val="single" w:sz="4" w:space="0" w:color="auto"/>
              <w:right w:val="single" w:sz="4" w:space="0" w:color="auto"/>
            </w:tcBorders>
            <w:shd w:val="clear" w:color="auto" w:fill="FFFFFF"/>
            <w:vAlign w:val="bottom"/>
          </w:tcPr>
          <w:p w14:paraId="6AB3D70C"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Цель РОСНАНО — реализация государственной полити</w:t>
            </w:r>
            <w:r w:rsidRPr="004E0FC4">
              <w:rPr>
                <w:rFonts w:ascii="Bookman Old Style" w:eastAsia="Bookman Old Style" w:hAnsi="Bookman Old Style" w:cs="Bookman Old Style"/>
                <w:color w:val="231F20"/>
                <w:sz w:val="18"/>
                <w:szCs w:val="18"/>
              </w:rPr>
              <w:softHyphen/>
              <w:t>ки в сфере нанотехнологий, развития инновационной инфраструктуры в сфере нанотехнологий, реализация проектов создания перспективных нанотехнологий и на</w:t>
            </w:r>
            <w:r w:rsidRPr="004E0FC4">
              <w:rPr>
                <w:rFonts w:ascii="Bookman Old Style" w:eastAsia="Bookman Old Style" w:hAnsi="Bookman Old Style" w:cs="Bookman Old Style"/>
                <w:color w:val="231F20"/>
                <w:sz w:val="18"/>
                <w:szCs w:val="18"/>
              </w:rPr>
              <w:softHyphen/>
              <w:t>ноиндустрии</w:t>
            </w:r>
          </w:p>
        </w:tc>
      </w:tr>
      <w:tr w:rsidR="00350396" w:rsidRPr="004E0FC4" w14:paraId="22AD9321" w14:textId="77777777" w:rsidTr="006D7F71">
        <w:trPr>
          <w:trHeight w:hRule="exact" w:val="1656"/>
          <w:jc w:val="center"/>
        </w:trPr>
        <w:tc>
          <w:tcPr>
            <w:tcW w:w="1522" w:type="dxa"/>
            <w:tcBorders>
              <w:top w:val="single" w:sz="4" w:space="0" w:color="auto"/>
              <w:left w:val="single" w:sz="4" w:space="0" w:color="auto"/>
            </w:tcBorders>
            <w:shd w:val="clear" w:color="auto" w:fill="FFFFFF"/>
          </w:tcPr>
          <w:p w14:paraId="1280AD2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5. Центр транс</w:t>
            </w:r>
            <w:r w:rsidRPr="004E0FC4">
              <w:rPr>
                <w:rFonts w:ascii="Bookman Old Style" w:eastAsia="Bookman Old Style" w:hAnsi="Bookman Old Style" w:cs="Bookman Old Style"/>
                <w:color w:val="231F20"/>
                <w:sz w:val="18"/>
                <w:szCs w:val="18"/>
              </w:rPr>
              <w:softHyphen/>
              <w:t>фера техноло</w:t>
            </w:r>
            <w:r w:rsidRPr="004E0FC4">
              <w:rPr>
                <w:rFonts w:ascii="Bookman Old Style" w:eastAsia="Bookman Old Style" w:hAnsi="Bookman Old Style" w:cs="Bookman Old Style"/>
                <w:color w:val="231F20"/>
                <w:sz w:val="18"/>
                <w:szCs w:val="18"/>
              </w:rPr>
              <w:softHyphen/>
              <w:t>гий РАН и РОСНАНО</w:t>
            </w:r>
            <w:r w:rsidRPr="004E0FC4">
              <w:rPr>
                <w:rFonts w:ascii="Bookman Old Style" w:eastAsia="Bookman Old Style" w:hAnsi="Bookman Old Style" w:cs="Bookman Old Style"/>
                <w:color w:val="231F20"/>
                <w:sz w:val="18"/>
                <w:szCs w:val="18"/>
                <w:vertAlign w:val="superscript"/>
              </w:rPr>
              <w:t>2</w:t>
            </w:r>
          </w:p>
        </w:tc>
        <w:tc>
          <w:tcPr>
            <w:tcW w:w="5059" w:type="dxa"/>
            <w:tcBorders>
              <w:top w:val="single" w:sz="4" w:space="0" w:color="auto"/>
              <w:left w:val="single" w:sz="4" w:space="0" w:color="auto"/>
              <w:right w:val="single" w:sz="4" w:space="0" w:color="auto"/>
            </w:tcBorders>
            <w:shd w:val="clear" w:color="auto" w:fill="FFFFFF"/>
            <w:vAlign w:val="bottom"/>
          </w:tcPr>
          <w:p w14:paraId="6D7E55C7"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Задачей Центра является коммерциализация научных разработок институтов РАН. Сотрудники Центра с помо</w:t>
            </w:r>
            <w:r w:rsidRPr="004E0FC4">
              <w:rPr>
                <w:rFonts w:ascii="Bookman Old Style" w:eastAsia="Bookman Old Style" w:hAnsi="Bookman Old Style" w:cs="Bookman Old Style"/>
                <w:color w:val="231F20"/>
                <w:sz w:val="18"/>
                <w:szCs w:val="18"/>
              </w:rPr>
              <w:softHyphen/>
              <w:t>щью внешних экспертов проводят научно-техническую экспертизу и определяют коммерческую привлекатель</w:t>
            </w:r>
            <w:r w:rsidRPr="004E0FC4">
              <w:rPr>
                <w:rFonts w:ascii="Bookman Old Style" w:eastAsia="Bookman Old Style" w:hAnsi="Bookman Old Style" w:cs="Bookman Old Style"/>
                <w:color w:val="231F20"/>
                <w:sz w:val="18"/>
                <w:szCs w:val="18"/>
              </w:rPr>
              <w:softHyphen/>
              <w:t>ность представленных технологий. По проектам, прошед</w:t>
            </w:r>
            <w:r w:rsidRPr="004E0FC4">
              <w:rPr>
                <w:rFonts w:ascii="Bookman Old Style" w:eastAsia="Bookman Old Style" w:hAnsi="Bookman Old Style" w:cs="Bookman Old Style"/>
                <w:color w:val="231F20"/>
                <w:sz w:val="18"/>
                <w:szCs w:val="18"/>
              </w:rPr>
              <w:softHyphen/>
              <w:t>шим этот этап отбора, разрабатываются бизнес-модели, маркетинговый план и бизнес-план проекта</w:t>
            </w:r>
          </w:p>
        </w:tc>
      </w:tr>
      <w:tr w:rsidR="00350396" w:rsidRPr="004E0FC4" w14:paraId="3EA292EB" w14:textId="77777777" w:rsidTr="006D7F71">
        <w:trPr>
          <w:trHeight w:hRule="exact" w:val="1224"/>
          <w:jc w:val="center"/>
        </w:trPr>
        <w:tc>
          <w:tcPr>
            <w:tcW w:w="1522" w:type="dxa"/>
            <w:tcBorders>
              <w:top w:val="single" w:sz="4" w:space="0" w:color="auto"/>
              <w:left w:val="single" w:sz="4" w:space="0" w:color="auto"/>
            </w:tcBorders>
            <w:shd w:val="clear" w:color="auto" w:fill="FFFFFF"/>
          </w:tcPr>
          <w:p w14:paraId="77F218C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6. Инвестици</w:t>
            </w:r>
            <w:r w:rsidRPr="004E0FC4">
              <w:rPr>
                <w:rFonts w:ascii="Bookman Old Style" w:eastAsia="Bookman Old Style" w:hAnsi="Bookman Old Style" w:cs="Bookman Old Style"/>
                <w:color w:val="231F20"/>
                <w:sz w:val="18"/>
                <w:szCs w:val="18"/>
              </w:rPr>
              <w:softHyphen/>
              <w:t>онный фонд</w:t>
            </w:r>
          </w:p>
          <w:p w14:paraId="1DAC6DB2"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РФ</w:t>
            </w:r>
            <w:r w:rsidRPr="004E0FC4">
              <w:rPr>
                <w:rFonts w:ascii="Bookman Old Style" w:eastAsia="Bookman Old Style" w:hAnsi="Bookman Old Style" w:cs="Bookman Old Style"/>
                <w:color w:val="231F20"/>
                <w:sz w:val="18"/>
                <w:szCs w:val="18"/>
                <w:vertAlign w:val="superscript"/>
              </w:rPr>
              <w:t>3</w:t>
            </w:r>
          </w:p>
        </w:tc>
        <w:tc>
          <w:tcPr>
            <w:tcW w:w="5059" w:type="dxa"/>
            <w:tcBorders>
              <w:top w:val="single" w:sz="4" w:space="0" w:color="auto"/>
              <w:left w:val="single" w:sz="4" w:space="0" w:color="auto"/>
              <w:right w:val="single" w:sz="4" w:space="0" w:color="auto"/>
            </w:tcBorders>
            <w:shd w:val="clear" w:color="auto" w:fill="FFFFFF"/>
            <w:vAlign w:val="bottom"/>
          </w:tcPr>
          <w:p w14:paraId="7AF90786"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Главная цель использования Фонда — поддержка при</w:t>
            </w:r>
            <w:r w:rsidRPr="004E0FC4">
              <w:rPr>
                <w:rFonts w:ascii="Bookman Old Style" w:eastAsia="Bookman Old Style" w:hAnsi="Bookman Old Style" w:cs="Bookman Old Style"/>
                <w:color w:val="231F20"/>
                <w:sz w:val="18"/>
                <w:szCs w:val="18"/>
              </w:rPr>
              <w:softHyphen/>
              <w:t>оритетных для государства и регионов инвестиционных проектов путем создания транспортной, инженерной или энергетической инфраструктуры государственного или муниципального значения</w:t>
            </w:r>
          </w:p>
        </w:tc>
      </w:tr>
      <w:tr w:rsidR="00350396" w:rsidRPr="004E0FC4" w14:paraId="19715C4C" w14:textId="77777777" w:rsidTr="006D7F71">
        <w:trPr>
          <w:trHeight w:hRule="exact" w:val="1882"/>
          <w:jc w:val="center"/>
        </w:trPr>
        <w:tc>
          <w:tcPr>
            <w:tcW w:w="1522" w:type="dxa"/>
            <w:tcBorders>
              <w:top w:val="single" w:sz="4" w:space="0" w:color="auto"/>
              <w:left w:val="single" w:sz="4" w:space="0" w:color="auto"/>
              <w:bottom w:val="single" w:sz="4" w:space="0" w:color="auto"/>
            </w:tcBorders>
            <w:shd w:val="clear" w:color="auto" w:fill="FFFFFF"/>
            <w:vAlign w:val="center"/>
          </w:tcPr>
          <w:p w14:paraId="7DEB294B"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7. Государствен</w:t>
            </w:r>
            <w:r w:rsidRPr="004E0FC4">
              <w:rPr>
                <w:rFonts w:ascii="Bookman Old Style" w:eastAsia="Bookman Old Style" w:hAnsi="Bookman Old Style" w:cs="Bookman Old Style"/>
                <w:color w:val="231F20"/>
                <w:sz w:val="18"/>
                <w:szCs w:val="18"/>
              </w:rPr>
              <w:softHyphen/>
              <w:t>ная корпорация «Банк развития</w:t>
            </w:r>
          </w:p>
          <w:p w14:paraId="419C1FFA"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и внешнеэко</w:t>
            </w:r>
            <w:r w:rsidRPr="004E0FC4">
              <w:rPr>
                <w:rFonts w:ascii="Bookman Old Style" w:eastAsia="Bookman Old Style" w:hAnsi="Bookman Old Style" w:cs="Bookman Old Style"/>
                <w:color w:val="231F20"/>
                <w:sz w:val="18"/>
                <w:szCs w:val="18"/>
              </w:rPr>
              <w:softHyphen/>
              <w:t>номической</w:t>
            </w:r>
          </w:p>
          <w:p w14:paraId="1D838BDF"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деятельности</w:t>
            </w:r>
          </w:p>
          <w:p w14:paraId="5A999984"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(Внешэконом</w:t>
            </w:r>
            <w:r w:rsidRPr="004E0FC4">
              <w:rPr>
                <w:rFonts w:ascii="Bookman Old Style" w:eastAsia="Bookman Old Style" w:hAnsi="Bookman Old Style" w:cs="Bookman Old Style"/>
                <w:color w:val="231F20"/>
                <w:sz w:val="18"/>
                <w:szCs w:val="18"/>
              </w:rPr>
              <w:softHyphen/>
            </w:r>
          </w:p>
          <w:p w14:paraId="51A33CEF"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банк)»</w:t>
            </w:r>
            <w:r w:rsidRPr="004E0FC4">
              <w:rPr>
                <w:rFonts w:ascii="Bookman Old Style" w:eastAsia="Bookman Old Style" w:hAnsi="Bookman Old Style" w:cs="Bookman Old Style"/>
                <w:color w:val="231F20"/>
                <w:sz w:val="18"/>
                <w:szCs w:val="18"/>
                <w:vertAlign w:val="superscript"/>
              </w:rPr>
              <w:t>4</w:t>
            </w:r>
          </w:p>
        </w:tc>
        <w:tc>
          <w:tcPr>
            <w:tcW w:w="5059" w:type="dxa"/>
            <w:tcBorders>
              <w:top w:val="single" w:sz="4" w:space="0" w:color="auto"/>
              <w:left w:val="single" w:sz="4" w:space="0" w:color="auto"/>
              <w:bottom w:val="single" w:sz="4" w:space="0" w:color="auto"/>
              <w:right w:val="single" w:sz="4" w:space="0" w:color="auto"/>
            </w:tcBorders>
            <w:shd w:val="clear" w:color="auto" w:fill="FFFFFF"/>
          </w:tcPr>
          <w:p w14:paraId="7E6590CF"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Цель Внешэкономбанка — среднесрочное и долгосрочное финансирование инвестиционных проектов в приори</w:t>
            </w:r>
            <w:r w:rsidRPr="004E0FC4">
              <w:rPr>
                <w:rFonts w:ascii="Bookman Old Style" w:eastAsia="Bookman Old Style" w:hAnsi="Bookman Old Style" w:cs="Bookman Old Style"/>
                <w:color w:val="231F20"/>
                <w:sz w:val="18"/>
                <w:szCs w:val="18"/>
              </w:rPr>
              <w:softHyphen/>
              <w:t>тетных отраслях экономики, содействие привлечению иностранных инвестиций, финансовая поддержка экс</w:t>
            </w:r>
            <w:r w:rsidRPr="004E0FC4">
              <w:rPr>
                <w:rFonts w:ascii="Bookman Old Style" w:eastAsia="Bookman Old Style" w:hAnsi="Bookman Old Style" w:cs="Bookman Old Style"/>
                <w:color w:val="231F20"/>
                <w:sz w:val="18"/>
                <w:szCs w:val="18"/>
              </w:rPr>
              <w:softHyphen/>
              <w:t>портно-импортной политики в важных для государства отраслях экономики</w:t>
            </w:r>
          </w:p>
        </w:tc>
      </w:tr>
    </w:tbl>
    <w:p w14:paraId="2CEE9645" w14:textId="77777777" w:rsidR="00350396" w:rsidRPr="004E0FC4" w:rsidRDefault="00350396" w:rsidP="004E0FC4">
      <w:pPr>
        <w:framePr w:w="6581" w:wrap="notBeside" w:vAnchor="text" w:hAnchor="text" w:xAlign="center" w:y="1"/>
        <w:widowControl w:val="0"/>
        <w:numPr>
          <w:ilvl w:val="0"/>
          <w:numId w:val="97"/>
        </w:numPr>
        <w:tabs>
          <w:tab w:val="left" w:pos="432"/>
        </w:tabs>
        <w:spacing w:line="240" w:lineRule="auto"/>
        <w:rPr>
          <w:rFonts w:ascii="Bookman Old Style" w:hAnsi="Bookman Old Style"/>
          <w:sz w:val="18"/>
          <w:szCs w:val="18"/>
        </w:rPr>
      </w:pPr>
      <w:r w:rsidRPr="004E0FC4">
        <w:rPr>
          <w:rFonts w:ascii="Bookman Old Style" w:eastAsia="Arial Narrow" w:hAnsi="Bookman Old Style" w:cs="Arial Narrow"/>
          <w:b/>
          <w:bCs/>
          <w:color w:val="231F20"/>
          <w:sz w:val="18"/>
          <w:szCs w:val="18"/>
        </w:rPr>
        <w:t xml:space="preserve">Учреждена Федеральным законом от 19.07.2007 № 139-ФЗ, </w:t>
      </w:r>
      <w:r w:rsidRPr="004E0FC4">
        <w:rPr>
          <w:rFonts w:ascii="Bookman Old Style" w:eastAsia="Arial Narrow" w:hAnsi="Bookman Old Style" w:cs="Arial Narrow"/>
          <w:b/>
          <w:bCs/>
          <w:color w:val="231F20"/>
          <w:sz w:val="18"/>
          <w:szCs w:val="18"/>
          <w:highlight w:val="green"/>
        </w:rPr>
        <w:t>в 2010 году</w:t>
      </w:r>
      <w:r w:rsidRPr="004E0FC4">
        <w:rPr>
          <w:rFonts w:ascii="Bookman Old Style" w:eastAsia="Arial Narrow" w:hAnsi="Bookman Old Style" w:cs="Arial Narrow"/>
          <w:b/>
          <w:bCs/>
          <w:color w:val="231F20"/>
          <w:sz w:val="18"/>
          <w:szCs w:val="18"/>
        </w:rPr>
        <w:t xml:space="preserve"> преобразована в открытое акционерное общество; </w:t>
      </w:r>
      <w:r w:rsidRPr="004E0FC4">
        <w:rPr>
          <w:rFonts w:ascii="Bookman Old Style" w:eastAsia="Arial Narrow" w:hAnsi="Bookman Old Style" w:cs="Arial Narrow"/>
          <w:b/>
          <w:bCs/>
          <w:color w:val="231F20"/>
          <w:sz w:val="18"/>
          <w:szCs w:val="18"/>
          <w:highlight w:val="green"/>
        </w:rPr>
        <w:t>с октября 2022 года на фоне банкротства обсуждается расформирование «Роснано».</w:t>
      </w:r>
      <w:r w:rsidRPr="004E0FC4">
        <w:rPr>
          <w:rFonts w:ascii="Bookman Old Style" w:eastAsia="Arial Narrow" w:hAnsi="Bookman Old Style" w:cs="Arial Narrow"/>
          <w:b/>
          <w:bCs/>
          <w:color w:val="231F20"/>
          <w:sz w:val="18"/>
          <w:szCs w:val="18"/>
        </w:rPr>
        <w:t xml:space="preserve"> </w:t>
      </w:r>
    </w:p>
    <w:p w14:paraId="5807938E" w14:textId="77777777" w:rsidR="00350396" w:rsidRPr="004E0FC4" w:rsidRDefault="00350396" w:rsidP="004E0FC4">
      <w:pPr>
        <w:framePr w:w="6581" w:wrap="notBeside" w:vAnchor="text" w:hAnchor="text" w:xAlign="center" w:y="1"/>
        <w:widowControl w:val="0"/>
        <w:numPr>
          <w:ilvl w:val="0"/>
          <w:numId w:val="97"/>
        </w:numPr>
        <w:tabs>
          <w:tab w:val="left" w:pos="451"/>
        </w:tabs>
        <w:spacing w:line="240" w:lineRule="auto"/>
        <w:rPr>
          <w:rFonts w:ascii="Bookman Old Style" w:hAnsi="Bookman Old Style"/>
          <w:sz w:val="18"/>
          <w:szCs w:val="18"/>
        </w:rPr>
      </w:pPr>
      <w:r w:rsidRPr="004E0FC4">
        <w:rPr>
          <w:rFonts w:ascii="Bookman Old Style" w:eastAsia="Arial Narrow" w:hAnsi="Bookman Old Style" w:cs="Arial Narrow"/>
          <w:b/>
          <w:bCs/>
          <w:color w:val="231F20"/>
          <w:sz w:val="18"/>
          <w:szCs w:val="18"/>
        </w:rPr>
        <w:t xml:space="preserve">Создан при участии Фонда инфраструктурных и образовательных программ (Фонд образован в 2010 г. в соответствии с Федеральным законом от 27.07.2010 № 211-ФЗ «О реорганизации Российской корпорации нанотехнологий»). </w:t>
      </w:r>
      <w:r w:rsidRPr="004E0FC4">
        <w:rPr>
          <w:rFonts w:ascii="Bookman Old Style" w:eastAsia="Arial Narrow" w:hAnsi="Bookman Old Style" w:cs="Arial Narrow"/>
          <w:b/>
          <w:bCs/>
          <w:color w:val="231F20"/>
          <w:sz w:val="18"/>
          <w:szCs w:val="18"/>
          <w:highlight w:val="red"/>
        </w:rPr>
        <w:t>В на</w:t>
      </w:r>
      <w:r w:rsidRPr="004E0FC4">
        <w:rPr>
          <w:rFonts w:ascii="Bookman Old Style" w:eastAsia="Arial Narrow" w:hAnsi="Bookman Old Style" w:cs="Arial Narrow"/>
          <w:b/>
          <w:bCs/>
          <w:color w:val="231F20"/>
          <w:sz w:val="18"/>
          <w:szCs w:val="18"/>
          <w:highlight w:val="red"/>
        </w:rPr>
        <w:softHyphen/>
        <w:t xml:space="preserve">стоящее время данный Центр уже реализует 21 проект в области нанотехнологий </w:t>
      </w:r>
      <w:r w:rsidRPr="004E0FC4">
        <w:rPr>
          <w:rFonts w:ascii="Bookman Old Style" w:eastAsia="Arial Narrow" w:hAnsi="Bookman Old Style" w:cs="Arial Narrow"/>
          <w:b/>
          <w:bCs/>
          <w:color w:val="231F20"/>
          <w:sz w:val="18"/>
          <w:szCs w:val="18"/>
          <w:highlight w:val="red"/>
          <w:lang w:eastAsia="en-US" w:bidi="en-US"/>
        </w:rPr>
        <w:t>(</w:t>
      </w:r>
      <w:hyperlink r:id="rId104" w:history="1">
        <w:r w:rsidRPr="004E0FC4">
          <w:rPr>
            <w:rFonts w:ascii="Bookman Old Style" w:eastAsia="Arial Narrow" w:hAnsi="Bookman Old Style" w:cs="Arial Narrow"/>
            <w:b/>
            <w:bCs/>
            <w:color w:val="231F20"/>
            <w:sz w:val="18"/>
            <w:szCs w:val="18"/>
            <w:highlight w:val="red"/>
            <w:lang w:val="en-US" w:eastAsia="en-US" w:bidi="en-US"/>
          </w:rPr>
          <w:t>http</w:t>
        </w:r>
        <w:r w:rsidRPr="004E0FC4">
          <w:rPr>
            <w:rFonts w:ascii="Bookman Old Style" w:eastAsia="Arial Narrow" w:hAnsi="Bookman Old Style" w:cs="Arial Narrow"/>
            <w:b/>
            <w:bCs/>
            <w:color w:val="231F20"/>
            <w:sz w:val="18"/>
            <w:szCs w:val="18"/>
            <w:highlight w:val="red"/>
            <w:lang w:eastAsia="en-US" w:bidi="en-US"/>
          </w:rPr>
          <w:t>://</w:t>
        </w:r>
        <w:r w:rsidRPr="004E0FC4">
          <w:rPr>
            <w:rFonts w:ascii="Bookman Old Style" w:eastAsia="Arial Narrow" w:hAnsi="Bookman Old Style" w:cs="Arial Narrow"/>
            <w:b/>
            <w:bCs/>
            <w:color w:val="231F20"/>
            <w:sz w:val="18"/>
            <w:szCs w:val="18"/>
            <w:highlight w:val="red"/>
            <w:lang w:val="en-US" w:eastAsia="en-US" w:bidi="en-US"/>
          </w:rPr>
          <w:t>www</w:t>
        </w:r>
        <w:r w:rsidRPr="004E0FC4">
          <w:rPr>
            <w:rFonts w:ascii="Bookman Old Style" w:eastAsia="Arial Narrow" w:hAnsi="Bookman Old Style" w:cs="Arial Narrow"/>
            <w:b/>
            <w:bCs/>
            <w:color w:val="231F20"/>
            <w:sz w:val="18"/>
            <w:szCs w:val="18"/>
            <w:highlight w:val="red"/>
            <w:lang w:eastAsia="en-US" w:bidi="en-US"/>
          </w:rPr>
          <w:t>.</w:t>
        </w:r>
        <w:r w:rsidRPr="004E0FC4">
          <w:rPr>
            <w:rFonts w:ascii="Bookman Old Style" w:eastAsia="Arial Narrow" w:hAnsi="Bookman Old Style" w:cs="Arial Narrow"/>
            <w:b/>
            <w:bCs/>
            <w:color w:val="231F20"/>
            <w:sz w:val="18"/>
            <w:szCs w:val="18"/>
            <w:highlight w:val="red"/>
            <w:lang w:val="en-US" w:eastAsia="en-US" w:bidi="en-US"/>
          </w:rPr>
          <w:t>rusnano</w:t>
        </w:r>
        <w:r w:rsidRPr="004E0FC4">
          <w:rPr>
            <w:rFonts w:ascii="Bookman Old Style" w:eastAsia="Arial Narrow" w:hAnsi="Bookman Old Style" w:cs="Arial Narrow"/>
            <w:b/>
            <w:bCs/>
            <w:color w:val="231F20"/>
            <w:sz w:val="18"/>
            <w:szCs w:val="18"/>
            <w:highlight w:val="red"/>
            <w:lang w:eastAsia="en-US" w:bidi="en-US"/>
          </w:rPr>
          <w:t>.</w:t>
        </w:r>
        <w:r w:rsidRPr="004E0FC4">
          <w:rPr>
            <w:rFonts w:ascii="Bookman Old Style" w:eastAsia="Arial Narrow" w:hAnsi="Bookman Old Style" w:cs="Arial Narrow"/>
            <w:b/>
            <w:bCs/>
            <w:color w:val="231F20"/>
            <w:sz w:val="18"/>
            <w:szCs w:val="18"/>
            <w:highlight w:val="red"/>
            <w:lang w:val="en-US" w:eastAsia="en-US" w:bidi="en-US"/>
          </w:rPr>
          <w:t>com</w:t>
        </w:r>
        <w:r w:rsidRPr="004E0FC4">
          <w:rPr>
            <w:rFonts w:ascii="Bookman Old Style" w:eastAsia="Arial Narrow" w:hAnsi="Bookman Old Style" w:cs="Arial Narrow"/>
            <w:b/>
            <w:bCs/>
            <w:color w:val="231F20"/>
            <w:sz w:val="18"/>
            <w:szCs w:val="18"/>
            <w:highlight w:val="red"/>
            <w:lang w:eastAsia="en-US" w:bidi="en-US"/>
          </w:rPr>
          <w:t>/</w:t>
        </w:r>
        <w:r w:rsidRPr="004E0FC4">
          <w:rPr>
            <w:rFonts w:ascii="Bookman Old Style" w:eastAsia="Arial Narrow" w:hAnsi="Bookman Old Style" w:cs="Arial Narrow"/>
            <w:b/>
            <w:bCs/>
            <w:color w:val="231F20"/>
            <w:sz w:val="18"/>
            <w:szCs w:val="18"/>
            <w:highlight w:val="red"/>
            <w:lang w:val="en-US" w:eastAsia="en-US" w:bidi="en-US"/>
          </w:rPr>
          <w:t>about</w:t>
        </w:r>
        <w:r w:rsidRPr="004E0FC4">
          <w:rPr>
            <w:rFonts w:ascii="Bookman Old Style" w:eastAsia="Arial Narrow" w:hAnsi="Bookman Old Style" w:cs="Arial Narrow"/>
            <w:b/>
            <w:bCs/>
            <w:color w:val="231F20"/>
            <w:sz w:val="18"/>
            <w:szCs w:val="18"/>
            <w:highlight w:val="red"/>
            <w:lang w:eastAsia="en-US" w:bidi="en-US"/>
          </w:rPr>
          <w:t>/</w:t>
        </w:r>
        <w:r w:rsidRPr="004E0FC4">
          <w:rPr>
            <w:rFonts w:ascii="Bookman Old Style" w:eastAsia="Arial Narrow" w:hAnsi="Bookman Old Style" w:cs="Arial Narrow"/>
            <w:b/>
            <w:bCs/>
            <w:color w:val="231F20"/>
            <w:sz w:val="18"/>
            <w:szCs w:val="18"/>
            <w:highlight w:val="red"/>
            <w:lang w:val="en-US" w:eastAsia="en-US" w:bidi="en-US"/>
          </w:rPr>
          <w:t>press</w:t>
        </w:r>
        <w:r w:rsidRPr="004E0FC4">
          <w:rPr>
            <w:rFonts w:ascii="Bookman Old Style" w:eastAsia="Arial Narrow" w:hAnsi="Bookman Old Style" w:cs="Arial Narrow"/>
            <w:b/>
            <w:bCs/>
            <w:color w:val="231F20"/>
            <w:sz w:val="18"/>
            <w:szCs w:val="18"/>
            <w:highlight w:val="red"/>
            <w:lang w:eastAsia="en-US" w:bidi="en-US"/>
          </w:rPr>
          <w:t>-</w:t>
        </w:r>
        <w:r w:rsidRPr="004E0FC4">
          <w:rPr>
            <w:rFonts w:ascii="Bookman Old Style" w:eastAsia="Arial Narrow" w:hAnsi="Bookman Old Style" w:cs="Arial Narrow"/>
            <w:b/>
            <w:bCs/>
            <w:color w:val="231F20"/>
            <w:sz w:val="18"/>
            <w:szCs w:val="18"/>
            <w:highlight w:val="red"/>
            <w:lang w:val="en-US" w:eastAsia="en-US" w:bidi="en-US"/>
          </w:rPr>
          <w:t>centre</w:t>
        </w:r>
        <w:r w:rsidRPr="004E0FC4">
          <w:rPr>
            <w:rFonts w:ascii="Bookman Old Style" w:eastAsia="Arial Narrow" w:hAnsi="Bookman Old Style" w:cs="Arial Narrow"/>
            <w:b/>
            <w:bCs/>
            <w:color w:val="231F20"/>
            <w:sz w:val="18"/>
            <w:szCs w:val="18"/>
            <w:highlight w:val="red"/>
            <w:lang w:eastAsia="en-US" w:bidi="en-US"/>
          </w:rPr>
          <w:t>/</w:t>
        </w:r>
        <w:r w:rsidRPr="004E0FC4">
          <w:rPr>
            <w:rFonts w:ascii="Bookman Old Style" w:eastAsia="Arial Narrow" w:hAnsi="Bookman Old Style" w:cs="Arial Narrow"/>
            <w:b/>
            <w:bCs/>
            <w:color w:val="231F20"/>
            <w:sz w:val="18"/>
            <w:szCs w:val="18"/>
            <w:highlight w:val="red"/>
            <w:lang w:val="en-US" w:eastAsia="en-US" w:bidi="en-US"/>
          </w:rPr>
          <w:t>news</w:t>
        </w:r>
        <w:r w:rsidRPr="004E0FC4">
          <w:rPr>
            <w:rFonts w:ascii="Bookman Old Style" w:eastAsia="Arial Narrow" w:hAnsi="Bookman Old Style" w:cs="Arial Narrow"/>
            <w:b/>
            <w:bCs/>
            <w:color w:val="231F20"/>
            <w:sz w:val="18"/>
            <w:szCs w:val="18"/>
            <w:highlight w:val="red"/>
            <w:lang w:eastAsia="en-US" w:bidi="en-US"/>
          </w:rPr>
          <w:t>/75498</w:t>
        </w:r>
      </w:hyperlink>
      <w:r w:rsidRPr="004E0FC4">
        <w:rPr>
          <w:rFonts w:ascii="Bookman Old Style" w:eastAsia="Arial Narrow" w:hAnsi="Bookman Old Style" w:cs="Arial Narrow"/>
          <w:b/>
          <w:bCs/>
          <w:color w:val="231F20"/>
          <w:sz w:val="18"/>
          <w:szCs w:val="18"/>
          <w:highlight w:val="red"/>
          <w:lang w:eastAsia="en-US" w:bidi="en-US"/>
        </w:rPr>
        <w:t>).</w:t>
      </w:r>
    </w:p>
    <w:p w14:paraId="35B49B28" w14:textId="77777777" w:rsidR="00350396" w:rsidRPr="004E0FC4" w:rsidRDefault="00350396" w:rsidP="004E0FC4">
      <w:pPr>
        <w:framePr w:w="6581" w:wrap="notBeside" w:vAnchor="text" w:hAnchor="text" w:xAlign="center" w:y="1"/>
        <w:widowControl w:val="0"/>
        <w:numPr>
          <w:ilvl w:val="0"/>
          <w:numId w:val="97"/>
        </w:numPr>
        <w:tabs>
          <w:tab w:val="left" w:pos="451"/>
        </w:tabs>
        <w:spacing w:line="240" w:lineRule="auto"/>
        <w:rPr>
          <w:rFonts w:ascii="Bookman Old Style" w:hAnsi="Bookman Old Style"/>
          <w:sz w:val="18"/>
          <w:szCs w:val="18"/>
        </w:rPr>
      </w:pPr>
      <w:r w:rsidRPr="004E0FC4">
        <w:rPr>
          <w:rFonts w:ascii="Bookman Old Style" w:eastAsia="Arial Narrow" w:hAnsi="Bookman Old Style" w:cs="Arial Narrow"/>
          <w:color w:val="231F20"/>
          <w:sz w:val="18"/>
          <w:szCs w:val="18"/>
        </w:rPr>
        <w:t>Cформирован 1 января 2006 г. в соответствии с постановлением Правитель</w:t>
      </w:r>
      <w:r w:rsidRPr="004E0FC4">
        <w:rPr>
          <w:rFonts w:ascii="Bookman Old Style" w:eastAsia="Arial Narrow" w:hAnsi="Bookman Old Style" w:cs="Arial Narrow"/>
          <w:color w:val="231F20"/>
          <w:sz w:val="18"/>
          <w:szCs w:val="18"/>
        </w:rPr>
        <w:softHyphen/>
        <w:t>ства РФ от 23.11.2005 № 694 «Об Инвестиционном фонде Российской Федерации». Правила формирования и использования бюджетных ассигнований Инвестицион</w:t>
      </w:r>
      <w:r w:rsidRPr="004E0FC4">
        <w:rPr>
          <w:rFonts w:ascii="Bookman Old Style" w:eastAsia="Arial Narrow" w:hAnsi="Bookman Old Style" w:cs="Arial Narrow"/>
          <w:color w:val="231F20"/>
          <w:sz w:val="18"/>
          <w:szCs w:val="18"/>
        </w:rPr>
        <w:softHyphen/>
        <w:t xml:space="preserve">ного фонда Российской Федерации </w:t>
      </w:r>
      <w:r w:rsidRPr="004E0FC4">
        <w:rPr>
          <w:rFonts w:ascii="Bookman Old Style" w:eastAsia="Arial Narrow" w:hAnsi="Bookman Old Style" w:cs="Arial Narrow"/>
          <w:color w:val="231F20"/>
          <w:sz w:val="18"/>
          <w:szCs w:val="18"/>
          <w:highlight w:val="red"/>
        </w:rPr>
        <w:t>.</w:t>
      </w:r>
      <w:r w:rsidRPr="004E0FC4">
        <w:rPr>
          <w:rFonts w:ascii="Bookman Old Style" w:eastAsia="Arial Narrow" w:hAnsi="Bookman Old Style" w:cs="Arial Narrow"/>
          <w:color w:val="231F20"/>
          <w:sz w:val="18"/>
          <w:szCs w:val="18"/>
        </w:rPr>
        <w:t xml:space="preserve"> </w:t>
      </w:r>
      <w:r w:rsidRPr="004E0FC4">
        <w:rPr>
          <w:rFonts w:ascii="Bookman Old Style" w:eastAsia="Arial Narrow" w:hAnsi="Bookman Old Style" w:cs="Arial Narrow"/>
          <w:color w:val="231F20"/>
          <w:sz w:val="18"/>
          <w:szCs w:val="18"/>
          <w:highlight w:val="green"/>
        </w:rPr>
        <w:t>у</w:t>
      </w:r>
      <w:r w:rsidRPr="004E0FC4">
        <w:rPr>
          <w:rFonts w:ascii="Bookman Old Style" w:eastAsia="Arial Narrow" w:hAnsi="Bookman Old Style" w:cs="Arial Narrow"/>
          <w:color w:val="231F20"/>
          <w:sz w:val="18"/>
          <w:szCs w:val="18"/>
        </w:rPr>
        <w:t>тверждены постановлением Правительства РФ от 01.03.2008 № 134. (утратило силу с 03.01.2018 на основании постановления Правительства РФ от 23.12.2017 № 1623).</w:t>
      </w:r>
    </w:p>
    <w:p w14:paraId="6CB12EF0" w14:textId="77777777" w:rsidR="00350396" w:rsidRPr="004E0FC4" w:rsidRDefault="00350396" w:rsidP="004E0FC4">
      <w:pPr>
        <w:framePr w:w="6581" w:wrap="notBeside" w:vAnchor="text" w:hAnchor="text" w:xAlign="center" w:y="1"/>
        <w:widowControl w:val="0"/>
        <w:numPr>
          <w:ilvl w:val="0"/>
          <w:numId w:val="97"/>
        </w:numPr>
        <w:tabs>
          <w:tab w:val="left" w:pos="451"/>
        </w:tabs>
        <w:spacing w:line="240" w:lineRule="auto"/>
        <w:rPr>
          <w:rFonts w:ascii="Bookman Old Style" w:hAnsi="Bookman Old Style"/>
          <w:sz w:val="18"/>
          <w:szCs w:val="18"/>
        </w:rPr>
      </w:pPr>
      <w:r w:rsidRPr="004E0FC4">
        <w:rPr>
          <w:rFonts w:ascii="Bookman Old Style" w:eastAsia="Arial Narrow" w:hAnsi="Bookman Old Style" w:cs="Arial Narrow"/>
          <w:color w:val="231F20"/>
          <w:sz w:val="18"/>
          <w:szCs w:val="18"/>
        </w:rPr>
        <w:t>Создан в результате реорганизации Банка внешнеэкономической деятельно</w:t>
      </w:r>
      <w:r w:rsidRPr="004E0FC4">
        <w:rPr>
          <w:rFonts w:ascii="Bookman Old Style" w:eastAsia="Arial Narrow" w:hAnsi="Bookman Old Style" w:cs="Arial Narrow"/>
          <w:color w:val="231F20"/>
          <w:sz w:val="18"/>
          <w:szCs w:val="18"/>
        </w:rPr>
        <w:softHyphen/>
        <w:t>сти СССР (Федеральный закон от 17.05.2007 № 82-ФЗ «О банке развития»)</w:t>
      </w:r>
    </w:p>
    <w:p w14:paraId="64628C1F"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33A6607F" w14:textId="77777777" w:rsidR="00350396" w:rsidRPr="004E0FC4" w:rsidRDefault="00350396" w:rsidP="004E0FC4">
      <w:pPr>
        <w:widowControl w:val="0"/>
        <w:spacing w:line="240" w:lineRule="auto"/>
        <w:ind w:firstLine="0"/>
        <w:rPr>
          <w:rFonts w:ascii="Bookman Old Style" w:hAnsi="Bookman Old Style"/>
          <w:sz w:val="18"/>
          <w:szCs w:val="1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2"/>
        <w:gridCol w:w="5059"/>
      </w:tblGrid>
      <w:tr w:rsidR="00350396" w:rsidRPr="004E0FC4" w14:paraId="0B7DE1B6" w14:textId="77777777" w:rsidTr="006D7F71">
        <w:trPr>
          <w:trHeight w:hRule="exact" w:val="331"/>
          <w:jc w:val="center"/>
        </w:trPr>
        <w:tc>
          <w:tcPr>
            <w:tcW w:w="1522" w:type="dxa"/>
            <w:tcBorders>
              <w:top w:val="single" w:sz="4" w:space="0" w:color="auto"/>
              <w:left w:val="single" w:sz="4" w:space="0" w:color="auto"/>
            </w:tcBorders>
            <w:shd w:val="clear" w:color="auto" w:fill="FFFFFF"/>
            <w:vAlign w:val="bottom"/>
          </w:tcPr>
          <w:p w14:paraId="10D0BCCF"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Тип</w:t>
            </w:r>
          </w:p>
        </w:tc>
        <w:tc>
          <w:tcPr>
            <w:tcW w:w="5059" w:type="dxa"/>
            <w:tcBorders>
              <w:top w:val="single" w:sz="4" w:space="0" w:color="auto"/>
              <w:left w:val="single" w:sz="4" w:space="0" w:color="auto"/>
              <w:right w:val="single" w:sz="4" w:space="0" w:color="auto"/>
            </w:tcBorders>
            <w:shd w:val="clear" w:color="auto" w:fill="FFFFFF"/>
            <w:vAlign w:val="bottom"/>
          </w:tcPr>
          <w:p w14:paraId="32E80E6B"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Характеристика</w:t>
            </w:r>
          </w:p>
        </w:tc>
      </w:tr>
      <w:tr w:rsidR="00350396" w:rsidRPr="004E0FC4" w14:paraId="40210EBE" w14:textId="77777777" w:rsidTr="006D7F71">
        <w:trPr>
          <w:trHeight w:hRule="exact" w:val="2275"/>
          <w:jc w:val="center"/>
        </w:trPr>
        <w:tc>
          <w:tcPr>
            <w:tcW w:w="1522" w:type="dxa"/>
            <w:tcBorders>
              <w:top w:val="single" w:sz="4" w:space="0" w:color="auto"/>
              <w:left w:val="single" w:sz="4" w:space="0" w:color="auto"/>
            </w:tcBorders>
            <w:shd w:val="clear" w:color="auto" w:fill="FFFFFF"/>
          </w:tcPr>
          <w:p w14:paraId="7748B77D"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8. Венчурный инноваци</w:t>
            </w:r>
            <w:r w:rsidRPr="004E0FC4">
              <w:rPr>
                <w:rFonts w:ascii="Bookman Old Style" w:eastAsia="Bookman Old Style" w:hAnsi="Bookman Old Style" w:cs="Bookman Old Style"/>
                <w:color w:val="231F20"/>
                <w:sz w:val="18"/>
                <w:szCs w:val="18"/>
              </w:rPr>
              <w:softHyphen/>
              <w:t>онный фонд (ВИФ)</w:t>
            </w:r>
            <w:r w:rsidRPr="004E0FC4">
              <w:rPr>
                <w:rFonts w:ascii="Bookman Old Style" w:eastAsia="Bookman Old Style" w:hAnsi="Bookman Old Style" w:cs="Bookman Old Style"/>
                <w:color w:val="231F20"/>
                <w:sz w:val="18"/>
                <w:szCs w:val="18"/>
                <w:vertAlign w:val="superscript"/>
              </w:rPr>
              <w:t>1</w:t>
            </w:r>
          </w:p>
        </w:tc>
        <w:tc>
          <w:tcPr>
            <w:tcW w:w="5059" w:type="dxa"/>
            <w:tcBorders>
              <w:top w:val="single" w:sz="4" w:space="0" w:color="auto"/>
              <w:left w:val="single" w:sz="4" w:space="0" w:color="auto"/>
              <w:right w:val="single" w:sz="4" w:space="0" w:color="auto"/>
            </w:tcBorders>
            <w:shd w:val="clear" w:color="auto" w:fill="FFFFFF"/>
            <w:vAlign w:val="bottom"/>
          </w:tcPr>
          <w:p w14:paraId="3BB43557"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Свою деятельность ВИФ организует путем долевого участия (до 10 %) в уставном капитале региональных и отраслевых венчурных фондов, создаваемых частными инвесторами</w:t>
            </w:r>
            <w:r w:rsidRPr="004E0FC4">
              <w:rPr>
                <w:rFonts w:ascii="Bookman Old Style" w:eastAsia="Bookman Old Style" w:hAnsi="Bookman Old Style" w:cs="Bookman Old Style"/>
                <w:color w:val="231F20"/>
                <w:sz w:val="18"/>
                <w:szCs w:val="18"/>
                <w:vertAlign w:val="superscript"/>
              </w:rPr>
              <w:t>2</w:t>
            </w:r>
            <w:r w:rsidRPr="004E0FC4">
              <w:rPr>
                <w:rFonts w:ascii="Bookman Old Style" w:eastAsia="Bookman Old Style" w:hAnsi="Bookman Old Style" w:cs="Bookman Old Style"/>
                <w:color w:val="231F20"/>
                <w:sz w:val="18"/>
                <w:szCs w:val="18"/>
              </w:rPr>
              <w:t>. При этом объем средств, находящихся под управлением создаваемого фонда, должен быть не менее</w:t>
            </w:r>
          </w:p>
          <w:p w14:paraId="0B6F190F"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3 млн долл. США. Примерами таких фондов, активно действующих в инновационной сфере, являются «Русские технологии», «Технологический капитал», «Инноваци</w:t>
            </w:r>
            <w:r w:rsidRPr="004E0FC4">
              <w:rPr>
                <w:rFonts w:ascii="Bookman Old Style" w:eastAsia="Bookman Old Style" w:hAnsi="Bookman Old Style" w:cs="Bookman Old Style"/>
                <w:color w:val="231F20"/>
                <w:sz w:val="18"/>
                <w:szCs w:val="18"/>
              </w:rPr>
              <w:softHyphen/>
              <w:t>онный венчурный фонд аэрокосмической и оборонной промышленности»</w:t>
            </w:r>
          </w:p>
        </w:tc>
      </w:tr>
      <w:tr w:rsidR="00350396" w:rsidRPr="004E0FC4" w14:paraId="4A321FE7" w14:textId="77777777" w:rsidTr="006D7F71">
        <w:trPr>
          <w:trHeight w:hRule="exact" w:val="2702"/>
          <w:jc w:val="center"/>
        </w:trPr>
        <w:tc>
          <w:tcPr>
            <w:tcW w:w="1522" w:type="dxa"/>
            <w:tcBorders>
              <w:top w:val="single" w:sz="4" w:space="0" w:color="auto"/>
              <w:left w:val="single" w:sz="4" w:space="0" w:color="auto"/>
            </w:tcBorders>
            <w:shd w:val="clear" w:color="auto" w:fill="FFFFFF"/>
          </w:tcPr>
          <w:p w14:paraId="4F3F750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9. ОАО «Россий</w:t>
            </w:r>
            <w:r w:rsidRPr="004E0FC4">
              <w:rPr>
                <w:rFonts w:ascii="Bookman Old Style" w:eastAsia="Bookman Old Style" w:hAnsi="Bookman Old Style" w:cs="Bookman Old Style"/>
                <w:color w:val="231F20"/>
                <w:sz w:val="18"/>
                <w:szCs w:val="18"/>
              </w:rPr>
              <w:softHyphen/>
              <w:t>ская венчурная</w:t>
            </w:r>
          </w:p>
          <w:p w14:paraId="50786301"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компания»</w:t>
            </w:r>
          </w:p>
          <w:p w14:paraId="357B0DAF"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(РВК)</w:t>
            </w:r>
            <w:r w:rsidRPr="004E0FC4">
              <w:rPr>
                <w:rFonts w:ascii="Bookman Old Style" w:eastAsia="Bookman Old Style" w:hAnsi="Bookman Old Style" w:cs="Bookman Old Style"/>
                <w:color w:val="231F20"/>
                <w:sz w:val="18"/>
                <w:szCs w:val="18"/>
                <w:vertAlign w:val="superscript"/>
              </w:rPr>
              <w:t>3</w:t>
            </w:r>
          </w:p>
        </w:tc>
        <w:tc>
          <w:tcPr>
            <w:tcW w:w="5059" w:type="dxa"/>
            <w:tcBorders>
              <w:top w:val="single" w:sz="4" w:space="0" w:color="auto"/>
              <w:left w:val="single" w:sz="4" w:space="0" w:color="auto"/>
              <w:right w:val="single" w:sz="4" w:space="0" w:color="auto"/>
            </w:tcBorders>
            <w:shd w:val="clear" w:color="auto" w:fill="FFFFFF"/>
            <w:vAlign w:val="center"/>
          </w:tcPr>
          <w:p w14:paraId="4CC8B0C4"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Основная цель РВК — поддержка (на паритетных ус</w:t>
            </w:r>
            <w:r w:rsidRPr="004E0FC4">
              <w:rPr>
                <w:rFonts w:ascii="Bookman Old Style" w:eastAsia="Bookman Old Style" w:hAnsi="Bookman Old Style" w:cs="Bookman Old Style"/>
                <w:color w:val="231F20"/>
                <w:sz w:val="18"/>
                <w:szCs w:val="18"/>
              </w:rPr>
              <w:softHyphen/>
              <w:t>ловиях с частным капиталом) венчурных и «посевных» инвестиций, развитие инфраструктуры ведения иннова</w:t>
            </w:r>
            <w:r w:rsidRPr="004E0FC4">
              <w:rPr>
                <w:rFonts w:ascii="Bookman Old Style" w:eastAsia="Bookman Old Style" w:hAnsi="Bookman Old Style" w:cs="Bookman Old Style"/>
                <w:color w:val="231F20"/>
                <w:sz w:val="18"/>
                <w:szCs w:val="18"/>
              </w:rPr>
              <w:softHyphen/>
              <w:t>ционного технологического бизнеса. Компания исполняет роль государственного фонда венчурных фондов, через который осуществляется государственное стимулиро</w:t>
            </w:r>
            <w:r w:rsidRPr="004E0FC4">
              <w:rPr>
                <w:rFonts w:ascii="Bookman Old Style" w:eastAsia="Bookman Old Style" w:hAnsi="Bookman Old Style" w:cs="Bookman Old Style"/>
                <w:color w:val="231F20"/>
                <w:sz w:val="18"/>
                <w:szCs w:val="18"/>
              </w:rPr>
              <w:softHyphen/>
              <w:t>вание венчурных инвестиций и финансовая поддержка высокотехнологического сектора экономики. На РВК возложены такие функции, как отбор лучших венчурных управляющих компаний на конкурсной основе и при</w:t>
            </w:r>
            <w:r w:rsidRPr="004E0FC4">
              <w:rPr>
                <w:rFonts w:ascii="Bookman Old Style" w:eastAsia="Bookman Old Style" w:hAnsi="Bookman Old Style" w:cs="Bookman Old Style"/>
                <w:color w:val="231F20"/>
                <w:sz w:val="18"/>
                <w:szCs w:val="18"/>
              </w:rPr>
              <w:softHyphen/>
              <w:t>обретение паев венчурных фондов, создаваемых этими компаниями</w:t>
            </w:r>
          </w:p>
        </w:tc>
      </w:tr>
      <w:tr w:rsidR="00350396" w:rsidRPr="004E0FC4" w14:paraId="74605F0F" w14:textId="77777777" w:rsidTr="006D7F71">
        <w:trPr>
          <w:trHeight w:hRule="exact" w:val="2050"/>
          <w:jc w:val="center"/>
        </w:trPr>
        <w:tc>
          <w:tcPr>
            <w:tcW w:w="1522" w:type="dxa"/>
            <w:tcBorders>
              <w:top w:val="single" w:sz="4" w:space="0" w:color="auto"/>
              <w:left w:val="single" w:sz="4" w:space="0" w:color="auto"/>
            </w:tcBorders>
            <w:shd w:val="clear" w:color="auto" w:fill="FFFFFF"/>
            <w:vAlign w:val="bottom"/>
          </w:tcPr>
          <w:p w14:paraId="7FFEAC71" w14:textId="77777777" w:rsidR="00350396" w:rsidRPr="004E0FC4" w:rsidRDefault="00350396" w:rsidP="004E0FC4">
            <w:pPr>
              <w:framePr w:w="6581"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10. ОАО «Рос</w:t>
            </w:r>
            <w:r w:rsidRPr="004E0FC4">
              <w:rPr>
                <w:rFonts w:ascii="Bookman Old Style" w:eastAsia="Bookman Old Style" w:hAnsi="Bookman Old Style" w:cs="Bookman Old Style"/>
                <w:color w:val="231F20"/>
                <w:sz w:val="18"/>
                <w:szCs w:val="18"/>
              </w:rPr>
              <w:softHyphen/>
              <w:t>сийский инве</w:t>
            </w:r>
            <w:r w:rsidRPr="004E0FC4">
              <w:rPr>
                <w:rFonts w:ascii="Bookman Old Style" w:eastAsia="Bookman Old Style" w:hAnsi="Bookman Old Style" w:cs="Bookman Old Style"/>
                <w:color w:val="231F20"/>
                <w:sz w:val="18"/>
                <w:szCs w:val="18"/>
              </w:rPr>
              <w:softHyphen/>
              <w:t>стиционный фонд информа- ционно-комму-</w:t>
            </w:r>
          </w:p>
          <w:p w14:paraId="682A6ED9" w14:textId="77777777" w:rsidR="00350396" w:rsidRPr="004E0FC4" w:rsidRDefault="00350396" w:rsidP="004E0FC4">
            <w:pPr>
              <w:framePr w:w="6581"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никационных</w:t>
            </w:r>
          </w:p>
          <w:p w14:paraId="3EEB6827" w14:textId="77777777" w:rsidR="00350396" w:rsidRPr="004E0FC4" w:rsidRDefault="00350396" w:rsidP="004E0FC4">
            <w:pPr>
              <w:framePr w:w="6581"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технологий»</w:t>
            </w:r>
          </w:p>
          <w:p w14:paraId="68077A88" w14:textId="77777777" w:rsidR="00350396" w:rsidRPr="004E0FC4" w:rsidRDefault="00350396" w:rsidP="004E0FC4">
            <w:pPr>
              <w:framePr w:w="6581"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(«Росинфо-</w:t>
            </w:r>
          </w:p>
          <w:p w14:paraId="01F48F7F" w14:textId="77777777" w:rsidR="00350396" w:rsidRPr="004E0FC4" w:rsidRDefault="00350396" w:rsidP="004E0FC4">
            <w:pPr>
              <w:framePr w:w="6581"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коминвест»)</w:t>
            </w:r>
            <w:r w:rsidRPr="004E0FC4">
              <w:rPr>
                <w:rFonts w:ascii="Bookman Old Style" w:eastAsia="Bookman Old Style" w:hAnsi="Bookman Old Style" w:cs="Bookman Old Style"/>
                <w:color w:val="231F20"/>
                <w:sz w:val="18"/>
                <w:szCs w:val="18"/>
                <w:vertAlign w:val="superscript"/>
              </w:rPr>
              <w:t>4</w:t>
            </w:r>
          </w:p>
        </w:tc>
        <w:tc>
          <w:tcPr>
            <w:tcW w:w="5059" w:type="dxa"/>
            <w:tcBorders>
              <w:top w:val="single" w:sz="4" w:space="0" w:color="auto"/>
              <w:left w:val="single" w:sz="4" w:space="0" w:color="auto"/>
              <w:right w:val="single" w:sz="4" w:space="0" w:color="auto"/>
            </w:tcBorders>
            <w:shd w:val="clear" w:color="auto" w:fill="FFFFFF"/>
          </w:tcPr>
          <w:p w14:paraId="1E31B7AE"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Фонд выступает в качестве соинвестора, привлекающе</w:t>
            </w:r>
            <w:r w:rsidRPr="004E0FC4">
              <w:rPr>
                <w:rFonts w:ascii="Bookman Old Style" w:eastAsia="Bookman Old Style" w:hAnsi="Bookman Old Style" w:cs="Bookman Old Style"/>
                <w:color w:val="231F20"/>
                <w:sz w:val="18"/>
                <w:szCs w:val="18"/>
              </w:rPr>
              <w:softHyphen/>
              <w:t>го частные инвестиции, его же собственные вложения в каждый из проектов не будут превышать 150 млн руб.</w:t>
            </w:r>
            <w:r w:rsidRPr="004E0FC4">
              <w:rPr>
                <w:rFonts w:ascii="Bookman Old Style" w:eastAsia="Bookman Old Style" w:hAnsi="Bookman Old Style" w:cs="Bookman Old Style"/>
                <w:color w:val="231F20"/>
                <w:sz w:val="18"/>
                <w:szCs w:val="18"/>
                <w:vertAlign w:val="superscript"/>
              </w:rPr>
              <w:t>5</w:t>
            </w:r>
          </w:p>
        </w:tc>
      </w:tr>
      <w:tr w:rsidR="00350396" w:rsidRPr="004E0FC4" w14:paraId="7EBEAFD3" w14:textId="77777777" w:rsidTr="006D7F71">
        <w:trPr>
          <w:trHeight w:hRule="exact" w:val="984"/>
          <w:jc w:val="center"/>
        </w:trPr>
        <w:tc>
          <w:tcPr>
            <w:tcW w:w="1522" w:type="dxa"/>
            <w:tcBorders>
              <w:top w:val="single" w:sz="4" w:space="0" w:color="auto"/>
              <w:left w:val="single" w:sz="4" w:space="0" w:color="auto"/>
              <w:bottom w:val="single" w:sz="4" w:space="0" w:color="auto"/>
            </w:tcBorders>
            <w:shd w:val="clear" w:color="auto" w:fill="FFFFFF"/>
            <w:vAlign w:val="bottom"/>
          </w:tcPr>
          <w:p w14:paraId="302BB2EB" w14:textId="77777777" w:rsidR="00350396" w:rsidRPr="004E0FC4" w:rsidRDefault="00350396" w:rsidP="004E0FC4">
            <w:pPr>
              <w:framePr w:w="6581" w:wrap="notBeside" w:vAnchor="text" w:hAnchor="text" w:xAlign="center" w:y="1"/>
              <w:widowControl w:val="0"/>
              <w:spacing w:line="21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11. Фонд содей</w:t>
            </w:r>
            <w:r w:rsidRPr="004E0FC4">
              <w:rPr>
                <w:rFonts w:ascii="Bookman Old Style" w:eastAsia="Bookman Old Style" w:hAnsi="Bookman Old Style" w:cs="Bookman Old Style"/>
                <w:color w:val="231F20"/>
                <w:sz w:val="18"/>
                <w:szCs w:val="18"/>
              </w:rPr>
              <w:softHyphen/>
              <w:t>ствия развитию малых форм предприятий</w:t>
            </w:r>
          </w:p>
        </w:tc>
        <w:tc>
          <w:tcPr>
            <w:tcW w:w="5059" w:type="dxa"/>
            <w:tcBorders>
              <w:top w:val="single" w:sz="4" w:space="0" w:color="auto"/>
              <w:left w:val="single" w:sz="4" w:space="0" w:color="auto"/>
              <w:bottom w:val="single" w:sz="4" w:space="0" w:color="auto"/>
              <w:right w:val="single" w:sz="4" w:space="0" w:color="auto"/>
            </w:tcBorders>
            <w:shd w:val="clear" w:color="auto" w:fill="FFFFFF"/>
            <w:vAlign w:val="bottom"/>
          </w:tcPr>
          <w:p w14:paraId="177BAD93"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Фонд активно занимается проектами, находящимися на на</w:t>
            </w:r>
            <w:r w:rsidRPr="004E0FC4">
              <w:rPr>
                <w:rFonts w:ascii="Bookman Old Style" w:eastAsia="Bookman Old Style" w:hAnsi="Bookman Old Style" w:cs="Bookman Old Style"/>
                <w:color w:val="231F20"/>
                <w:sz w:val="18"/>
                <w:szCs w:val="18"/>
              </w:rPr>
              <w:softHyphen/>
              <w:t>чальной стадии, предпосевным и посевным финансирова</w:t>
            </w:r>
            <w:r w:rsidRPr="004E0FC4">
              <w:rPr>
                <w:rFonts w:ascii="Bookman Old Style" w:eastAsia="Bookman Old Style" w:hAnsi="Bookman Old Style" w:cs="Bookman Old Style"/>
                <w:color w:val="231F20"/>
                <w:sz w:val="18"/>
                <w:szCs w:val="18"/>
              </w:rPr>
              <w:softHyphen/>
              <w:t>нием. С 2004 г. Фонд осуществляет программу «СТАРТ» по финансированию инновационных проектов,</w:t>
            </w:r>
          </w:p>
        </w:tc>
      </w:tr>
    </w:tbl>
    <w:p w14:paraId="746C202B" w14:textId="77777777" w:rsidR="00350396" w:rsidRPr="004E0FC4" w:rsidRDefault="00350396" w:rsidP="004E0FC4">
      <w:pPr>
        <w:framePr w:w="6581" w:wrap="notBeside" w:vAnchor="text" w:hAnchor="text" w:xAlign="center" w:y="1"/>
        <w:widowControl w:val="0"/>
        <w:numPr>
          <w:ilvl w:val="0"/>
          <w:numId w:val="98"/>
        </w:numPr>
        <w:tabs>
          <w:tab w:val="left" w:pos="446"/>
        </w:tabs>
        <w:spacing w:line="240" w:lineRule="auto"/>
        <w:rPr>
          <w:rFonts w:ascii="Bookman Old Style" w:hAnsi="Bookman Old Style"/>
          <w:sz w:val="18"/>
          <w:szCs w:val="18"/>
        </w:rPr>
      </w:pPr>
      <w:r w:rsidRPr="004E0FC4">
        <w:rPr>
          <w:rFonts w:ascii="Bookman Old Style" w:eastAsia="Arial Narrow" w:hAnsi="Bookman Old Style" w:cs="Arial Narrow"/>
          <w:color w:val="231F20"/>
          <w:sz w:val="18"/>
          <w:szCs w:val="18"/>
        </w:rPr>
        <w:t>Распоряжение Правительства РФ от 10.03.2000 № 362-р «Об учреждении Вен</w:t>
      </w:r>
      <w:r w:rsidRPr="004E0FC4">
        <w:rPr>
          <w:rFonts w:ascii="Bookman Old Style" w:eastAsia="Arial Narrow" w:hAnsi="Bookman Old Style" w:cs="Arial Narrow"/>
          <w:color w:val="231F20"/>
          <w:sz w:val="18"/>
          <w:szCs w:val="18"/>
        </w:rPr>
        <w:softHyphen/>
        <w:t>чурного инновационного фонда».</w:t>
      </w:r>
    </w:p>
    <w:p w14:paraId="731B0ED3" w14:textId="77777777" w:rsidR="00350396" w:rsidRPr="004E0FC4" w:rsidRDefault="00350396" w:rsidP="004E0FC4">
      <w:pPr>
        <w:framePr w:w="6581" w:wrap="notBeside" w:vAnchor="text" w:hAnchor="text" w:xAlign="center" w:y="1"/>
        <w:widowControl w:val="0"/>
        <w:numPr>
          <w:ilvl w:val="0"/>
          <w:numId w:val="98"/>
        </w:numPr>
        <w:tabs>
          <w:tab w:val="left" w:pos="442"/>
        </w:tabs>
        <w:spacing w:line="240" w:lineRule="auto"/>
        <w:rPr>
          <w:rFonts w:ascii="Bookman Old Style" w:hAnsi="Bookman Old Style"/>
          <w:sz w:val="18"/>
          <w:szCs w:val="18"/>
        </w:rPr>
      </w:pPr>
      <w:r w:rsidRPr="004E0FC4">
        <w:rPr>
          <w:rFonts w:ascii="Bookman Old Style" w:eastAsia="Arial Narrow" w:hAnsi="Bookman Old Style" w:cs="Arial Narrow"/>
          <w:color w:val="231F20"/>
          <w:sz w:val="18"/>
          <w:szCs w:val="18"/>
        </w:rPr>
        <w:t>Даже относительно небольшое финансовое участие государства предоставля</w:t>
      </w:r>
      <w:r w:rsidRPr="004E0FC4">
        <w:rPr>
          <w:rFonts w:ascii="Bookman Old Style" w:eastAsia="Arial Narrow" w:hAnsi="Bookman Old Style" w:cs="Arial Narrow"/>
          <w:color w:val="231F20"/>
          <w:sz w:val="18"/>
          <w:szCs w:val="18"/>
        </w:rPr>
        <w:softHyphen/>
        <w:t>ет частным партнерам определенные гарантии потенциальной успешности их ин</w:t>
      </w:r>
      <w:r w:rsidRPr="004E0FC4">
        <w:rPr>
          <w:rFonts w:ascii="Bookman Old Style" w:eastAsia="Arial Narrow" w:hAnsi="Bookman Old Style" w:cs="Arial Narrow"/>
          <w:color w:val="231F20"/>
          <w:sz w:val="18"/>
          <w:szCs w:val="18"/>
        </w:rPr>
        <w:softHyphen/>
        <w:t>вестиций.</w:t>
      </w:r>
    </w:p>
    <w:p w14:paraId="7014A292" w14:textId="77777777" w:rsidR="00350396" w:rsidRPr="004E0FC4" w:rsidRDefault="00350396" w:rsidP="004E0FC4">
      <w:pPr>
        <w:framePr w:w="6581" w:wrap="notBeside" w:vAnchor="text" w:hAnchor="text" w:xAlign="center" w:y="1"/>
        <w:widowControl w:val="0"/>
        <w:numPr>
          <w:ilvl w:val="0"/>
          <w:numId w:val="98"/>
        </w:numPr>
        <w:tabs>
          <w:tab w:val="left" w:pos="442"/>
        </w:tabs>
        <w:spacing w:line="240" w:lineRule="auto"/>
        <w:rPr>
          <w:rFonts w:ascii="Bookman Old Style" w:hAnsi="Bookman Old Style"/>
          <w:sz w:val="18"/>
          <w:szCs w:val="18"/>
        </w:rPr>
      </w:pPr>
      <w:r w:rsidRPr="004E0FC4">
        <w:rPr>
          <w:rFonts w:ascii="Bookman Old Style" w:eastAsia="Arial Narrow" w:hAnsi="Bookman Old Style" w:cs="Arial Narrow"/>
          <w:color w:val="231F20"/>
          <w:sz w:val="18"/>
          <w:szCs w:val="18"/>
        </w:rPr>
        <w:t>Постановление Правительства РФ от 24.08.2006 № 516 «Об открытом акцио</w:t>
      </w:r>
      <w:r w:rsidRPr="004E0FC4">
        <w:rPr>
          <w:rFonts w:ascii="Bookman Old Style" w:eastAsia="Arial Narrow" w:hAnsi="Bookman Old Style" w:cs="Arial Narrow"/>
          <w:color w:val="231F20"/>
          <w:sz w:val="18"/>
          <w:szCs w:val="18"/>
        </w:rPr>
        <w:softHyphen/>
        <w:t>нерном обществе “Российская венчурная компания”».</w:t>
      </w:r>
    </w:p>
    <w:p w14:paraId="62ADA6DC" w14:textId="77777777" w:rsidR="00350396" w:rsidRPr="004E0FC4" w:rsidRDefault="00350396" w:rsidP="004E0FC4">
      <w:pPr>
        <w:framePr w:w="6581" w:wrap="notBeside" w:vAnchor="text" w:hAnchor="text" w:xAlign="center" w:y="1"/>
        <w:widowControl w:val="0"/>
        <w:numPr>
          <w:ilvl w:val="0"/>
          <w:numId w:val="98"/>
        </w:numPr>
        <w:tabs>
          <w:tab w:val="left" w:pos="446"/>
        </w:tabs>
        <w:spacing w:line="240" w:lineRule="auto"/>
        <w:rPr>
          <w:rFonts w:ascii="Bookman Old Style" w:hAnsi="Bookman Old Style"/>
          <w:sz w:val="18"/>
          <w:szCs w:val="18"/>
        </w:rPr>
      </w:pPr>
      <w:r w:rsidRPr="004E0FC4">
        <w:rPr>
          <w:rFonts w:ascii="Bookman Old Style" w:eastAsia="Arial Narrow" w:hAnsi="Bookman Old Style" w:cs="Arial Narrow"/>
          <w:color w:val="231F20"/>
          <w:sz w:val="18"/>
          <w:szCs w:val="18"/>
        </w:rPr>
        <w:t>Постановление Правительства РФ от 09.08.2006 № 476 «О создании открытого акционерного общества “Российский инвестиционный фонд информационно-ком</w:t>
      </w:r>
      <w:r w:rsidRPr="004E0FC4">
        <w:rPr>
          <w:rFonts w:ascii="Bookman Old Style" w:eastAsia="Arial Narrow" w:hAnsi="Bookman Old Style" w:cs="Arial Narrow"/>
          <w:color w:val="231F20"/>
          <w:sz w:val="18"/>
          <w:szCs w:val="18"/>
        </w:rPr>
        <w:softHyphen/>
        <w:t>муникационных технологий”».</w:t>
      </w:r>
    </w:p>
    <w:p w14:paraId="3AE72E73" w14:textId="77777777" w:rsidR="00350396" w:rsidRPr="004E0FC4" w:rsidRDefault="00350396" w:rsidP="004E0FC4">
      <w:pPr>
        <w:framePr w:w="6581" w:wrap="notBeside" w:vAnchor="text" w:hAnchor="text" w:xAlign="center" w:y="1"/>
        <w:widowControl w:val="0"/>
        <w:numPr>
          <w:ilvl w:val="0"/>
          <w:numId w:val="98"/>
        </w:numPr>
        <w:tabs>
          <w:tab w:val="left" w:pos="446"/>
        </w:tabs>
        <w:spacing w:line="240" w:lineRule="auto"/>
        <w:rPr>
          <w:rFonts w:ascii="Bookman Old Style" w:hAnsi="Bookman Old Style"/>
          <w:sz w:val="18"/>
          <w:szCs w:val="18"/>
        </w:rPr>
      </w:pPr>
      <w:r w:rsidRPr="004E0FC4">
        <w:rPr>
          <w:rFonts w:ascii="Bookman Old Style" w:eastAsia="Arial Narrow" w:hAnsi="Bookman Old Style" w:cs="Arial Narrow"/>
          <w:color w:val="231F20"/>
          <w:sz w:val="18"/>
          <w:szCs w:val="18"/>
        </w:rPr>
        <w:t>Постановление Правительства РФ от 17.03.2010 № 147 «О внесении измене</w:t>
      </w:r>
      <w:r w:rsidRPr="004E0FC4">
        <w:rPr>
          <w:rFonts w:ascii="Bookman Old Style" w:eastAsia="Arial Narrow" w:hAnsi="Bookman Old Style" w:cs="Arial Narrow"/>
          <w:color w:val="231F20"/>
          <w:sz w:val="18"/>
          <w:szCs w:val="18"/>
        </w:rPr>
        <w:softHyphen/>
        <w:t>ний в Постановление Правительства РФ от 9 августа 2006 г. № 476».</w:t>
      </w:r>
    </w:p>
    <w:p w14:paraId="51EDB42A"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2725868D" w14:textId="77777777" w:rsidR="00350396" w:rsidRPr="004E0FC4" w:rsidRDefault="00350396" w:rsidP="004E0FC4">
      <w:pPr>
        <w:widowControl w:val="0"/>
        <w:spacing w:line="240" w:lineRule="auto"/>
        <w:ind w:firstLine="0"/>
        <w:rPr>
          <w:rFonts w:ascii="Bookman Old Style" w:hAnsi="Bookman Old Style"/>
          <w:sz w:val="18"/>
          <w:szCs w:val="18"/>
        </w:rPr>
        <w:sectPr w:rsidR="00350396" w:rsidRPr="004E0FC4">
          <w:pgSz w:w="8789" w:h="13493"/>
          <w:pgMar w:top="1199" w:right="1074" w:bottom="1037" w:left="107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2"/>
        <w:gridCol w:w="5059"/>
      </w:tblGrid>
      <w:tr w:rsidR="00350396" w:rsidRPr="004E0FC4" w14:paraId="287CCA32" w14:textId="77777777" w:rsidTr="006D7F71">
        <w:trPr>
          <w:trHeight w:hRule="exact" w:val="331"/>
          <w:jc w:val="center"/>
        </w:trPr>
        <w:tc>
          <w:tcPr>
            <w:tcW w:w="1522" w:type="dxa"/>
            <w:tcBorders>
              <w:top w:val="single" w:sz="4" w:space="0" w:color="auto"/>
              <w:left w:val="single" w:sz="4" w:space="0" w:color="auto"/>
            </w:tcBorders>
            <w:shd w:val="clear" w:color="auto" w:fill="FFFFFF"/>
            <w:vAlign w:val="bottom"/>
          </w:tcPr>
          <w:p w14:paraId="65A79A26"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lastRenderedPageBreak/>
              <w:t>Тип</w:t>
            </w:r>
          </w:p>
        </w:tc>
        <w:tc>
          <w:tcPr>
            <w:tcW w:w="5059" w:type="dxa"/>
            <w:tcBorders>
              <w:top w:val="single" w:sz="4" w:space="0" w:color="auto"/>
              <w:left w:val="single" w:sz="4" w:space="0" w:color="auto"/>
              <w:right w:val="single" w:sz="4" w:space="0" w:color="auto"/>
            </w:tcBorders>
            <w:shd w:val="clear" w:color="auto" w:fill="FFFFFF"/>
            <w:vAlign w:val="bottom"/>
          </w:tcPr>
          <w:p w14:paraId="69D19638" w14:textId="77777777" w:rsidR="00350396" w:rsidRPr="004E0FC4" w:rsidRDefault="00350396" w:rsidP="004E0FC4">
            <w:pPr>
              <w:framePr w:w="6581" w:wrap="notBeside" w:vAnchor="text" w:hAnchor="text" w:xAlign="center" w:y="1"/>
              <w:widowControl w:val="0"/>
              <w:spacing w:line="176" w:lineRule="exact"/>
              <w:ind w:firstLine="0"/>
              <w:rPr>
                <w:rFonts w:ascii="Bookman Old Style" w:hAnsi="Bookman Old Style"/>
                <w:sz w:val="18"/>
                <w:szCs w:val="18"/>
              </w:rPr>
            </w:pPr>
            <w:r w:rsidRPr="004E0FC4">
              <w:rPr>
                <w:rFonts w:ascii="Bookman Old Style" w:eastAsia="Bookman Old Style" w:hAnsi="Bookman Old Style" w:cs="Bookman Old Style"/>
                <w:b/>
                <w:bCs/>
                <w:color w:val="231F20"/>
                <w:sz w:val="18"/>
                <w:szCs w:val="18"/>
              </w:rPr>
              <w:t>Характеристика</w:t>
            </w:r>
          </w:p>
        </w:tc>
      </w:tr>
      <w:tr w:rsidR="00350396" w:rsidRPr="004E0FC4" w14:paraId="4B1D366F" w14:textId="77777777" w:rsidTr="006D7F71">
        <w:trPr>
          <w:trHeight w:hRule="exact" w:val="2246"/>
          <w:jc w:val="center"/>
        </w:trPr>
        <w:tc>
          <w:tcPr>
            <w:tcW w:w="1522" w:type="dxa"/>
            <w:tcBorders>
              <w:top w:val="single" w:sz="4" w:space="0" w:color="auto"/>
              <w:left w:val="single" w:sz="4" w:space="0" w:color="auto"/>
            </w:tcBorders>
            <w:shd w:val="clear" w:color="auto" w:fill="FFFFFF"/>
          </w:tcPr>
          <w:p w14:paraId="5665B090"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в научно-техни</w:t>
            </w:r>
            <w:r w:rsidRPr="004E0FC4">
              <w:rPr>
                <w:rFonts w:ascii="Bookman Old Style" w:eastAsia="Bookman Old Style" w:hAnsi="Bookman Old Style" w:cs="Bookman Old Style"/>
                <w:color w:val="231F20"/>
                <w:sz w:val="18"/>
                <w:szCs w:val="18"/>
              </w:rPr>
              <w:softHyphen/>
              <w:t>ческой сфере</w:t>
            </w:r>
            <w:r w:rsidRPr="004E0FC4">
              <w:rPr>
                <w:rFonts w:ascii="Bookman Old Style" w:eastAsia="Bookman Old Style" w:hAnsi="Bookman Old Style" w:cs="Bookman Old Style"/>
                <w:color w:val="231F20"/>
                <w:sz w:val="18"/>
                <w:szCs w:val="18"/>
                <w:vertAlign w:val="superscript"/>
              </w:rPr>
              <w:footnoteReference w:id="157"/>
            </w:r>
          </w:p>
        </w:tc>
        <w:tc>
          <w:tcPr>
            <w:tcW w:w="5059" w:type="dxa"/>
            <w:tcBorders>
              <w:top w:val="single" w:sz="4" w:space="0" w:color="auto"/>
              <w:left w:val="single" w:sz="4" w:space="0" w:color="auto"/>
              <w:right w:val="single" w:sz="4" w:space="0" w:color="auto"/>
            </w:tcBorders>
            <w:shd w:val="clear" w:color="auto" w:fill="FFFFFF"/>
            <w:vAlign w:val="bottom"/>
          </w:tcPr>
          <w:p w14:paraId="16335A55" w14:textId="77777777" w:rsidR="00350396" w:rsidRPr="004E0FC4" w:rsidRDefault="00350396" w:rsidP="004E0FC4">
            <w:pPr>
              <w:framePr w:w="6581" w:wrap="notBeside" w:vAnchor="text" w:hAnchor="text" w:xAlign="center" w:y="1"/>
              <w:widowControl w:val="0"/>
              <w:spacing w:line="216"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находящихся на начальной стадии реализации. Програм</w:t>
            </w:r>
            <w:r w:rsidRPr="004E0FC4">
              <w:rPr>
                <w:rFonts w:ascii="Bookman Old Style" w:eastAsia="Bookman Old Style" w:hAnsi="Bookman Old Style" w:cs="Bookman Old Style"/>
                <w:color w:val="231F20"/>
                <w:sz w:val="18"/>
                <w:szCs w:val="18"/>
              </w:rPr>
              <w:softHyphen/>
              <w:t>ма «ПУСК» («Партнерство университетов с компаниями») определяет основы партнерства малого инновационно</w:t>
            </w:r>
            <w:r w:rsidRPr="004E0FC4">
              <w:rPr>
                <w:rFonts w:ascii="Bookman Old Style" w:eastAsia="Bookman Old Style" w:hAnsi="Bookman Old Style" w:cs="Bookman Old Style"/>
                <w:color w:val="231F20"/>
                <w:sz w:val="18"/>
                <w:szCs w:val="18"/>
              </w:rPr>
              <w:softHyphen/>
              <w:t>го предприятия и университета. С 2005 г. при поддержке Фонда действует программа «ТЕМП» («Технологии — ма</w:t>
            </w:r>
            <w:r w:rsidRPr="004E0FC4">
              <w:rPr>
                <w:rFonts w:ascii="Bookman Old Style" w:eastAsia="Bookman Old Style" w:hAnsi="Bookman Old Style" w:cs="Bookman Old Style"/>
                <w:color w:val="231F20"/>
                <w:sz w:val="18"/>
                <w:szCs w:val="18"/>
              </w:rPr>
              <w:softHyphen/>
              <w:t>лым предприятиям), предусматривающая безвозвратное финансирование НИОКР, проводимых малыми предпри</w:t>
            </w:r>
            <w:r w:rsidRPr="004E0FC4">
              <w:rPr>
                <w:rFonts w:ascii="Bookman Old Style" w:eastAsia="Bookman Old Style" w:hAnsi="Bookman Old Style" w:cs="Bookman Old Style"/>
                <w:color w:val="231F20"/>
                <w:sz w:val="18"/>
                <w:szCs w:val="18"/>
              </w:rPr>
              <w:softHyphen/>
              <w:t>ятиями, с целью освоения приобретенных у российских университетов, академических и отраслевых институтов лицензий на новые технологии и технические решения</w:t>
            </w:r>
            <w:r w:rsidRPr="004E0FC4">
              <w:rPr>
                <w:rFonts w:ascii="Bookman Old Style" w:eastAsia="Bookman Old Style" w:hAnsi="Bookman Old Style" w:cs="Bookman Old Style"/>
                <w:color w:val="231F20"/>
                <w:sz w:val="18"/>
                <w:szCs w:val="18"/>
                <w:vertAlign w:val="superscript"/>
              </w:rPr>
              <w:footnoteReference w:id="158"/>
            </w:r>
          </w:p>
        </w:tc>
      </w:tr>
      <w:tr w:rsidR="00350396" w:rsidRPr="004E0FC4" w14:paraId="197AF5B9" w14:textId="77777777" w:rsidTr="006D7F71">
        <w:trPr>
          <w:trHeight w:hRule="exact" w:val="974"/>
          <w:jc w:val="center"/>
        </w:trPr>
        <w:tc>
          <w:tcPr>
            <w:tcW w:w="1522" w:type="dxa"/>
            <w:tcBorders>
              <w:top w:val="single" w:sz="4" w:space="0" w:color="auto"/>
              <w:left w:val="single" w:sz="4" w:space="0" w:color="auto"/>
              <w:bottom w:val="single" w:sz="4" w:space="0" w:color="auto"/>
            </w:tcBorders>
            <w:shd w:val="clear" w:color="auto" w:fill="FFFFFF"/>
            <w:vAlign w:val="bottom"/>
          </w:tcPr>
          <w:p w14:paraId="3ABE2C12"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12. Федераль</w:t>
            </w:r>
            <w:r w:rsidRPr="004E0FC4">
              <w:rPr>
                <w:rFonts w:ascii="Bookman Old Style" w:eastAsia="Bookman Old Style" w:hAnsi="Bookman Old Style" w:cs="Bookman Old Style"/>
                <w:color w:val="231F20"/>
                <w:sz w:val="18"/>
                <w:szCs w:val="18"/>
              </w:rPr>
              <w:softHyphen/>
              <w:t>ный фонд про</w:t>
            </w:r>
            <w:r w:rsidRPr="004E0FC4">
              <w:rPr>
                <w:rFonts w:ascii="Bookman Old Style" w:eastAsia="Bookman Old Style" w:hAnsi="Bookman Old Style" w:cs="Bookman Old Style"/>
                <w:color w:val="231F20"/>
                <w:sz w:val="18"/>
                <w:szCs w:val="18"/>
              </w:rPr>
              <w:softHyphen/>
              <w:t>изводственных инноваций</w:t>
            </w:r>
            <w:r w:rsidRPr="004E0FC4">
              <w:rPr>
                <w:rFonts w:ascii="Bookman Old Style" w:eastAsia="Bookman Old Style" w:hAnsi="Bookman Old Style" w:cs="Bookman Old Style"/>
                <w:color w:val="231F20"/>
                <w:sz w:val="18"/>
                <w:szCs w:val="18"/>
                <w:vertAlign w:val="superscript"/>
              </w:rPr>
              <w:footnoteReference w:id="159"/>
            </w:r>
          </w:p>
        </w:tc>
        <w:tc>
          <w:tcPr>
            <w:tcW w:w="5059" w:type="dxa"/>
            <w:tcBorders>
              <w:top w:val="single" w:sz="4" w:space="0" w:color="auto"/>
              <w:left w:val="single" w:sz="4" w:space="0" w:color="auto"/>
              <w:bottom w:val="single" w:sz="4" w:space="0" w:color="auto"/>
              <w:right w:val="single" w:sz="4" w:space="0" w:color="auto"/>
            </w:tcBorders>
            <w:shd w:val="clear" w:color="auto" w:fill="FFFFFF"/>
          </w:tcPr>
          <w:p w14:paraId="2CAD9006" w14:textId="77777777" w:rsidR="00350396" w:rsidRPr="004E0FC4" w:rsidRDefault="00350396" w:rsidP="004E0FC4">
            <w:pPr>
              <w:framePr w:w="6581" w:wrap="notBeside" w:vAnchor="text" w:hAnchor="text" w:xAlign="center" w:y="1"/>
              <w:widowControl w:val="0"/>
              <w:spacing w:line="221"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Фонд, как правило, поддерживает быстро окупаемые (до двух лет) инвестиционные проекты, в том числе ма</w:t>
            </w:r>
            <w:r w:rsidRPr="004E0FC4">
              <w:rPr>
                <w:rFonts w:ascii="Bookman Old Style" w:eastAsia="Bookman Old Style" w:hAnsi="Bookman Old Style" w:cs="Bookman Old Style"/>
                <w:color w:val="231F20"/>
                <w:sz w:val="18"/>
                <w:szCs w:val="18"/>
              </w:rPr>
              <w:softHyphen/>
              <w:t>лых предприятий</w:t>
            </w:r>
          </w:p>
        </w:tc>
      </w:tr>
    </w:tbl>
    <w:p w14:paraId="1D316EE2" w14:textId="77777777" w:rsidR="00350396" w:rsidRPr="004E0FC4" w:rsidRDefault="00350396" w:rsidP="004E0FC4">
      <w:pPr>
        <w:framePr w:w="6581" w:wrap="notBeside" w:vAnchor="text" w:hAnchor="text" w:xAlign="center" w:y="1"/>
        <w:widowControl w:val="0"/>
        <w:spacing w:line="240" w:lineRule="auto"/>
        <w:ind w:firstLine="0"/>
        <w:rPr>
          <w:rFonts w:ascii="Bookman Old Style" w:hAnsi="Bookman Old Style"/>
          <w:sz w:val="18"/>
          <w:szCs w:val="18"/>
        </w:rPr>
      </w:pPr>
    </w:p>
    <w:p w14:paraId="0C77A22E" w14:textId="77777777" w:rsidR="00350396" w:rsidRPr="004E0FC4" w:rsidRDefault="00350396" w:rsidP="004E0FC4">
      <w:pPr>
        <w:widowControl w:val="0"/>
        <w:spacing w:line="240" w:lineRule="auto"/>
        <w:ind w:firstLine="0"/>
        <w:rPr>
          <w:rFonts w:ascii="Bookman Old Style" w:hAnsi="Bookman Old Style"/>
          <w:sz w:val="18"/>
          <w:szCs w:val="18"/>
        </w:rPr>
      </w:pPr>
    </w:p>
    <w:p w14:paraId="64957C86" w14:textId="77777777" w:rsidR="00350396" w:rsidRPr="004E0FC4" w:rsidRDefault="00350396" w:rsidP="004E0FC4">
      <w:pPr>
        <w:widowControl w:val="0"/>
        <w:spacing w:before="85" w:line="211" w:lineRule="exact"/>
        <w:ind w:firstLine="340"/>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примечания. *</w:t>
      </w:r>
      <w:r w:rsidRPr="004E0FC4">
        <w:rPr>
          <w:rFonts w:ascii="Bookman Old Style" w:eastAsia="Bookman Old Style" w:hAnsi="Bookman Old Style" w:cs="Bookman Old Style"/>
          <w:color w:val="231F20"/>
          <w:sz w:val="18"/>
          <w:szCs w:val="18"/>
        </w:rPr>
        <w:t xml:space="preserve"> Технико-внедренческие зоны были созданы в соответствии с Федеральным законом от 22.07.2005 № 116-ФЗ «Об особых экономических зонах в Российской Федерации». В настоящее время в России существуют че</w:t>
      </w:r>
      <w:r w:rsidRPr="004E0FC4">
        <w:rPr>
          <w:rFonts w:ascii="Bookman Old Style" w:eastAsia="Bookman Old Style" w:hAnsi="Bookman Old Style" w:cs="Bookman Old Style"/>
          <w:color w:val="231F20"/>
          <w:sz w:val="18"/>
          <w:szCs w:val="18"/>
        </w:rPr>
        <w:softHyphen/>
        <w:t>тыре особые экономические зоны технико-внедренческого типа (ОЭЗ ТВТ): в Санкт-Петербурге, Зеленограде, Дубне, Томске. Практика показывает, что эти зоны выполняют роль катализатора процессов кластеризации в наиболее перспективных направлениях экономики региона. Так, в ОЭЗ «Дубна» плани</w:t>
      </w:r>
      <w:r w:rsidRPr="004E0FC4">
        <w:rPr>
          <w:rFonts w:ascii="Bookman Old Style" w:eastAsia="Bookman Old Style" w:hAnsi="Bookman Old Style" w:cs="Bookman Old Style"/>
          <w:color w:val="231F20"/>
          <w:sz w:val="18"/>
          <w:szCs w:val="18"/>
        </w:rPr>
        <w:softHyphen/>
        <w:t xml:space="preserve">руется создание технологических кластеров: «Информационные технологии», «Ядерно-физические технологии», «Проектирование сложных технических систем», «Био- и медицинские технологии», нанотехнологический кластер </w:t>
      </w:r>
      <w:r w:rsidRPr="004E0FC4">
        <w:rPr>
          <w:rFonts w:ascii="Bookman Old Style" w:eastAsia="Bookman Old Style" w:hAnsi="Bookman Old Style" w:cs="Bookman Old Style"/>
          <w:color w:val="231F20"/>
          <w:sz w:val="18"/>
          <w:szCs w:val="18"/>
          <w:lang w:eastAsia="en-US" w:bidi="en-US"/>
        </w:rPr>
        <w:t>(</w:t>
      </w:r>
      <w:hyperlink r:id="rId105" w:history="1">
        <w:r w:rsidRPr="004E0FC4">
          <w:rPr>
            <w:rFonts w:ascii="Bookman Old Style" w:eastAsia="Bookman Old Style" w:hAnsi="Bookman Old Style" w:cs="Bookman Old Style"/>
            <w:color w:val="231F20"/>
            <w:sz w:val="18"/>
            <w:szCs w:val="18"/>
            <w:lang w:val="en-US" w:eastAsia="en-US" w:bidi="en-US"/>
          </w:rPr>
          <w:t>http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www</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dubna</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oez</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ru</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it</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nudear</w:t>
        </w:r>
        <w:r w:rsidRPr="004E0FC4">
          <w:rPr>
            <w:rFonts w:ascii="Bookman Old Style" w:eastAsia="Bookman Old Style" w:hAnsi="Bookman Old Style" w:cs="Bookman Old Style"/>
            <w:color w:val="231F20"/>
            <w:sz w:val="18"/>
            <w:szCs w:val="18"/>
            <w:lang w:eastAsia="en-US" w:bidi="en-US"/>
          </w:rPr>
          <w:t>_</w:t>
        </w:r>
        <w:r w:rsidRPr="004E0FC4">
          <w:rPr>
            <w:rFonts w:ascii="Bookman Old Style" w:eastAsia="Bookman Old Style" w:hAnsi="Bookman Old Style" w:cs="Bookman Old Style"/>
            <w:color w:val="231F20"/>
            <w:sz w:val="18"/>
            <w:szCs w:val="18"/>
            <w:lang w:val="en-US" w:eastAsia="en-US" w:bidi="en-US"/>
          </w:rPr>
          <w:t>physical</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designing</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systems</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bio</w:t>
        </w:r>
        <w:r w:rsidRPr="004E0FC4">
          <w:rPr>
            <w:rFonts w:ascii="Bookman Old Style" w:eastAsia="Bookman Old Style" w:hAnsi="Bookman Old Style" w:cs="Bookman Old Style"/>
            <w:color w:val="231F20"/>
            <w:sz w:val="18"/>
            <w:szCs w:val="18"/>
            <w:lang w:eastAsia="en-US" w:bidi="en-US"/>
          </w:rPr>
          <w:t>_</w:t>
        </w:r>
        <w:r w:rsidRPr="004E0FC4">
          <w:rPr>
            <w:rFonts w:ascii="Bookman Old Style" w:eastAsia="Bookman Old Style" w:hAnsi="Bookman Old Style" w:cs="Bookman Old Style"/>
            <w:color w:val="231F20"/>
            <w:sz w:val="18"/>
            <w:szCs w:val="18"/>
            <w:lang w:val="en-US" w:eastAsia="en-US" w:bidi="en-US"/>
          </w:rPr>
          <w:t>medical</w:t>
        </w:r>
      </w:hyperlink>
      <w:r w:rsidRPr="004E0FC4">
        <w:rPr>
          <w:rFonts w:ascii="Bookman Old Style" w:eastAsia="Bookman Old Style" w:hAnsi="Bookman Old Style" w:cs="Bookman Old Style"/>
          <w:color w:val="231F20"/>
          <w:sz w:val="18"/>
          <w:szCs w:val="18"/>
          <w:lang w:eastAsia="en-US" w:bidi="en-US"/>
        </w:rPr>
        <w:t xml:space="preserve">; </w:t>
      </w:r>
      <w:hyperlink r:id="rId106" w:history="1">
        <w:r w:rsidRPr="004E0FC4">
          <w:rPr>
            <w:rFonts w:ascii="Bookman Old Style" w:eastAsia="Bookman Old Style" w:hAnsi="Bookman Old Style" w:cs="Bookman Old Style"/>
            <w:color w:val="231F20"/>
            <w:sz w:val="18"/>
            <w:szCs w:val="18"/>
            <w:lang w:val="en-US" w:eastAsia="en-US" w:bidi="en-US"/>
          </w:rPr>
          <w:t>www</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nanonewsnet</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ru</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blog</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nikst</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nanotekhnologicheskii</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klaster</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v</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dubne</w:t>
        </w:r>
      </w:hyperlink>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В ОЭЗ ТВТ города Томска будут созданы четыре кластера: биомедицинский, аппарат</w:t>
      </w:r>
      <w:r w:rsidRPr="004E0FC4">
        <w:rPr>
          <w:rFonts w:ascii="Bookman Old Style" w:eastAsia="Bookman Old Style" w:hAnsi="Bookman Old Style" w:cs="Bookman Old Style"/>
          <w:color w:val="231F20"/>
          <w:sz w:val="18"/>
          <w:szCs w:val="18"/>
        </w:rPr>
        <w:softHyphen/>
        <w:t>но-программный, приборостроительный и кластер «Наномодифицированные материалы». В ОЭЗ «Зеленоград» идет формирование биофармацевтического кластера «Биосити» под эгидой ЗАО «Биннофарм» и кластера микроэлектро</w:t>
      </w:r>
      <w:r w:rsidRPr="004E0FC4">
        <w:rPr>
          <w:rFonts w:ascii="Bookman Old Style" w:eastAsia="Bookman Old Style" w:hAnsi="Bookman Old Style" w:cs="Bookman Old Style"/>
          <w:color w:val="231F20"/>
          <w:sz w:val="18"/>
          <w:szCs w:val="18"/>
        </w:rPr>
        <w:softHyphen/>
        <w:t xml:space="preserve">ники под эгидой ОАО «ЗИТЦ» и ООО «НИИ Компонент» </w:t>
      </w:r>
      <w:r w:rsidRPr="004E0FC4">
        <w:rPr>
          <w:rFonts w:ascii="Bookman Old Style" w:eastAsia="Bookman Old Style" w:hAnsi="Bookman Old Style" w:cs="Bookman Old Style"/>
          <w:color w:val="231F20"/>
          <w:sz w:val="18"/>
          <w:szCs w:val="18"/>
          <w:lang w:eastAsia="en-US" w:bidi="en-US"/>
        </w:rPr>
        <w:t>(</w:t>
      </w:r>
      <w:hyperlink r:id="rId107" w:history="1">
        <w:r w:rsidRPr="004E0FC4">
          <w:rPr>
            <w:rFonts w:ascii="Bookman Old Style" w:eastAsia="Bookman Old Style" w:hAnsi="Bookman Old Style" w:cs="Bookman Old Style"/>
            <w:color w:val="231F20"/>
            <w:sz w:val="18"/>
            <w:szCs w:val="18"/>
            <w:lang w:val="en-US" w:eastAsia="en-US" w:bidi="en-US"/>
          </w:rPr>
          <w:t>http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globalsib</w:t>
        </w:r>
      </w:hyperlink>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lang w:val="en-US" w:eastAsia="en-US" w:bidi="en-US"/>
        </w:rPr>
        <w:t>com</w:t>
      </w:r>
      <w:r w:rsidRPr="004E0FC4">
        <w:rPr>
          <w:rFonts w:ascii="Bookman Old Style" w:eastAsia="Bookman Old Style" w:hAnsi="Bookman Old Style" w:cs="Bookman Old Style"/>
          <w:color w:val="231F20"/>
          <w:sz w:val="18"/>
          <w:szCs w:val="18"/>
          <w:lang w:eastAsia="en-US" w:bidi="en-US"/>
        </w:rPr>
        <w:t xml:space="preserve">/5167/). </w:t>
      </w:r>
      <w:r w:rsidRPr="004E0FC4">
        <w:rPr>
          <w:rFonts w:ascii="Bookman Old Style" w:eastAsia="Bookman Old Style" w:hAnsi="Bookman Old Style" w:cs="Bookman Old Style"/>
          <w:color w:val="231F20"/>
          <w:sz w:val="18"/>
          <w:szCs w:val="18"/>
        </w:rPr>
        <w:t>В Санкт-Петербурге насчитывается девять кластеров, в том чис</w:t>
      </w:r>
      <w:r w:rsidRPr="004E0FC4">
        <w:rPr>
          <w:rFonts w:ascii="Bookman Old Style" w:eastAsia="Bookman Old Style" w:hAnsi="Bookman Old Style" w:cs="Bookman Old Style"/>
          <w:color w:val="231F20"/>
          <w:sz w:val="18"/>
          <w:szCs w:val="18"/>
        </w:rPr>
        <w:softHyphen/>
        <w:t>ле в области машиностроения и металлообработки, информационных техно</w:t>
      </w:r>
      <w:r w:rsidRPr="004E0FC4">
        <w:rPr>
          <w:rFonts w:ascii="Bookman Old Style" w:eastAsia="Bookman Old Style" w:hAnsi="Bookman Old Style" w:cs="Bookman Old Style"/>
          <w:color w:val="231F20"/>
          <w:sz w:val="18"/>
          <w:szCs w:val="18"/>
        </w:rPr>
        <w:softHyphen/>
        <w:t xml:space="preserve">логий, оптоэлектроники, производства автокомпонентов и др. </w:t>
      </w:r>
      <w:r w:rsidRPr="004E0FC4">
        <w:rPr>
          <w:rFonts w:ascii="Bookman Old Style" w:eastAsia="Bookman Old Style" w:hAnsi="Bookman Old Style" w:cs="Bookman Old Style"/>
          <w:color w:val="231F20"/>
          <w:sz w:val="18"/>
          <w:szCs w:val="18"/>
          <w:lang w:eastAsia="en-US" w:bidi="en-US"/>
        </w:rPr>
        <w:t>(</w:t>
      </w:r>
      <w:hyperlink r:id="rId108" w:history="1">
        <w:r w:rsidRPr="004E0FC4">
          <w:rPr>
            <w:rFonts w:ascii="Bookman Old Style" w:eastAsia="Bookman Old Style" w:hAnsi="Bookman Old Style" w:cs="Bookman Old Style"/>
            <w:color w:val="231F20"/>
            <w:sz w:val="18"/>
            <w:szCs w:val="18"/>
            <w:lang w:val="en-US" w:eastAsia="en-US" w:bidi="en-US"/>
          </w:rPr>
          <w:t>http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www</w:t>
        </w:r>
      </w:hyperlink>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lang w:val="en-US" w:eastAsia="en-US" w:bidi="en-US"/>
        </w:rPr>
        <w:t>binnopharm</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ru</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biocity</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members</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oez</w:t>
      </w:r>
      <w:r w:rsidRPr="004E0FC4">
        <w:rPr>
          <w:rFonts w:ascii="Bookman Old Style" w:eastAsia="Bookman Old Style" w:hAnsi="Bookman Old Style" w:cs="Bookman Old Style"/>
          <w:color w:val="231F20"/>
          <w:sz w:val="18"/>
          <w:szCs w:val="18"/>
          <w:lang w:eastAsia="en-US" w:bidi="en-US"/>
        </w:rPr>
        <w:t>).</w:t>
      </w:r>
    </w:p>
    <w:p w14:paraId="55D71B43" w14:textId="77777777" w:rsidR="00350396" w:rsidRPr="004E0FC4" w:rsidRDefault="00350396" w:rsidP="004E0FC4">
      <w:pPr>
        <w:widowControl w:val="0"/>
        <w:spacing w:line="211" w:lineRule="exact"/>
        <w:ind w:firstLine="340"/>
        <w:rPr>
          <w:rFonts w:ascii="Bookman Old Style" w:hAnsi="Bookman Old Style"/>
          <w:sz w:val="18"/>
          <w:szCs w:val="18"/>
        </w:rPr>
        <w:sectPr w:rsidR="00350396" w:rsidRPr="004E0FC4">
          <w:headerReference w:type="even" r:id="rId109"/>
          <w:headerReference w:type="default" r:id="rId110"/>
          <w:footerReference w:type="even" r:id="rId111"/>
          <w:footerReference w:type="default" r:id="rId112"/>
          <w:headerReference w:type="first" r:id="rId113"/>
          <w:footerReference w:type="first" r:id="rId114"/>
          <w:pgSz w:w="8789" w:h="13493"/>
          <w:pgMar w:top="1199" w:right="1074" w:bottom="1037" w:left="1072" w:header="0" w:footer="3" w:gutter="0"/>
          <w:cols w:space="720"/>
          <w:noEndnote/>
          <w:titlePg/>
          <w:docGrid w:linePitch="360"/>
        </w:sectPr>
      </w:pPr>
      <w:r w:rsidRPr="004E0FC4">
        <w:rPr>
          <w:rFonts w:ascii="Bookman Old Style" w:eastAsia="Bookman Old Style" w:hAnsi="Bookman Old Style" w:cs="Bookman Old Style"/>
          <w:color w:val="231F20"/>
          <w:sz w:val="18"/>
          <w:szCs w:val="18"/>
        </w:rPr>
        <w:t>** Сегодня в России фактически действуют 100 технопарков. Всего по стра</w:t>
      </w:r>
      <w:r w:rsidRPr="004E0FC4">
        <w:rPr>
          <w:rFonts w:ascii="Bookman Old Style" w:eastAsia="Bookman Old Style" w:hAnsi="Bookman Old Style" w:cs="Bookman Old Style"/>
          <w:color w:val="231F20"/>
          <w:sz w:val="18"/>
          <w:szCs w:val="18"/>
        </w:rPr>
        <w:softHyphen/>
        <w:t xml:space="preserve">не насчитывается около 2000 тыс. организаций, называющих </w:t>
      </w:r>
      <w:r w:rsidRPr="004E0FC4">
        <w:rPr>
          <w:rFonts w:ascii="Bookman Old Style" w:eastAsia="Bookman Old Style" w:hAnsi="Bookman Old Style" w:cs="Bookman Old Style"/>
          <w:color w:val="231F20"/>
          <w:sz w:val="18"/>
          <w:szCs w:val="18"/>
        </w:rPr>
        <w:lastRenderedPageBreak/>
        <w:t>себя технопар</w:t>
      </w:r>
      <w:r w:rsidRPr="004E0FC4">
        <w:rPr>
          <w:rFonts w:ascii="Bookman Old Style" w:eastAsia="Bookman Old Style" w:hAnsi="Bookman Old Style" w:cs="Bookman Old Style"/>
          <w:color w:val="231F20"/>
          <w:sz w:val="18"/>
          <w:szCs w:val="18"/>
        </w:rPr>
        <w:softHyphen/>
        <w:t xml:space="preserve">ками </w:t>
      </w:r>
      <w:r w:rsidRPr="004E0FC4">
        <w:rPr>
          <w:rFonts w:ascii="Bookman Old Style" w:eastAsia="Bookman Old Style" w:hAnsi="Bookman Old Style" w:cs="Bookman Old Style"/>
          <w:color w:val="231F20"/>
          <w:sz w:val="18"/>
          <w:szCs w:val="18"/>
          <w:lang w:eastAsia="en-US" w:bidi="en-US"/>
        </w:rPr>
        <w:t>(</w:t>
      </w:r>
      <w:hyperlink r:id="rId115" w:history="1">
        <w:r w:rsidRPr="004E0FC4">
          <w:rPr>
            <w:rFonts w:ascii="Bookman Old Style" w:eastAsia="Bookman Old Style" w:hAnsi="Bookman Old Style" w:cs="Bookman Old Style"/>
            <w:color w:val="231F20"/>
            <w:sz w:val="18"/>
            <w:szCs w:val="18"/>
            <w:lang w:val="en-US" w:eastAsia="en-US" w:bidi="en-US"/>
          </w:rPr>
          <w:t>http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www</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tasstelecom</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ru</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news</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one</w:t>
        </w:r>
        <w:r w:rsidRPr="004E0FC4">
          <w:rPr>
            <w:rFonts w:ascii="Bookman Old Style" w:eastAsia="Bookman Old Style" w:hAnsi="Bookman Old Style" w:cs="Bookman Old Style"/>
            <w:color w:val="231F20"/>
            <w:sz w:val="18"/>
            <w:szCs w:val="18"/>
            <w:lang w:eastAsia="en-US" w:bidi="en-US"/>
          </w:rPr>
          <w:t>/7083</w:t>
        </w:r>
      </w:hyperlink>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По мнению специалистов, в настоящее время в России вряд ли существует более 20 организаций, кото</w:t>
      </w:r>
      <w:r w:rsidRPr="004E0FC4">
        <w:rPr>
          <w:rFonts w:ascii="Bookman Old Style" w:eastAsia="Bookman Old Style" w:hAnsi="Bookman Old Style" w:cs="Bookman Old Style"/>
          <w:color w:val="231F20"/>
          <w:sz w:val="18"/>
          <w:szCs w:val="18"/>
        </w:rPr>
        <w:softHyphen/>
        <w:t>рые имеют полное право именоваться технопарками. Ассоциация технопарков в сфере высоких технологий сформулировала критерии для парков, желающих</w:t>
      </w:r>
    </w:p>
    <w:p w14:paraId="383DB979" w14:textId="77777777" w:rsidR="00350396" w:rsidRPr="004E0FC4" w:rsidRDefault="00350396" w:rsidP="004E0FC4">
      <w:pPr>
        <w:widowControl w:val="0"/>
        <w:spacing w:line="216" w:lineRule="exact"/>
        <w:ind w:firstLine="0"/>
        <w:rPr>
          <w:rFonts w:ascii="Bookman Old Style" w:hAnsi="Bookman Old Style"/>
          <w:sz w:val="18"/>
          <w:szCs w:val="18"/>
        </w:rPr>
      </w:pPr>
      <w:bookmarkStart w:id="81" w:name="bookmark67"/>
      <w:r w:rsidRPr="004E0FC4">
        <w:rPr>
          <w:rFonts w:ascii="Bookman Old Style" w:eastAsia="Bookman Old Style" w:hAnsi="Bookman Old Style" w:cs="Bookman Old Style"/>
          <w:color w:val="231F20"/>
          <w:sz w:val="18"/>
          <w:szCs w:val="18"/>
        </w:rPr>
        <w:lastRenderedPageBreak/>
        <w:t>получить статус технопарка в сфере высоких технологий: 1) наличие в струк</w:t>
      </w:r>
      <w:r w:rsidRPr="004E0FC4">
        <w:rPr>
          <w:rFonts w:ascii="Bookman Old Style" w:eastAsia="Bookman Old Style" w:hAnsi="Bookman Old Style" w:cs="Bookman Old Style"/>
          <w:color w:val="231F20"/>
          <w:sz w:val="18"/>
          <w:szCs w:val="18"/>
        </w:rPr>
        <w:softHyphen/>
        <w:t>туре технопарка центра внедрения технологий или учебного центра (либо на</w:t>
      </w:r>
      <w:r w:rsidRPr="004E0FC4">
        <w:rPr>
          <w:rFonts w:ascii="Bookman Old Style" w:eastAsia="Bookman Old Style" w:hAnsi="Bookman Old Style" w:cs="Bookman Old Style"/>
          <w:color w:val="231F20"/>
          <w:sz w:val="18"/>
          <w:szCs w:val="18"/>
        </w:rPr>
        <w:softHyphen/>
        <w:t>личие среди участников проекта научных центров, вузов, НИИ); 2) оказание сервисных услуг бизнесу (бухгалтерского учета, аудита или юридических ус</w:t>
      </w:r>
      <w:r w:rsidRPr="004E0FC4">
        <w:rPr>
          <w:rFonts w:ascii="Bookman Old Style" w:eastAsia="Bookman Old Style" w:hAnsi="Bookman Old Style" w:cs="Bookman Old Style"/>
          <w:color w:val="231F20"/>
          <w:sz w:val="18"/>
          <w:szCs w:val="18"/>
        </w:rPr>
        <w:softHyphen/>
        <w:t>луг); 3) наличие экономически обоснованной программы (бизнес-плана), пла</w:t>
      </w:r>
      <w:r w:rsidRPr="004E0FC4">
        <w:rPr>
          <w:rFonts w:ascii="Bookman Old Style" w:eastAsia="Bookman Old Style" w:hAnsi="Bookman Old Style" w:cs="Bookman Old Style"/>
          <w:color w:val="231F20"/>
          <w:sz w:val="18"/>
          <w:szCs w:val="18"/>
        </w:rPr>
        <w:softHyphen/>
        <w:t>на привлечения максимально возможного количества резидентов технопар</w:t>
      </w:r>
      <w:r w:rsidRPr="004E0FC4">
        <w:rPr>
          <w:rFonts w:ascii="Bookman Old Style" w:eastAsia="Bookman Old Style" w:hAnsi="Bookman Old Style" w:cs="Bookman Old Style"/>
          <w:color w:val="231F20"/>
          <w:sz w:val="18"/>
          <w:szCs w:val="18"/>
        </w:rPr>
        <w:softHyphen/>
        <w:t xml:space="preserve">ка, резерва свободных офисно-производственных площадей; 4) господдержка субъектов РФ, на территории которых располагается технопарк; 5) площадь территории, на которой расположен технопарк, должна быть не менее 10 га </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http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i</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russiaru</w:t>
      </w:r>
      <w:r w:rsidRPr="004E0FC4">
        <w:rPr>
          <w:rFonts w:ascii="Bookman Old Style" w:eastAsia="Bookman Old Style" w:hAnsi="Bookman Old Style" w:cs="Bookman Old Style"/>
          <w:color w:val="231F20"/>
          <w:sz w:val="18"/>
          <w:szCs w:val="18"/>
          <w:lang w:eastAsia="en-US" w:bidi="en-US"/>
        </w:rPr>
        <w:t>&gt;</w:t>
      </w:r>
      <w:r w:rsidRPr="004E0FC4">
        <w:rPr>
          <w:rFonts w:ascii="Bookman Old Style" w:eastAsia="Bookman Old Style" w:hAnsi="Bookman Old Style" w:cs="Bookman Old Style"/>
          <w:color w:val="231F20"/>
          <w:sz w:val="18"/>
          <w:szCs w:val="18"/>
          <w:lang w:val="en-US" w:eastAsia="en-US" w:bidi="en-US"/>
        </w:rPr>
        <w:t>all</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artides</w:t>
      </w:r>
      <w:r w:rsidRPr="004E0FC4">
        <w:rPr>
          <w:rFonts w:ascii="Bookman Old Style" w:eastAsia="Bookman Old Style" w:hAnsi="Bookman Old Style" w:cs="Bookman Old Style"/>
          <w:color w:val="231F20"/>
          <w:sz w:val="18"/>
          <w:szCs w:val="18"/>
          <w:lang w:eastAsia="en-US" w:bidi="en-US"/>
        </w:rPr>
        <w:t xml:space="preserve">17891/ </w:t>
      </w:r>
      <w:r w:rsidRPr="004E0FC4">
        <w:rPr>
          <w:rFonts w:ascii="Bookman Old Style" w:eastAsia="Bookman Old Style" w:hAnsi="Bookman Old Style" w:cs="Bookman Old Style"/>
          <w:color w:val="231F20"/>
          <w:sz w:val="18"/>
          <w:szCs w:val="18"/>
        </w:rPr>
        <w:t>Москва).</w:t>
      </w:r>
      <w:bookmarkEnd w:id="81"/>
    </w:p>
    <w:p w14:paraId="33013285" w14:textId="77777777" w:rsidR="00350396" w:rsidRPr="004E0FC4" w:rsidRDefault="00350396" w:rsidP="004E0FC4">
      <w:pPr>
        <w:widowControl w:val="0"/>
        <w:spacing w:after="191" w:line="216" w:lineRule="exact"/>
        <w:ind w:firstLine="320"/>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color w:val="231F20"/>
          <w:sz w:val="18"/>
          <w:szCs w:val="18"/>
        </w:rPr>
        <w:t>*** Согласно Концепци</w:t>
      </w:r>
      <w:r w:rsidRPr="004E0FC4">
        <w:rPr>
          <w:rFonts w:ascii="Bookman Old Style" w:eastAsia="Bookman Old Style" w:hAnsi="Bookman Old Style" w:cs="Bookman Old Style"/>
          <w:color w:val="231F20"/>
          <w:sz w:val="18"/>
          <w:szCs w:val="18"/>
          <w:highlight w:val="green"/>
        </w:rPr>
        <w:t>ям</w:t>
      </w:r>
      <w:r w:rsidRPr="004E0FC4">
        <w:rPr>
          <w:rFonts w:ascii="Bookman Old Style" w:eastAsia="Bookman Old Style" w:hAnsi="Bookman Old Style" w:cs="Bookman Old Style"/>
          <w:color w:val="231F20"/>
          <w:sz w:val="18"/>
          <w:szCs w:val="18"/>
        </w:rPr>
        <w:t xml:space="preserve"> долгосрочного социально-экономического развития Российской Федерации (на период до 2020 г., (утвержден</w:t>
      </w:r>
      <w:r w:rsidRPr="004E0FC4">
        <w:rPr>
          <w:rFonts w:ascii="Bookman Old Style" w:eastAsia="Bookman Old Style" w:hAnsi="Bookman Old Style" w:cs="Bookman Old Style"/>
          <w:color w:val="231F20"/>
          <w:sz w:val="18"/>
          <w:szCs w:val="18"/>
          <w:highlight w:val="green"/>
        </w:rPr>
        <w:t>а</w:t>
      </w:r>
      <w:r w:rsidRPr="004E0FC4">
        <w:rPr>
          <w:rFonts w:ascii="Bookman Old Style" w:eastAsia="Bookman Old Style" w:hAnsi="Bookman Old Style" w:cs="Bookman Old Style"/>
          <w:color w:val="231F20"/>
          <w:sz w:val="18"/>
          <w:szCs w:val="18"/>
        </w:rPr>
        <w:t xml:space="preserve"> распоряжением Пра</w:t>
      </w:r>
      <w:r w:rsidRPr="004E0FC4">
        <w:rPr>
          <w:rFonts w:ascii="Bookman Old Style" w:eastAsia="Bookman Old Style" w:hAnsi="Bookman Old Style" w:cs="Bookman Old Style"/>
          <w:color w:val="231F20"/>
          <w:sz w:val="18"/>
          <w:szCs w:val="18"/>
        </w:rPr>
        <w:softHyphen/>
        <w:t xml:space="preserve">вительства РФ от 17.11.2008 № 1662-р), а также </w:t>
      </w:r>
      <w:hyperlink r:id="rId116" w:tgtFrame="_blank" w:history="1">
        <w:r w:rsidRPr="004E0FC4">
          <w:rPr>
            <w:rFonts w:ascii="Bookman Old Style" w:eastAsia="Bookman Old Style" w:hAnsi="Bookman Old Style" w:cs="Bookman Old Style"/>
            <w:color w:val="231F20"/>
            <w:sz w:val="18"/>
            <w:szCs w:val="18"/>
            <w:highlight w:val="green"/>
          </w:rPr>
          <w:t>Единому плану по достижению национальных целей развития Российской Федерации на период до 2024 года и на плановый период до 2030 года</w:t>
        </w:r>
      </w:hyperlink>
      <w:r w:rsidRPr="004E0FC4">
        <w:rPr>
          <w:rFonts w:ascii="Bookman Old Style" w:eastAsia="Bookman Old Style" w:hAnsi="Bookman Old Style" w:cs="Bookman Old Style"/>
          <w:color w:val="231F20"/>
          <w:sz w:val="18"/>
          <w:szCs w:val="18"/>
          <w:highlight w:val="green"/>
        </w:rPr>
        <w:t> (утверждён распоряжением Правительства РФ от 01.10.2021 № 2765-р)</w:t>
      </w:r>
      <w:r w:rsidRPr="004E0FC4">
        <w:rPr>
          <w:rFonts w:ascii="Bookman Old Style" w:eastAsia="Bookman Old Style" w:hAnsi="Bookman Old Style" w:cs="Bookman Old Style"/>
          <w:color w:val="231F20"/>
          <w:sz w:val="18"/>
          <w:szCs w:val="18"/>
        </w:rPr>
        <w:t>, в рамках повышения национальной кон</w:t>
      </w:r>
      <w:r w:rsidRPr="004E0FC4">
        <w:rPr>
          <w:rFonts w:ascii="Bookman Old Style" w:eastAsia="Bookman Old Style" w:hAnsi="Bookman Old Style" w:cs="Bookman Old Style"/>
          <w:color w:val="231F20"/>
          <w:sz w:val="18"/>
          <w:szCs w:val="18"/>
        </w:rPr>
        <w:softHyphen/>
        <w:t>курентоспособности, развития науки, национальной инновационной системы и технологий предполагается развитие инструментов стимулирования взаимо</w:t>
      </w:r>
      <w:r w:rsidRPr="004E0FC4">
        <w:rPr>
          <w:rFonts w:ascii="Bookman Old Style" w:eastAsia="Bookman Old Style" w:hAnsi="Bookman Old Style" w:cs="Bookman Old Style"/>
          <w:color w:val="231F20"/>
          <w:sz w:val="18"/>
          <w:szCs w:val="18"/>
        </w:rPr>
        <w:softHyphen/>
        <w:t>действия научных, образовательных организаций и бизнеса в инновационной сфере путем формирования технологических платформ. Решением Правитель</w:t>
      </w:r>
      <w:r w:rsidRPr="004E0FC4">
        <w:rPr>
          <w:rFonts w:ascii="Bookman Old Style" w:eastAsia="Bookman Old Style" w:hAnsi="Bookman Old Style" w:cs="Bookman Old Style"/>
          <w:color w:val="231F20"/>
          <w:sz w:val="18"/>
          <w:szCs w:val="18"/>
        </w:rPr>
        <w:softHyphen/>
        <w:t>ственной комиссии по высоким технологиям и инновациям от 1 апреля 2011 г. был утвержден перечень 28 технологических платформ в различных областях (медицинские и биотехнологии, информационно-коммуникационные техно</w:t>
      </w:r>
      <w:r w:rsidRPr="004E0FC4">
        <w:rPr>
          <w:rFonts w:ascii="Bookman Old Style" w:eastAsia="Bookman Old Style" w:hAnsi="Bookman Old Style" w:cs="Bookman Old Style"/>
          <w:color w:val="231F20"/>
          <w:sz w:val="18"/>
          <w:szCs w:val="18"/>
        </w:rPr>
        <w:softHyphen/>
        <w:t>логии, фотоника, авиакосмические технологии, ядерные и радиационные тех</w:t>
      </w:r>
      <w:r w:rsidRPr="004E0FC4">
        <w:rPr>
          <w:rFonts w:ascii="Bookman Old Style" w:eastAsia="Bookman Old Style" w:hAnsi="Bookman Old Style" w:cs="Bookman Old Style"/>
          <w:color w:val="231F20"/>
          <w:sz w:val="18"/>
          <w:szCs w:val="18"/>
        </w:rPr>
        <w:softHyphen/>
        <w:t>нологии, энергетика, технологии транспорта, технологии металлургии, новые материалы, добыча природных ресурсов и нефтегазопереработка, электроника и машиностроение). На 20</w:t>
      </w:r>
      <w:r w:rsidRPr="004E0FC4">
        <w:rPr>
          <w:rFonts w:ascii="Bookman Old Style" w:eastAsia="Bookman Old Style" w:hAnsi="Bookman Old Style" w:cs="Bookman Old Style"/>
          <w:color w:val="231F20"/>
          <w:sz w:val="18"/>
          <w:szCs w:val="18"/>
          <w:highlight w:val="green"/>
        </w:rPr>
        <w:t>22</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год</w:t>
      </w:r>
      <w:r w:rsidRPr="004E0FC4">
        <w:rPr>
          <w:rFonts w:ascii="Bookman Old Style" w:eastAsia="Bookman Old Style" w:hAnsi="Bookman Old Style" w:cs="Bookman Old Style"/>
          <w:color w:val="231F20"/>
          <w:sz w:val="18"/>
          <w:szCs w:val="18"/>
        </w:rPr>
        <w:t xml:space="preserve"> перечень насчитывает 34 платформы.</w:t>
      </w:r>
    </w:p>
    <w:p w14:paraId="4FFBF0CE" w14:textId="77777777" w:rsidR="00350396" w:rsidRPr="004E0FC4" w:rsidRDefault="00350396" w:rsidP="004E0FC4">
      <w:pPr>
        <w:widowControl w:val="0"/>
        <w:spacing w:line="202" w:lineRule="exact"/>
        <w:ind w:firstLine="0"/>
        <w:rPr>
          <w:rFonts w:ascii="Bookman Old Style" w:hAnsi="Bookman Old Style"/>
          <w:sz w:val="18"/>
          <w:szCs w:val="18"/>
        </w:rPr>
      </w:pPr>
      <w:r w:rsidRPr="004E0FC4">
        <w:rPr>
          <w:rFonts w:ascii="Bookman Old Style" w:eastAsia="Bookman Old Style" w:hAnsi="Bookman Old Style" w:cs="Bookman Old Style"/>
          <w:color w:val="231F20"/>
          <w:sz w:val="18"/>
          <w:szCs w:val="18"/>
        </w:rPr>
        <w:t>Задания</w:t>
      </w:r>
    </w:p>
    <w:p w14:paraId="0F51FC89" w14:textId="77777777" w:rsidR="00350396" w:rsidRPr="004E0FC4" w:rsidRDefault="00350396" w:rsidP="004E0FC4">
      <w:pPr>
        <w:widowControl w:val="0"/>
        <w:numPr>
          <w:ilvl w:val="0"/>
          <w:numId w:val="99"/>
        </w:numPr>
        <w:tabs>
          <w:tab w:val="left" w:pos="57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Проведите исследование, в каких проектах ГЧП каждый из упомянутых в таблице институтов принял участие </w:t>
      </w:r>
      <w:r w:rsidRPr="004E0FC4">
        <w:rPr>
          <w:rFonts w:ascii="Bookman Old Style" w:eastAsia="Bookman Old Style" w:hAnsi="Bookman Old Style" w:cs="Bookman Old Style"/>
          <w:color w:val="231F20"/>
          <w:sz w:val="18"/>
          <w:szCs w:val="18"/>
          <w:highlight w:val="green"/>
        </w:rPr>
        <w:t>за</w:t>
      </w:r>
      <w:r w:rsidRPr="004E0FC4">
        <w:rPr>
          <w:rFonts w:ascii="Bookman Old Style" w:eastAsia="Bookman Old Style" w:hAnsi="Bookman Old Style" w:cs="Bookman Old Style"/>
          <w:color w:val="231F20"/>
          <w:sz w:val="18"/>
          <w:szCs w:val="18"/>
        </w:rPr>
        <w:t xml:space="preserve"> последние </w:t>
      </w:r>
      <w:r w:rsidRPr="004E0FC4">
        <w:rPr>
          <w:rFonts w:ascii="Bookman Old Style" w:eastAsia="Bookman Old Style" w:hAnsi="Bookman Old Style" w:cs="Bookman Old Style"/>
          <w:color w:val="231F20"/>
          <w:sz w:val="18"/>
          <w:szCs w:val="18"/>
          <w:highlight w:val="green"/>
        </w:rPr>
        <w:t>три</w:t>
      </w:r>
      <w:r w:rsidRPr="004E0FC4">
        <w:rPr>
          <w:rFonts w:ascii="Bookman Old Style" w:eastAsia="Bookman Old Style" w:hAnsi="Bookman Old Style" w:cs="Bookman Old Style"/>
          <w:color w:val="231F20"/>
          <w:sz w:val="18"/>
          <w:szCs w:val="18"/>
        </w:rPr>
        <w:t xml:space="preserve"> года</w:t>
      </w:r>
      <w:r w:rsidRPr="004E0FC4">
        <w:rPr>
          <w:rFonts w:ascii="Bookman Old Style" w:eastAsia="Bookman Old Style" w:hAnsi="Bookman Old Style" w:cs="Bookman Old Style"/>
          <w:color w:val="231F20"/>
          <w:sz w:val="18"/>
          <w:szCs w:val="18"/>
          <w:highlight w:val="green"/>
        </w:rPr>
        <w:t>,</w:t>
      </w:r>
      <w:r w:rsidRPr="004E0FC4">
        <w:rPr>
          <w:rFonts w:ascii="Bookman Old Style" w:eastAsia="Bookman Old Style" w:hAnsi="Bookman Old Style" w:cs="Bookman Old Style"/>
          <w:color w:val="231F20"/>
          <w:sz w:val="18"/>
          <w:szCs w:val="18"/>
        </w:rPr>
        <w:t xml:space="preserve"> и можно ли данные проекты отнести к инновационной сфере?</w:t>
      </w:r>
    </w:p>
    <w:p w14:paraId="5751C43F" w14:textId="77777777" w:rsidR="00350396" w:rsidRPr="004E0FC4" w:rsidRDefault="00350396" w:rsidP="004E0FC4">
      <w:pPr>
        <w:widowControl w:val="0"/>
        <w:numPr>
          <w:ilvl w:val="0"/>
          <w:numId w:val="99"/>
        </w:numPr>
        <w:tabs>
          <w:tab w:val="left" w:pos="578"/>
        </w:tabs>
        <w:spacing w:after="354"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Какие еще государственные институты (учреждения, организации, фонды), осуществляющие деятельность в настоящее время в РФ </w:t>
      </w:r>
      <w:r w:rsidRPr="004E0FC4">
        <w:rPr>
          <w:rFonts w:ascii="Bookman Old Style" w:eastAsia="Bookman Old Style" w:hAnsi="Bookman Old Style" w:cs="Bookman Old Style"/>
          <w:color w:val="231F20"/>
          <w:sz w:val="18"/>
          <w:szCs w:val="18"/>
          <w:highlight w:val="green"/>
        </w:rPr>
        <w:t>в целом и отдельных регионах страны</w:t>
      </w:r>
      <w:r w:rsidRPr="004E0FC4">
        <w:rPr>
          <w:rFonts w:ascii="Bookman Old Style" w:eastAsia="Bookman Old Style" w:hAnsi="Bookman Old Style" w:cs="Bookman Old Style"/>
          <w:color w:val="231F20"/>
          <w:sz w:val="18"/>
          <w:szCs w:val="18"/>
        </w:rPr>
        <w:t xml:space="preserve"> могут вы</w:t>
      </w:r>
      <w:r w:rsidRPr="004E0FC4">
        <w:rPr>
          <w:rFonts w:ascii="Bookman Old Style" w:eastAsia="Bookman Old Style" w:hAnsi="Bookman Old Style" w:cs="Bookman Old Style"/>
          <w:color w:val="231F20"/>
          <w:sz w:val="18"/>
          <w:szCs w:val="18"/>
        </w:rPr>
        <w:softHyphen/>
        <w:t>ступать инструментами развития ГЧП, в том числе инновационной сфере? Опишите их деятельность.</w:t>
      </w:r>
    </w:p>
    <w:p w14:paraId="76E292BB" w14:textId="77777777" w:rsidR="00350396" w:rsidRPr="004E0FC4" w:rsidRDefault="00350396" w:rsidP="004E0FC4">
      <w:pPr>
        <w:keepNext/>
        <w:widowControl w:val="0"/>
        <w:spacing w:line="276" w:lineRule="auto"/>
        <w:ind w:firstLine="0"/>
        <w:outlineLvl w:val="1"/>
        <w:rPr>
          <w:rFonts w:ascii="Bookman Old Style" w:eastAsiaTheme="majorEastAsia" w:hAnsi="Bookman Old Style" w:cstheme="majorBidi"/>
          <w:b/>
          <w:bCs/>
          <w:i/>
          <w:iCs/>
          <w:sz w:val="18"/>
          <w:szCs w:val="18"/>
          <w:lang w:eastAsia="en-US"/>
        </w:rPr>
      </w:pPr>
      <w:bookmarkStart w:id="82" w:name="bookmark68"/>
      <w:bookmarkStart w:id="83" w:name="_Toc118131277"/>
      <w:r w:rsidRPr="004E0FC4">
        <w:rPr>
          <w:rFonts w:ascii="Bookman Old Style" w:eastAsia="Arial Narrow" w:hAnsi="Bookman Old Style" w:cs="Arial Narrow"/>
          <w:b/>
          <w:bCs/>
          <w:i/>
          <w:iCs/>
          <w:color w:val="231F20"/>
          <w:sz w:val="18"/>
          <w:szCs w:val="18"/>
        </w:rPr>
        <w:t>Литература</w:t>
      </w:r>
      <w:bookmarkEnd w:id="82"/>
      <w:bookmarkEnd w:id="83"/>
    </w:p>
    <w:p w14:paraId="6D23F4B6" w14:textId="77777777" w:rsidR="00350396" w:rsidRPr="004E0FC4" w:rsidRDefault="00350396" w:rsidP="004E0FC4">
      <w:pPr>
        <w:widowControl w:val="0"/>
        <w:numPr>
          <w:ilvl w:val="0"/>
          <w:numId w:val="100"/>
        </w:numPr>
        <w:tabs>
          <w:tab w:val="left" w:pos="578"/>
        </w:tabs>
        <w:spacing w:line="216" w:lineRule="exact"/>
        <w:rPr>
          <w:rFonts w:ascii="Bookman Old Style" w:eastAsia="Bookman Old Style" w:hAnsi="Bookman Old Style" w:cs="Bookman Old Style"/>
          <w:iCs/>
          <w:color w:val="231F20"/>
          <w:sz w:val="18"/>
          <w:szCs w:val="18"/>
          <w:highlight w:val="green"/>
          <w:lang w:eastAsia="en-US" w:bidi="en-US"/>
        </w:rPr>
      </w:pPr>
      <w:r w:rsidRPr="004E0FC4">
        <w:rPr>
          <w:rFonts w:ascii="Bookman Old Style" w:eastAsia="Bookman Old Style" w:hAnsi="Bookman Old Style" w:cs="Bookman Old Style"/>
          <w:i/>
          <w:iCs/>
          <w:color w:val="231F20"/>
          <w:sz w:val="18"/>
          <w:szCs w:val="18"/>
          <w:highlight w:val="green"/>
          <w:lang w:eastAsia="en-US" w:bidi="en-US"/>
        </w:rPr>
        <w:t xml:space="preserve">Аврамчикова, Н. Т. </w:t>
      </w:r>
      <w:r w:rsidRPr="004E0FC4">
        <w:rPr>
          <w:rFonts w:ascii="Bookman Old Style" w:eastAsia="Bookman Old Style" w:hAnsi="Bookman Old Style" w:cs="Bookman Old Style"/>
          <w:iCs/>
          <w:color w:val="231F20"/>
          <w:sz w:val="18"/>
          <w:szCs w:val="18"/>
          <w:highlight w:val="green"/>
          <w:lang w:eastAsia="en-US" w:bidi="en-US"/>
        </w:rPr>
        <w:t xml:space="preserve">Государственные и муниципальные финансы: учебник и практикум для вузов / </w:t>
      </w:r>
      <w:hyperlink r:id="rId117" w:history="1">
        <w:r w:rsidRPr="004E0FC4">
          <w:rPr>
            <w:rFonts w:ascii="Bookman Old Style" w:eastAsia="Bookman Old Style" w:hAnsi="Bookman Old Style" w:cs="Bookman Old Style"/>
            <w:iCs/>
            <w:color w:val="231F20"/>
            <w:sz w:val="18"/>
            <w:szCs w:val="18"/>
            <w:highlight w:val="green"/>
            <w:lang w:eastAsia="en-US" w:bidi="en-US"/>
          </w:rPr>
          <w:t>Н. Т. Аврамчикова</w:t>
        </w:r>
      </w:hyperlink>
      <w:r w:rsidRPr="004E0FC4">
        <w:rPr>
          <w:rFonts w:ascii="Bookman Old Style" w:eastAsia="Bookman Old Style" w:hAnsi="Bookman Old Style" w:cs="Bookman Old Style"/>
          <w:iCs/>
          <w:color w:val="231F20"/>
          <w:sz w:val="18"/>
          <w:szCs w:val="18"/>
          <w:highlight w:val="green"/>
          <w:lang w:eastAsia="en-US" w:bidi="en-US"/>
        </w:rPr>
        <w:t>. - М.: Изд-во Юрайт, 2021. - 174 с.</w:t>
      </w:r>
    </w:p>
    <w:p w14:paraId="176FCFCC" w14:textId="77777777" w:rsidR="00350396" w:rsidRPr="004E0FC4" w:rsidRDefault="00350396" w:rsidP="004E0FC4">
      <w:pPr>
        <w:widowControl w:val="0"/>
        <w:numPr>
          <w:ilvl w:val="0"/>
          <w:numId w:val="100"/>
        </w:numPr>
        <w:tabs>
          <w:tab w:val="left" w:pos="578"/>
        </w:tabs>
        <w:spacing w:line="21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eastAsia="en-US" w:bidi="en-US"/>
        </w:rPr>
        <w:t>Борщевский, Г. А.</w:t>
      </w:r>
      <w:r w:rsidRPr="004E0FC4">
        <w:rPr>
          <w:rFonts w:ascii="Bookman Old Style" w:eastAsia="Bookman Old Style" w:hAnsi="Bookman Old Style" w:cs="Bookman Old Style"/>
          <w:color w:val="231F20"/>
          <w:sz w:val="18"/>
          <w:szCs w:val="18"/>
        </w:rPr>
        <w:t xml:space="preserve"> Государственно-частное партнерство : учебник и практикум / Г. А. </w:t>
      </w:r>
      <w:r w:rsidRPr="004E0FC4">
        <w:rPr>
          <w:rFonts w:ascii="Bookman Old Style" w:eastAsia="Bookman Old Style" w:hAnsi="Bookman Old Style" w:cs="Bookman Old Style"/>
          <w:i/>
          <w:iCs/>
          <w:color w:val="231F20"/>
          <w:sz w:val="18"/>
          <w:szCs w:val="18"/>
          <w:lang w:eastAsia="en-US" w:bidi="en-US"/>
        </w:rPr>
        <w:t>Борщевский</w:t>
      </w:r>
      <w:r w:rsidRPr="004E0FC4">
        <w:rPr>
          <w:rFonts w:ascii="Bookman Old Style" w:eastAsia="Bookman Old Style" w:hAnsi="Bookman Old Style" w:cs="Bookman Old Style"/>
          <w:color w:val="231F20"/>
          <w:sz w:val="18"/>
          <w:szCs w:val="18"/>
        </w:rPr>
        <w:t xml:space="preserve"> — М. : Издательство Юрайт, 2018. — 412 с.</w:t>
      </w:r>
    </w:p>
    <w:p w14:paraId="37838B51" w14:textId="77777777" w:rsidR="00350396" w:rsidRPr="004E0FC4" w:rsidRDefault="00350396" w:rsidP="004E0FC4">
      <w:pPr>
        <w:widowControl w:val="0"/>
        <w:numPr>
          <w:ilvl w:val="0"/>
          <w:numId w:val="100"/>
        </w:numPr>
        <w:tabs>
          <w:tab w:val="left" w:pos="578"/>
        </w:tabs>
        <w:spacing w:line="216" w:lineRule="exact"/>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i/>
          <w:color w:val="231F20"/>
          <w:sz w:val="18"/>
          <w:szCs w:val="18"/>
          <w:highlight w:val="green"/>
        </w:rPr>
        <w:t>Бедняков А.С.</w:t>
      </w:r>
      <w:r w:rsidRPr="004E0FC4">
        <w:rPr>
          <w:rFonts w:ascii="Bookman Old Style" w:eastAsia="Bookman Old Style" w:hAnsi="Bookman Old Style" w:cs="Bookman Old Style"/>
          <w:color w:val="231F20"/>
          <w:sz w:val="18"/>
          <w:szCs w:val="18"/>
          <w:highlight w:val="green"/>
        </w:rPr>
        <w:t xml:space="preserve"> Государственно-частное партнёрство как модель развития публичной инфраструктуры. Вестник МГИМО-Университета. 2022; 15(1):143-176. </w:t>
      </w:r>
      <w:hyperlink r:id="rId118" w:tgtFrame="_blank" w:history="1">
        <w:r w:rsidRPr="004E0FC4">
          <w:rPr>
            <w:rFonts w:ascii="Bookman Old Style" w:eastAsia="Bookman Old Style" w:hAnsi="Bookman Old Style" w:cs="Bookman Old Style"/>
            <w:color w:val="231F20"/>
            <w:sz w:val="18"/>
            <w:szCs w:val="18"/>
            <w:highlight w:val="green"/>
          </w:rPr>
          <w:t>https://doi.org/10.24833/2071-8160-2022-1-82-</w:t>
        </w:r>
        <w:r w:rsidRPr="004E0FC4">
          <w:rPr>
            <w:rFonts w:ascii="Bookman Old Style" w:eastAsia="Bookman Old Style" w:hAnsi="Bookman Old Style" w:cs="Bookman Old Style"/>
            <w:color w:val="231F20"/>
            <w:sz w:val="18"/>
            <w:szCs w:val="18"/>
            <w:highlight w:val="green"/>
          </w:rPr>
          <w:lastRenderedPageBreak/>
          <w:t>143-173</w:t>
        </w:r>
      </w:hyperlink>
      <w:r w:rsidRPr="004E0FC4">
        <w:rPr>
          <w:rFonts w:ascii="Bookman Old Style" w:eastAsia="Bookman Old Style" w:hAnsi="Bookman Old Style" w:cs="Bookman Old Style"/>
          <w:color w:val="231F20"/>
          <w:sz w:val="18"/>
          <w:szCs w:val="18"/>
          <w:highlight w:val="green"/>
        </w:rPr>
        <w:t>.</w:t>
      </w:r>
    </w:p>
    <w:p w14:paraId="4C8483D5" w14:textId="77777777" w:rsidR="00350396" w:rsidRPr="004E0FC4" w:rsidRDefault="00350396" w:rsidP="004E0FC4">
      <w:pPr>
        <w:widowControl w:val="0"/>
        <w:numPr>
          <w:ilvl w:val="0"/>
          <w:numId w:val="100"/>
        </w:numPr>
        <w:tabs>
          <w:tab w:val="left" w:pos="578"/>
        </w:tabs>
        <w:spacing w:line="21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eastAsia="en-US" w:bidi="en-US"/>
        </w:rPr>
        <w:t>Ваславский, Я. И.</w:t>
      </w:r>
      <w:r w:rsidRPr="004E0FC4">
        <w:rPr>
          <w:rFonts w:ascii="Bookman Old Style" w:eastAsia="Bookman Old Style" w:hAnsi="Bookman Old Style" w:cs="Bookman Old Style"/>
          <w:color w:val="231F20"/>
          <w:sz w:val="18"/>
          <w:szCs w:val="18"/>
        </w:rPr>
        <w:t xml:space="preserve"> Государственно-частное партнерство : институцио</w:t>
      </w:r>
      <w:r w:rsidRPr="004E0FC4">
        <w:rPr>
          <w:rFonts w:ascii="Bookman Old Style" w:eastAsia="Bookman Old Style" w:hAnsi="Bookman Old Style" w:cs="Bookman Old Style"/>
          <w:color w:val="231F20"/>
          <w:sz w:val="18"/>
          <w:szCs w:val="18"/>
        </w:rPr>
        <w:softHyphen/>
        <w:t>нальный подход / Я. И. Ваславский, И. Ю. Ваславская. — М. : Аспект-Пресс, 2019. — 413 с.</w:t>
      </w:r>
    </w:p>
    <w:p w14:paraId="12C26151" w14:textId="77777777" w:rsidR="00350396" w:rsidRPr="004E0FC4" w:rsidRDefault="00350396" w:rsidP="004E0FC4">
      <w:pPr>
        <w:widowControl w:val="0"/>
        <w:numPr>
          <w:ilvl w:val="0"/>
          <w:numId w:val="100"/>
        </w:numPr>
        <w:tabs>
          <w:tab w:val="left" w:pos="57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Государственно-частное партнерство : теоретические основы, базовые принципы и практика реализации / И. А. Бабкин [и др.] — СПб. : Изд-во По- литехн. ун-та, 2014. — 568 с.</w:t>
      </w:r>
    </w:p>
    <w:p w14:paraId="461C1939" w14:textId="77777777" w:rsidR="00350396" w:rsidRPr="004E0FC4" w:rsidRDefault="00350396" w:rsidP="004E0FC4">
      <w:pPr>
        <w:widowControl w:val="0"/>
        <w:numPr>
          <w:ilvl w:val="0"/>
          <w:numId w:val="100"/>
        </w:numPr>
        <w:tabs>
          <w:tab w:val="left" w:pos="578"/>
        </w:tabs>
        <w:spacing w:line="21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Государственно-частное партнерство : учеб. пособие </w:t>
      </w:r>
      <w:r w:rsidRPr="004E0FC4">
        <w:rPr>
          <w:rFonts w:ascii="Bookman Old Style" w:eastAsia="Bookman Old Style" w:hAnsi="Bookman Old Style" w:cs="Bookman Old Style"/>
          <w:i/>
          <w:iCs/>
          <w:color w:val="231F20"/>
          <w:sz w:val="18"/>
          <w:szCs w:val="18"/>
          <w:lang w:eastAsia="en-US" w:bidi="en-US"/>
        </w:rPr>
        <w:t>/</w:t>
      </w:r>
      <w:r w:rsidRPr="004E0FC4">
        <w:rPr>
          <w:rFonts w:ascii="Bookman Old Style" w:eastAsia="Bookman Old Style" w:hAnsi="Bookman Old Style" w:cs="Bookman Old Style"/>
          <w:color w:val="231F20"/>
          <w:sz w:val="18"/>
          <w:szCs w:val="18"/>
        </w:rPr>
        <w:t xml:space="preserve"> под ред. И. Н. Ткаченко — М. : Издательство Юрайт, 2019. — 188 с.</w:t>
      </w:r>
    </w:p>
    <w:p w14:paraId="3F006D68" w14:textId="77777777" w:rsidR="00350396" w:rsidRPr="004E0FC4" w:rsidRDefault="00350396" w:rsidP="004E0FC4">
      <w:pPr>
        <w:widowControl w:val="0"/>
        <w:numPr>
          <w:ilvl w:val="0"/>
          <w:numId w:val="100"/>
        </w:numPr>
        <w:tabs>
          <w:tab w:val="left" w:pos="578"/>
        </w:tabs>
        <w:spacing w:line="216" w:lineRule="exact"/>
        <w:rPr>
          <w:rFonts w:ascii="Bookman Old Style" w:eastAsia="Bookman Old Style" w:hAnsi="Bookman Old Style" w:cs="Bookman Old Style"/>
          <w:color w:val="231F20"/>
          <w:sz w:val="18"/>
          <w:szCs w:val="18"/>
        </w:rPr>
      </w:pPr>
      <w:r w:rsidRPr="004E0FC4">
        <w:rPr>
          <w:rFonts w:ascii="Bookman Old Style" w:eastAsia="Bookman Old Style" w:hAnsi="Bookman Old Style" w:cs="Bookman Old Style"/>
          <w:i/>
          <w:iCs/>
          <w:color w:val="231F20"/>
          <w:sz w:val="18"/>
          <w:szCs w:val="18"/>
          <w:highlight w:val="red"/>
          <w:lang w:eastAsia="en-US" w:bidi="en-US"/>
        </w:rPr>
        <w:t>Громова, Е. А.</w:t>
      </w:r>
      <w:r w:rsidRPr="004E0FC4">
        <w:rPr>
          <w:rFonts w:ascii="Bookman Old Style" w:eastAsia="Bookman Old Style" w:hAnsi="Bookman Old Style" w:cs="Bookman Old Style"/>
          <w:color w:val="231F20"/>
          <w:sz w:val="18"/>
          <w:szCs w:val="18"/>
          <w:highlight w:val="red"/>
        </w:rPr>
        <w:t xml:space="preserve"> Государственно-частное партнерство и его правовые формы / Е. А. Громова. — М. : Юстицинформ. — 84 с.</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i/>
          <w:color w:val="231F20"/>
          <w:sz w:val="18"/>
          <w:szCs w:val="18"/>
          <w:highlight w:val="green"/>
        </w:rPr>
        <w:t>Губанов И.А.</w:t>
      </w:r>
      <w:r w:rsidRPr="004E0FC4">
        <w:rPr>
          <w:rFonts w:ascii="Bookman Old Style" w:eastAsia="Bookman Old Style" w:hAnsi="Bookman Old Style" w:cs="Bookman Old Style"/>
          <w:color w:val="231F20"/>
          <w:sz w:val="18"/>
          <w:szCs w:val="18"/>
          <w:highlight w:val="green"/>
        </w:rPr>
        <w:t>, государственно-частное партнерство и саморегулируемые организации в реализации функций государства (вопросы теории и практики) / Губанов И.А., Комаров С.А., Салин П.Б. М.: Кнорус, 2022, 338 с. - ISBN: 978-5-406-08489-2</w:t>
      </w:r>
      <w:r w:rsidRPr="004E0FC4">
        <w:rPr>
          <w:rFonts w:ascii="Bookman Old Style" w:eastAsia="Bookman Old Style" w:hAnsi="Bookman Old Style" w:cs="Bookman Old Style"/>
          <w:color w:val="231F20"/>
          <w:sz w:val="18"/>
          <w:szCs w:val="18"/>
        </w:rPr>
        <w:t xml:space="preserve">. </w:t>
      </w:r>
    </w:p>
    <w:p w14:paraId="0E72167C" w14:textId="77777777" w:rsidR="00350396" w:rsidRPr="004E0FC4" w:rsidRDefault="00350396" w:rsidP="004E0FC4">
      <w:pPr>
        <w:widowControl w:val="0"/>
        <w:numPr>
          <w:ilvl w:val="0"/>
          <w:numId w:val="100"/>
        </w:numPr>
        <w:tabs>
          <w:tab w:val="left" w:pos="578"/>
        </w:tabs>
        <w:spacing w:line="21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eastAsia="en-US" w:bidi="en-US"/>
        </w:rPr>
        <w:t>Емельянов, Ю. С.</w:t>
      </w:r>
      <w:r w:rsidRPr="004E0FC4">
        <w:rPr>
          <w:rFonts w:ascii="Bookman Old Style" w:eastAsia="Bookman Old Style" w:hAnsi="Bookman Old Style" w:cs="Bookman Old Style"/>
          <w:color w:val="231F20"/>
          <w:sz w:val="18"/>
          <w:szCs w:val="18"/>
        </w:rPr>
        <w:t xml:space="preserve"> Государственно-частное партнерство. Инновации и инвестиции. Мировой и отечественный опыт / Ю. С. Емельянов. — М. : Либроком, 2013. — 364 с.</w:t>
      </w:r>
    </w:p>
    <w:p w14:paraId="49D55582" w14:textId="77777777" w:rsidR="00350396" w:rsidRPr="004E0FC4" w:rsidRDefault="00350396" w:rsidP="004E0FC4">
      <w:pPr>
        <w:widowControl w:val="0"/>
        <w:numPr>
          <w:ilvl w:val="0"/>
          <w:numId w:val="100"/>
        </w:numPr>
        <w:tabs>
          <w:tab w:val="left" w:pos="578"/>
        </w:tabs>
        <w:spacing w:line="216" w:lineRule="exact"/>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i/>
          <w:color w:val="231F20"/>
          <w:sz w:val="18"/>
          <w:szCs w:val="18"/>
          <w:highlight w:val="green"/>
        </w:rPr>
        <w:t>Зимин, В. А.</w:t>
      </w:r>
      <w:r w:rsidRPr="004E0FC4">
        <w:rPr>
          <w:rFonts w:ascii="Bookman Old Style" w:eastAsia="Bookman Old Style" w:hAnsi="Bookman Old Style" w:cs="Bookman Old Style"/>
          <w:color w:val="231F20"/>
          <w:sz w:val="18"/>
          <w:szCs w:val="18"/>
          <w:highlight w:val="green"/>
        </w:rPr>
        <w:t xml:space="preserve"> Государственно-частное партнерство в ЖКХ: теория и практика : монография / В. А. Зимин. – Самара : Научно-технический центр, 2022. – 139 с. ISBN 978-5-98229-475-3.</w:t>
      </w:r>
    </w:p>
    <w:p w14:paraId="183E3A7D" w14:textId="77777777" w:rsidR="00350396" w:rsidRPr="004E0FC4" w:rsidRDefault="00350396" w:rsidP="004E0FC4">
      <w:pPr>
        <w:widowControl w:val="0"/>
        <w:numPr>
          <w:ilvl w:val="0"/>
          <w:numId w:val="100"/>
        </w:numPr>
        <w:tabs>
          <w:tab w:val="left" w:pos="578"/>
        </w:tabs>
        <w:spacing w:line="216" w:lineRule="exact"/>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i/>
          <w:color w:val="231F20"/>
          <w:sz w:val="18"/>
          <w:szCs w:val="18"/>
          <w:highlight w:val="green"/>
        </w:rPr>
        <w:t>Иванов О.В.</w:t>
      </w:r>
      <w:r w:rsidRPr="004E0FC4">
        <w:rPr>
          <w:rFonts w:ascii="Bookman Old Style" w:eastAsia="Bookman Old Style" w:hAnsi="Bookman Old Style" w:cs="Bookman Old Style"/>
          <w:color w:val="231F20"/>
          <w:sz w:val="18"/>
          <w:szCs w:val="18"/>
          <w:highlight w:val="green"/>
        </w:rPr>
        <w:t xml:space="preserve"> 2019. Государственно-частное партнёрство как инструмент развития инфраструктуры и модернизации экономики (опыт стран Азиатско-Тихоокеанского региона). М.: Издательство «МГИМО-Университет». 300 с.</w:t>
      </w:r>
      <w:r w:rsidRPr="004E0FC4">
        <w:rPr>
          <w:rFonts w:ascii="Bookman Old Style" w:hAnsi="Bookman Old Style" w:cs="Arial"/>
          <w:color w:val="282828"/>
          <w:sz w:val="18"/>
          <w:szCs w:val="18"/>
          <w:shd w:val="clear" w:color="auto" w:fill="FFFFFF"/>
        </w:rPr>
        <w:t xml:space="preserve"> </w:t>
      </w:r>
      <w:r w:rsidRPr="004E0FC4">
        <w:rPr>
          <w:rFonts w:ascii="Bookman Old Style" w:eastAsia="Bookman Old Style" w:hAnsi="Bookman Old Style" w:cs="Bookman Old Style"/>
          <w:color w:val="231F20"/>
          <w:sz w:val="18"/>
          <w:szCs w:val="18"/>
          <w:highlight w:val="green"/>
        </w:rPr>
        <w:t>ISBN 978-5-9228-2136-0.</w:t>
      </w:r>
    </w:p>
    <w:p w14:paraId="26569438" w14:textId="77777777" w:rsidR="00350396" w:rsidRPr="004E0FC4" w:rsidRDefault="00350396" w:rsidP="004E0FC4">
      <w:pPr>
        <w:widowControl w:val="0"/>
        <w:numPr>
          <w:ilvl w:val="0"/>
          <w:numId w:val="100"/>
        </w:numPr>
        <w:tabs>
          <w:tab w:val="left" w:pos="574"/>
        </w:tabs>
        <w:spacing w:line="22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Йескомб, Э.</w:t>
      </w:r>
      <w:r w:rsidRPr="004E0FC4">
        <w:rPr>
          <w:rFonts w:ascii="Bookman Old Style" w:eastAsia="Bookman Old Style" w:hAnsi="Bookman Old Style" w:cs="Bookman Old Style"/>
          <w:color w:val="231F20"/>
          <w:sz w:val="18"/>
          <w:szCs w:val="18"/>
        </w:rPr>
        <w:t xml:space="preserve"> Государственно-частное партнерство : основные принци</w:t>
      </w:r>
      <w:r w:rsidRPr="004E0FC4">
        <w:rPr>
          <w:rFonts w:ascii="Bookman Old Style" w:eastAsia="Bookman Old Style" w:hAnsi="Bookman Old Style" w:cs="Bookman Old Style"/>
          <w:color w:val="231F20"/>
          <w:sz w:val="18"/>
          <w:szCs w:val="18"/>
        </w:rPr>
        <w:softHyphen/>
        <w:t>пы финансирования / Э. Йескомб. — М. : Альпина паблишер, 2015. — 457 с.</w:t>
      </w:r>
    </w:p>
    <w:p w14:paraId="6280F4C5" w14:textId="77777777" w:rsidR="00350396" w:rsidRPr="004E0FC4" w:rsidRDefault="00350396" w:rsidP="004E0FC4">
      <w:pPr>
        <w:widowControl w:val="0"/>
        <w:numPr>
          <w:ilvl w:val="0"/>
          <w:numId w:val="100"/>
        </w:numPr>
        <w:tabs>
          <w:tab w:val="left" w:pos="574"/>
        </w:tabs>
        <w:spacing w:line="22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Кабашкин, В. А.</w:t>
      </w:r>
      <w:r w:rsidRPr="004E0FC4">
        <w:rPr>
          <w:rFonts w:ascii="Bookman Old Style" w:eastAsia="Bookman Old Style" w:hAnsi="Bookman Old Style" w:cs="Bookman Old Style"/>
          <w:color w:val="231F20"/>
          <w:sz w:val="18"/>
          <w:szCs w:val="18"/>
        </w:rPr>
        <w:t xml:space="preserve"> Государственно-частное партнерство: международ</w:t>
      </w:r>
      <w:r w:rsidRPr="004E0FC4">
        <w:rPr>
          <w:rFonts w:ascii="Bookman Old Style" w:eastAsia="Bookman Old Style" w:hAnsi="Bookman Old Style" w:cs="Bookman Old Style"/>
          <w:color w:val="231F20"/>
          <w:sz w:val="18"/>
          <w:szCs w:val="18"/>
        </w:rPr>
        <w:softHyphen/>
        <w:t>ный опыт и российские перспективы / В. А Кабашкин. — М. : ООО «МИЦ», 2015. — 575 с.</w:t>
      </w:r>
    </w:p>
    <w:p w14:paraId="083B0DE6" w14:textId="77777777" w:rsidR="00350396" w:rsidRPr="004E0FC4" w:rsidRDefault="00350396" w:rsidP="004E0FC4">
      <w:pPr>
        <w:widowControl w:val="0"/>
        <w:numPr>
          <w:ilvl w:val="0"/>
          <w:numId w:val="100"/>
        </w:numPr>
        <w:tabs>
          <w:tab w:val="left" w:pos="574"/>
        </w:tabs>
        <w:spacing w:line="22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Казанцев, А. К.</w:t>
      </w:r>
      <w:r w:rsidRPr="004E0FC4">
        <w:rPr>
          <w:rFonts w:ascii="Bookman Old Style" w:eastAsia="Bookman Old Style" w:hAnsi="Bookman Old Style" w:cs="Bookman Old Style"/>
          <w:color w:val="231F20"/>
          <w:sz w:val="18"/>
          <w:szCs w:val="18"/>
        </w:rPr>
        <w:t xml:space="preserve"> Государственно-частное партнерство в научно-ин</w:t>
      </w:r>
      <w:r w:rsidRPr="004E0FC4">
        <w:rPr>
          <w:rFonts w:ascii="Bookman Old Style" w:eastAsia="Bookman Old Style" w:hAnsi="Bookman Old Style" w:cs="Bookman Old Style"/>
          <w:color w:val="231F20"/>
          <w:sz w:val="18"/>
          <w:szCs w:val="18"/>
        </w:rPr>
        <w:softHyphen/>
        <w:t>новационной сфере / А. К. Казанцев, Д. А. Рубвальтер. — М. : ИНФРА-М, 2015. — 330 с.</w:t>
      </w:r>
    </w:p>
    <w:p w14:paraId="5C90EC59" w14:textId="77777777" w:rsidR="00350396" w:rsidRPr="004E0FC4" w:rsidRDefault="00350396" w:rsidP="004E0FC4">
      <w:pPr>
        <w:widowControl w:val="0"/>
        <w:numPr>
          <w:ilvl w:val="0"/>
          <w:numId w:val="100"/>
        </w:numPr>
        <w:tabs>
          <w:tab w:val="left" w:pos="663"/>
        </w:tabs>
        <w:spacing w:line="226" w:lineRule="exact"/>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i/>
          <w:iCs/>
          <w:color w:val="231F20"/>
          <w:sz w:val="18"/>
          <w:szCs w:val="18"/>
        </w:rPr>
        <w:t>Кочеткова, С. А.</w:t>
      </w:r>
      <w:r w:rsidRPr="004E0FC4">
        <w:rPr>
          <w:rFonts w:ascii="Bookman Old Style" w:eastAsia="Bookman Old Style" w:hAnsi="Bookman Old Style" w:cs="Bookman Old Style"/>
          <w:color w:val="231F20"/>
          <w:sz w:val="18"/>
          <w:szCs w:val="18"/>
        </w:rPr>
        <w:t xml:space="preserve"> Государственно-частное и муниципально-частное партнерство : учебник / С. А. Кочеткова. — М. : Кнорус, 20</w:t>
      </w:r>
      <w:r w:rsidRPr="004E0FC4">
        <w:rPr>
          <w:rFonts w:ascii="Bookman Old Style" w:eastAsia="Bookman Old Style" w:hAnsi="Bookman Old Style" w:cs="Bookman Old Style"/>
          <w:color w:val="231F20"/>
          <w:sz w:val="18"/>
          <w:szCs w:val="18"/>
          <w:highlight w:val="green"/>
        </w:rPr>
        <w:t>21</w:t>
      </w:r>
      <w:r w:rsidRPr="004E0FC4">
        <w:rPr>
          <w:rFonts w:ascii="Bookman Old Style" w:eastAsia="Bookman Old Style" w:hAnsi="Bookman Old Style" w:cs="Bookman Old Style"/>
          <w:color w:val="231F20"/>
          <w:sz w:val="18"/>
          <w:szCs w:val="18"/>
        </w:rPr>
        <w:t>. — 176 с.</w:t>
      </w:r>
      <w:r w:rsidRPr="004E0FC4">
        <w:rPr>
          <w:rFonts w:ascii="Bookman Old Style" w:hAnsi="Bookman Old Style"/>
          <w:sz w:val="18"/>
          <w:szCs w:val="18"/>
        </w:rPr>
        <w:t xml:space="preserve"> </w:t>
      </w:r>
      <w:r w:rsidRPr="004E0FC4">
        <w:rPr>
          <w:rFonts w:ascii="Bookman Old Style" w:eastAsia="Bookman Old Style" w:hAnsi="Bookman Old Style" w:cs="Bookman Old Style"/>
          <w:color w:val="231F20"/>
          <w:sz w:val="18"/>
          <w:szCs w:val="18"/>
          <w:highlight w:val="green"/>
        </w:rPr>
        <w:t>ISBN: 978-5-406-07948-5</w:t>
      </w:r>
    </w:p>
    <w:p w14:paraId="3EC7EA39" w14:textId="77777777" w:rsidR="00350396" w:rsidRPr="004E0FC4" w:rsidRDefault="00350396" w:rsidP="004E0FC4">
      <w:pPr>
        <w:widowControl w:val="0"/>
        <w:numPr>
          <w:ilvl w:val="0"/>
          <w:numId w:val="100"/>
        </w:numPr>
        <w:tabs>
          <w:tab w:val="left" w:pos="663"/>
        </w:tabs>
        <w:spacing w:line="22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Маркварт, Э. Э.</w:t>
      </w:r>
      <w:r w:rsidRPr="004E0FC4">
        <w:rPr>
          <w:rFonts w:ascii="Bookman Old Style" w:eastAsia="Bookman Old Style" w:hAnsi="Bookman Old Style" w:cs="Bookman Old Style"/>
          <w:color w:val="231F20"/>
          <w:sz w:val="18"/>
          <w:szCs w:val="18"/>
        </w:rPr>
        <w:t xml:space="preserve"> Государственно- и муниципально-частное партнерство в России и за рубежом : учеб. пособие / Э. Э Маркварт, С. Б. Сиваев. — М. : Дело, 2018. — 404 с.</w:t>
      </w:r>
    </w:p>
    <w:p w14:paraId="16716906" w14:textId="77777777" w:rsidR="00350396" w:rsidRPr="004E0FC4" w:rsidRDefault="00350396" w:rsidP="004E0FC4">
      <w:pPr>
        <w:widowControl w:val="0"/>
        <w:numPr>
          <w:ilvl w:val="0"/>
          <w:numId w:val="100"/>
        </w:numPr>
        <w:tabs>
          <w:tab w:val="left" w:pos="668"/>
        </w:tabs>
        <w:spacing w:line="226" w:lineRule="exact"/>
        <w:rPr>
          <w:rFonts w:ascii="Bookman Old Style" w:hAnsi="Bookman Old Style"/>
          <w:sz w:val="18"/>
          <w:szCs w:val="18"/>
          <w:highlight w:val="red"/>
        </w:rPr>
      </w:pPr>
      <w:r w:rsidRPr="004E0FC4">
        <w:rPr>
          <w:rFonts w:ascii="Bookman Old Style" w:eastAsia="Bookman Old Style" w:hAnsi="Bookman Old Style" w:cs="Bookman Old Style"/>
          <w:i/>
          <w:iCs/>
          <w:color w:val="231F20"/>
          <w:sz w:val="18"/>
          <w:szCs w:val="18"/>
          <w:highlight w:val="red"/>
        </w:rPr>
        <w:t>Маховикова, Г. А.</w:t>
      </w:r>
      <w:r w:rsidRPr="004E0FC4">
        <w:rPr>
          <w:rFonts w:ascii="Bookman Old Style" w:eastAsia="Bookman Old Style" w:hAnsi="Bookman Old Style" w:cs="Bookman Old Style"/>
          <w:color w:val="231F20"/>
          <w:sz w:val="18"/>
          <w:szCs w:val="18"/>
          <w:highlight w:val="red"/>
        </w:rPr>
        <w:t xml:space="preserve"> Государственно-частное партнерство : зарубежный опыт и российские реалии / Г. А. Маховикова, Н. Ф. Ефимова. — СПб. : Изд- во СПбГЭУ, 2013. — 251 с. </w:t>
      </w:r>
      <w:r w:rsidRPr="004E0FC4">
        <w:rPr>
          <w:rFonts w:ascii="Bookman Old Style" w:eastAsiaTheme="majorEastAsia" w:hAnsi="Bookman Old Style" w:cs="Times New Roman"/>
          <w:bCs/>
          <w:i/>
          <w:color w:val="252525"/>
          <w:spacing w:val="2"/>
          <w:sz w:val="18"/>
          <w:szCs w:val="18"/>
          <w:highlight w:val="green"/>
          <w:lang w:eastAsia="en-US"/>
        </w:rPr>
        <w:t>Маслова С.В., Соколов М.Ю.</w:t>
      </w:r>
      <w:r w:rsidRPr="004E0FC4">
        <w:rPr>
          <w:rFonts w:ascii="Bookman Old Style" w:eastAsiaTheme="majorEastAsia" w:hAnsi="Bookman Old Style" w:cs="Times New Roman"/>
          <w:bCs/>
          <w:color w:val="252525"/>
          <w:spacing w:val="2"/>
          <w:sz w:val="18"/>
          <w:szCs w:val="18"/>
          <w:highlight w:val="green"/>
          <w:lang w:eastAsia="en-US"/>
        </w:rPr>
        <w:t xml:space="preserve"> Трансграничные проекты государственно-частного партнерства: концептуальные особенности и практические аспекты управления  // </w:t>
      </w:r>
      <w:hyperlink r:id="rId119" w:history="1">
        <w:r w:rsidRPr="004E0FC4">
          <w:rPr>
            <w:rFonts w:ascii="Bookman Old Style" w:eastAsiaTheme="majorEastAsia" w:hAnsi="Bookman Old Style" w:cs="Times New Roman"/>
            <w:bCs/>
            <w:color w:val="252525"/>
            <w:spacing w:val="2"/>
            <w:sz w:val="18"/>
            <w:szCs w:val="18"/>
            <w:highlight w:val="green"/>
            <w:lang w:eastAsia="en-US"/>
          </w:rPr>
          <w:t>Вопросы государственного и муниципального управления</w:t>
        </w:r>
      </w:hyperlink>
      <w:r w:rsidRPr="004E0FC4">
        <w:rPr>
          <w:rFonts w:ascii="Bookman Old Style" w:eastAsiaTheme="majorEastAsia" w:hAnsi="Bookman Old Style" w:cs="Times New Roman"/>
          <w:bCs/>
          <w:color w:val="252525"/>
          <w:spacing w:val="2"/>
          <w:sz w:val="18"/>
          <w:szCs w:val="18"/>
          <w:highlight w:val="green"/>
          <w:lang w:eastAsia="en-US"/>
        </w:rPr>
        <w:t xml:space="preserve">. 2020. </w:t>
      </w:r>
      <w:hyperlink r:id="rId120" w:history="1">
        <w:r w:rsidRPr="004E0FC4">
          <w:rPr>
            <w:rFonts w:ascii="Bookman Old Style" w:eastAsiaTheme="majorEastAsia" w:hAnsi="Bookman Old Style" w:cs="Times New Roman"/>
            <w:bCs/>
            <w:color w:val="252525"/>
            <w:spacing w:val="2"/>
            <w:sz w:val="18"/>
            <w:szCs w:val="18"/>
            <w:highlight w:val="green"/>
            <w:lang w:eastAsia="en-US"/>
          </w:rPr>
          <w:t>№ 1</w:t>
        </w:r>
      </w:hyperlink>
      <w:r w:rsidRPr="004E0FC4">
        <w:rPr>
          <w:rFonts w:ascii="Bookman Old Style" w:eastAsiaTheme="majorEastAsia" w:hAnsi="Bookman Old Style" w:cs="Times New Roman"/>
          <w:bCs/>
          <w:color w:val="252525"/>
          <w:spacing w:val="2"/>
          <w:sz w:val="18"/>
          <w:szCs w:val="18"/>
          <w:highlight w:val="green"/>
          <w:lang w:eastAsia="en-US"/>
        </w:rPr>
        <w:t>. С. 86-114.</w:t>
      </w:r>
    </w:p>
    <w:p w14:paraId="17D6B644" w14:textId="77777777" w:rsidR="00350396" w:rsidRPr="004E0FC4" w:rsidRDefault="00350396" w:rsidP="004E0FC4">
      <w:pPr>
        <w:widowControl w:val="0"/>
        <w:numPr>
          <w:ilvl w:val="0"/>
          <w:numId w:val="100"/>
        </w:numPr>
        <w:tabs>
          <w:tab w:val="left" w:pos="678"/>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Проект национального доклада о привлечении частных инвестиций в развитие инфраструктуры и применении механизмов государственно</w:t>
      </w:r>
      <w:r w:rsidRPr="004E0FC4">
        <w:rPr>
          <w:rFonts w:ascii="Bookman Old Style" w:eastAsia="Bookman Old Style" w:hAnsi="Bookman Old Style" w:cs="Bookman Old Style"/>
          <w:color w:val="231F20"/>
          <w:sz w:val="18"/>
          <w:szCs w:val="18"/>
        </w:rPr>
        <w:softHyphen/>
        <w:t xml:space="preserve">частного партнерства в Российской Федерации + Рейтинг регионов России по уровню развития государственно-частного </w:t>
      </w:r>
      <w:r w:rsidRPr="004E0FC4">
        <w:rPr>
          <w:rFonts w:ascii="Bookman Old Style" w:eastAsia="Bookman Old Style" w:hAnsi="Bookman Old Style" w:cs="Bookman Old Style"/>
          <w:color w:val="231F20"/>
          <w:sz w:val="18"/>
          <w:szCs w:val="18"/>
        </w:rPr>
        <w:lastRenderedPageBreak/>
        <w:t>партнерства 2017—2018. — М. : Центр развития ГЧП, 2019. — 80 с.</w:t>
      </w:r>
    </w:p>
    <w:p w14:paraId="231B1331" w14:textId="77777777" w:rsidR="00350396" w:rsidRPr="004E0FC4" w:rsidRDefault="00350396" w:rsidP="004E0FC4">
      <w:pPr>
        <w:widowControl w:val="0"/>
        <w:numPr>
          <w:ilvl w:val="0"/>
          <w:numId w:val="100"/>
        </w:numPr>
        <w:tabs>
          <w:tab w:val="left" w:pos="668"/>
        </w:tabs>
        <w:spacing w:line="22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rPr>
        <w:t>Радушинский, Д. А.</w:t>
      </w:r>
      <w:r w:rsidRPr="004E0FC4">
        <w:rPr>
          <w:rFonts w:ascii="Bookman Old Style" w:eastAsia="Bookman Old Style" w:hAnsi="Bookman Old Style" w:cs="Bookman Old Style"/>
          <w:color w:val="231F20"/>
          <w:sz w:val="18"/>
          <w:szCs w:val="18"/>
        </w:rPr>
        <w:t xml:space="preserve"> Роль государственно-частного партнерства в ре</w:t>
      </w:r>
      <w:r w:rsidRPr="004E0FC4">
        <w:rPr>
          <w:rFonts w:ascii="Bookman Old Style" w:eastAsia="Bookman Old Style" w:hAnsi="Bookman Old Style" w:cs="Bookman Old Style"/>
          <w:color w:val="231F20"/>
          <w:sz w:val="18"/>
          <w:szCs w:val="18"/>
        </w:rPr>
        <w:softHyphen/>
        <w:t>ализации инновационных проектов новой индустриальной экономики // Форсайт «Россия» : новое индустриальное общество. Перезагрузка : Сбор</w:t>
      </w:r>
      <w:r w:rsidRPr="004E0FC4">
        <w:rPr>
          <w:rFonts w:ascii="Bookman Old Style" w:eastAsia="Bookman Old Style" w:hAnsi="Bookman Old Style" w:cs="Bookman Old Style"/>
          <w:color w:val="231F20"/>
          <w:sz w:val="18"/>
          <w:szCs w:val="18"/>
        </w:rPr>
        <w:softHyphen/>
        <w:t>ник материалов Санкт-Петербургского Международного экономического конгресса (СПЭК-2017) / под общ. ред. С. Д. Бодрунова. — СПб. : Институт нового индустриального развития им. С. Ю. Витте, 2018. — С. 845—854.</w:t>
      </w:r>
    </w:p>
    <w:p w14:paraId="60BBF306" w14:textId="77777777" w:rsidR="00350396" w:rsidRPr="004E0FC4" w:rsidRDefault="00350396" w:rsidP="004E0FC4">
      <w:pPr>
        <w:widowControl w:val="0"/>
        <w:numPr>
          <w:ilvl w:val="0"/>
          <w:numId w:val="100"/>
        </w:numPr>
        <w:tabs>
          <w:tab w:val="left" w:pos="668"/>
        </w:tabs>
        <w:spacing w:line="226" w:lineRule="exact"/>
        <w:rPr>
          <w:rFonts w:ascii="Bookman Old Style" w:eastAsia="Bookman Old Style" w:hAnsi="Bookman Old Style" w:cs="Bookman Old Style"/>
          <w:iCs/>
          <w:color w:val="231F20"/>
          <w:sz w:val="18"/>
          <w:szCs w:val="18"/>
          <w:highlight w:val="green"/>
        </w:rPr>
      </w:pPr>
      <w:r w:rsidRPr="004E0FC4">
        <w:rPr>
          <w:rFonts w:ascii="Bookman Old Style" w:eastAsia="Bookman Old Style" w:hAnsi="Bookman Old Style" w:cs="Bookman Old Style"/>
          <w:i/>
          <w:color w:val="231F20"/>
          <w:sz w:val="18"/>
          <w:szCs w:val="18"/>
          <w:highlight w:val="green"/>
        </w:rPr>
        <w:t>Сильвестров С.Н., Крупнов Ю.А., Золотарев Е.В., Лапенкова Н.В.</w:t>
      </w:r>
      <w:r w:rsidRPr="004E0FC4">
        <w:rPr>
          <w:rFonts w:ascii="Bookman Old Style" w:eastAsia="Bookman Old Style" w:hAnsi="Bookman Old Style" w:cs="Bookman Old Style"/>
          <w:color w:val="231F20"/>
          <w:sz w:val="18"/>
          <w:szCs w:val="18"/>
          <w:highlight w:val="green"/>
        </w:rPr>
        <w:t xml:space="preserve"> Государственно-частное партнерство и стратегия экономического роста // </w:t>
      </w:r>
      <w:hyperlink r:id="rId121" w:history="1">
        <w:r w:rsidRPr="004E0FC4">
          <w:rPr>
            <w:rFonts w:ascii="Bookman Old Style" w:eastAsia="Bookman Old Style" w:hAnsi="Bookman Old Style" w:cs="Bookman Old Style"/>
            <w:iCs/>
            <w:color w:val="231F20"/>
            <w:sz w:val="18"/>
            <w:szCs w:val="18"/>
            <w:highlight w:val="green"/>
          </w:rPr>
          <w:t>Национальные интересы: при\оритеты и безопасность</w:t>
        </w:r>
      </w:hyperlink>
      <w:r w:rsidRPr="004E0FC4">
        <w:rPr>
          <w:rFonts w:ascii="Bookman Old Style" w:eastAsia="Bookman Old Style" w:hAnsi="Bookman Old Style" w:cs="Bookman Old Style"/>
          <w:iCs/>
          <w:color w:val="231F20"/>
          <w:sz w:val="18"/>
          <w:szCs w:val="18"/>
          <w:highlight w:val="green"/>
        </w:rPr>
        <w:t xml:space="preserve">. 2022. Т. 18. </w:t>
      </w:r>
      <w:hyperlink r:id="rId122" w:history="1">
        <w:r w:rsidRPr="004E0FC4">
          <w:rPr>
            <w:rFonts w:ascii="Bookman Old Style" w:eastAsia="Bookman Old Style" w:hAnsi="Bookman Old Style" w:cs="Bookman Old Style"/>
            <w:iCs/>
            <w:color w:val="231F20"/>
            <w:sz w:val="18"/>
            <w:szCs w:val="18"/>
            <w:highlight w:val="green"/>
          </w:rPr>
          <w:t>№ 2 (407)</w:t>
        </w:r>
      </w:hyperlink>
      <w:r w:rsidRPr="004E0FC4">
        <w:rPr>
          <w:rFonts w:ascii="Bookman Old Style" w:eastAsia="Bookman Old Style" w:hAnsi="Bookman Old Style" w:cs="Bookman Old Style"/>
          <w:iCs/>
          <w:color w:val="231F20"/>
          <w:sz w:val="18"/>
          <w:szCs w:val="18"/>
          <w:highlight w:val="green"/>
        </w:rPr>
        <w:t>. С. 341-363.</w:t>
      </w:r>
    </w:p>
    <w:p w14:paraId="25671E2C" w14:textId="77777777" w:rsidR="00350396" w:rsidRPr="004E0FC4" w:rsidRDefault="00350396" w:rsidP="004E0FC4">
      <w:pPr>
        <w:widowControl w:val="0"/>
        <w:numPr>
          <w:ilvl w:val="0"/>
          <w:numId w:val="100"/>
        </w:numPr>
        <w:tabs>
          <w:tab w:val="left" w:pos="668"/>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АНО «Национальный Центр ГЧП»</w:t>
      </w:r>
      <w:r w:rsidRPr="004E0FC4">
        <w:rPr>
          <w:rFonts w:ascii="Bookman Old Style" w:eastAsia="Bookman Old Style" w:hAnsi="Bookman Old Style" w:cs="Bookman Old Style"/>
          <w:i/>
          <w:iCs/>
          <w:color w:val="231F20"/>
          <w:sz w:val="18"/>
          <w:szCs w:val="18"/>
        </w:rPr>
        <w:t>.</w:t>
      </w:r>
      <w:r w:rsidRPr="004E0FC4">
        <w:rPr>
          <w:rFonts w:ascii="Bookman Old Style" w:eastAsia="Bookman Old Style" w:hAnsi="Bookman Old Style" w:cs="Bookman Old Style"/>
          <w:color w:val="231F20"/>
          <w:sz w:val="18"/>
          <w:szCs w:val="18"/>
        </w:rPr>
        <w:t xml:space="preserve"> База проектов ГЧП и концессии на территории России на Платформе поддержки инфраструктурных проектов «РОСИНФРА». — </w:t>
      </w:r>
      <w:r w:rsidRPr="004E0FC4">
        <w:rPr>
          <w:rFonts w:ascii="Bookman Old Style" w:eastAsia="Bookman Old Style" w:hAnsi="Bookman Old Style" w:cs="Bookman Old Style"/>
          <w:color w:val="231F20"/>
          <w:sz w:val="18"/>
          <w:szCs w:val="18"/>
          <w:lang w:val="en-US" w:eastAsia="en-US" w:bidi="en-US"/>
        </w:rPr>
        <w:t>URL</w:t>
      </w:r>
      <w:r w:rsidRPr="004E0FC4">
        <w:rPr>
          <w:rFonts w:ascii="Bookman Old Style" w:eastAsia="Bookman Old Style" w:hAnsi="Bookman Old Style" w:cs="Bookman Old Style"/>
          <w:color w:val="231F20"/>
          <w:sz w:val="18"/>
          <w:szCs w:val="18"/>
          <w:lang w:eastAsia="en-US" w:bidi="en-US"/>
        </w:rPr>
        <w:t xml:space="preserve">: </w:t>
      </w:r>
      <w:hyperlink r:id="rId123" w:history="1">
        <w:r w:rsidRPr="004E0FC4">
          <w:rPr>
            <w:rFonts w:ascii="Bookman Old Style" w:eastAsia="Bookman Old Style" w:hAnsi="Bookman Old Style" w:cs="Bookman Old Style"/>
            <w:color w:val="231F20"/>
            <w:sz w:val="18"/>
            <w:szCs w:val="18"/>
            <w:lang w:val="en-US" w:eastAsia="en-US" w:bidi="en-US"/>
          </w:rPr>
          <w:t>https</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rosinfra</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ru</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project</w:t>
        </w:r>
      </w:hyperlink>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rPr>
        <w:t>(по состоянию на ноябрь 20</w:t>
      </w:r>
      <w:r w:rsidRPr="004E0FC4">
        <w:rPr>
          <w:rFonts w:ascii="Bookman Old Style" w:eastAsia="Bookman Old Style" w:hAnsi="Bookman Old Style" w:cs="Bookman Old Style"/>
          <w:color w:val="231F20"/>
          <w:sz w:val="18"/>
          <w:szCs w:val="18"/>
          <w:highlight w:val="green"/>
        </w:rPr>
        <w:t>22</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green"/>
        </w:rPr>
        <w:t>года</w:t>
      </w:r>
      <w:r w:rsidRPr="004E0FC4">
        <w:rPr>
          <w:rFonts w:ascii="Bookman Old Style" w:eastAsia="Bookman Old Style" w:hAnsi="Bookman Old Style" w:cs="Bookman Old Style"/>
          <w:color w:val="231F20"/>
          <w:sz w:val="18"/>
          <w:szCs w:val="18"/>
        </w:rPr>
        <w:t xml:space="preserve"> содержит информацию </w:t>
      </w:r>
      <w:r w:rsidRPr="004E0FC4">
        <w:rPr>
          <w:rFonts w:ascii="Bookman Old Style" w:eastAsia="Bookman Old Style" w:hAnsi="Bookman Old Style" w:cs="Bookman Old Style"/>
          <w:color w:val="231F20"/>
          <w:sz w:val="18"/>
          <w:szCs w:val="18"/>
          <w:highlight w:val="green"/>
        </w:rPr>
        <w:t>о 506 действующих</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3500</w:t>
      </w:r>
      <w:r w:rsidRPr="004E0FC4">
        <w:rPr>
          <w:rFonts w:ascii="Bookman Old Style" w:eastAsia="Bookman Old Style" w:hAnsi="Bookman Old Style" w:cs="Bookman Old Style"/>
          <w:color w:val="231F20"/>
          <w:sz w:val="18"/>
          <w:szCs w:val="18"/>
        </w:rPr>
        <w:t xml:space="preserve"> проектов </w:t>
      </w:r>
      <w:r w:rsidRPr="004E0FC4">
        <w:rPr>
          <w:rFonts w:ascii="Bookman Old Style" w:eastAsia="Bookman Old Style" w:hAnsi="Bookman Old Style" w:cs="Bookman Old Style"/>
          <w:color w:val="231F20"/>
          <w:sz w:val="18"/>
          <w:szCs w:val="18"/>
          <w:highlight w:val="green"/>
        </w:rPr>
        <w:t>с</w:t>
      </w:r>
      <w:r w:rsidRPr="004E0FC4">
        <w:rPr>
          <w:rFonts w:ascii="Bookman Old Style" w:eastAsia="Bookman Old Style" w:hAnsi="Bookman Old Style" w:cs="Bookman Old Style"/>
          <w:color w:val="231F20"/>
          <w:sz w:val="18"/>
          <w:szCs w:val="18"/>
        </w:rPr>
        <w:t xml:space="preserve"> общим объемом инвестиций </w:t>
      </w:r>
      <w:r w:rsidRPr="004E0FC4">
        <w:rPr>
          <w:rFonts w:ascii="Bookman Old Style" w:eastAsia="Bookman Old Style" w:hAnsi="Bookman Old Style" w:cs="Bookman Old Style"/>
          <w:color w:val="231F20"/>
          <w:sz w:val="18"/>
          <w:szCs w:val="18"/>
          <w:highlight w:val="green"/>
        </w:rPr>
        <w:t>около 260 млрд</w:t>
      </w:r>
      <w:r w:rsidRPr="004E0FC4">
        <w:rPr>
          <w:rFonts w:ascii="Bookman Old Style" w:eastAsia="Bookman Old Style" w:hAnsi="Bookman Old Style" w:cs="Bookman Old Style"/>
          <w:color w:val="231F20"/>
          <w:sz w:val="18"/>
          <w:szCs w:val="18"/>
        </w:rPr>
        <w:t xml:space="preserve"> </w:t>
      </w:r>
      <w:r w:rsidRPr="004E0FC4">
        <w:rPr>
          <w:rFonts w:ascii="Bookman Old Style" w:eastAsia="Bookman Old Style" w:hAnsi="Bookman Old Style" w:cs="Bookman Old Style"/>
          <w:color w:val="231F20"/>
          <w:sz w:val="18"/>
          <w:szCs w:val="18"/>
          <w:highlight w:val="red"/>
        </w:rPr>
        <w:t>примерно 3,1 трлн</w:t>
      </w:r>
      <w:r w:rsidRPr="004E0FC4">
        <w:rPr>
          <w:rFonts w:ascii="Bookman Old Style" w:eastAsia="Bookman Old Style" w:hAnsi="Bookman Old Style" w:cs="Bookman Old Style"/>
          <w:color w:val="231F20"/>
          <w:sz w:val="18"/>
          <w:szCs w:val="18"/>
        </w:rPr>
        <w:t xml:space="preserve"> руб.).</w:t>
      </w:r>
    </w:p>
    <w:p w14:paraId="7FFD5486" w14:textId="77777777" w:rsidR="00350396" w:rsidRPr="004E0FC4" w:rsidRDefault="00350396" w:rsidP="004E0FC4">
      <w:pPr>
        <w:widowControl w:val="0"/>
        <w:numPr>
          <w:ilvl w:val="0"/>
          <w:numId w:val="100"/>
        </w:numPr>
        <w:tabs>
          <w:tab w:val="left" w:pos="668"/>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 xml:space="preserve">АНО «Национальный Центр ГЧП». Рейтинг регионов по ГЧП. — </w:t>
      </w:r>
      <w:r w:rsidRPr="004E0FC4">
        <w:rPr>
          <w:rFonts w:ascii="Bookman Old Style" w:eastAsia="Bookman Old Style" w:hAnsi="Bookman Old Style" w:cs="Bookman Old Style"/>
          <w:color w:val="231F20"/>
          <w:sz w:val="18"/>
          <w:szCs w:val="18"/>
          <w:lang w:val="en-US" w:eastAsia="en-US" w:bidi="en-US"/>
        </w:rPr>
        <w:t>URL</w:t>
      </w:r>
      <w:r w:rsidRPr="004E0FC4">
        <w:rPr>
          <w:rFonts w:ascii="Bookman Old Style" w:eastAsia="Bookman Old Style" w:hAnsi="Bookman Old Style" w:cs="Bookman Old Style"/>
          <w:color w:val="231F20"/>
          <w:sz w:val="18"/>
          <w:szCs w:val="18"/>
          <w:lang w:eastAsia="en-US" w:bidi="en-US"/>
        </w:rPr>
        <w:t xml:space="preserve">: </w:t>
      </w:r>
      <w:hyperlink r:id="rId124" w:history="1">
        <w:r w:rsidRPr="004E0FC4">
          <w:rPr>
            <w:rFonts w:ascii="Bookman Old Style" w:eastAsia="Bookman Old Style" w:hAnsi="Bookman Old Style" w:cs="Bookman Old Style"/>
            <w:color w:val="231F20"/>
            <w:sz w:val="18"/>
            <w:szCs w:val="18"/>
            <w:lang w:val="en-US" w:eastAsia="en-US" w:bidi="en-US"/>
          </w:rPr>
          <w:t>http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pppcenter</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ru</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proektyi</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czentra</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rejting</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regionov</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po</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gchp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html</w:t>
        </w:r>
      </w:hyperlink>
      <w:r w:rsidRPr="004E0FC4">
        <w:rPr>
          <w:rFonts w:ascii="Bookman Old Style" w:eastAsia="Bookman Old Style" w:hAnsi="Bookman Old Style" w:cs="Bookman Old Style"/>
          <w:color w:val="231F20"/>
          <w:sz w:val="18"/>
          <w:szCs w:val="18"/>
          <w:lang w:eastAsia="en-US" w:bidi="en-US"/>
        </w:rPr>
        <w:t>.</w:t>
      </w:r>
    </w:p>
    <w:p w14:paraId="34A09104" w14:textId="77777777" w:rsidR="00350396" w:rsidRPr="004E0FC4" w:rsidRDefault="00350396" w:rsidP="004E0FC4">
      <w:pPr>
        <w:widowControl w:val="0"/>
        <w:numPr>
          <w:ilvl w:val="0"/>
          <w:numId w:val="100"/>
        </w:numPr>
        <w:tabs>
          <w:tab w:val="left" w:pos="668"/>
        </w:tabs>
        <w:spacing w:line="226" w:lineRule="exact"/>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АНО «Национальный Центр ГЧП». Дальневосточная и арктическая концессия. Особенности и перспективы М.: 2022, 18 с. - </w:t>
      </w:r>
      <w:r w:rsidRPr="004E0FC4">
        <w:rPr>
          <w:rFonts w:ascii="Bookman Old Style" w:eastAsia="Bookman Old Style" w:hAnsi="Bookman Old Style" w:cs="Bookman Old Style"/>
          <w:color w:val="231F20"/>
          <w:sz w:val="18"/>
          <w:szCs w:val="18"/>
          <w:highlight w:val="green"/>
          <w:lang w:val="en-US" w:eastAsia="en-US" w:bidi="en-US"/>
        </w:rPr>
        <w:t>URL</w:t>
      </w:r>
      <w:r w:rsidRPr="004E0FC4">
        <w:rPr>
          <w:rFonts w:ascii="Bookman Old Style" w:eastAsia="Bookman Old Style" w:hAnsi="Bookman Old Style" w:cs="Bookman Old Style"/>
          <w:color w:val="231F20"/>
          <w:sz w:val="18"/>
          <w:szCs w:val="18"/>
          <w:highlight w:val="green"/>
          <w:lang w:eastAsia="en-US" w:bidi="en-US"/>
        </w:rPr>
        <w:t xml:space="preserve">: </w:t>
      </w:r>
      <w:hyperlink r:id="rId125" w:history="1">
        <w:r w:rsidRPr="004E0FC4">
          <w:rPr>
            <w:rFonts w:ascii="Bookman Old Style" w:eastAsia="Bookman Old Style" w:hAnsi="Bookman Old Style" w:cs="Bookman Old Style"/>
            <w:color w:val="231F20"/>
            <w:sz w:val="18"/>
            <w:szCs w:val="18"/>
            <w:highlight w:val="green"/>
            <w:lang w:val="en-US" w:eastAsia="en-US" w:bidi="en-US"/>
          </w:rPr>
          <w:t>http</w:t>
        </w:r>
        <w:r w:rsidRPr="004E0FC4">
          <w:rPr>
            <w:rFonts w:ascii="Bookman Old Style" w:eastAsia="Bookman Old Style" w:hAnsi="Bookman Old Style" w:cs="Bookman Old Style"/>
            <w:color w:val="231F20"/>
            <w:sz w:val="18"/>
            <w:szCs w:val="18"/>
            <w:highlight w:val="green"/>
            <w:lang w:eastAsia="en-US" w:bidi="en-US"/>
          </w:rPr>
          <w:t>://</w:t>
        </w:r>
        <w:r w:rsidRPr="004E0FC4">
          <w:rPr>
            <w:rFonts w:ascii="Bookman Old Style" w:eastAsia="Bookman Old Style" w:hAnsi="Bookman Old Style" w:cs="Bookman Old Style"/>
            <w:color w:val="231F20"/>
            <w:sz w:val="18"/>
            <w:szCs w:val="18"/>
            <w:highlight w:val="green"/>
            <w:lang w:val="en-US" w:eastAsia="en-US" w:bidi="en-US"/>
          </w:rPr>
          <w:t>pppcenter</w:t>
        </w:r>
      </w:hyperlink>
      <w:r w:rsidRPr="004E0FC4">
        <w:rPr>
          <w:rFonts w:ascii="Bookman Old Style" w:eastAsia="Bookman Old Style" w:hAnsi="Bookman Old Style" w:cs="Bookman Old Style"/>
          <w:color w:val="231F20"/>
          <w:sz w:val="18"/>
          <w:szCs w:val="18"/>
          <w:highlight w:val="green"/>
          <w:lang w:eastAsia="en-US" w:bidi="en-US"/>
        </w:rPr>
        <w:t xml:space="preserve">. </w:t>
      </w:r>
      <w:r w:rsidRPr="004E0FC4">
        <w:rPr>
          <w:rFonts w:ascii="Bookman Old Style" w:eastAsia="Bookman Old Style" w:hAnsi="Bookman Old Style" w:cs="Bookman Old Style"/>
          <w:color w:val="231F20"/>
          <w:sz w:val="18"/>
          <w:szCs w:val="18"/>
          <w:highlight w:val="green"/>
          <w:lang w:val="en-US" w:eastAsia="en-US" w:bidi="en-US"/>
        </w:rPr>
        <w:t>ru</w:t>
      </w:r>
      <w:r w:rsidRPr="004E0FC4">
        <w:rPr>
          <w:rFonts w:ascii="Bookman Old Style" w:eastAsia="Bookman Old Style" w:hAnsi="Bookman Old Style" w:cs="Bookman Old Style"/>
          <w:color w:val="231F20"/>
          <w:sz w:val="18"/>
          <w:szCs w:val="18"/>
          <w:highlight w:val="green"/>
          <w:lang w:eastAsia="en-US" w:bidi="en-US"/>
        </w:rPr>
        <w:t>/</w:t>
      </w:r>
      <w:r w:rsidRPr="004E0FC4">
        <w:rPr>
          <w:rFonts w:ascii="Bookman Old Style" w:eastAsia="Bookman Old Style" w:hAnsi="Bookman Old Style" w:cs="Bookman Old Style"/>
          <w:color w:val="231F20"/>
          <w:sz w:val="18"/>
          <w:szCs w:val="18"/>
          <w:highlight w:val="green"/>
          <w:lang w:val="en-US" w:eastAsia="en-US" w:bidi="en-US"/>
        </w:rPr>
        <w:t>analitika</w:t>
      </w:r>
      <w:r w:rsidRPr="004E0FC4">
        <w:rPr>
          <w:rFonts w:ascii="Bookman Old Style" w:eastAsia="Bookman Old Style" w:hAnsi="Bookman Old Style" w:cs="Bookman Old Style"/>
          <w:color w:val="231F20"/>
          <w:sz w:val="18"/>
          <w:szCs w:val="18"/>
          <w:highlight w:val="green"/>
          <w:lang w:eastAsia="en-US" w:bidi="en-US"/>
        </w:rPr>
        <w:t>.</w:t>
      </w:r>
    </w:p>
    <w:p w14:paraId="0EE81581" w14:textId="77777777" w:rsidR="00350396" w:rsidRPr="004E0FC4" w:rsidRDefault="00350396" w:rsidP="004E0FC4">
      <w:pPr>
        <w:widowControl w:val="0"/>
        <w:numPr>
          <w:ilvl w:val="0"/>
          <w:numId w:val="100"/>
        </w:numPr>
        <w:tabs>
          <w:tab w:val="left" w:pos="668"/>
        </w:tabs>
        <w:spacing w:line="226" w:lineRule="exact"/>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МЭР РФ. Рейтинг субъектов Российской Федерации по уровню развития государственно-частного партнерства за 2021 год. М.: 2022, 18 с. - </w:t>
      </w:r>
      <w:r w:rsidRPr="004E0FC4">
        <w:rPr>
          <w:rFonts w:ascii="Bookman Old Style" w:eastAsia="Bookman Old Style" w:hAnsi="Bookman Old Style" w:cs="Bookman Old Style"/>
          <w:color w:val="231F20"/>
          <w:sz w:val="18"/>
          <w:szCs w:val="18"/>
          <w:highlight w:val="green"/>
          <w:lang w:val="en-US" w:eastAsia="en-US" w:bidi="en-US"/>
        </w:rPr>
        <w:t>URL</w:t>
      </w:r>
      <w:r w:rsidRPr="004E0FC4">
        <w:rPr>
          <w:rFonts w:ascii="Bookman Old Style" w:eastAsia="Bookman Old Style" w:hAnsi="Bookman Old Style" w:cs="Bookman Old Style"/>
          <w:color w:val="231F20"/>
          <w:sz w:val="18"/>
          <w:szCs w:val="18"/>
          <w:highlight w:val="green"/>
          <w:lang w:eastAsia="en-US" w:bidi="en-US"/>
        </w:rPr>
        <w:t xml:space="preserve">: </w:t>
      </w:r>
      <w:hyperlink r:id="rId126" w:history="1">
        <w:r w:rsidRPr="004E0FC4">
          <w:rPr>
            <w:rFonts w:ascii="Bookman Old Style" w:eastAsia="Bookman Old Style" w:hAnsi="Bookman Old Style" w:cs="Bookman Old Style"/>
            <w:color w:val="231F20"/>
            <w:sz w:val="18"/>
            <w:szCs w:val="18"/>
            <w:highlight w:val="green"/>
            <w:lang w:val="en-US" w:eastAsia="en-US" w:bidi="en-US"/>
          </w:rPr>
          <w:t>http</w:t>
        </w:r>
        <w:r w:rsidRPr="004E0FC4">
          <w:rPr>
            <w:rFonts w:ascii="Bookman Old Style" w:eastAsia="Bookman Old Style" w:hAnsi="Bookman Old Style" w:cs="Bookman Old Style"/>
            <w:color w:val="231F20"/>
            <w:sz w:val="18"/>
            <w:szCs w:val="18"/>
            <w:highlight w:val="green"/>
            <w:lang w:eastAsia="en-US" w:bidi="en-US"/>
          </w:rPr>
          <w:t>://</w:t>
        </w:r>
        <w:r w:rsidRPr="004E0FC4">
          <w:rPr>
            <w:rFonts w:ascii="Bookman Old Style" w:eastAsia="Bookman Old Style" w:hAnsi="Bookman Old Style" w:cs="Bookman Old Style"/>
            <w:color w:val="231F20"/>
            <w:sz w:val="18"/>
            <w:szCs w:val="18"/>
            <w:highlight w:val="green"/>
            <w:lang w:val="en-US" w:eastAsia="en-US" w:bidi="en-US"/>
          </w:rPr>
          <w:t>pppcenter</w:t>
        </w:r>
      </w:hyperlink>
      <w:r w:rsidRPr="004E0FC4">
        <w:rPr>
          <w:rFonts w:ascii="Bookman Old Style" w:eastAsia="Bookman Old Style" w:hAnsi="Bookman Old Style" w:cs="Bookman Old Style"/>
          <w:color w:val="231F20"/>
          <w:sz w:val="18"/>
          <w:szCs w:val="18"/>
          <w:highlight w:val="green"/>
          <w:lang w:eastAsia="en-US" w:bidi="en-US"/>
        </w:rPr>
        <w:t xml:space="preserve">. </w:t>
      </w:r>
      <w:r w:rsidRPr="004E0FC4">
        <w:rPr>
          <w:rFonts w:ascii="Bookman Old Style" w:eastAsia="Bookman Old Style" w:hAnsi="Bookman Old Style" w:cs="Bookman Old Style"/>
          <w:color w:val="231F20"/>
          <w:sz w:val="18"/>
          <w:szCs w:val="18"/>
          <w:highlight w:val="green"/>
          <w:lang w:val="en-US" w:eastAsia="en-US" w:bidi="en-US"/>
        </w:rPr>
        <w:t>ru</w:t>
      </w:r>
      <w:r w:rsidRPr="004E0FC4">
        <w:rPr>
          <w:rFonts w:ascii="Bookman Old Style" w:eastAsia="Bookman Old Style" w:hAnsi="Bookman Old Style" w:cs="Bookman Old Style"/>
          <w:color w:val="231F20"/>
          <w:sz w:val="18"/>
          <w:szCs w:val="18"/>
          <w:highlight w:val="green"/>
          <w:lang w:eastAsia="en-US" w:bidi="en-US"/>
        </w:rPr>
        <w:t>/</w:t>
      </w:r>
      <w:r w:rsidRPr="004E0FC4">
        <w:rPr>
          <w:rFonts w:ascii="Bookman Old Style" w:eastAsia="Bookman Old Style" w:hAnsi="Bookman Old Style" w:cs="Bookman Old Style"/>
          <w:color w:val="231F20"/>
          <w:sz w:val="18"/>
          <w:szCs w:val="18"/>
          <w:highlight w:val="green"/>
          <w:lang w:val="en-US" w:eastAsia="en-US" w:bidi="en-US"/>
        </w:rPr>
        <w:t>analitika</w:t>
      </w:r>
      <w:r w:rsidRPr="004E0FC4">
        <w:rPr>
          <w:rFonts w:ascii="Bookman Old Style" w:eastAsia="Bookman Old Style" w:hAnsi="Bookman Old Style" w:cs="Bookman Old Style"/>
          <w:color w:val="231F20"/>
          <w:sz w:val="18"/>
          <w:szCs w:val="18"/>
          <w:highlight w:val="green"/>
          <w:lang w:eastAsia="en-US" w:bidi="en-US"/>
        </w:rPr>
        <w:t>.</w:t>
      </w:r>
    </w:p>
    <w:p w14:paraId="788DC18A" w14:textId="77777777" w:rsidR="00350396" w:rsidRPr="004E0FC4" w:rsidRDefault="00350396" w:rsidP="004E0FC4">
      <w:pPr>
        <w:widowControl w:val="0"/>
        <w:numPr>
          <w:ilvl w:val="0"/>
          <w:numId w:val="100"/>
        </w:numPr>
        <w:tabs>
          <w:tab w:val="left" w:pos="668"/>
        </w:tabs>
        <w:spacing w:line="226" w:lineRule="exact"/>
        <w:rPr>
          <w:rFonts w:ascii="Bookman Old Style" w:eastAsia="Bookman Old Style" w:hAnsi="Bookman Old Style" w:cs="Bookman Old Style"/>
          <w:color w:val="231F20"/>
          <w:sz w:val="18"/>
          <w:szCs w:val="18"/>
          <w:highlight w:val="green"/>
        </w:rPr>
      </w:pPr>
      <w:r w:rsidRPr="004E0FC4">
        <w:rPr>
          <w:rFonts w:ascii="Bookman Old Style" w:eastAsia="Bookman Old Style" w:hAnsi="Bookman Old Style" w:cs="Bookman Old Style"/>
          <w:color w:val="231F20"/>
          <w:sz w:val="18"/>
          <w:szCs w:val="18"/>
          <w:highlight w:val="green"/>
        </w:rPr>
        <w:t xml:space="preserve">АНО «Национальный Центр ГЧП». Развитие коммунальной инфраструктуры городов: партнерство государства и бизнеса. М.: 2022, 44 с. - </w:t>
      </w:r>
      <w:r w:rsidRPr="004E0FC4">
        <w:rPr>
          <w:rFonts w:ascii="Bookman Old Style" w:eastAsia="Bookman Old Style" w:hAnsi="Bookman Old Style" w:cs="Bookman Old Style"/>
          <w:color w:val="231F20"/>
          <w:sz w:val="18"/>
          <w:szCs w:val="18"/>
          <w:highlight w:val="green"/>
          <w:lang w:val="en-US" w:eastAsia="en-US" w:bidi="en-US"/>
        </w:rPr>
        <w:t>URL</w:t>
      </w:r>
      <w:r w:rsidRPr="004E0FC4">
        <w:rPr>
          <w:rFonts w:ascii="Bookman Old Style" w:eastAsia="Bookman Old Style" w:hAnsi="Bookman Old Style" w:cs="Bookman Old Style"/>
          <w:color w:val="231F20"/>
          <w:sz w:val="18"/>
          <w:szCs w:val="18"/>
          <w:highlight w:val="green"/>
          <w:lang w:eastAsia="en-US" w:bidi="en-US"/>
        </w:rPr>
        <w:t xml:space="preserve">: </w:t>
      </w:r>
      <w:hyperlink r:id="rId127" w:history="1">
        <w:r w:rsidRPr="004E0FC4">
          <w:rPr>
            <w:rFonts w:ascii="Bookman Old Style" w:eastAsia="Bookman Old Style" w:hAnsi="Bookman Old Style" w:cs="Bookman Old Style"/>
            <w:color w:val="231F20"/>
            <w:sz w:val="18"/>
            <w:szCs w:val="18"/>
            <w:highlight w:val="green"/>
            <w:lang w:val="en-US" w:eastAsia="en-US" w:bidi="en-US"/>
          </w:rPr>
          <w:t>http</w:t>
        </w:r>
        <w:r w:rsidRPr="004E0FC4">
          <w:rPr>
            <w:rFonts w:ascii="Bookman Old Style" w:eastAsia="Bookman Old Style" w:hAnsi="Bookman Old Style" w:cs="Bookman Old Style"/>
            <w:color w:val="231F20"/>
            <w:sz w:val="18"/>
            <w:szCs w:val="18"/>
            <w:highlight w:val="green"/>
            <w:lang w:eastAsia="en-US" w:bidi="en-US"/>
          </w:rPr>
          <w:t>://</w:t>
        </w:r>
        <w:r w:rsidRPr="004E0FC4">
          <w:rPr>
            <w:rFonts w:ascii="Bookman Old Style" w:eastAsia="Bookman Old Style" w:hAnsi="Bookman Old Style" w:cs="Bookman Old Style"/>
            <w:color w:val="231F20"/>
            <w:sz w:val="18"/>
            <w:szCs w:val="18"/>
            <w:highlight w:val="green"/>
            <w:lang w:val="en-US" w:eastAsia="en-US" w:bidi="en-US"/>
          </w:rPr>
          <w:t>pppcenter</w:t>
        </w:r>
      </w:hyperlink>
      <w:r w:rsidRPr="004E0FC4">
        <w:rPr>
          <w:rFonts w:ascii="Bookman Old Style" w:eastAsia="Bookman Old Style" w:hAnsi="Bookman Old Style" w:cs="Bookman Old Style"/>
          <w:color w:val="231F20"/>
          <w:sz w:val="18"/>
          <w:szCs w:val="18"/>
          <w:highlight w:val="green"/>
          <w:lang w:eastAsia="en-US" w:bidi="en-US"/>
        </w:rPr>
        <w:t xml:space="preserve">. </w:t>
      </w:r>
      <w:r w:rsidRPr="004E0FC4">
        <w:rPr>
          <w:rFonts w:ascii="Bookman Old Style" w:eastAsia="Bookman Old Style" w:hAnsi="Bookman Old Style" w:cs="Bookman Old Style"/>
          <w:color w:val="231F20"/>
          <w:sz w:val="18"/>
          <w:szCs w:val="18"/>
          <w:highlight w:val="green"/>
          <w:lang w:val="en-US" w:eastAsia="en-US" w:bidi="en-US"/>
        </w:rPr>
        <w:t>ru</w:t>
      </w:r>
      <w:r w:rsidRPr="004E0FC4">
        <w:rPr>
          <w:rFonts w:ascii="Bookman Old Style" w:eastAsia="Bookman Old Style" w:hAnsi="Bookman Old Style" w:cs="Bookman Old Style"/>
          <w:color w:val="231F20"/>
          <w:sz w:val="18"/>
          <w:szCs w:val="18"/>
          <w:highlight w:val="green"/>
          <w:lang w:eastAsia="en-US" w:bidi="en-US"/>
        </w:rPr>
        <w:t>/</w:t>
      </w:r>
      <w:r w:rsidRPr="004E0FC4">
        <w:rPr>
          <w:rFonts w:ascii="Bookman Old Style" w:eastAsia="Bookman Old Style" w:hAnsi="Bookman Old Style" w:cs="Bookman Old Style"/>
          <w:color w:val="231F20"/>
          <w:sz w:val="18"/>
          <w:szCs w:val="18"/>
          <w:highlight w:val="green"/>
          <w:lang w:val="en-US" w:eastAsia="en-US" w:bidi="en-US"/>
        </w:rPr>
        <w:t>analitika</w:t>
      </w:r>
      <w:r w:rsidRPr="004E0FC4">
        <w:rPr>
          <w:rFonts w:ascii="Bookman Old Style" w:eastAsia="Bookman Old Style" w:hAnsi="Bookman Old Style" w:cs="Bookman Old Style"/>
          <w:color w:val="231F20"/>
          <w:sz w:val="18"/>
          <w:szCs w:val="18"/>
          <w:highlight w:val="green"/>
          <w:lang w:eastAsia="en-US" w:bidi="en-US"/>
        </w:rPr>
        <w:t>.</w:t>
      </w:r>
    </w:p>
    <w:p w14:paraId="7146B681" w14:textId="77777777" w:rsidR="00350396" w:rsidRPr="004E0FC4" w:rsidRDefault="00350396" w:rsidP="004E0FC4">
      <w:pPr>
        <w:widowControl w:val="0"/>
        <w:numPr>
          <w:ilvl w:val="0"/>
          <w:numId w:val="100"/>
        </w:numPr>
        <w:tabs>
          <w:tab w:val="left" w:pos="668"/>
        </w:tabs>
        <w:spacing w:line="226" w:lineRule="exact"/>
        <w:rPr>
          <w:rFonts w:ascii="Bookman Old Style" w:hAnsi="Bookman Old Style"/>
          <w:sz w:val="18"/>
          <w:szCs w:val="18"/>
        </w:rPr>
      </w:pPr>
      <w:r w:rsidRPr="004E0FC4">
        <w:rPr>
          <w:rFonts w:ascii="Bookman Old Style" w:eastAsia="Bookman Old Style" w:hAnsi="Bookman Old Style" w:cs="Bookman Old Style"/>
          <w:color w:val="231F20"/>
          <w:sz w:val="18"/>
          <w:szCs w:val="18"/>
        </w:rPr>
        <w:t>АНО «Национальный Центр ГЧП». Аналитика.—</w:t>
      </w:r>
      <w:r w:rsidRPr="004E0FC4">
        <w:rPr>
          <w:rFonts w:ascii="Bookman Old Style" w:eastAsia="Bookman Old Style" w:hAnsi="Bookman Old Style" w:cs="Bookman Old Style"/>
          <w:color w:val="231F20"/>
          <w:sz w:val="18"/>
          <w:szCs w:val="18"/>
          <w:lang w:val="en-US" w:eastAsia="en-US" w:bidi="en-US"/>
        </w:rPr>
        <w:t>URL</w:t>
      </w:r>
      <w:r w:rsidRPr="004E0FC4">
        <w:rPr>
          <w:rFonts w:ascii="Bookman Old Style" w:eastAsia="Bookman Old Style" w:hAnsi="Bookman Old Style" w:cs="Bookman Old Style"/>
          <w:color w:val="231F20"/>
          <w:sz w:val="18"/>
          <w:szCs w:val="18"/>
          <w:lang w:eastAsia="en-US" w:bidi="en-US"/>
        </w:rPr>
        <w:t xml:space="preserve">: </w:t>
      </w:r>
      <w:hyperlink r:id="rId128" w:history="1">
        <w:r w:rsidRPr="004E0FC4">
          <w:rPr>
            <w:rFonts w:ascii="Bookman Old Style" w:eastAsia="Bookman Old Style" w:hAnsi="Bookman Old Style" w:cs="Bookman Old Style"/>
            <w:color w:val="231F20"/>
            <w:sz w:val="18"/>
            <w:szCs w:val="18"/>
            <w:lang w:val="en-US" w:eastAsia="en-US" w:bidi="en-US"/>
          </w:rPr>
          <w:t>http</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pppcenter</w:t>
        </w:r>
      </w:hyperlink>
      <w:r w:rsidRPr="004E0FC4">
        <w:rPr>
          <w:rFonts w:ascii="Bookman Old Style" w:eastAsia="Bookman Old Style" w:hAnsi="Bookman Old Style" w:cs="Bookman Old Style"/>
          <w:color w:val="231F20"/>
          <w:sz w:val="18"/>
          <w:szCs w:val="18"/>
          <w:lang w:eastAsia="en-US" w:bidi="en-US"/>
        </w:rPr>
        <w:t xml:space="preserve">. </w:t>
      </w:r>
      <w:r w:rsidRPr="004E0FC4">
        <w:rPr>
          <w:rFonts w:ascii="Bookman Old Style" w:eastAsia="Bookman Old Style" w:hAnsi="Bookman Old Style" w:cs="Bookman Old Style"/>
          <w:color w:val="231F20"/>
          <w:sz w:val="18"/>
          <w:szCs w:val="18"/>
          <w:lang w:val="en-US" w:eastAsia="en-US" w:bidi="en-US"/>
        </w:rPr>
        <w:t>ru</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analitika</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issled</w:t>
      </w:r>
      <w:r w:rsidRPr="004E0FC4">
        <w:rPr>
          <w:rFonts w:ascii="Bookman Old Style" w:eastAsia="Bookman Old Style" w:hAnsi="Bookman Old Style" w:cs="Bookman Old Style"/>
          <w:color w:val="231F20"/>
          <w:sz w:val="18"/>
          <w:szCs w:val="18"/>
          <w:lang w:eastAsia="en-US" w:bidi="en-US"/>
        </w:rPr>
        <w:t>.</w:t>
      </w:r>
      <w:r w:rsidRPr="004E0FC4">
        <w:rPr>
          <w:rFonts w:ascii="Bookman Old Style" w:eastAsia="Bookman Old Style" w:hAnsi="Bookman Old Style" w:cs="Bookman Old Style"/>
          <w:color w:val="231F20"/>
          <w:sz w:val="18"/>
          <w:szCs w:val="18"/>
          <w:lang w:val="en-US" w:eastAsia="en-US" w:bidi="en-US"/>
        </w:rPr>
        <w:t>html</w:t>
      </w:r>
    </w:p>
    <w:p w14:paraId="40D457F1" w14:textId="77777777" w:rsidR="00350396" w:rsidRPr="004E0FC4" w:rsidRDefault="00350396" w:rsidP="004E0FC4">
      <w:pPr>
        <w:widowControl w:val="0"/>
        <w:numPr>
          <w:ilvl w:val="0"/>
          <w:numId w:val="100"/>
        </w:numPr>
        <w:tabs>
          <w:tab w:val="left" w:pos="673"/>
        </w:tabs>
        <w:spacing w:line="226" w:lineRule="exact"/>
        <w:rPr>
          <w:rFonts w:ascii="Bookman Old Style" w:hAnsi="Bookman Old Style"/>
          <w:sz w:val="18"/>
          <w:szCs w:val="18"/>
          <w:lang w:val="en-US"/>
        </w:rPr>
      </w:pPr>
      <w:r w:rsidRPr="004E0FC4">
        <w:rPr>
          <w:rFonts w:ascii="Bookman Old Style" w:eastAsia="Bookman Old Style" w:hAnsi="Bookman Old Style" w:cs="Bookman Old Style"/>
          <w:i/>
          <w:iCs/>
          <w:color w:val="231F20"/>
          <w:sz w:val="18"/>
          <w:szCs w:val="18"/>
          <w:lang w:val="en-US" w:eastAsia="en-US" w:bidi="en-US"/>
        </w:rPr>
        <w:t>Beuve, J.</w:t>
      </w:r>
      <w:r w:rsidRPr="004E0FC4">
        <w:rPr>
          <w:rFonts w:ascii="Bookman Old Style" w:eastAsia="Bookman Old Style" w:hAnsi="Bookman Old Style" w:cs="Bookman Old Style"/>
          <w:color w:val="231F20"/>
          <w:sz w:val="18"/>
          <w:szCs w:val="18"/>
          <w:lang w:val="en-US" w:eastAsia="en-US" w:bidi="en-US"/>
        </w:rPr>
        <w:t xml:space="preserve"> Renegotiations. Discretion and Contract Renewals: An Empirical Analysis of Public-Private Agreements </w:t>
      </w:r>
      <w:r w:rsidRPr="004E0FC4">
        <w:rPr>
          <w:rFonts w:ascii="Bookman Old Style" w:eastAsia="Bookman Old Style" w:hAnsi="Bookman Old Style" w:cs="Bookman Old Style"/>
          <w:color w:val="231F20"/>
          <w:sz w:val="18"/>
          <w:szCs w:val="18"/>
          <w:lang w:val="en-US"/>
        </w:rPr>
        <w:t xml:space="preserve">/ </w:t>
      </w:r>
      <w:r w:rsidRPr="004E0FC4">
        <w:rPr>
          <w:rFonts w:ascii="Bookman Old Style" w:eastAsia="Bookman Old Style" w:hAnsi="Bookman Old Style" w:cs="Bookman Old Style"/>
          <w:color w:val="231F20"/>
          <w:sz w:val="18"/>
          <w:szCs w:val="18"/>
          <w:lang w:val="en-US" w:eastAsia="en-US" w:bidi="en-US"/>
        </w:rPr>
        <w:t xml:space="preserve">J. Beuve, J. de Brux, S. Saussier </w:t>
      </w:r>
      <w:r w:rsidRPr="004E0FC4">
        <w:rPr>
          <w:rFonts w:ascii="Bookman Old Style" w:eastAsia="Bookman Old Style" w:hAnsi="Bookman Old Style" w:cs="Bookman Old Style"/>
          <w:color w:val="231F20"/>
          <w:sz w:val="18"/>
          <w:szCs w:val="18"/>
          <w:lang w:val="en-US"/>
        </w:rPr>
        <w:t xml:space="preserve">// </w:t>
      </w:r>
      <w:r w:rsidRPr="004E0FC4">
        <w:rPr>
          <w:rFonts w:ascii="Bookman Old Style" w:eastAsia="Bookman Old Style" w:hAnsi="Bookman Old Style" w:cs="Bookman Old Style"/>
          <w:color w:val="231F20"/>
          <w:sz w:val="18"/>
          <w:szCs w:val="18"/>
          <w:lang w:val="en-US" w:eastAsia="en-US" w:bidi="en-US"/>
        </w:rPr>
        <w:t>Working Paper EPPP, Sorbonne Business School, 2014.</w:t>
      </w:r>
    </w:p>
    <w:p w14:paraId="2D3E93BD" w14:textId="77777777" w:rsidR="00350396" w:rsidRPr="004E0FC4" w:rsidRDefault="00350396" w:rsidP="004E0FC4">
      <w:pPr>
        <w:widowControl w:val="0"/>
        <w:numPr>
          <w:ilvl w:val="0"/>
          <w:numId w:val="100"/>
        </w:numPr>
        <w:tabs>
          <w:tab w:val="left" w:pos="668"/>
        </w:tabs>
        <w:spacing w:line="226" w:lineRule="exact"/>
        <w:rPr>
          <w:rFonts w:ascii="Bookman Old Style" w:hAnsi="Bookman Old Style"/>
          <w:sz w:val="18"/>
          <w:szCs w:val="18"/>
          <w:lang w:val="en-US"/>
        </w:rPr>
      </w:pPr>
      <w:r w:rsidRPr="004E0FC4">
        <w:rPr>
          <w:rFonts w:ascii="Bookman Old Style" w:eastAsia="Bookman Old Style" w:hAnsi="Bookman Old Style" w:cs="Bookman Old Style"/>
          <w:i/>
          <w:iCs/>
          <w:color w:val="231F20"/>
          <w:sz w:val="18"/>
          <w:szCs w:val="18"/>
          <w:lang w:val="en-US" w:eastAsia="en-US" w:bidi="en-US"/>
        </w:rPr>
        <w:t>Delmon, J.</w:t>
      </w:r>
      <w:r w:rsidRPr="004E0FC4">
        <w:rPr>
          <w:rFonts w:ascii="Bookman Old Style" w:eastAsia="Bookman Old Style" w:hAnsi="Bookman Old Style" w:cs="Bookman Old Style"/>
          <w:color w:val="231F20"/>
          <w:sz w:val="18"/>
          <w:szCs w:val="18"/>
          <w:lang w:val="en-US" w:eastAsia="en-US" w:bidi="en-US"/>
        </w:rPr>
        <w:t xml:space="preserve"> Private Sector Investment in Infrastructure: Project Finance. PPP Projects and Risk. / J. Delmon. — Austin : The World Bank and Kluwer Law lnternational, 2009. — 640 </w:t>
      </w:r>
      <w:r w:rsidRPr="004E0FC4">
        <w:rPr>
          <w:rFonts w:ascii="Bookman Old Style" w:eastAsia="Bookman Old Style" w:hAnsi="Bookman Old Style" w:cs="Bookman Old Style"/>
          <w:color w:val="231F20"/>
          <w:sz w:val="18"/>
          <w:szCs w:val="18"/>
        </w:rPr>
        <w:t>р</w:t>
      </w:r>
      <w:r w:rsidRPr="004E0FC4">
        <w:rPr>
          <w:rFonts w:ascii="Bookman Old Style" w:eastAsia="Bookman Old Style" w:hAnsi="Bookman Old Style" w:cs="Bookman Old Style"/>
          <w:color w:val="231F20"/>
          <w:sz w:val="18"/>
          <w:szCs w:val="18"/>
          <w:lang w:val="en-US"/>
        </w:rPr>
        <w:t>.</w:t>
      </w:r>
    </w:p>
    <w:p w14:paraId="54B695AC" w14:textId="77777777" w:rsidR="00350396" w:rsidRPr="004E0FC4" w:rsidRDefault="00350396" w:rsidP="004E0FC4">
      <w:pPr>
        <w:widowControl w:val="0"/>
        <w:numPr>
          <w:ilvl w:val="0"/>
          <w:numId w:val="100"/>
        </w:numPr>
        <w:tabs>
          <w:tab w:val="left" w:pos="668"/>
        </w:tabs>
        <w:spacing w:line="226" w:lineRule="exact"/>
        <w:rPr>
          <w:rFonts w:ascii="Bookman Old Style" w:eastAsia="Bookman Old Style" w:hAnsi="Bookman Old Style" w:cs="Bookman Old Style"/>
          <w:color w:val="231F20"/>
          <w:sz w:val="18"/>
          <w:szCs w:val="18"/>
          <w:highlight w:val="green"/>
          <w:lang w:val="en-US" w:eastAsia="en-US" w:bidi="en-US"/>
        </w:rPr>
      </w:pPr>
      <w:r w:rsidRPr="004E0FC4">
        <w:rPr>
          <w:rFonts w:ascii="Bookman Old Style" w:eastAsia="Bookman Old Style" w:hAnsi="Bookman Old Style" w:cs="Bookman Old Style"/>
          <w:i/>
          <w:color w:val="231F20"/>
          <w:sz w:val="18"/>
          <w:szCs w:val="18"/>
          <w:highlight w:val="green"/>
          <w:lang w:val="en-US" w:eastAsia="en-US" w:bidi="en-US"/>
        </w:rPr>
        <w:t>Delmon J.</w:t>
      </w:r>
      <w:r w:rsidRPr="004E0FC4">
        <w:rPr>
          <w:rFonts w:ascii="Bookman Old Style" w:eastAsia="Bookman Old Style" w:hAnsi="Bookman Old Style" w:cs="Bookman Old Style"/>
          <w:color w:val="231F20"/>
          <w:sz w:val="18"/>
          <w:szCs w:val="18"/>
          <w:highlight w:val="green"/>
          <w:lang w:val="en-US" w:eastAsia="en-US" w:bidi="en-US"/>
        </w:rPr>
        <w:t xml:space="preserve"> 2017. Public-Private Partnership Projects in Infrastructure. An Essential Guide for Policy Makers. The World Bank. DOI: 10.1017/CBO9780511974403.</w:t>
      </w:r>
    </w:p>
    <w:p w14:paraId="7B98C36B" w14:textId="77777777" w:rsidR="00350396" w:rsidRPr="004E0FC4" w:rsidRDefault="00350396" w:rsidP="004E0FC4">
      <w:pPr>
        <w:widowControl w:val="0"/>
        <w:numPr>
          <w:ilvl w:val="0"/>
          <w:numId w:val="100"/>
        </w:numPr>
        <w:tabs>
          <w:tab w:val="left" w:pos="668"/>
        </w:tabs>
        <w:spacing w:line="226" w:lineRule="exact"/>
        <w:rPr>
          <w:rFonts w:ascii="Bookman Old Style" w:eastAsia="Bookman Old Style" w:hAnsi="Bookman Old Style" w:cs="Bookman Old Style"/>
          <w:color w:val="231F20"/>
          <w:sz w:val="18"/>
          <w:szCs w:val="18"/>
          <w:highlight w:val="green"/>
          <w:lang w:val="en-US" w:eastAsia="en-US" w:bidi="en-US"/>
        </w:rPr>
      </w:pPr>
      <w:r w:rsidRPr="004E0FC4">
        <w:rPr>
          <w:rFonts w:ascii="Bookman Old Style" w:eastAsia="Bookman Old Style" w:hAnsi="Bookman Old Style" w:cs="Bookman Old Style"/>
          <w:i/>
          <w:color w:val="231F20"/>
          <w:sz w:val="18"/>
          <w:szCs w:val="18"/>
          <w:highlight w:val="green"/>
          <w:lang w:val="en-US" w:eastAsia="en-US" w:bidi="en-US"/>
        </w:rPr>
        <w:t>Ivanov O., Inshakova A.</w:t>
      </w:r>
      <w:r w:rsidRPr="004E0FC4">
        <w:rPr>
          <w:rFonts w:ascii="Bookman Old Style" w:eastAsia="Bookman Old Style" w:hAnsi="Bookman Old Style" w:cs="Bookman Old Style"/>
          <w:color w:val="231F20"/>
          <w:sz w:val="18"/>
          <w:szCs w:val="18"/>
          <w:highlight w:val="green"/>
          <w:lang w:val="en-US" w:eastAsia="en-US" w:bidi="en-US"/>
        </w:rPr>
        <w:t xml:space="preserve"> 2020. Public-Private Partnerships in Russia. Institutional Frameworks and Best Practices. Springer. 312 p.</w:t>
      </w:r>
    </w:p>
    <w:p w14:paraId="2E8DDB34" w14:textId="77777777" w:rsidR="00350396" w:rsidRPr="004E0FC4" w:rsidRDefault="00350396" w:rsidP="004E0FC4">
      <w:pPr>
        <w:widowControl w:val="0"/>
        <w:numPr>
          <w:ilvl w:val="0"/>
          <w:numId w:val="100"/>
        </w:numPr>
        <w:tabs>
          <w:tab w:val="left" w:pos="668"/>
        </w:tabs>
        <w:spacing w:line="226" w:lineRule="exact"/>
        <w:rPr>
          <w:rFonts w:ascii="Bookman Old Style" w:hAnsi="Bookman Old Style"/>
          <w:sz w:val="18"/>
          <w:szCs w:val="18"/>
        </w:rPr>
      </w:pPr>
      <w:r w:rsidRPr="004E0FC4">
        <w:rPr>
          <w:rFonts w:ascii="Bookman Old Style" w:eastAsia="Bookman Old Style" w:hAnsi="Bookman Old Style" w:cs="Bookman Old Style"/>
          <w:i/>
          <w:iCs/>
          <w:color w:val="231F20"/>
          <w:sz w:val="18"/>
          <w:szCs w:val="18"/>
          <w:lang w:val="en-US" w:eastAsia="en-US" w:bidi="en-US"/>
        </w:rPr>
        <w:t xml:space="preserve">Elizaveta Markovskaya, Victoria Holodkova, Dmitry Radushinsky </w:t>
      </w:r>
      <w:r w:rsidRPr="004E0FC4">
        <w:rPr>
          <w:rFonts w:ascii="Bookman Old Style" w:eastAsia="Bookman Old Style" w:hAnsi="Bookman Old Style" w:cs="Bookman Old Style"/>
          <w:i/>
          <w:iCs/>
          <w:color w:val="231F20"/>
          <w:sz w:val="18"/>
          <w:szCs w:val="18"/>
          <w:lang w:val="en-US"/>
        </w:rPr>
        <w:t>(</w:t>
      </w:r>
      <w:r w:rsidRPr="004E0FC4">
        <w:rPr>
          <w:rFonts w:ascii="Bookman Old Style" w:eastAsia="Bookman Old Style" w:hAnsi="Bookman Old Style" w:cs="Bookman Old Style"/>
          <w:i/>
          <w:iCs/>
          <w:color w:val="231F20"/>
          <w:sz w:val="18"/>
          <w:szCs w:val="18"/>
        </w:rPr>
        <w:t>Марковская</w:t>
      </w:r>
      <w:r w:rsidRPr="004E0FC4">
        <w:rPr>
          <w:rFonts w:ascii="Bookman Old Style" w:eastAsia="Bookman Old Style" w:hAnsi="Bookman Old Style" w:cs="Bookman Old Style"/>
          <w:i/>
          <w:iCs/>
          <w:color w:val="231F20"/>
          <w:sz w:val="18"/>
          <w:szCs w:val="18"/>
          <w:lang w:val="en-US"/>
        </w:rPr>
        <w:t xml:space="preserve"> </w:t>
      </w:r>
      <w:r w:rsidRPr="004E0FC4">
        <w:rPr>
          <w:rFonts w:ascii="Bookman Old Style" w:eastAsia="Bookman Old Style" w:hAnsi="Bookman Old Style" w:cs="Bookman Old Style"/>
          <w:i/>
          <w:iCs/>
          <w:color w:val="231F20"/>
          <w:sz w:val="18"/>
          <w:szCs w:val="18"/>
        </w:rPr>
        <w:t>Е</w:t>
      </w:r>
      <w:r w:rsidRPr="004E0FC4">
        <w:rPr>
          <w:rFonts w:ascii="Bookman Old Style" w:eastAsia="Bookman Old Style" w:hAnsi="Bookman Old Style" w:cs="Bookman Old Style"/>
          <w:i/>
          <w:iCs/>
          <w:color w:val="231F20"/>
          <w:sz w:val="18"/>
          <w:szCs w:val="18"/>
          <w:lang w:val="en-US"/>
        </w:rPr>
        <w:t xml:space="preserve">. </w:t>
      </w:r>
      <w:r w:rsidRPr="004E0FC4">
        <w:rPr>
          <w:rFonts w:ascii="Bookman Old Style" w:eastAsia="Bookman Old Style" w:hAnsi="Bookman Old Style" w:cs="Bookman Old Style"/>
          <w:i/>
          <w:iCs/>
          <w:color w:val="231F20"/>
          <w:sz w:val="18"/>
          <w:szCs w:val="18"/>
        </w:rPr>
        <w:t>И</w:t>
      </w:r>
      <w:r w:rsidRPr="004E0FC4">
        <w:rPr>
          <w:rFonts w:ascii="Bookman Old Style" w:eastAsia="Bookman Old Style" w:hAnsi="Bookman Old Style" w:cs="Bookman Old Style"/>
          <w:i/>
          <w:iCs/>
          <w:color w:val="231F20"/>
          <w:sz w:val="18"/>
          <w:szCs w:val="18"/>
          <w:lang w:val="en-US"/>
        </w:rPr>
        <w:t xml:space="preserve">., </w:t>
      </w:r>
      <w:r w:rsidRPr="004E0FC4">
        <w:rPr>
          <w:rFonts w:ascii="Bookman Old Style" w:eastAsia="Bookman Old Style" w:hAnsi="Bookman Old Style" w:cs="Bookman Old Style"/>
          <w:i/>
          <w:iCs/>
          <w:color w:val="231F20"/>
          <w:sz w:val="18"/>
          <w:szCs w:val="18"/>
        </w:rPr>
        <w:t>Холодкова</w:t>
      </w:r>
      <w:r w:rsidRPr="004E0FC4">
        <w:rPr>
          <w:rFonts w:ascii="Bookman Old Style" w:eastAsia="Bookman Old Style" w:hAnsi="Bookman Old Style" w:cs="Bookman Old Style"/>
          <w:i/>
          <w:iCs/>
          <w:color w:val="231F20"/>
          <w:sz w:val="18"/>
          <w:szCs w:val="18"/>
          <w:lang w:val="en-US"/>
        </w:rPr>
        <w:t xml:space="preserve"> </w:t>
      </w:r>
      <w:r w:rsidRPr="004E0FC4">
        <w:rPr>
          <w:rFonts w:ascii="Bookman Old Style" w:eastAsia="Bookman Old Style" w:hAnsi="Bookman Old Style" w:cs="Bookman Old Style"/>
          <w:i/>
          <w:iCs/>
          <w:color w:val="231F20"/>
          <w:sz w:val="18"/>
          <w:szCs w:val="18"/>
        </w:rPr>
        <w:t>В</w:t>
      </w:r>
      <w:r w:rsidRPr="004E0FC4">
        <w:rPr>
          <w:rFonts w:ascii="Bookman Old Style" w:eastAsia="Bookman Old Style" w:hAnsi="Bookman Old Style" w:cs="Bookman Old Style"/>
          <w:i/>
          <w:iCs/>
          <w:color w:val="231F20"/>
          <w:sz w:val="18"/>
          <w:szCs w:val="18"/>
          <w:lang w:val="en-US"/>
        </w:rPr>
        <w:t xml:space="preserve">. </w:t>
      </w:r>
      <w:r w:rsidRPr="004E0FC4">
        <w:rPr>
          <w:rFonts w:ascii="Bookman Old Style" w:eastAsia="Bookman Old Style" w:hAnsi="Bookman Old Style" w:cs="Bookman Old Style"/>
          <w:i/>
          <w:iCs/>
          <w:color w:val="231F20"/>
          <w:sz w:val="18"/>
          <w:szCs w:val="18"/>
        </w:rPr>
        <w:t>В</w:t>
      </w:r>
      <w:r w:rsidRPr="004E0FC4">
        <w:rPr>
          <w:rFonts w:ascii="Bookman Old Style" w:eastAsia="Bookman Old Style" w:hAnsi="Bookman Old Style" w:cs="Bookman Old Style"/>
          <w:i/>
          <w:iCs/>
          <w:color w:val="231F20"/>
          <w:sz w:val="18"/>
          <w:szCs w:val="18"/>
          <w:lang w:val="en-US"/>
        </w:rPr>
        <w:t xml:space="preserve">., </w:t>
      </w:r>
      <w:r w:rsidRPr="004E0FC4">
        <w:rPr>
          <w:rFonts w:ascii="Bookman Old Style" w:eastAsia="Bookman Old Style" w:hAnsi="Bookman Old Style" w:cs="Bookman Old Style"/>
          <w:i/>
          <w:iCs/>
          <w:color w:val="231F20"/>
          <w:sz w:val="18"/>
          <w:szCs w:val="18"/>
        </w:rPr>
        <w:t>Радушинский</w:t>
      </w:r>
      <w:r w:rsidRPr="004E0FC4">
        <w:rPr>
          <w:rFonts w:ascii="Bookman Old Style" w:eastAsia="Bookman Old Style" w:hAnsi="Bookman Old Style" w:cs="Bookman Old Style"/>
          <w:i/>
          <w:iCs/>
          <w:color w:val="231F20"/>
          <w:sz w:val="18"/>
          <w:szCs w:val="18"/>
          <w:lang w:val="en-US"/>
        </w:rPr>
        <w:t xml:space="preserve"> </w:t>
      </w:r>
      <w:r w:rsidRPr="004E0FC4">
        <w:rPr>
          <w:rFonts w:ascii="Bookman Old Style" w:eastAsia="Bookman Old Style" w:hAnsi="Bookman Old Style" w:cs="Bookman Old Style"/>
          <w:i/>
          <w:iCs/>
          <w:color w:val="231F20"/>
          <w:sz w:val="18"/>
          <w:szCs w:val="18"/>
        </w:rPr>
        <w:t>Д</w:t>
      </w:r>
      <w:r w:rsidRPr="004E0FC4">
        <w:rPr>
          <w:rFonts w:ascii="Bookman Old Style" w:eastAsia="Bookman Old Style" w:hAnsi="Bookman Old Style" w:cs="Bookman Old Style"/>
          <w:i/>
          <w:iCs/>
          <w:color w:val="231F20"/>
          <w:sz w:val="18"/>
          <w:szCs w:val="18"/>
          <w:lang w:val="en-US"/>
        </w:rPr>
        <w:t xml:space="preserve">. </w:t>
      </w:r>
      <w:r w:rsidRPr="004E0FC4">
        <w:rPr>
          <w:rFonts w:ascii="Bookman Old Style" w:eastAsia="Bookman Old Style" w:hAnsi="Bookman Old Style" w:cs="Bookman Old Style"/>
          <w:i/>
          <w:iCs/>
          <w:color w:val="231F20"/>
          <w:sz w:val="18"/>
          <w:szCs w:val="18"/>
        </w:rPr>
        <w:t>А</w:t>
      </w:r>
      <w:r w:rsidRPr="004E0FC4">
        <w:rPr>
          <w:rFonts w:ascii="Bookman Old Style" w:eastAsia="Bookman Old Style" w:hAnsi="Bookman Old Style" w:cs="Bookman Old Style"/>
          <w:i/>
          <w:iCs/>
          <w:color w:val="231F20"/>
          <w:sz w:val="18"/>
          <w:szCs w:val="18"/>
          <w:lang w:val="en-US"/>
        </w:rPr>
        <w:t>.)</w:t>
      </w:r>
      <w:r w:rsidRPr="004E0FC4">
        <w:rPr>
          <w:rFonts w:ascii="Bookman Old Style" w:eastAsia="Bookman Old Style" w:hAnsi="Bookman Old Style" w:cs="Bookman Old Style"/>
          <w:color w:val="231F20"/>
          <w:sz w:val="18"/>
          <w:szCs w:val="18"/>
          <w:lang w:val="en-US"/>
        </w:rPr>
        <w:t xml:space="preserve"> </w:t>
      </w:r>
      <w:r w:rsidRPr="004E0FC4">
        <w:rPr>
          <w:rFonts w:ascii="Bookman Old Style" w:eastAsia="Bookman Old Style" w:hAnsi="Bookman Old Style" w:cs="Bookman Old Style"/>
          <w:color w:val="231F20"/>
          <w:sz w:val="18"/>
          <w:szCs w:val="18"/>
          <w:lang w:val="en-US" w:eastAsia="en-US" w:bidi="en-US"/>
        </w:rPr>
        <w:t xml:space="preserve">Public-Private Partnerships: Does Russian Practice Follow International Experience? </w:t>
      </w:r>
      <w:r w:rsidRPr="004E0FC4">
        <w:rPr>
          <w:rFonts w:ascii="Bookman Old Style" w:eastAsia="Bookman Old Style" w:hAnsi="Bookman Old Style" w:cs="Bookman Old Style"/>
          <w:color w:val="231F20"/>
          <w:sz w:val="18"/>
          <w:szCs w:val="18"/>
          <w:lang w:val="en-US"/>
        </w:rPr>
        <w:t xml:space="preserve">// </w:t>
      </w:r>
      <w:r w:rsidRPr="004E0FC4">
        <w:rPr>
          <w:rFonts w:ascii="Bookman Old Style" w:eastAsia="Bookman Old Style" w:hAnsi="Bookman Old Style" w:cs="Bookman Old Style"/>
          <w:color w:val="231F20"/>
          <w:sz w:val="18"/>
          <w:szCs w:val="18"/>
          <w:lang w:val="en-US" w:eastAsia="en-US" w:bidi="en-US"/>
        </w:rPr>
        <w:t>Journal of Corporate Finance Research. — 2019. — Vol. 13. — No. 2. — P. 104—113. DOI: https:// doi.org/10.17323/j.jcfr.2073-0438.13.2.2019.104-113.</w:t>
      </w:r>
    </w:p>
    <w:p w14:paraId="131F3322" w14:textId="77777777" w:rsidR="00350396" w:rsidRPr="004E0FC4" w:rsidRDefault="00350396" w:rsidP="004E0FC4">
      <w:pPr>
        <w:widowControl w:val="0"/>
        <w:numPr>
          <w:ilvl w:val="0"/>
          <w:numId w:val="100"/>
        </w:numPr>
        <w:tabs>
          <w:tab w:val="left" w:pos="663"/>
        </w:tabs>
        <w:spacing w:line="226" w:lineRule="exact"/>
        <w:rPr>
          <w:rFonts w:ascii="Bookman Old Style" w:eastAsia="Bookman Old Style" w:hAnsi="Bookman Old Style" w:cs="Bookman Old Style"/>
          <w:color w:val="231F20"/>
          <w:sz w:val="18"/>
          <w:szCs w:val="18"/>
          <w:highlight w:val="green"/>
          <w:lang w:val="en-US" w:eastAsia="en-US" w:bidi="en-US"/>
        </w:rPr>
      </w:pPr>
      <w:r w:rsidRPr="004E0FC4">
        <w:rPr>
          <w:rFonts w:ascii="Bookman Old Style" w:eastAsia="Bookman Old Style" w:hAnsi="Bookman Old Style" w:cs="Bookman Old Style"/>
          <w:i/>
          <w:iCs/>
          <w:color w:val="231F20"/>
          <w:sz w:val="18"/>
          <w:szCs w:val="18"/>
          <w:highlight w:val="red"/>
          <w:lang w:val="en-US" w:eastAsia="en-US" w:bidi="en-US"/>
        </w:rPr>
        <w:t>Yescombe E. R.</w:t>
      </w:r>
      <w:r w:rsidRPr="004E0FC4">
        <w:rPr>
          <w:rFonts w:ascii="Bookman Old Style" w:eastAsia="Bookman Old Style" w:hAnsi="Bookman Old Style" w:cs="Bookman Old Style"/>
          <w:color w:val="231F20"/>
          <w:sz w:val="18"/>
          <w:szCs w:val="18"/>
          <w:highlight w:val="red"/>
          <w:lang w:val="en-US" w:eastAsia="en-US" w:bidi="en-US"/>
        </w:rPr>
        <w:t xml:space="preserve"> Public-Private Partnerships For Infrastructure. Principles Of Policy And Finance / E. R. Yescombe — 2Nd Edition. Publisher: </w:t>
      </w:r>
      <w:r w:rsidRPr="004E0FC4">
        <w:rPr>
          <w:rFonts w:ascii="Bookman Old Style" w:eastAsia="Bookman Old Style" w:hAnsi="Bookman Old Style" w:cs="Bookman Old Style"/>
          <w:color w:val="231F20"/>
          <w:sz w:val="18"/>
          <w:szCs w:val="18"/>
          <w:highlight w:val="red"/>
          <w:lang w:val="en-US" w:eastAsia="en-US" w:bidi="en-US"/>
        </w:rPr>
        <w:lastRenderedPageBreak/>
        <w:t xml:space="preserve">Butterworth- Heinemann, 2018. — 484 </w:t>
      </w:r>
      <w:r w:rsidRPr="004E0FC4">
        <w:rPr>
          <w:rFonts w:ascii="Bookman Old Style" w:eastAsia="Bookman Old Style" w:hAnsi="Bookman Old Style" w:cs="Bookman Old Style"/>
          <w:color w:val="231F20"/>
          <w:sz w:val="18"/>
          <w:szCs w:val="18"/>
          <w:highlight w:val="red"/>
        </w:rPr>
        <w:t>р</w:t>
      </w:r>
      <w:r w:rsidRPr="004E0FC4">
        <w:rPr>
          <w:rFonts w:ascii="Bookman Old Style" w:eastAsia="Bookman Old Style" w:hAnsi="Bookman Old Style" w:cs="Bookman Old Style"/>
          <w:color w:val="231F20"/>
          <w:sz w:val="18"/>
          <w:szCs w:val="18"/>
          <w:highlight w:val="red"/>
          <w:lang w:val="en-US"/>
        </w:rPr>
        <w:t xml:space="preserve">. </w:t>
      </w:r>
      <w:r w:rsidRPr="004E0FC4">
        <w:rPr>
          <w:rFonts w:ascii="Bookman Old Style" w:eastAsia="Bookman Old Style" w:hAnsi="Bookman Old Style" w:cs="Bookman Old Style"/>
          <w:i/>
          <w:color w:val="231F20"/>
          <w:sz w:val="18"/>
          <w:szCs w:val="18"/>
          <w:highlight w:val="green"/>
          <w:lang w:val="en-US" w:eastAsia="en-US" w:bidi="en-US"/>
        </w:rPr>
        <w:t>Yescombe E.R., Farquharson E</w:t>
      </w:r>
      <w:r w:rsidRPr="004E0FC4">
        <w:rPr>
          <w:rFonts w:ascii="Bookman Old Style" w:eastAsia="Bookman Old Style" w:hAnsi="Bookman Old Style" w:cs="Bookman Old Style"/>
          <w:color w:val="231F20"/>
          <w:sz w:val="18"/>
          <w:szCs w:val="18"/>
          <w:highlight w:val="green"/>
          <w:lang w:val="en-US" w:eastAsia="en-US" w:bidi="en-US"/>
        </w:rPr>
        <w:t>. 2018. Public-Private Partnerships for Infrastructure. Principles of Policy and Finance. Butterworth-Heinemann. Oxford, 548 p.</w:t>
      </w:r>
    </w:p>
    <w:p w14:paraId="2EF95FA4"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lang w:val="en-US" w:eastAsia="en-US" w:bidi="en-US"/>
        </w:rPr>
      </w:pPr>
    </w:p>
    <w:p w14:paraId="2FD6EA93" w14:textId="77777777" w:rsidR="00350396" w:rsidRPr="004E0FC4" w:rsidRDefault="00350396" w:rsidP="004E0FC4">
      <w:pPr>
        <w:widowControl w:val="0"/>
        <w:spacing w:line="240" w:lineRule="auto"/>
        <w:ind w:firstLine="0"/>
        <w:rPr>
          <w:rFonts w:ascii="Bookman Old Style" w:eastAsia="Bookman Old Style" w:hAnsi="Bookman Old Style" w:cs="Bookman Old Style"/>
          <w:color w:val="231F20"/>
          <w:sz w:val="18"/>
          <w:szCs w:val="18"/>
          <w:lang w:val="en-US" w:eastAsia="en-US" w:bidi="en-US"/>
        </w:rPr>
      </w:pPr>
    </w:p>
    <w:p w14:paraId="62F1D4A1" w14:textId="77777777" w:rsidR="00350396" w:rsidRPr="00350396" w:rsidRDefault="00350396" w:rsidP="00350396">
      <w:pPr>
        <w:widowControl w:val="0"/>
        <w:spacing w:line="240" w:lineRule="auto"/>
        <w:ind w:firstLine="0"/>
        <w:jc w:val="left"/>
        <w:rPr>
          <w:rFonts w:ascii="Bookman Old Style" w:eastAsia="Bookman Old Style" w:hAnsi="Bookman Old Style" w:cs="Bookman Old Style"/>
          <w:color w:val="231F20"/>
          <w:sz w:val="17"/>
          <w:szCs w:val="17"/>
          <w:lang w:val="en-US" w:eastAsia="en-US" w:bidi="en-US"/>
        </w:rPr>
      </w:pPr>
    </w:p>
    <w:bookmarkEnd w:id="46"/>
    <w:p w14:paraId="1CF2CBA0" w14:textId="77777777" w:rsidR="00350396" w:rsidRPr="00350396" w:rsidRDefault="00350396" w:rsidP="00350396">
      <w:pPr>
        <w:keepNext/>
        <w:keepLines/>
        <w:widowControl w:val="0"/>
        <w:spacing w:line="475" w:lineRule="exact"/>
        <w:ind w:firstLine="0"/>
        <w:jc w:val="center"/>
        <w:outlineLvl w:val="1"/>
        <w:rPr>
          <w:rFonts w:ascii="Arial Narrow" w:eastAsia="Arial Narrow" w:hAnsi="Arial Narrow" w:cs="Arial Narrow"/>
          <w:b/>
          <w:bCs/>
          <w:sz w:val="32"/>
          <w:szCs w:val="32"/>
        </w:rPr>
      </w:pPr>
      <w:r w:rsidRPr="00350396">
        <w:rPr>
          <w:rFonts w:ascii="Arial Narrow" w:eastAsia="Arial Narrow" w:hAnsi="Arial Narrow" w:cs="Arial Narrow"/>
          <w:b/>
          <w:bCs/>
          <w:color w:val="231F20"/>
          <w:sz w:val="32"/>
          <w:szCs w:val="32"/>
        </w:rPr>
        <w:t>Глава 5</w:t>
      </w:r>
    </w:p>
    <w:p w14:paraId="297A8D32" w14:textId="77777777" w:rsidR="00350396" w:rsidRPr="00350396" w:rsidRDefault="00350396" w:rsidP="00350396">
      <w:pPr>
        <w:keepNext/>
        <w:keepLines/>
        <w:widowControl w:val="0"/>
        <w:spacing w:line="475" w:lineRule="exact"/>
        <w:ind w:firstLine="0"/>
        <w:jc w:val="center"/>
        <w:outlineLvl w:val="1"/>
        <w:rPr>
          <w:rFonts w:ascii="Arial Narrow" w:eastAsia="Arial Narrow" w:hAnsi="Arial Narrow" w:cs="Arial Narrow"/>
          <w:b/>
          <w:bCs/>
          <w:sz w:val="32"/>
          <w:szCs w:val="32"/>
        </w:rPr>
      </w:pPr>
      <w:bookmarkStart w:id="84" w:name="bookmark70"/>
      <w:r w:rsidRPr="00350396">
        <w:rPr>
          <w:rFonts w:ascii="Arial Narrow" w:eastAsia="Arial Narrow" w:hAnsi="Arial Narrow" w:cs="Arial Narrow"/>
          <w:b/>
          <w:bCs/>
          <w:color w:val="231F20"/>
          <w:sz w:val="32"/>
          <w:szCs w:val="32"/>
        </w:rPr>
        <w:t>ПРАКТИКА ПРИМЕНЕНИЯ</w:t>
      </w:r>
      <w:r w:rsidRPr="00350396">
        <w:rPr>
          <w:rFonts w:ascii="Arial Narrow" w:eastAsia="Arial Narrow" w:hAnsi="Arial Narrow" w:cs="Arial Narrow"/>
          <w:b/>
          <w:bCs/>
          <w:color w:val="231F20"/>
          <w:sz w:val="32"/>
          <w:szCs w:val="32"/>
        </w:rPr>
        <w:br/>
        <w:t>АНТИМОНОПОЛЬНОГО ЗАКОНОДАТЕЛЬСТВА</w:t>
      </w:r>
      <w:r w:rsidRPr="00350396">
        <w:rPr>
          <w:rFonts w:ascii="Arial Narrow" w:eastAsia="Arial Narrow" w:hAnsi="Arial Narrow" w:cs="Arial Narrow"/>
          <w:b/>
          <w:bCs/>
          <w:color w:val="231F20"/>
          <w:sz w:val="32"/>
          <w:szCs w:val="32"/>
        </w:rPr>
        <w:br/>
        <w:t>В РОССИЙСКОЙ ФЕДЕРАЦИИ</w:t>
      </w:r>
      <w:bookmarkEnd w:id="84"/>
    </w:p>
    <w:p w14:paraId="5D87895C" w14:textId="77777777" w:rsidR="00350396" w:rsidRPr="00350396" w:rsidRDefault="00350396" w:rsidP="00350396">
      <w:pPr>
        <w:widowControl w:val="0"/>
        <w:spacing w:line="226"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результате изучения данной главы студент должен:</w:t>
      </w:r>
    </w:p>
    <w:p w14:paraId="33AD723A" w14:textId="77777777" w:rsidR="00350396" w:rsidRPr="00350396" w:rsidRDefault="00350396" w:rsidP="00350396">
      <w:pPr>
        <w:widowControl w:val="0"/>
        <w:spacing w:line="226" w:lineRule="exact"/>
        <w:ind w:firstLine="340"/>
        <w:rPr>
          <w:rFonts w:ascii="Bookman Old Style" w:eastAsia="Bookman Old Style" w:hAnsi="Bookman Old Style" w:cs="Bookman Old Style"/>
          <w:b/>
          <w:bCs/>
          <w:i/>
          <w:iCs/>
          <w:sz w:val="16"/>
          <w:szCs w:val="16"/>
        </w:rPr>
      </w:pPr>
      <w:r w:rsidRPr="00350396">
        <w:rPr>
          <w:rFonts w:ascii="Bookman Old Style" w:eastAsia="Bookman Old Style" w:hAnsi="Bookman Old Style" w:cs="Bookman Old Style"/>
          <w:b/>
          <w:bCs/>
          <w:i/>
          <w:iCs/>
          <w:color w:val="231F20"/>
          <w:sz w:val="16"/>
          <w:szCs w:val="16"/>
        </w:rPr>
        <w:t>знать</w:t>
      </w:r>
    </w:p>
    <w:p w14:paraId="2003F2D0"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особенности проведения анализа состояния конкуренции на товарных рынках;</w:t>
      </w:r>
    </w:p>
    <w:p w14:paraId="5286E3F0"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специфику определения долей хозяйствующих субъектов на рынках определенных товаров, работ, услуг;</w:t>
      </w:r>
    </w:p>
    <w:p w14:paraId="1BE347E1" w14:textId="77777777" w:rsidR="00350396" w:rsidRPr="00350396" w:rsidRDefault="00350396" w:rsidP="00350396">
      <w:pPr>
        <w:widowControl w:val="0"/>
        <w:numPr>
          <w:ilvl w:val="0"/>
          <w:numId w:val="101"/>
        </w:numPr>
        <w:tabs>
          <w:tab w:val="left" w:pos="546"/>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понятие доминирующего хозяйствующего субъекта;</w:t>
      </w:r>
    </w:p>
    <w:p w14:paraId="79494678"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основы антимонопольного регулирования в сфере контроля недобро</w:t>
      </w:r>
      <w:r w:rsidRPr="00350396">
        <w:rPr>
          <w:rFonts w:ascii="Bookman Old Style" w:eastAsia="Bookman Old Style" w:hAnsi="Bookman Old Style" w:cs="Bookman Old Style"/>
          <w:color w:val="231F20"/>
          <w:sz w:val="18"/>
          <w:szCs w:val="18"/>
        </w:rPr>
        <w:softHyphen/>
        <w:t>совестной деятельности;</w:t>
      </w:r>
    </w:p>
    <w:p w14:paraId="0B217198"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характерные примеры злоупотреблений хозяйствующими субъектами своим доминирующим положением на рынках энергетических ресурсов;</w:t>
      </w:r>
    </w:p>
    <w:p w14:paraId="1D0F7B69"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основы контроля процедуры организации и проведения торгов со сто</w:t>
      </w:r>
      <w:r w:rsidRPr="00350396">
        <w:rPr>
          <w:rFonts w:ascii="Bookman Old Style" w:eastAsia="Bookman Old Style" w:hAnsi="Bookman Old Style" w:cs="Bookman Old Style"/>
          <w:color w:val="231F20"/>
          <w:sz w:val="18"/>
          <w:szCs w:val="18"/>
        </w:rPr>
        <w:softHyphen/>
        <w:t>роны субъектов естественных монополий и заключения договоров по резуль</w:t>
      </w:r>
      <w:r w:rsidRPr="00350396">
        <w:rPr>
          <w:rFonts w:ascii="Bookman Old Style" w:eastAsia="Bookman Old Style" w:hAnsi="Bookman Old Style" w:cs="Bookman Old Style"/>
          <w:color w:val="231F20"/>
          <w:sz w:val="18"/>
          <w:szCs w:val="18"/>
        </w:rPr>
        <w:softHyphen/>
        <w:t>татам таких торгов (конкурсов и аукционов);</w:t>
      </w:r>
    </w:p>
    <w:p w14:paraId="75FE1E8B"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общую характеристику предупреждений и предостережений как инструментов антимонопольного контроля;</w:t>
      </w:r>
    </w:p>
    <w:p w14:paraId="30E6AB90" w14:textId="77777777" w:rsidR="00350396" w:rsidRPr="00350396" w:rsidRDefault="00350396" w:rsidP="00350396">
      <w:pPr>
        <w:widowControl w:val="0"/>
        <w:spacing w:line="226" w:lineRule="exact"/>
        <w:ind w:firstLine="340"/>
        <w:rPr>
          <w:rFonts w:ascii="Bookman Old Style" w:eastAsia="Bookman Old Style" w:hAnsi="Bookman Old Style" w:cs="Bookman Old Style"/>
          <w:b/>
          <w:bCs/>
          <w:i/>
          <w:iCs/>
          <w:sz w:val="16"/>
          <w:szCs w:val="16"/>
        </w:rPr>
      </w:pPr>
      <w:r w:rsidRPr="00350396">
        <w:rPr>
          <w:rFonts w:ascii="Bookman Old Style" w:eastAsia="Bookman Old Style" w:hAnsi="Bookman Old Style" w:cs="Bookman Old Style"/>
          <w:b/>
          <w:bCs/>
          <w:i/>
          <w:iCs/>
          <w:color w:val="231F20"/>
          <w:sz w:val="16"/>
          <w:szCs w:val="16"/>
        </w:rPr>
        <w:t>уметь</w:t>
      </w:r>
    </w:p>
    <w:p w14:paraId="1C5090E7"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формулировать цели антимонопольного регулирования на товарных рынках;</w:t>
      </w:r>
    </w:p>
    <w:p w14:paraId="59D39C5F"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классифицировать действия хозяйствующих субъектов на предмет нарушения антимонопольного законодательства;</w:t>
      </w:r>
    </w:p>
    <w:p w14:paraId="2622DA08"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использовать инструменты антимонопольного контроля в целях недо</w:t>
      </w:r>
      <w:r w:rsidRPr="00350396">
        <w:rPr>
          <w:rFonts w:ascii="Bookman Old Style" w:eastAsia="Bookman Old Style" w:hAnsi="Bookman Old Style" w:cs="Bookman Old Style"/>
          <w:color w:val="231F20"/>
          <w:sz w:val="18"/>
          <w:szCs w:val="18"/>
        </w:rPr>
        <w:softHyphen/>
        <w:t>пущения действий хозяйствующих субъектов, направленных на ограничение, устранение конкуренции на товарных рынках;</w:t>
      </w:r>
    </w:p>
    <w:p w14:paraId="22131F81" w14:textId="77777777" w:rsidR="00350396" w:rsidRPr="00350396" w:rsidRDefault="00350396" w:rsidP="00350396">
      <w:pPr>
        <w:widowControl w:val="0"/>
        <w:spacing w:line="226" w:lineRule="exact"/>
        <w:ind w:firstLine="340"/>
        <w:rPr>
          <w:rFonts w:ascii="Bookman Old Style" w:eastAsia="Bookman Old Style" w:hAnsi="Bookman Old Style" w:cs="Bookman Old Style"/>
          <w:b/>
          <w:bCs/>
          <w:i/>
          <w:iCs/>
          <w:sz w:val="16"/>
          <w:szCs w:val="16"/>
        </w:rPr>
      </w:pPr>
      <w:r w:rsidRPr="00350396">
        <w:rPr>
          <w:rFonts w:ascii="Bookman Old Style" w:eastAsia="Bookman Old Style" w:hAnsi="Bookman Old Style" w:cs="Bookman Old Style"/>
          <w:b/>
          <w:bCs/>
          <w:i/>
          <w:iCs/>
          <w:color w:val="231F20"/>
          <w:sz w:val="16"/>
          <w:szCs w:val="16"/>
        </w:rPr>
        <w:t>владеть</w:t>
      </w:r>
    </w:p>
    <w:p w14:paraId="52AC4CFD" w14:textId="77777777" w:rsidR="00350396" w:rsidRPr="00350396" w:rsidRDefault="00350396" w:rsidP="00350396">
      <w:pPr>
        <w:widowControl w:val="0"/>
        <w:numPr>
          <w:ilvl w:val="0"/>
          <w:numId w:val="101"/>
        </w:numPr>
        <w:tabs>
          <w:tab w:val="left" w:pos="518"/>
        </w:tabs>
        <w:spacing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технологиями контроля процедур организации и проведения торгов со стороны субъектов естественных монополий и заключения договоров по результатам таких торгов (конкурсов и аукционов);</w:t>
      </w:r>
    </w:p>
    <w:p w14:paraId="3712576F" w14:textId="77777777" w:rsidR="00350396" w:rsidRPr="00350396" w:rsidRDefault="00350396" w:rsidP="00350396">
      <w:pPr>
        <w:widowControl w:val="0"/>
        <w:numPr>
          <w:ilvl w:val="0"/>
          <w:numId w:val="101"/>
        </w:numPr>
        <w:tabs>
          <w:tab w:val="left" w:pos="518"/>
        </w:tabs>
        <w:spacing w:after="401" w:line="226"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методами антимонопольного регулирования в отношении доминиру</w:t>
      </w:r>
      <w:r w:rsidRPr="00350396">
        <w:rPr>
          <w:rFonts w:ascii="Bookman Old Style" w:eastAsia="Bookman Old Style" w:hAnsi="Bookman Old Style" w:cs="Bookman Old Style"/>
          <w:color w:val="231F20"/>
          <w:sz w:val="18"/>
          <w:szCs w:val="18"/>
        </w:rPr>
        <w:softHyphen/>
        <w:t>ющих хозяйствующих субъектов.</w:t>
      </w:r>
    </w:p>
    <w:p w14:paraId="55B108C7"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Положением о Федеральной антимонополь</w:t>
      </w:r>
      <w:r w:rsidRPr="00350396">
        <w:rPr>
          <w:rFonts w:ascii="Bookman Old Style" w:eastAsia="Bookman Old Style" w:hAnsi="Bookman Old Style" w:cs="Bookman Old Style"/>
          <w:color w:val="231F20"/>
          <w:sz w:val="18"/>
          <w:szCs w:val="18"/>
        </w:rPr>
        <w:softHyphen/>
        <w:t>ной службе, утвержденном постановлением Правительства РФ от 30.06.2004 № 331, Федеральная антимонопольная служба (ФАС</w:t>
      </w:r>
    </w:p>
    <w:p w14:paraId="03AA90C4" w14:textId="77777777" w:rsidR="00350396" w:rsidRPr="00350396" w:rsidRDefault="00350396" w:rsidP="00350396">
      <w:pPr>
        <w:widowControl w:val="0"/>
        <w:spacing w:line="250" w:lineRule="exact"/>
        <w:ind w:firstLine="0"/>
        <w:rPr>
          <w:rFonts w:ascii="Bookman Old Style" w:eastAsia="Bookman Old Style" w:hAnsi="Bookman Old Style" w:cs="Bookman Old Style"/>
          <w:sz w:val="18"/>
          <w:szCs w:val="18"/>
        </w:rPr>
      </w:pPr>
      <w:bookmarkStart w:id="85" w:name="bookmark71"/>
      <w:r w:rsidRPr="00350396">
        <w:rPr>
          <w:rFonts w:ascii="Bookman Old Style" w:eastAsia="Bookman Old Style" w:hAnsi="Bookman Old Style" w:cs="Bookman Old Style"/>
          <w:color w:val="231F20"/>
          <w:sz w:val="18"/>
          <w:szCs w:val="18"/>
        </w:rPr>
        <w:lastRenderedPageBreak/>
        <w:t>России) является уполномоченным федеральным органом испол</w:t>
      </w:r>
      <w:r w:rsidRPr="00350396">
        <w:rPr>
          <w:rFonts w:ascii="Bookman Old Style" w:eastAsia="Bookman Old Style" w:hAnsi="Bookman Old Style" w:cs="Bookman Old Style"/>
          <w:color w:val="231F20"/>
          <w:sz w:val="18"/>
          <w:szCs w:val="18"/>
        </w:rPr>
        <w:softHyphen/>
        <w:t>нительной власти, осуществляющим функции по принятию нор</w:t>
      </w:r>
      <w:r w:rsidRPr="00350396">
        <w:rPr>
          <w:rFonts w:ascii="Bookman Old Style" w:eastAsia="Bookman Old Style" w:hAnsi="Bookman Old Style" w:cs="Bookman Old Style"/>
          <w:color w:val="231F20"/>
          <w:sz w:val="18"/>
          <w:szCs w:val="18"/>
        </w:rPr>
        <w:softHyphen/>
        <w:t>мативных правовых актов и контролю за соблюдением антимоно</w:t>
      </w:r>
      <w:r w:rsidRPr="00350396">
        <w:rPr>
          <w:rFonts w:ascii="Bookman Old Style" w:eastAsia="Bookman Old Style" w:hAnsi="Bookman Old Style" w:cs="Bookman Old Style"/>
          <w:color w:val="231F20"/>
          <w:sz w:val="18"/>
          <w:szCs w:val="18"/>
        </w:rPr>
        <w:softHyphen/>
        <w:t>польного законодательства, законодательства в сфере деятельности субъектов естественных монополий (в части установленных зако</w:t>
      </w:r>
      <w:r w:rsidRPr="00350396">
        <w:rPr>
          <w:rFonts w:ascii="Bookman Old Style" w:eastAsia="Bookman Old Style" w:hAnsi="Bookman Old Style" w:cs="Bookman Old Style"/>
          <w:color w:val="231F20"/>
          <w:sz w:val="18"/>
          <w:szCs w:val="18"/>
        </w:rPr>
        <w:softHyphen/>
        <w:t>нодательством полномочий антимонопольного органа), рекламы, контролю за осуществлением иностранных инвестиций в хозяй</w:t>
      </w:r>
      <w:r w:rsidRPr="00350396">
        <w:rPr>
          <w:rFonts w:ascii="Bookman Old Style" w:eastAsia="Bookman Old Style" w:hAnsi="Bookman Old Style" w:cs="Bookman Old Style"/>
          <w:color w:val="231F20"/>
          <w:sz w:val="18"/>
          <w:szCs w:val="18"/>
        </w:rPr>
        <w:softHyphen/>
        <w:t>ственные общества, имеющие стратегическое значение для обе</w:t>
      </w:r>
      <w:r w:rsidRPr="00350396">
        <w:rPr>
          <w:rFonts w:ascii="Bookman Old Style" w:eastAsia="Bookman Old Style" w:hAnsi="Bookman Old Style" w:cs="Bookman Old Style"/>
          <w:color w:val="231F20"/>
          <w:sz w:val="18"/>
          <w:szCs w:val="18"/>
        </w:rPr>
        <w:softHyphen/>
        <w:t>спечения обороны страны и безопасности государства, а также по контролю в сфере размещения заказов на поставки товаров, вы</w:t>
      </w:r>
      <w:r w:rsidRPr="00350396">
        <w:rPr>
          <w:rFonts w:ascii="Bookman Old Style" w:eastAsia="Bookman Old Style" w:hAnsi="Bookman Old Style" w:cs="Bookman Old Style"/>
          <w:color w:val="231F20"/>
          <w:sz w:val="18"/>
          <w:szCs w:val="18"/>
        </w:rPr>
        <w:softHyphen/>
        <w:t>полнение работ, оказание услуг для федеральных государственных нужд (за исключением полномочий по контролю в сфере размеще</w:t>
      </w:r>
      <w:r w:rsidRPr="00350396">
        <w:rPr>
          <w:rFonts w:ascii="Bookman Old Style" w:eastAsia="Bookman Old Style" w:hAnsi="Bookman Old Style" w:cs="Bookman Old Style"/>
          <w:color w:val="231F20"/>
          <w:sz w:val="18"/>
          <w:szCs w:val="18"/>
        </w:rPr>
        <w:softHyphen/>
        <w:t>ния заказов на поставки товаров, выполнение работ, оказание услуг по государственному оборонному заказу, а также в сфере размеще</w:t>
      </w:r>
      <w:r w:rsidRPr="00350396">
        <w:rPr>
          <w:rFonts w:ascii="Bookman Old Style" w:eastAsia="Bookman Old Style" w:hAnsi="Bookman Old Style" w:cs="Bookman Old Style"/>
          <w:color w:val="231F20"/>
          <w:sz w:val="18"/>
          <w:szCs w:val="18"/>
        </w:rPr>
        <w:softHyphen/>
        <w:t>ния заказов на поставки товаров, выполнение работ, оказание услуг для федеральных государственных нужд, не относящихся к государ</w:t>
      </w:r>
      <w:r w:rsidRPr="00350396">
        <w:rPr>
          <w:rFonts w:ascii="Bookman Old Style" w:eastAsia="Bookman Old Style" w:hAnsi="Bookman Old Style" w:cs="Bookman Old Style"/>
          <w:color w:val="231F20"/>
          <w:sz w:val="18"/>
          <w:szCs w:val="18"/>
        </w:rPr>
        <w:softHyphen/>
        <w:t>ственному оборонному заказу, сведения о которых составляют го</w:t>
      </w:r>
      <w:r w:rsidRPr="00350396">
        <w:rPr>
          <w:rFonts w:ascii="Bookman Old Style" w:eastAsia="Bookman Old Style" w:hAnsi="Bookman Old Style" w:cs="Bookman Old Style"/>
          <w:color w:val="231F20"/>
          <w:sz w:val="18"/>
          <w:szCs w:val="18"/>
        </w:rPr>
        <w:softHyphen/>
        <w:t>сударственную тайну).</w:t>
      </w:r>
      <w:bookmarkEnd w:id="85"/>
    </w:p>
    <w:p w14:paraId="418053D8" w14:textId="77777777" w:rsidR="00350396" w:rsidRPr="00350396" w:rsidRDefault="00350396" w:rsidP="00350396">
      <w:pPr>
        <w:widowControl w:val="0"/>
        <w:spacing w:after="351"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ФАС России осуществляет свою деятельность непосредственно и через свои территориальные органы.</w:t>
      </w:r>
    </w:p>
    <w:p w14:paraId="731D587D" w14:textId="77777777" w:rsidR="00350396" w:rsidRPr="00350396" w:rsidRDefault="00350396" w:rsidP="00350396">
      <w:pPr>
        <w:keepNext/>
        <w:keepLines/>
        <w:widowControl w:val="0"/>
        <w:numPr>
          <w:ilvl w:val="0"/>
          <w:numId w:val="102"/>
        </w:numPr>
        <w:tabs>
          <w:tab w:val="left" w:pos="495"/>
        </w:tabs>
        <w:spacing w:after="149" w:line="336" w:lineRule="exact"/>
        <w:ind w:left="340" w:hanging="340"/>
        <w:jc w:val="left"/>
        <w:outlineLvl w:val="3"/>
        <w:rPr>
          <w:rFonts w:ascii="Arial Narrow" w:eastAsia="Arial Narrow" w:hAnsi="Arial Narrow" w:cs="Arial Narrow"/>
          <w:b/>
          <w:bCs/>
        </w:rPr>
      </w:pPr>
      <w:bookmarkStart w:id="86" w:name="bookmark72"/>
      <w:r w:rsidRPr="00350396">
        <w:rPr>
          <w:rFonts w:ascii="Arial Narrow" w:eastAsia="Arial Narrow" w:hAnsi="Arial Narrow" w:cs="Arial Narrow"/>
          <w:b/>
          <w:bCs/>
          <w:color w:val="231F20"/>
        </w:rPr>
        <w:t>Особенности проведения анализа состояния конкуренции на товарных рынках, определение долей хозяйствующих субъектов на рынках определенных товаров, работ, услуг</w:t>
      </w:r>
      <w:bookmarkEnd w:id="86"/>
    </w:p>
    <w:p w14:paraId="47D89724"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Территориальные органы ФАС ежегодно проводят анализ состо</w:t>
      </w:r>
      <w:r w:rsidRPr="00350396">
        <w:rPr>
          <w:rFonts w:ascii="Bookman Old Style" w:eastAsia="Bookman Old Style" w:hAnsi="Bookman Old Style" w:cs="Bookman Old Style"/>
          <w:color w:val="231F20"/>
          <w:sz w:val="18"/>
          <w:szCs w:val="18"/>
        </w:rPr>
        <w:softHyphen/>
        <w:t>яния конкурентной среды на различных товарных рынках в рамках предоставленных им полномочий. Анализ состояния конкуренции на товарных рынках проводится в соответствии с приказом ФАС России от 28.04.2010 № 220 «Об утверждении порядка проведения анализа состояния конкуренции на товарном рынке».</w:t>
      </w:r>
    </w:p>
    <w:p w14:paraId="5B2B10ED"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указанным порядком при анализе состояния конкуренции на товарном рынке в качестве исходной информации о товарных рынках используются:</w:t>
      </w:r>
    </w:p>
    <w:p w14:paraId="1E352D90" w14:textId="77777777" w:rsidR="00350396" w:rsidRPr="00350396" w:rsidRDefault="00350396" w:rsidP="00350396">
      <w:pPr>
        <w:widowControl w:val="0"/>
        <w:numPr>
          <w:ilvl w:val="0"/>
          <w:numId w:val="101"/>
        </w:numPr>
        <w:tabs>
          <w:tab w:val="left" w:pos="63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данные официальной статистической информации;</w:t>
      </w:r>
    </w:p>
    <w:p w14:paraId="7921C281" w14:textId="77777777" w:rsidR="00350396" w:rsidRPr="00350396" w:rsidRDefault="00350396" w:rsidP="00350396">
      <w:pPr>
        <w:widowControl w:val="0"/>
        <w:numPr>
          <w:ilvl w:val="0"/>
          <w:numId w:val="101"/>
        </w:numPr>
        <w:tabs>
          <w:tab w:val="left" w:pos="63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сведения, полученные от налоговых, таможенных и иных го</w:t>
      </w:r>
      <w:r w:rsidRPr="00350396">
        <w:rPr>
          <w:rFonts w:ascii="Bookman Old Style" w:eastAsia="Bookman Old Style" w:hAnsi="Bookman Old Style" w:cs="Bookman Old Style"/>
          <w:color w:val="231F20"/>
          <w:sz w:val="18"/>
          <w:szCs w:val="18"/>
        </w:rPr>
        <w:softHyphen/>
        <w:t>сударственных органов, Центрального банка РФ, органов местного самоуправления;</w:t>
      </w:r>
    </w:p>
    <w:p w14:paraId="1F2FBCDC" w14:textId="77777777" w:rsidR="00350396" w:rsidRPr="00350396" w:rsidRDefault="00350396" w:rsidP="00350396">
      <w:pPr>
        <w:widowControl w:val="0"/>
        <w:numPr>
          <w:ilvl w:val="0"/>
          <w:numId w:val="101"/>
        </w:numPr>
        <w:tabs>
          <w:tab w:val="left" w:pos="63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сведения, полученные от физических и юридических лиц, в том числе сведения, представляемые покупателем (покупателями) данного товара, в том числе в результате их выборочного опроса, а также сведения, предоставляемые продавцами данного товара;</w:t>
      </w:r>
    </w:p>
    <w:p w14:paraId="056D1047" w14:textId="77777777" w:rsidR="00350396" w:rsidRPr="00350396" w:rsidRDefault="00350396" w:rsidP="00350396">
      <w:pPr>
        <w:widowControl w:val="0"/>
        <w:numPr>
          <w:ilvl w:val="0"/>
          <w:numId w:val="101"/>
        </w:numPr>
        <w:tabs>
          <w:tab w:val="left" w:pos="63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данные собственных исследований антимонопольного орга</w:t>
      </w:r>
      <w:r w:rsidRPr="00350396">
        <w:rPr>
          <w:rFonts w:ascii="Bookman Old Style" w:eastAsia="Bookman Old Style" w:hAnsi="Bookman Old Style" w:cs="Bookman Old Style"/>
          <w:color w:val="231F20"/>
          <w:sz w:val="18"/>
          <w:szCs w:val="18"/>
        </w:rPr>
        <w:softHyphen/>
        <w:t>на и данные антимонопольных органов других государств;</w:t>
      </w:r>
    </w:p>
    <w:p w14:paraId="44162AC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 данные маркетинговых, социологических исследований, </w:t>
      </w:r>
      <w:r w:rsidRPr="00350396">
        <w:rPr>
          <w:rFonts w:ascii="Bookman Old Style" w:eastAsia="Bookman Old Style" w:hAnsi="Bookman Old Style" w:cs="Bookman Old Style"/>
          <w:color w:val="231F20"/>
          <w:sz w:val="18"/>
          <w:szCs w:val="18"/>
        </w:rPr>
        <w:lastRenderedPageBreak/>
        <w:t>выборочных опросов и анкетирования хозяйствующих субъектов, граждан, общественных организаций и данные иных источников.</w:t>
      </w:r>
    </w:p>
    <w:p w14:paraId="21746DA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 основании правил, указанных в приказе, в зависимости от цели исследования, особенностей товарного рынка и доступно</w:t>
      </w:r>
      <w:r w:rsidRPr="00350396">
        <w:rPr>
          <w:rFonts w:ascii="Bookman Old Style" w:eastAsia="Bookman Old Style" w:hAnsi="Bookman Old Style" w:cs="Bookman Old Style"/>
          <w:color w:val="231F20"/>
          <w:sz w:val="18"/>
          <w:szCs w:val="18"/>
        </w:rPr>
        <w:softHyphen/>
        <w:t>сти информации определяется временной интервал исследования товарного рынка. А в соответствии с правилами, регламентирован</w:t>
      </w:r>
      <w:r w:rsidRPr="00350396">
        <w:rPr>
          <w:rFonts w:ascii="Bookman Old Style" w:eastAsia="Bookman Old Style" w:hAnsi="Bookman Old Style" w:cs="Bookman Old Style"/>
          <w:color w:val="231F20"/>
          <w:sz w:val="18"/>
          <w:szCs w:val="18"/>
        </w:rPr>
        <w:softHyphen/>
        <w:t>ными Федеральным законом от 26.07.2006 № 135-ФЗ «О защите конкуренции», в целях установления доминирующего положения хозяйствующего субъекта наименьший временной интервал ана</w:t>
      </w:r>
      <w:r w:rsidRPr="00350396">
        <w:rPr>
          <w:rFonts w:ascii="Bookman Old Style" w:eastAsia="Bookman Old Style" w:hAnsi="Bookman Old Style" w:cs="Bookman Old Style"/>
          <w:color w:val="231F20"/>
          <w:sz w:val="18"/>
          <w:szCs w:val="18"/>
        </w:rPr>
        <w:softHyphen/>
        <w:t>лиза состояния конкуренции должен составлять один год или срок существования товарного рынка, если он составляет менее чем один год.</w:t>
      </w:r>
    </w:p>
    <w:p w14:paraId="0A9FC3E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в соответствии с указанным выше порядком ут</w:t>
      </w:r>
      <w:r w:rsidRPr="00350396">
        <w:rPr>
          <w:rFonts w:ascii="Bookman Old Style" w:eastAsia="Bookman Old Style" w:hAnsi="Bookman Old Style" w:cs="Bookman Old Style"/>
          <w:color w:val="231F20"/>
          <w:sz w:val="18"/>
          <w:szCs w:val="18"/>
        </w:rPr>
        <w:softHyphen/>
        <w:t>верждена процедура выявления товара, не имеющего замени</w:t>
      </w:r>
      <w:r w:rsidRPr="00350396">
        <w:rPr>
          <w:rFonts w:ascii="Bookman Old Style" w:eastAsia="Bookman Old Style" w:hAnsi="Bookman Old Style" w:cs="Bookman Old Style"/>
          <w:color w:val="231F20"/>
          <w:sz w:val="18"/>
          <w:szCs w:val="18"/>
        </w:rPr>
        <w:softHyphen/>
        <w:t>теля, или взаимозаменяемых товаров, обращающихся на одном и том же товарном рынке (далее — определение продуктовых гра</w:t>
      </w:r>
      <w:r w:rsidRPr="00350396">
        <w:rPr>
          <w:rFonts w:ascii="Bookman Old Style" w:eastAsia="Bookman Old Style" w:hAnsi="Bookman Old Style" w:cs="Bookman Old Style"/>
          <w:color w:val="231F20"/>
          <w:sz w:val="18"/>
          <w:szCs w:val="18"/>
        </w:rPr>
        <w:softHyphen/>
        <w:t>ниц товарного рынка), которая включает:</w:t>
      </w:r>
    </w:p>
    <w:p w14:paraId="2E2BA17B" w14:textId="77777777" w:rsidR="00350396" w:rsidRPr="00350396" w:rsidRDefault="00350396" w:rsidP="00350396">
      <w:pPr>
        <w:widowControl w:val="0"/>
        <w:numPr>
          <w:ilvl w:val="0"/>
          <w:numId w:val="103"/>
        </w:numPr>
        <w:tabs>
          <w:tab w:val="left" w:pos="67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предварительное определение товара;</w:t>
      </w:r>
    </w:p>
    <w:p w14:paraId="5ADEAB5F" w14:textId="77777777" w:rsidR="00350396" w:rsidRPr="00350396" w:rsidRDefault="00350396" w:rsidP="00350396">
      <w:pPr>
        <w:widowControl w:val="0"/>
        <w:numPr>
          <w:ilvl w:val="0"/>
          <w:numId w:val="103"/>
        </w:numPr>
        <w:tabs>
          <w:tab w:val="left" w:pos="655"/>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выявление свойств товара, определяющих выбор приобре</w:t>
      </w:r>
      <w:r w:rsidRPr="00350396">
        <w:rPr>
          <w:rFonts w:ascii="Bookman Old Style" w:eastAsia="Bookman Old Style" w:hAnsi="Bookman Old Style" w:cs="Bookman Old Style"/>
          <w:color w:val="231F20"/>
          <w:sz w:val="18"/>
          <w:szCs w:val="18"/>
        </w:rPr>
        <w:softHyphen/>
        <w:t>тателя, и товаров, потенциально являющихся взаимозаменяемыми для данного товара;</w:t>
      </w:r>
    </w:p>
    <w:p w14:paraId="2B61447D" w14:textId="77777777" w:rsidR="00350396" w:rsidRPr="00350396" w:rsidRDefault="00350396" w:rsidP="00350396">
      <w:pPr>
        <w:widowControl w:val="0"/>
        <w:numPr>
          <w:ilvl w:val="0"/>
          <w:numId w:val="103"/>
        </w:numPr>
        <w:tabs>
          <w:tab w:val="left" w:pos="67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определение взаимозаменяемых товаров.</w:t>
      </w:r>
    </w:p>
    <w:p w14:paraId="4D8D353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ФАС также определяет продуктовые границы товарного рынка, основываясь на мнении покупателей (как физических, так и юри</w:t>
      </w:r>
      <w:r w:rsidRPr="00350396">
        <w:rPr>
          <w:rFonts w:ascii="Bookman Old Style" w:eastAsia="Bookman Old Style" w:hAnsi="Bookman Old Style" w:cs="Bookman Old Style"/>
          <w:color w:val="231F20"/>
          <w:sz w:val="18"/>
          <w:szCs w:val="18"/>
        </w:rPr>
        <w:softHyphen/>
        <w:t>дических лиц) о взаимозаменяемости товаров, составляющих одну товарную группу. Если предполагается нарушение антимонополь</w:t>
      </w:r>
      <w:r w:rsidRPr="00350396">
        <w:rPr>
          <w:rFonts w:ascii="Bookman Old Style" w:eastAsia="Bookman Old Style" w:hAnsi="Bookman Old Style" w:cs="Bookman Old Style"/>
          <w:color w:val="231F20"/>
          <w:sz w:val="18"/>
          <w:szCs w:val="18"/>
        </w:rPr>
        <w:softHyphen/>
        <w:t>ного законодательства применительно к покупателю продукции (монопсония), в этой ситуации продуктовые границы товарного рынка определяются на основании мнения ее продавца.</w:t>
      </w:r>
    </w:p>
    <w:p w14:paraId="3D40707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Регламентирован также порядок определения мнения покупате</w:t>
      </w:r>
      <w:r w:rsidRPr="00350396">
        <w:rPr>
          <w:rFonts w:ascii="Bookman Old Style" w:eastAsia="Bookman Old Style" w:hAnsi="Bookman Old Style" w:cs="Bookman Old Style"/>
          <w:color w:val="231F20"/>
          <w:sz w:val="18"/>
          <w:szCs w:val="18"/>
        </w:rPr>
        <w:softHyphen/>
        <w:t>лей, которое формируется в результате сплошного или выборочного опроса покупателей или анализа предмета договоров, на основании которых осуществляется реализация товара.</w:t>
      </w:r>
    </w:p>
    <w:p w14:paraId="6C26DF5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подобном анализе, в соответствии с законодательством, не</w:t>
      </w:r>
      <w:r w:rsidRPr="00350396">
        <w:rPr>
          <w:rFonts w:ascii="Bookman Old Style" w:eastAsia="Bookman Old Style" w:hAnsi="Bookman Old Style" w:cs="Bookman Old Style"/>
          <w:color w:val="231F20"/>
          <w:sz w:val="18"/>
          <w:szCs w:val="18"/>
        </w:rPr>
        <w:softHyphen/>
        <w:t>обходимо учитывать то, что рассматриваемый товар может обра</w:t>
      </w:r>
      <w:r w:rsidRPr="00350396">
        <w:rPr>
          <w:rFonts w:ascii="Bookman Old Style" w:eastAsia="Bookman Old Style" w:hAnsi="Bookman Old Style" w:cs="Bookman Old Style"/>
          <w:color w:val="231F20"/>
          <w:sz w:val="18"/>
          <w:szCs w:val="18"/>
        </w:rPr>
        <w:softHyphen/>
        <w:t>щаться на одной и той же территории на разных товарных рынках. Такие товарные рынки следует анализировать обособленно. В част</w:t>
      </w:r>
      <w:r w:rsidRPr="00350396">
        <w:rPr>
          <w:rFonts w:ascii="Bookman Old Style" w:eastAsia="Bookman Old Style" w:hAnsi="Bookman Old Style" w:cs="Bookman Old Style"/>
          <w:color w:val="231F20"/>
          <w:sz w:val="18"/>
          <w:szCs w:val="18"/>
        </w:rPr>
        <w:softHyphen/>
        <w:t>ности, товар может обращаться на оптовых рынках, на которых про</w:t>
      </w:r>
      <w:r w:rsidRPr="00350396">
        <w:rPr>
          <w:rFonts w:ascii="Bookman Old Style" w:eastAsia="Bookman Old Style" w:hAnsi="Bookman Old Style" w:cs="Bookman Old Style"/>
          <w:color w:val="231F20"/>
          <w:sz w:val="18"/>
          <w:szCs w:val="18"/>
        </w:rPr>
        <w:softHyphen/>
        <w:t>даются партии товара преимущественно для целей последующей перепродажи или профессионального использования, и на рознич</w:t>
      </w:r>
      <w:r w:rsidRPr="00350396">
        <w:rPr>
          <w:rFonts w:ascii="Bookman Old Style" w:eastAsia="Bookman Old Style" w:hAnsi="Bookman Old Style" w:cs="Bookman Old Style"/>
          <w:color w:val="231F20"/>
          <w:sz w:val="18"/>
          <w:szCs w:val="18"/>
        </w:rPr>
        <w:softHyphen/>
        <w:t>ных рынках, на которых осуществляется продажа единичного коли</w:t>
      </w:r>
      <w:r w:rsidRPr="00350396">
        <w:rPr>
          <w:rFonts w:ascii="Bookman Old Style" w:eastAsia="Bookman Old Style" w:hAnsi="Bookman Old Style" w:cs="Bookman Old Style"/>
          <w:color w:val="231F20"/>
          <w:sz w:val="18"/>
          <w:szCs w:val="18"/>
        </w:rPr>
        <w:softHyphen/>
        <w:t>чества товара преимущественно для личного использования.</w:t>
      </w:r>
    </w:p>
    <w:p w14:paraId="2A5203B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Определение взаимозаменяемых товаров осуществляется в со</w:t>
      </w:r>
      <w:r w:rsidRPr="00350396">
        <w:rPr>
          <w:rFonts w:ascii="Bookman Old Style" w:eastAsia="Bookman Old Style" w:hAnsi="Bookman Old Style" w:cs="Bookman Old Style"/>
          <w:color w:val="231F20"/>
          <w:sz w:val="18"/>
          <w:szCs w:val="18"/>
        </w:rPr>
        <w:softHyphen/>
        <w:t>ответствии со ст. 4 Федерального закона «О защите конкуренции» и основывается на фактической замене товаров приобретателем или готовности приобретателя заменить один товар другим при по</w:t>
      </w:r>
      <w:r w:rsidRPr="00350396">
        <w:rPr>
          <w:rFonts w:ascii="Bookman Old Style" w:eastAsia="Bookman Old Style" w:hAnsi="Bookman Old Style" w:cs="Bookman Old Style"/>
          <w:color w:val="231F20"/>
          <w:sz w:val="18"/>
          <w:szCs w:val="18"/>
        </w:rPr>
        <w:softHyphen/>
        <w:t xml:space="preserve">треблении </w:t>
      </w:r>
      <w:r w:rsidRPr="00350396">
        <w:rPr>
          <w:rFonts w:ascii="Bookman Old Style" w:eastAsia="Bookman Old Style" w:hAnsi="Bookman Old Style" w:cs="Bookman Old Style"/>
          <w:color w:val="231F20"/>
          <w:sz w:val="18"/>
          <w:szCs w:val="18"/>
        </w:rPr>
        <w:lastRenderedPageBreak/>
        <w:t>(в том числе при потреблении в производственных це</w:t>
      </w:r>
      <w:r w:rsidRPr="00350396">
        <w:rPr>
          <w:rFonts w:ascii="Bookman Old Style" w:eastAsia="Bookman Old Style" w:hAnsi="Bookman Old Style" w:cs="Bookman Old Style"/>
          <w:color w:val="231F20"/>
          <w:sz w:val="18"/>
          <w:szCs w:val="18"/>
        </w:rPr>
        <w:softHyphen/>
        <w:t>лях), учитывая их функциональное назначение, применение, каче</w:t>
      </w:r>
      <w:r w:rsidRPr="00350396">
        <w:rPr>
          <w:rFonts w:ascii="Bookman Old Style" w:eastAsia="Bookman Old Style" w:hAnsi="Bookman Old Style" w:cs="Bookman Old Style"/>
          <w:color w:val="231F20"/>
          <w:sz w:val="18"/>
          <w:szCs w:val="18"/>
        </w:rPr>
        <w:softHyphen/>
        <w:t>ственные и технические характеристики, цену и другие параметры.</w:t>
      </w:r>
    </w:p>
    <w:p w14:paraId="27653C8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Федеральном законе «О защите конкуренции» оговаривается, что товары не относятся к взаимозаменяемым, если для замены од</w:t>
      </w:r>
      <w:r w:rsidRPr="00350396">
        <w:rPr>
          <w:rFonts w:ascii="Bookman Old Style" w:eastAsia="Bookman Old Style" w:hAnsi="Bookman Old Style" w:cs="Bookman Old Style"/>
          <w:color w:val="231F20"/>
          <w:sz w:val="18"/>
          <w:szCs w:val="18"/>
        </w:rPr>
        <w:softHyphen/>
        <w:t>ного товара другим в процессе потребления требуется более года или в связи с заменой приобретатель товара несет значительные издержки (превышающие, как правило, 10 % цены товара) и если при этом антимонопольный орган не располагает информацией о том, что такая замена имела или имеет место.</w:t>
      </w:r>
    </w:p>
    <w:p w14:paraId="71CEDD1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определении взаимозаменяемости товара ФАС, кроме того, должна оценить степень взаимозаменяемости товара и географиче</w:t>
      </w:r>
      <w:r w:rsidRPr="00350396">
        <w:rPr>
          <w:rFonts w:ascii="Bookman Old Style" w:eastAsia="Bookman Old Style" w:hAnsi="Bookman Old Style" w:cs="Bookman Old Style"/>
          <w:color w:val="231F20"/>
          <w:sz w:val="18"/>
          <w:szCs w:val="18"/>
        </w:rPr>
        <w:softHyphen/>
        <w:t>ские границы товарного рынка.</w:t>
      </w:r>
    </w:p>
    <w:p w14:paraId="2805302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Для того чтобы оценить степень взаимозаменяемости това</w:t>
      </w:r>
      <w:r w:rsidRPr="00350396">
        <w:rPr>
          <w:rFonts w:ascii="Bookman Old Style" w:eastAsia="Bookman Old Style" w:hAnsi="Bookman Old Style" w:cs="Bookman Old Style"/>
          <w:color w:val="231F20"/>
          <w:sz w:val="18"/>
          <w:szCs w:val="18"/>
        </w:rPr>
        <w:softHyphen/>
        <w:t>ра, Федеральным законом «О защите конкуренции» введена мера взаимозаменяемости товаров, каковой является показатель пере</w:t>
      </w:r>
      <w:r w:rsidRPr="00350396">
        <w:rPr>
          <w:rFonts w:ascii="Bookman Old Style" w:eastAsia="Bookman Old Style" w:hAnsi="Bookman Old Style" w:cs="Bookman Old Style"/>
          <w:color w:val="231F20"/>
          <w:sz w:val="18"/>
          <w:szCs w:val="18"/>
        </w:rPr>
        <w:softHyphen/>
        <w:t>крестной эластичности спроса по цене, исчисляемый как отноше</w:t>
      </w:r>
      <w:r w:rsidRPr="00350396">
        <w:rPr>
          <w:rFonts w:ascii="Bookman Old Style" w:eastAsia="Bookman Old Style" w:hAnsi="Bookman Old Style" w:cs="Bookman Old Style"/>
          <w:color w:val="231F20"/>
          <w:sz w:val="18"/>
          <w:szCs w:val="18"/>
        </w:rPr>
        <w:softHyphen/>
        <w:t>ние выраженного в процентах изменения объема спроса на один товар к выраженному в процентах изменению цены другого товара за определенный период. О взаимозаменяемости рассматриваемых товаров свидетельствуют устойчивые значения показателя пере</w:t>
      </w:r>
      <w:r w:rsidRPr="00350396">
        <w:rPr>
          <w:rFonts w:ascii="Bookman Old Style" w:eastAsia="Bookman Old Style" w:hAnsi="Bookman Old Style" w:cs="Bookman Old Style"/>
          <w:color w:val="231F20"/>
          <w:sz w:val="18"/>
          <w:szCs w:val="18"/>
        </w:rPr>
        <w:softHyphen/>
        <w:t>крестной эластичности, превышающие единицу.</w:t>
      </w:r>
    </w:p>
    <w:p w14:paraId="6A14E57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Процедура определения географических границ товарного рын</w:t>
      </w:r>
      <w:r w:rsidRPr="00350396">
        <w:rPr>
          <w:rFonts w:ascii="Bookman Old Style" w:eastAsia="Bookman Old Style" w:hAnsi="Bookman Old Style" w:cs="Bookman Old Style"/>
          <w:color w:val="231F20"/>
          <w:sz w:val="18"/>
          <w:szCs w:val="18"/>
        </w:rPr>
        <w:softHyphen/>
        <w:t>ка в соответствии с положениями закона включает следующие дей</w:t>
      </w:r>
      <w:r w:rsidRPr="00350396">
        <w:rPr>
          <w:rFonts w:ascii="Bookman Old Style" w:eastAsia="Bookman Old Style" w:hAnsi="Bookman Old Style" w:cs="Bookman Old Style"/>
          <w:color w:val="231F20"/>
          <w:sz w:val="18"/>
          <w:szCs w:val="18"/>
        </w:rPr>
        <w:softHyphen/>
        <w:t>ствия:</w:t>
      </w:r>
    </w:p>
    <w:p w14:paraId="3EB3E0E5" w14:textId="77777777" w:rsidR="00350396" w:rsidRPr="00350396" w:rsidRDefault="00350396" w:rsidP="00350396">
      <w:pPr>
        <w:widowControl w:val="0"/>
        <w:numPr>
          <w:ilvl w:val="0"/>
          <w:numId w:val="103"/>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предварительное определение географических границ товар</w:t>
      </w:r>
      <w:r w:rsidRPr="00350396">
        <w:rPr>
          <w:rFonts w:ascii="Bookman Old Style" w:eastAsia="Bookman Old Style" w:hAnsi="Bookman Old Style" w:cs="Bookman Old Style"/>
          <w:color w:val="231F20"/>
          <w:sz w:val="18"/>
          <w:szCs w:val="18"/>
        </w:rPr>
        <w:softHyphen/>
        <w:t>ного рынка;</w:t>
      </w:r>
    </w:p>
    <w:p w14:paraId="15C782CB" w14:textId="77777777" w:rsidR="00350396" w:rsidRPr="00350396" w:rsidRDefault="00350396" w:rsidP="00350396">
      <w:pPr>
        <w:widowControl w:val="0"/>
        <w:numPr>
          <w:ilvl w:val="0"/>
          <w:numId w:val="103"/>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выявление условий обращения товара, ограничивающих эко</w:t>
      </w:r>
      <w:r w:rsidRPr="00350396">
        <w:rPr>
          <w:rFonts w:ascii="Bookman Old Style" w:eastAsia="Bookman Old Style" w:hAnsi="Bookman Old Style" w:cs="Bookman Old Style"/>
          <w:color w:val="231F20"/>
          <w:sz w:val="18"/>
          <w:szCs w:val="18"/>
        </w:rPr>
        <w:softHyphen/>
        <w:t>номические возможности приобретения товара приобретателем (приобретателями);</w:t>
      </w:r>
    </w:p>
    <w:p w14:paraId="21F151CE" w14:textId="77777777" w:rsidR="00350396" w:rsidRPr="00350396" w:rsidRDefault="00350396" w:rsidP="00350396">
      <w:pPr>
        <w:widowControl w:val="0"/>
        <w:numPr>
          <w:ilvl w:val="0"/>
          <w:numId w:val="103"/>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определение территорий, входящих в географические грани</w:t>
      </w:r>
      <w:r w:rsidRPr="00350396">
        <w:rPr>
          <w:rFonts w:ascii="Bookman Old Style" w:eastAsia="Bookman Old Style" w:hAnsi="Bookman Old Style" w:cs="Bookman Old Style"/>
          <w:color w:val="231F20"/>
          <w:sz w:val="18"/>
          <w:szCs w:val="18"/>
        </w:rPr>
        <w:softHyphen/>
        <w:t>цы рассматриваемого товарного рынка.</w:t>
      </w:r>
    </w:p>
    <w:p w14:paraId="41DC1E2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при определении географических границ товарного рынка отдельно выделяются товары, которые поставляются с каких- либо территорий, если цена такого товара оказывается более чем на 10 % выше средневзвешенной цены товара, доступного приоб</w:t>
      </w:r>
      <w:r w:rsidRPr="00350396">
        <w:rPr>
          <w:rFonts w:ascii="Bookman Old Style" w:eastAsia="Bookman Old Style" w:hAnsi="Bookman Old Style" w:cs="Bookman Old Style"/>
          <w:color w:val="231F20"/>
          <w:sz w:val="18"/>
          <w:szCs w:val="18"/>
        </w:rPr>
        <w:softHyphen/>
        <w:t>ретателю в пределах предварительно определенных географиче</w:t>
      </w:r>
      <w:r w:rsidRPr="00350396">
        <w:rPr>
          <w:rFonts w:ascii="Bookman Old Style" w:eastAsia="Bookman Old Style" w:hAnsi="Bookman Old Style" w:cs="Bookman Old Style"/>
          <w:color w:val="231F20"/>
          <w:sz w:val="18"/>
          <w:szCs w:val="18"/>
        </w:rPr>
        <w:softHyphen/>
        <w:t>ских границ рассматриваемого товарного рынка. Для таких товаров их территории (продавцы) должны относиться к другим товарным рынкам.</w:t>
      </w:r>
    </w:p>
    <w:p w14:paraId="347EBC7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Отдельно рассматриваются также товарные рынки естествен</w:t>
      </w:r>
      <w:r w:rsidRPr="00350396">
        <w:rPr>
          <w:rFonts w:ascii="Bookman Old Style" w:eastAsia="Bookman Old Style" w:hAnsi="Bookman Old Style" w:cs="Bookman Old Style"/>
          <w:color w:val="231F20"/>
          <w:sz w:val="18"/>
          <w:szCs w:val="18"/>
        </w:rPr>
        <w:softHyphen/>
        <w:t>ных монополий. Для таких рынков характерен неэластичный спрос на товар, соответственно, размер спроса на товар практически не меняется при изменении цены. Рынок естественных монопо</w:t>
      </w:r>
      <w:r w:rsidRPr="00350396">
        <w:rPr>
          <w:rFonts w:ascii="Bookman Old Style" w:eastAsia="Bookman Old Style" w:hAnsi="Bookman Old Style" w:cs="Bookman Old Style"/>
          <w:color w:val="231F20"/>
          <w:sz w:val="18"/>
          <w:szCs w:val="18"/>
        </w:rPr>
        <w:softHyphen/>
        <w:t>лий — это, как правило, рынок товаров и услуг, являющихся первой необходимостью для потребителя. Такие рынки в соответствии с за</w:t>
      </w:r>
      <w:r w:rsidRPr="00350396">
        <w:rPr>
          <w:rFonts w:ascii="Bookman Old Style" w:eastAsia="Bookman Old Style" w:hAnsi="Bookman Old Style" w:cs="Bookman Old Style"/>
          <w:color w:val="231F20"/>
          <w:sz w:val="18"/>
          <w:szCs w:val="18"/>
        </w:rPr>
        <w:softHyphen/>
        <w:t>коном определяются с учетом особенностей предоставления этих услуг, в частности:</w:t>
      </w:r>
    </w:p>
    <w:p w14:paraId="7D107DA3" w14:textId="77777777" w:rsidR="00350396" w:rsidRPr="00350396" w:rsidRDefault="00350396" w:rsidP="00350396">
      <w:pPr>
        <w:widowControl w:val="0"/>
        <w:numPr>
          <w:ilvl w:val="0"/>
          <w:numId w:val="103"/>
        </w:numPr>
        <w:tabs>
          <w:tab w:val="left" w:pos="617"/>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наличия и расположения технологической инфраструктуры (сетей);</w:t>
      </w:r>
    </w:p>
    <w:p w14:paraId="7CB0CBB3" w14:textId="77777777" w:rsidR="00350396" w:rsidRPr="00350396" w:rsidRDefault="00350396" w:rsidP="00350396">
      <w:pPr>
        <w:widowControl w:val="0"/>
        <w:numPr>
          <w:ilvl w:val="0"/>
          <w:numId w:val="103"/>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возможностей приобретателей по доступу к инфраструктуре и ее использованию (подключению к сетям).</w:t>
      </w:r>
    </w:p>
    <w:p w14:paraId="25838B0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рамках рассматриваемых товарных рынков необходимо опре</w:t>
      </w:r>
      <w:r w:rsidRPr="00350396">
        <w:rPr>
          <w:rFonts w:ascii="Bookman Old Style" w:eastAsia="Bookman Old Style" w:hAnsi="Bookman Old Style" w:cs="Bookman Old Style"/>
          <w:color w:val="231F20"/>
          <w:sz w:val="18"/>
          <w:szCs w:val="18"/>
        </w:rPr>
        <w:softHyphen/>
        <w:t>делить состав хозяйствующих субъектов, действующих на товарном рынке.</w:t>
      </w:r>
    </w:p>
    <w:p w14:paraId="4279BF9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законодательством в состав хозяйствующих субъектов, включаются субъекты, реализующие в его границах рас</w:t>
      </w:r>
      <w:r w:rsidRPr="00350396">
        <w:rPr>
          <w:rFonts w:ascii="Bookman Old Style" w:eastAsia="Bookman Old Style" w:hAnsi="Bookman Old Style" w:cs="Bookman Old Style"/>
          <w:color w:val="231F20"/>
          <w:sz w:val="18"/>
          <w:szCs w:val="18"/>
        </w:rPr>
        <w:softHyphen/>
        <w:t>сматриваемый товар в пределах определенного временного интер</w:t>
      </w:r>
      <w:r w:rsidRPr="00350396">
        <w:rPr>
          <w:rFonts w:ascii="Bookman Old Style" w:eastAsia="Bookman Old Style" w:hAnsi="Bookman Old Style" w:cs="Bookman Old Style"/>
          <w:color w:val="231F20"/>
          <w:sz w:val="18"/>
          <w:szCs w:val="18"/>
        </w:rPr>
        <w:softHyphen/>
        <w:t>вала исследования товарного рынка.</w:t>
      </w:r>
    </w:p>
    <w:p w14:paraId="53B8169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состав хозяйствующих субъектов, действующих на рассматри</w:t>
      </w:r>
      <w:r w:rsidRPr="00350396">
        <w:rPr>
          <w:rFonts w:ascii="Bookman Old Style" w:eastAsia="Bookman Old Style" w:hAnsi="Bookman Old Style" w:cs="Bookman Old Style"/>
          <w:color w:val="231F20"/>
          <w:sz w:val="18"/>
          <w:szCs w:val="18"/>
        </w:rPr>
        <w:softHyphen/>
        <w:t>ваемом рынке, могут быть также включены физические и юриди</w:t>
      </w:r>
      <w:r w:rsidRPr="00350396">
        <w:rPr>
          <w:rFonts w:ascii="Bookman Old Style" w:eastAsia="Bookman Old Style" w:hAnsi="Bookman Old Style" w:cs="Bookman Old Style"/>
          <w:color w:val="231F20"/>
          <w:sz w:val="18"/>
          <w:szCs w:val="18"/>
        </w:rPr>
        <w:softHyphen/>
        <w:t>ческие лица, которые в течение краткосрочного периода (не более года) могут при обычных условиях оборота и без дополнительных издержек (издержки окупаются в течение года при уровне цен, от</w:t>
      </w:r>
      <w:r w:rsidRPr="00350396">
        <w:rPr>
          <w:rFonts w:ascii="Bookman Old Style" w:eastAsia="Bookman Old Style" w:hAnsi="Bookman Old Style" w:cs="Bookman Old Style"/>
          <w:color w:val="231F20"/>
          <w:sz w:val="18"/>
          <w:szCs w:val="18"/>
        </w:rPr>
        <w:softHyphen/>
        <w:t>личающемся от сложившейся средневзвешенной рыночной цены не более чем на 10 %) войти на данный товарный рынок. Такие субъекты именуются потенциальными продавцами.</w:t>
      </w:r>
    </w:p>
    <w:p w14:paraId="5846852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Далее ФАС проводит расчет общего объема товарной массы в обороте за определенный период времени в продуктовых и гео</w:t>
      </w:r>
      <w:r w:rsidRPr="00350396">
        <w:rPr>
          <w:rFonts w:ascii="Bookman Old Style" w:eastAsia="Bookman Old Style" w:hAnsi="Bookman Old Style" w:cs="Bookman Old Style"/>
          <w:color w:val="231F20"/>
          <w:sz w:val="18"/>
          <w:szCs w:val="18"/>
        </w:rPr>
        <w:softHyphen/>
        <w:t>графических границах рассматриваемого рынка. В соответствии с п. 6.1 приказа ФАС России от 28.04.2010 № 220 «Об утверждении Порядка проведения анализа состояния конкуренции на товарном рынке» (далее — приказ № 220) этот показатель именуется объ</w:t>
      </w:r>
      <w:r w:rsidRPr="00350396">
        <w:rPr>
          <w:rFonts w:ascii="Bookman Old Style" w:eastAsia="Bookman Old Style" w:hAnsi="Bookman Old Style" w:cs="Bookman Old Style"/>
          <w:color w:val="231F20"/>
          <w:sz w:val="18"/>
          <w:szCs w:val="18"/>
        </w:rPr>
        <w:softHyphen/>
        <w:t>емом товарного рынка.</w:t>
      </w:r>
    </w:p>
    <w:p w14:paraId="246FFAA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Этот расчет осуществляется на основании одного из следующих показателей: объем продаж, объем поставок (отгрузок), объем выручки, объем перевозок, объем производства; объем производ</w:t>
      </w:r>
      <w:r w:rsidRPr="00350396">
        <w:rPr>
          <w:rFonts w:ascii="Bookman Old Style" w:eastAsia="Bookman Old Style" w:hAnsi="Bookman Old Style" w:cs="Bookman Old Style"/>
          <w:color w:val="231F20"/>
          <w:sz w:val="18"/>
          <w:szCs w:val="18"/>
        </w:rPr>
        <w:softHyphen/>
        <w:t>ственных мощностей; объем запасов ресурсов, объем товара в со</w:t>
      </w:r>
      <w:r w:rsidRPr="00350396">
        <w:rPr>
          <w:rFonts w:ascii="Bookman Old Style" w:eastAsia="Bookman Old Style" w:hAnsi="Bookman Old Style" w:cs="Bookman Old Style"/>
          <w:color w:val="231F20"/>
          <w:sz w:val="18"/>
          <w:szCs w:val="18"/>
        </w:rPr>
        <w:softHyphen/>
        <w:t>ответствии с заключенными договорами.</w:t>
      </w:r>
    </w:p>
    <w:p w14:paraId="76EF69F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Порядком предполагается, что основным пока</w:t>
      </w:r>
      <w:r w:rsidRPr="00350396">
        <w:rPr>
          <w:rFonts w:ascii="Bookman Old Style" w:eastAsia="Bookman Old Style" w:hAnsi="Bookman Old Style" w:cs="Bookman Old Style"/>
          <w:color w:val="231F20"/>
          <w:sz w:val="18"/>
          <w:szCs w:val="18"/>
        </w:rPr>
        <w:softHyphen/>
        <w:t>зателем для расчета объема товарного рынка и долей хозяйствую</w:t>
      </w:r>
      <w:r w:rsidRPr="00350396">
        <w:rPr>
          <w:rFonts w:ascii="Bookman Old Style" w:eastAsia="Bookman Old Style" w:hAnsi="Bookman Old Style" w:cs="Bookman Old Style"/>
          <w:color w:val="231F20"/>
          <w:sz w:val="18"/>
          <w:szCs w:val="18"/>
        </w:rPr>
        <w:softHyphen/>
        <w:t>щих субъектов на рынке является объем продаж (поставок). Иные показатели используются в тех случаях, когда из-за отраслевых осо</w:t>
      </w:r>
      <w:r w:rsidRPr="00350396">
        <w:rPr>
          <w:rFonts w:ascii="Bookman Old Style" w:eastAsia="Bookman Old Style" w:hAnsi="Bookman Old Style" w:cs="Bookman Old Style"/>
          <w:color w:val="231F20"/>
          <w:sz w:val="18"/>
          <w:szCs w:val="18"/>
        </w:rPr>
        <w:softHyphen/>
        <w:t>бенностей они позволяют более точно охарактеризовать положение хозяйствующих субъектов на рассматриваемом товарном рынке с точки зрения конкуренции.</w:t>
      </w:r>
    </w:p>
    <w:p w14:paraId="59C1741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Отметим также, что расчет показателей может осуществляться в натуральном, стоимостном выражении, а также в условных рас</w:t>
      </w:r>
      <w:r w:rsidRPr="00350396">
        <w:rPr>
          <w:rFonts w:ascii="Bookman Old Style" w:eastAsia="Bookman Old Style" w:hAnsi="Bookman Old Style" w:cs="Bookman Old Style"/>
          <w:color w:val="231F20"/>
          <w:sz w:val="18"/>
          <w:szCs w:val="18"/>
        </w:rPr>
        <w:softHyphen/>
        <w:t>четных единицах, которые обеспечивают сопоставимость данных по различным товарам из группы взаимозаменяемых товаров, по различным продавцам и приобретателям.</w:t>
      </w:r>
    </w:p>
    <w:p w14:paraId="6D8F48E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После расчета всех рассмотренных выше показателей ФАС опре</w:t>
      </w:r>
      <w:r w:rsidRPr="00350396">
        <w:rPr>
          <w:rFonts w:ascii="Bookman Old Style" w:eastAsia="Bookman Old Style" w:hAnsi="Bookman Old Style" w:cs="Bookman Old Style"/>
          <w:color w:val="231F20"/>
          <w:sz w:val="18"/>
          <w:szCs w:val="18"/>
        </w:rPr>
        <w:softHyphen/>
        <w:t>деляет долю хозяйствующего субъекта на товарном рынке. Доля рассчитывается как отношение показателя, характеризующего объ</w:t>
      </w:r>
      <w:r w:rsidRPr="00350396">
        <w:rPr>
          <w:rFonts w:ascii="Bookman Old Style" w:eastAsia="Bookman Old Style" w:hAnsi="Bookman Old Style" w:cs="Bookman Old Style"/>
          <w:color w:val="231F20"/>
          <w:sz w:val="18"/>
          <w:szCs w:val="18"/>
        </w:rPr>
        <w:softHyphen/>
        <w:t xml:space="preserve">ем </w:t>
      </w:r>
      <w:r w:rsidRPr="00350396">
        <w:rPr>
          <w:rFonts w:ascii="Bookman Old Style" w:eastAsia="Bookman Old Style" w:hAnsi="Bookman Old Style" w:cs="Bookman Old Style"/>
          <w:color w:val="231F20"/>
          <w:sz w:val="18"/>
          <w:szCs w:val="18"/>
        </w:rPr>
        <w:lastRenderedPageBreak/>
        <w:t>товарной массы, поставляемой данным хозяйствующим субъек</w:t>
      </w:r>
      <w:r w:rsidRPr="00350396">
        <w:rPr>
          <w:rFonts w:ascii="Bookman Old Style" w:eastAsia="Bookman Old Style" w:hAnsi="Bookman Old Style" w:cs="Bookman Old Style"/>
          <w:color w:val="231F20"/>
          <w:sz w:val="18"/>
          <w:szCs w:val="18"/>
        </w:rPr>
        <w:softHyphen/>
        <w:t>том на рассматриваемый товарный рынок, к показателю, характе</w:t>
      </w:r>
      <w:r w:rsidRPr="00350396">
        <w:rPr>
          <w:rFonts w:ascii="Bookman Old Style" w:eastAsia="Bookman Old Style" w:hAnsi="Bookman Old Style" w:cs="Bookman Old Style"/>
          <w:color w:val="231F20"/>
          <w:sz w:val="18"/>
          <w:szCs w:val="18"/>
        </w:rPr>
        <w:softHyphen/>
        <w:t>ризующему объем рассматриваемого товарного рынка, выраженное в процентах.</w:t>
      </w:r>
    </w:p>
    <w:p w14:paraId="2CEDC39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Такая доля хозяйствующего субъекта (группы лиц) должна опре</w:t>
      </w:r>
      <w:r w:rsidRPr="00350396">
        <w:rPr>
          <w:rFonts w:ascii="Bookman Old Style" w:eastAsia="Bookman Old Style" w:hAnsi="Bookman Old Style" w:cs="Bookman Old Style"/>
          <w:color w:val="231F20"/>
          <w:sz w:val="18"/>
          <w:szCs w:val="18"/>
        </w:rPr>
        <w:softHyphen/>
        <w:t>деляться на некотором временном интервале и в продуктовых и ге</w:t>
      </w:r>
      <w:r w:rsidRPr="00350396">
        <w:rPr>
          <w:rFonts w:ascii="Bookman Old Style" w:eastAsia="Bookman Old Style" w:hAnsi="Bookman Old Style" w:cs="Bookman Old Style"/>
          <w:color w:val="231F20"/>
          <w:sz w:val="18"/>
          <w:szCs w:val="18"/>
        </w:rPr>
        <w:softHyphen/>
        <w:t>ографических границах.</w:t>
      </w:r>
    </w:p>
    <w:p w14:paraId="3875CF9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ФАС регулярно определяет следующие коэффициен</w:t>
      </w:r>
      <w:r w:rsidRPr="00350396">
        <w:rPr>
          <w:rFonts w:ascii="Bookman Old Style" w:eastAsia="Bookman Old Style" w:hAnsi="Bookman Old Style" w:cs="Bookman Old Style"/>
          <w:color w:val="231F20"/>
          <w:sz w:val="18"/>
          <w:szCs w:val="18"/>
        </w:rPr>
        <w:softHyphen/>
        <w:t>ты структуры товарного рынка:</w:t>
      </w:r>
    </w:p>
    <w:p w14:paraId="1AA91212" w14:textId="77777777" w:rsidR="00350396" w:rsidRPr="00350396" w:rsidRDefault="00350396" w:rsidP="00350396">
      <w:pPr>
        <w:widowControl w:val="0"/>
        <w:numPr>
          <w:ilvl w:val="0"/>
          <w:numId w:val="104"/>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коэффициент рыночной концентрации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CR</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 xml:space="preserve">— </w:t>
      </w:r>
      <w:r w:rsidRPr="00350396">
        <w:rPr>
          <w:rFonts w:ascii="Bookman Old Style" w:eastAsia="Bookman Old Style" w:hAnsi="Bookman Old Style" w:cs="Bookman Old Style"/>
          <w:i/>
          <w:iCs/>
          <w:color w:val="231F20"/>
          <w:sz w:val="18"/>
          <w:szCs w:val="18"/>
          <w:lang w:val="en-US" w:eastAsia="en-US" w:bidi="en-US"/>
        </w:rPr>
        <w:t>concentration</w:t>
      </w:r>
      <w:r w:rsidRPr="00350396">
        <w:rPr>
          <w:rFonts w:ascii="Bookman Old Style" w:eastAsia="Bookman Old Style" w:hAnsi="Bookman Old Style" w:cs="Bookman Old Style"/>
          <w:i/>
          <w:iCs/>
          <w:color w:val="231F20"/>
          <w:sz w:val="18"/>
          <w:szCs w:val="18"/>
          <w:lang w:eastAsia="en-US" w:bidi="en-US"/>
        </w:rPr>
        <w:t xml:space="preserve"> </w:t>
      </w:r>
      <w:r w:rsidRPr="00350396">
        <w:rPr>
          <w:rFonts w:ascii="Bookman Old Style" w:eastAsia="Bookman Old Style" w:hAnsi="Bookman Old Style" w:cs="Bookman Old Style"/>
          <w:i/>
          <w:iCs/>
          <w:color w:val="231F20"/>
          <w:sz w:val="18"/>
          <w:szCs w:val="18"/>
          <w:lang w:val="en-US" w:eastAsia="en-US" w:bidi="en-US"/>
        </w:rPr>
        <w:t>ratio</w:t>
      </w:r>
      <w:r w:rsidRPr="00350396">
        <w:rPr>
          <w:rFonts w:ascii="Bookman Old Style" w:eastAsia="Bookman Old Style" w:hAnsi="Bookman Old Style" w:cs="Bookman Old Style"/>
          <w:i/>
          <w:iCs/>
          <w:color w:val="231F20"/>
          <w:sz w:val="18"/>
          <w:szCs w:val="18"/>
          <w:lang w:eastAsia="en-US" w:bidi="en-US"/>
        </w:rPr>
        <w:t>);</w:t>
      </w:r>
    </w:p>
    <w:p w14:paraId="632703F2" w14:textId="77777777" w:rsidR="00350396" w:rsidRPr="00350396" w:rsidRDefault="00350396" w:rsidP="00350396">
      <w:pPr>
        <w:widowControl w:val="0"/>
        <w:numPr>
          <w:ilvl w:val="0"/>
          <w:numId w:val="104"/>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индекс рыночной концентрации Герфиндаля — Гиршмана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HHI</w:t>
      </w:r>
      <w:r w:rsidRPr="00350396">
        <w:rPr>
          <w:rFonts w:ascii="Bookman Old Style" w:eastAsia="Bookman Old Style" w:hAnsi="Bookman Old Style" w:cs="Bookman Old Style"/>
          <w:i/>
          <w:iCs/>
          <w:color w:val="231F20"/>
          <w:sz w:val="18"/>
          <w:szCs w:val="18"/>
          <w:lang w:eastAsia="en-US" w:bidi="en-US"/>
        </w:rPr>
        <w:t>);</w:t>
      </w:r>
    </w:p>
    <w:p w14:paraId="6ACF38B9" w14:textId="77777777" w:rsidR="00350396" w:rsidRPr="00350396" w:rsidRDefault="00350396" w:rsidP="00350396">
      <w:pPr>
        <w:widowControl w:val="0"/>
        <w:numPr>
          <w:ilvl w:val="0"/>
          <w:numId w:val="104"/>
        </w:numPr>
        <w:tabs>
          <w:tab w:val="left" w:pos="642"/>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иные показатели рыночной концентрации.</w:t>
      </w:r>
    </w:p>
    <w:p w14:paraId="2ABFFAEF" w14:textId="77777777" w:rsidR="00350396" w:rsidRPr="00350396" w:rsidRDefault="00350396" w:rsidP="00350396">
      <w:pPr>
        <w:widowControl w:val="0"/>
        <w:spacing w:line="250" w:lineRule="exact"/>
        <w:ind w:firstLine="320"/>
        <w:rPr>
          <w:rFonts w:ascii="Bookman Old Style" w:eastAsia="Bookman Old Style" w:hAnsi="Bookman Old Style" w:cs="Bookman Old Style"/>
          <w:i/>
          <w:iCs/>
          <w:sz w:val="18"/>
          <w:szCs w:val="18"/>
        </w:rPr>
      </w:pPr>
      <w:r w:rsidRPr="00350396">
        <w:rPr>
          <w:rFonts w:ascii="Bookman Old Style" w:eastAsia="Bookman Old Style" w:hAnsi="Bookman Old Style" w:cs="Bookman Old Style"/>
          <w:i/>
          <w:iCs/>
          <w:color w:val="231F20"/>
          <w:sz w:val="18"/>
          <w:szCs w:val="18"/>
        </w:rPr>
        <w:t xml:space="preserve">Коэффициент рыночной концентрации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CR</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 это сумма долей</w:t>
      </w:r>
    </w:p>
    <w:p w14:paraId="220A61B1" w14:textId="77777777" w:rsidR="00350396" w:rsidRPr="00350396" w:rsidRDefault="00350396" w:rsidP="00350396">
      <w:pPr>
        <w:widowControl w:val="0"/>
        <w:spacing w:after="358" w:line="250" w:lineRule="exact"/>
        <w:ind w:firstLine="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 товарном рынке (выраженных в процентах) определенного чис</w:t>
      </w:r>
      <w:r w:rsidRPr="00350396">
        <w:rPr>
          <w:rFonts w:ascii="Bookman Old Style" w:eastAsia="Bookman Old Style" w:hAnsi="Bookman Old Style" w:cs="Bookman Old Style"/>
          <w:color w:val="231F20"/>
          <w:sz w:val="18"/>
          <w:szCs w:val="18"/>
        </w:rPr>
        <w:softHyphen/>
        <w:t xml:space="preserve">ла </w:t>
      </w:r>
      <w:r w:rsidRPr="00350396">
        <w:rPr>
          <w:rFonts w:ascii="Bookman Old Style" w:eastAsia="Bookman Old Style" w:hAnsi="Bookman Old Style" w:cs="Bookman Old Style"/>
          <w:color w:val="231F20"/>
          <w:sz w:val="18"/>
          <w:szCs w:val="18"/>
          <w:lang w:eastAsia="en-US" w:bidi="en-US"/>
        </w:rPr>
        <w:t>(</w:t>
      </w:r>
      <w:r w:rsidRPr="00350396">
        <w:rPr>
          <w:rFonts w:ascii="Bookman Old Style" w:eastAsia="Bookman Old Style" w:hAnsi="Bookman Old Style" w:cs="Bookman Old Style"/>
          <w:color w:val="231F20"/>
          <w:sz w:val="18"/>
          <w:szCs w:val="18"/>
          <w:lang w:val="en-US" w:eastAsia="en-US" w:bidi="en-US"/>
        </w:rPr>
        <w:t>n</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крупнейших хозяйствующих субъектов, действующих на дан</w:t>
      </w:r>
      <w:r w:rsidRPr="00350396">
        <w:rPr>
          <w:rFonts w:ascii="Bookman Old Style" w:eastAsia="Bookman Old Style" w:hAnsi="Bookman Old Style" w:cs="Bookman Old Style"/>
          <w:color w:val="231F20"/>
          <w:sz w:val="18"/>
          <w:szCs w:val="18"/>
        </w:rPr>
        <w:softHyphen/>
        <w:t>ном рынке (п. 7.1 приказа № 220):</w:t>
      </w:r>
    </w:p>
    <w:p w14:paraId="035285FE" w14:textId="77777777" w:rsidR="00350396" w:rsidRPr="00350396" w:rsidRDefault="00350396" w:rsidP="00350396">
      <w:pPr>
        <w:widowControl w:val="0"/>
        <w:tabs>
          <w:tab w:val="left" w:pos="6112"/>
        </w:tabs>
        <w:spacing w:line="202" w:lineRule="exact"/>
        <w:ind w:left="2740" w:firstLine="0"/>
        <w:rPr>
          <w:rFonts w:ascii="Bookman Old Style" w:eastAsia="Bookman Old Style" w:hAnsi="Bookman Old Style" w:cs="Bookman Old Style"/>
          <w:i/>
          <w:iCs/>
          <w:sz w:val="18"/>
          <w:szCs w:val="18"/>
        </w:rPr>
      </w:pPr>
      <w:r w:rsidRPr="00350396">
        <w:rPr>
          <w:rFonts w:ascii="Bookman Old Style" w:eastAsia="Bookman Old Style" w:hAnsi="Bookman Old Style" w:cs="Bookman Old Style"/>
          <w:i/>
          <w:iCs/>
          <w:sz w:val="18"/>
          <w:szCs w:val="18"/>
          <w:lang w:val="en-US" w:eastAsia="en-US" w:bidi="en-US"/>
        </w:rPr>
        <w:t>CR</w:t>
      </w:r>
      <w:r w:rsidRPr="00350396">
        <w:rPr>
          <w:rFonts w:ascii="Bookman Old Style" w:eastAsia="Bookman Old Style" w:hAnsi="Bookman Old Style" w:cs="Bookman Old Style"/>
          <w:i/>
          <w:iCs/>
          <w:sz w:val="18"/>
          <w:szCs w:val="18"/>
          <w:lang w:eastAsia="en-US" w:bidi="en-US"/>
        </w:rPr>
        <w:t xml:space="preserve"> </w:t>
      </w:r>
      <w:r w:rsidRPr="00350396">
        <w:rPr>
          <w:rFonts w:ascii="Bookman Old Style" w:eastAsia="Bookman Old Style" w:hAnsi="Bookman Old Style" w:cs="Bookman Old Style"/>
          <w:i/>
          <w:iCs/>
          <w:sz w:val="18"/>
          <w:szCs w:val="18"/>
        </w:rPr>
        <w:t xml:space="preserve">= </w:t>
      </w:r>
      <w:r w:rsidRPr="00350396">
        <w:rPr>
          <w:rFonts w:ascii="Bookman Old Style" w:eastAsia="Bookman Old Style" w:hAnsi="Bookman Old Style" w:cs="Bookman Old Style"/>
          <w:i/>
          <w:iCs/>
          <w:sz w:val="18"/>
          <w:szCs w:val="18"/>
          <w:lang w:val="en-US" w:eastAsia="en-US" w:bidi="en-US"/>
        </w:rPr>
        <w:t>SUM</w:t>
      </w:r>
      <w:r w:rsidRPr="00350396">
        <w:rPr>
          <w:rFonts w:ascii="Bookman Old Style" w:eastAsia="Bookman Old Style" w:hAnsi="Bookman Old Style" w:cs="Bookman Old Style"/>
          <w:i/>
          <w:iCs/>
          <w:sz w:val="18"/>
          <w:szCs w:val="18"/>
          <w:lang w:eastAsia="en-US" w:bidi="en-US"/>
        </w:rPr>
        <w:t xml:space="preserve"> </w:t>
      </w:r>
      <w:r w:rsidRPr="00350396">
        <w:rPr>
          <w:rFonts w:ascii="Bookman Old Style" w:eastAsia="Bookman Old Style" w:hAnsi="Bookman Old Style" w:cs="Bookman Old Style"/>
          <w:i/>
          <w:iCs/>
          <w:sz w:val="18"/>
          <w:szCs w:val="18"/>
        </w:rPr>
        <w:t xml:space="preserve">■ </w:t>
      </w:r>
      <w:r w:rsidRPr="00350396">
        <w:rPr>
          <w:rFonts w:ascii="Bookman Old Style" w:eastAsia="Bookman Old Style" w:hAnsi="Bookman Old Style" w:cs="Bookman Old Style"/>
          <w:i/>
          <w:iCs/>
          <w:sz w:val="18"/>
          <w:szCs w:val="18"/>
          <w:lang w:val="en-US" w:eastAsia="en-US" w:bidi="en-US"/>
        </w:rPr>
        <w:t>D</w:t>
      </w:r>
      <w:r w:rsidRPr="00350396">
        <w:rPr>
          <w:rFonts w:ascii="Bookman Old Style" w:eastAsia="Bookman Old Style" w:hAnsi="Bookman Old Style" w:cs="Bookman Old Style"/>
          <w:i/>
          <w:iCs/>
          <w:sz w:val="18"/>
          <w:szCs w:val="18"/>
          <w:lang w:eastAsia="en-US" w:bidi="en-US"/>
        </w:rPr>
        <w:t>,</w:t>
      </w:r>
      <w:r w:rsidRPr="00350396">
        <w:rPr>
          <w:rFonts w:ascii="Bookman Old Style" w:eastAsia="Bookman Old Style" w:hAnsi="Bookman Old Style" w:cs="Bookman Old Style"/>
          <w:sz w:val="18"/>
          <w:szCs w:val="18"/>
          <w:lang w:eastAsia="en-US" w:bidi="en-US"/>
        </w:rPr>
        <w:tab/>
      </w:r>
      <w:r w:rsidRPr="00350396">
        <w:rPr>
          <w:rFonts w:ascii="Bookman Old Style" w:eastAsia="Bookman Old Style" w:hAnsi="Bookman Old Style" w:cs="Bookman Old Style"/>
          <w:color w:val="231F20"/>
          <w:sz w:val="18"/>
          <w:szCs w:val="18"/>
        </w:rPr>
        <w:t>(5.1)</w:t>
      </w:r>
    </w:p>
    <w:p w14:paraId="0FEB07B7" w14:textId="77777777" w:rsidR="00350396" w:rsidRPr="00350396" w:rsidRDefault="00350396" w:rsidP="00350396">
      <w:pPr>
        <w:widowControl w:val="0"/>
        <w:tabs>
          <w:tab w:val="left" w:pos="3273"/>
        </w:tabs>
        <w:spacing w:after="120" w:line="200" w:lineRule="exact"/>
        <w:ind w:left="2860" w:firstLine="0"/>
        <w:rPr>
          <w:rFonts w:ascii="Bookman Old Style" w:eastAsia="Bookman Old Style" w:hAnsi="Bookman Old Style" w:cs="Bookman Old Style"/>
          <w:i/>
          <w:iCs/>
          <w:sz w:val="18"/>
          <w:szCs w:val="18"/>
        </w:rPr>
      </w:pPr>
      <w:r w:rsidRPr="00350396">
        <w:rPr>
          <w:rFonts w:ascii="Bookman Old Style" w:eastAsia="Bookman Old Style" w:hAnsi="Bookman Old Style" w:cs="Bookman Old Style"/>
          <w:i/>
          <w:iCs/>
          <w:sz w:val="18"/>
          <w:szCs w:val="18"/>
          <w:lang w:val="en-US" w:eastAsia="en-US" w:bidi="en-US"/>
        </w:rPr>
        <w:t>n</w:t>
      </w:r>
      <w:r w:rsidRPr="00350396">
        <w:rPr>
          <w:rFonts w:ascii="Bookman Old Style" w:eastAsia="Bookman Old Style" w:hAnsi="Bookman Old Style" w:cs="Bookman Old Style"/>
          <w:i/>
          <w:iCs/>
          <w:sz w:val="18"/>
          <w:szCs w:val="18"/>
          <w:lang w:eastAsia="en-US" w:bidi="en-US"/>
        </w:rPr>
        <w:tab/>
      </w:r>
      <w:r w:rsidRPr="00350396">
        <w:rPr>
          <w:rFonts w:ascii="Bookman Old Style" w:eastAsia="Bookman Old Style" w:hAnsi="Bookman Old Style" w:cs="Bookman Old Style"/>
          <w:i/>
          <w:iCs/>
          <w:sz w:val="18"/>
          <w:szCs w:val="18"/>
          <w:lang w:val="en-US" w:eastAsia="en-US" w:bidi="en-US"/>
        </w:rPr>
        <w:t>i</w:t>
      </w:r>
      <w:r w:rsidRPr="00350396">
        <w:rPr>
          <w:rFonts w:ascii="Bookman Old Style" w:eastAsia="Bookman Old Style" w:hAnsi="Bookman Old Style" w:cs="Bookman Old Style"/>
          <w:i/>
          <w:iCs/>
          <w:sz w:val="18"/>
          <w:szCs w:val="18"/>
          <w:lang w:eastAsia="en-US" w:bidi="en-US"/>
        </w:rPr>
        <w:t xml:space="preserve">=1 </w:t>
      </w:r>
      <w:r w:rsidRPr="00350396">
        <w:rPr>
          <w:rFonts w:ascii="Bookman Old Style" w:eastAsia="Bookman Old Style" w:hAnsi="Bookman Old Style" w:cs="Bookman Old Style"/>
          <w:i/>
          <w:iCs/>
          <w:sz w:val="18"/>
          <w:szCs w:val="18"/>
          <w:lang w:val="en-US" w:eastAsia="en-US" w:bidi="en-US"/>
        </w:rPr>
        <w:t>i</w:t>
      </w:r>
    </w:p>
    <w:p w14:paraId="4693B1ED" w14:textId="77777777" w:rsidR="00350396" w:rsidRPr="00350396" w:rsidRDefault="00350396" w:rsidP="00350396">
      <w:pPr>
        <w:widowControl w:val="0"/>
        <w:spacing w:line="250" w:lineRule="exact"/>
        <w:ind w:firstLine="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где </w:t>
      </w:r>
      <w:r w:rsidRPr="00350396">
        <w:rPr>
          <w:rFonts w:ascii="Bookman Old Style" w:eastAsia="Bookman Old Style" w:hAnsi="Bookman Old Style" w:cs="Bookman Old Style"/>
          <w:i/>
          <w:iCs/>
          <w:color w:val="231F20"/>
          <w:sz w:val="18"/>
          <w:szCs w:val="18"/>
          <w:lang w:val="en-US" w:eastAsia="en-US" w:bidi="en-US"/>
        </w:rPr>
        <w:t>D</w:t>
      </w:r>
      <w:r w:rsidRPr="00350396">
        <w:rPr>
          <w:rFonts w:ascii="Bookman Old Style" w:eastAsia="Bookman Old Style" w:hAnsi="Bookman Old Style" w:cs="Bookman Old Style"/>
          <w:color w:val="231F20"/>
          <w:sz w:val="18"/>
          <w:szCs w:val="18"/>
          <w:lang w:eastAsia="en-US" w:bidi="en-US"/>
        </w:rPr>
        <w:t xml:space="preserve"> — </w:t>
      </w:r>
      <w:r w:rsidRPr="00350396">
        <w:rPr>
          <w:rFonts w:ascii="Bookman Old Style" w:eastAsia="Bookman Old Style" w:hAnsi="Bookman Old Style" w:cs="Bookman Old Style"/>
          <w:color w:val="231F20"/>
          <w:sz w:val="18"/>
          <w:szCs w:val="18"/>
        </w:rPr>
        <w:t xml:space="preserve">выраженная в процентах доля </w:t>
      </w:r>
      <w:r w:rsidRPr="00350396">
        <w:rPr>
          <w:rFonts w:ascii="Bookman Old Style" w:eastAsia="Bookman Old Style" w:hAnsi="Bookman Old Style" w:cs="Bookman Old Style"/>
          <w:color w:val="231F20"/>
          <w:sz w:val="18"/>
          <w:szCs w:val="18"/>
          <w:lang w:val="en-US" w:eastAsia="en-US" w:bidi="en-US"/>
        </w:rPr>
        <w:t>i</w:t>
      </w:r>
      <w:r w:rsidRPr="00350396">
        <w:rPr>
          <w:rFonts w:ascii="Bookman Old Style" w:eastAsia="Bookman Old Style" w:hAnsi="Bookman Old Style" w:cs="Bookman Old Style"/>
          <w:color w:val="231F20"/>
          <w:sz w:val="18"/>
          <w:szCs w:val="18"/>
        </w:rPr>
        <w:t>-го крупнейшего хозяйству</w:t>
      </w:r>
      <w:r w:rsidRPr="00350396">
        <w:rPr>
          <w:rFonts w:ascii="Bookman Old Style" w:eastAsia="Bookman Old Style" w:hAnsi="Bookman Old Style" w:cs="Bookman Old Style"/>
          <w:color w:val="231F20"/>
          <w:sz w:val="18"/>
          <w:szCs w:val="18"/>
        </w:rPr>
        <w:softHyphen/>
        <w:t>ющего субъекта, действующего на товарном рынке.</w:t>
      </w:r>
    </w:p>
    <w:p w14:paraId="2B1DB5A7" w14:textId="77777777" w:rsidR="00350396" w:rsidRPr="00350396" w:rsidRDefault="00350396" w:rsidP="00350396">
      <w:pPr>
        <w:widowControl w:val="0"/>
        <w:spacing w:after="200"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8"/>
          <w:szCs w:val="18"/>
        </w:rPr>
        <w:t>Индекс рыночной концентрации Герфиндаля</w:t>
      </w:r>
      <w:r w:rsidRPr="00350396">
        <w:rPr>
          <w:rFonts w:ascii="Bookman Old Style" w:eastAsia="Bookman Old Style" w:hAnsi="Bookman Old Style" w:cs="Bookman Old Style"/>
          <w:color w:val="231F20"/>
          <w:sz w:val="18"/>
          <w:szCs w:val="18"/>
        </w:rPr>
        <w:t xml:space="preserve"> — </w:t>
      </w:r>
      <w:r w:rsidRPr="00350396">
        <w:rPr>
          <w:rFonts w:ascii="Bookman Old Style" w:eastAsia="Bookman Old Style" w:hAnsi="Bookman Old Style" w:cs="Bookman Old Style"/>
          <w:i/>
          <w:iCs/>
          <w:color w:val="231F20"/>
          <w:sz w:val="18"/>
          <w:szCs w:val="18"/>
        </w:rPr>
        <w:t xml:space="preserve">Гиршмана </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i/>
          <w:iCs/>
          <w:color w:val="231F20"/>
          <w:sz w:val="18"/>
          <w:szCs w:val="18"/>
          <w:lang w:val="en-US" w:eastAsia="en-US" w:bidi="en-US"/>
        </w:rPr>
        <w:t>HHI</w:t>
      </w:r>
      <w:r w:rsidRPr="00350396">
        <w:rPr>
          <w:rFonts w:ascii="Bookman Old Style" w:eastAsia="Bookman Old Style" w:hAnsi="Bookman Old Style" w:cs="Bookman Old Style"/>
          <w:i/>
          <w:iCs/>
          <w:color w:val="231F20"/>
          <w:sz w:val="18"/>
          <w:szCs w:val="18"/>
          <w:lang w:eastAsia="en-US" w:bidi="en-US"/>
        </w:rPr>
        <w:t>)</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 сумма квадратов долей (выраженных в процентах) на то</w:t>
      </w:r>
      <w:r w:rsidRPr="00350396">
        <w:rPr>
          <w:rFonts w:ascii="Bookman Old Style" w:eastAsia="Bookman Old Style" w:hAnsi="Bookman Old Style" w:cs="Bookman Old Style"/>
          <w:color w:val="231F20"/>
          <w:sz w:val="18"/>
          <w:szCs w:val="18"/>
        </w:rPr>
        <w:softHyphen/>
        <w:t>варном рынке всех хозяйствующих субъектов, действующих на дан</w:t>
      </w:r>
      <w:r w:rsidRPr="00350396">
        <w:rPr>
          <w:rFonts w:ascii="Bookman Old Style" w:eastAsia="Bookman Old Style" w:hAnsi="Bookman Old Style" w:cs="Bookman Old Style"/>
          <w:color w:val="231F20"/>
          <w:sz w:val="18"/>
          <w:szCs w:val="18"/>
        </w:rPr>
        <w:softHyphen/>
        <w:t>ном рынке (п. 7.1 приказа ФАС России «Об утверждении Порядка проведения анализа состояния конкуренции на товарном рынке»):</w:t>
      </w:r>
    </w:p>
    <w:p w14:paraId="2DCE985E" w14:textId="77777777" w:rsidR="00350396" w:rsidRPr="00350396" w:rsidRDefault="00350396" w:rsidP="00350396">
      <w:pPr>
        <w:widowControl w:val="0"/>
        <w:spacing w:line="200" w:lineRule="exact"/>
        <w:ind w:left="3440" w:firstLine="0"/>
        <w:jc w:val="left"/>
        <w:rPr>
          <w:rFonts w:ascii="Bookman Old Style" w:eastAsia="Bookman Old Style" w:hAnsi="Bookman Old Style" w:cs="Bookman Old Style"/>
          <w:i/>
          <w:iCs/>
          <w:sz w:val="18"/>
          <w:szCs w:val="18"/>
        </w:rPr>
      </w:pPr>
      <w:r w:rsidRPr="00350396">
        <w:rPr>
          <w:rFonts w:ascii="Bookman Old Style" w:eastAsia="Bookman Old Style" w:hAnsi="Bookman Old Style" w:cs="Bookman Old Style"/>
          <w:i/>
          <w:iCs/>
          <w:sz w:val="18"/>
          <w:szCs w:val="18"/>
          <w:lang w:val="en-US" w:eastAsia="en-US" w:bidi="en-US"/>
        </w:rPr>
        <w:t>N</w:t>
      </w:r>
      <w:r w:rsidRPr="00350396">
        <w:rPr>
          <w:rFonts w:ascii="Bookman Old Style" w:eastAsia="Bookman Old Style" w:hAnsi="Bookman Old Style" w:cs="Bookman Old Style"/>
          <w:i/>
          <w:iCs/>
          <w:sz w:val="18"/>
          <w:szCs w:val="18"/>
          <w:lang w:eastAsia="en-US" w:bidi="en-US"/>
        </w:rPr>
        <w:t xml:space="preserve"> </w:t>
      </w:r>
      <w:r w:rsidRPr="00350396">
        <w:rPr>
          <w:rFonts w:ascii="Bookman Old Style" w:eastAsia="Bookman Old Style" w:hAnsi="Bookman Old Style" w:cs="Bookman Old Style"/>
          <w:i/>
          <w:iCs/>
          <w:sz w:val="18"/>
          <w:szCs w:val="18"/>
        </w:rPr>
        <w:t>2</w:t>
      </w:r>
    </w:p>
    <w:p w14:paraId="69B819AD" w14:textId="77777777" w:rsidR="00350396" w:rsidRPr="00350396" w:rsidRDefault="00350396" w:rsidP="00350396">
      <w:pPr>
        <w:widowControl w:val="0"/>
        <w:tabs>
          <w:tab w:val="left" w:pos="6112"/>
        </w:tabs>
        <w:spacing w:line="202" w:lineRule="exact"/>
        <w:ind w:left="2740" w:firstLine="0"/>
        <w:rPr>
          <w:rFonts w:ascii="Bookman Old Style" w:eastAsia="Bookman Old Style" w:hAnsi="Bookman Old Style" w:cs="Bookman Old Style"/>
          <w:i/>
          <w:iCs/>
          <w:sz w:val="18"/>
          <w:szCs w:val="18"/>
        </w:rPr>
      </w:pPr>
      <w:r w:rsidRPr="00350396">
        <w:rPr>
          <w:rFonts w:ascii="Bookman Old Style" w:eastAsia="Bookman Old Style" w:hAnsi="Bookman Old Style" w:cs="Bookman Old Style"/>
          <w:i/>
          <w:iCs/>
          <w:sz w:val="18"/>
          <w:szCs w:val="18"/>
          <w:lang w:val="en-US" w:eastAsia="en-US" w:bidi="en-US"/>
        </w:rPr>
        <w:t>HHI</w:t>
      </w:r>
      <w:r w:rsidRPr="00350396">
        <w:rPr>
          <w:rFonts w:ascii="Bookman Old Style" w:eastAsia="Bookman Old Style" w:hAnsi="Bookman Old Style" w:cs="Bookman Old Style"/>
          <w:i/>
          <w:iCs/>
          <w:sz w:val="18"/>
          <w:szCs w:val="18"/>
          <w:lang w:eastAsia="en-US" w:bidi="en-US"/>
        </w:rPr>
        <w:t xml:space="preserve"> </w:t>
      </w:r>
      <w:r w:rsidRPr="00350396">
        <w:rPr>
          <w:rFonts w:ascii="Bookman Old Style" w:eastAsia="Bookman Old Style" w:hAnsi="Bookman Old Style" w:cs="Bookman Old Style"/>
          <w:i/>
          <w:iCs/>
          <w:sz w:val="18"/>
          <w:szCs w:val="18"/>
        </w:rPr>
        <w:t xml:space="preserve">= </w:t>
      </w:r>
      <w:r w:rsidRPr="00350396">
        <w:rPr>
          <w:rFonts w:ascii="Bookman Old Style" w:eastAsia="Bookman Old Style" w:hAnsi="Bookman Old Style" w:cs="Bookman Old Style"/>
          <w:i/>
          <w:iCs/>
          <w:sz w:val="18"/>
          <w:szCs w:val="18"/>
          <w:lang w:val="en-US" w:eastAsia="en-US" w:bidi="en-US"/>
        </w:rPr>
        <w:t>SUM</w:t>
      </w:r>
      <w:r w:rsidRPr="00350396">
        <w:rPr>
          <w:rFonts w:ascii="Bookman Old Style" w:eastAsia="Bookman Old Style" w:hAnsi="Bookman Old Style" w:cs="Bookman Old Style"/>
          <w:i/>
          <w:iCs/>
          <w:sz w:val="18"/>
          <w:szCs w:val="18"/>
        </w:rPr>
        <w:t xml:space="preserve">■ </w:t>
      </w:r>
      <w:r w:rsidRPr="00350396">
        <w:rPr>
          <w:rFonts w:ascii="Bookman Old Style" w:eastAsia="Bookman Old Style" w:hAnsi="Bookman Old Style" w:cs="Bookman Old Style"/>
          <w:i/>
          <w:iCs/>
          <w:sz w:val="18"/>
          <w:szCs w:val="18"/>
          <w:lang w:val="en-US" w:eastAsia="en-US" w:bidi="en-US"/>
        </w:rPr>
        <w:t>D</w:t>
      </w:r>
      <w:r w:rsidRPr="00350396">
        <w:rPr>
          <w:rFonts w:ascii="Bookman Old Style" w:eastAsia="Bookman Old Style" w:hAnsi="Bookman Old Style" w:cs="Bookman Old Style"/>
          <w:i/>
          <w:iCs/>
          <w:sz w:val="18"/>
          <w:szCs w:val="18"/>
          <w:lang w:eastAsia="en-US" w:bidi="en-US"/>
        </w:rPr>
        <w:t>,</w:t>
      </w:r>
      <w:r w:rsidRPr="00350396">
        <w:rPr>
          <w:rFonts w:ascii="Bookman Old Style" w:eastAsia="Bookman Old Style" w:hAnsi="Bookman Old Style" w:cs="Bookman Old Style"/>
          <w:sz w:val="18"/>
          <w:szCs w:val="18"/>
          <w:lang w:eastAsia="en-US" w:bidi="en-US"/>
        </w:rPr>
        <w:tab/>
      </w:r>
      <w:r w:rsidRPr="00350396">
        <w:rPr>
          <w:rFonts w:ascii="Bookman Old Style" w:eastAsia="Bookman Old Style" w:hAnsi="Bookman Old Style" w:cs="Bookman Old Style"/>
          <w:color w:val="231F20"/>
          <w:sz w:val="18"/>
          <w:szCs w:val="18"/>
        </w:rPr>
        <w:t>(5.2)</w:t>
      </w:r>
    </w:p>
    <w:p w14:paraId="56BDDF48" w14:textId="77777777" w:rsidR="00350396" w:rsidRPr="00350396" w:rsidRDefault="00350396" w:rsidP="00350396">
      <w:pPr>
        <w:widowControl w:val="0"/>
        <w:spacing w:after="122" w:line="202" w:lineRule="exact"/>
        <w:ind w:left="3440" w:firstLine="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sz w:val="18"/>
          <w:szCs w:val="18"/>
          <w:lang w:val="en-US" w:eastAsia="en-US" w:bidi="en-US"/>
        </w:rPr>
        <w:t>i</w:t>
      </w:r>
      <w:r w:rsidRPr="00350396">
        <w:rPr>
          <w:rFonts w:ascii="Bookman Old Style" w:eastAsia="Bookman Old Style" w:hAnsi="Bookman Old Style" w:cs="Bookman Old Style"/>
          <w:sz w:val="18"/>
          <w:szCs w:val="18"/>
          <w:lang w:eastAsia="en-US" w:bidi="en-US"/>
        </w:rPr>
        <w:t xml:space="preserve">=1 </w:t>
      </w:r>
      <w:r w:rsidRPr="00350396">
        <w:rPr>
          <w:rFonts w:ascii="Bookman Old Style" w:eastAsia="Bookman Old Style" w:hAnsi="Bookman Old Style" w:cs="Bookman Old Style"/>
          <w:i/>
          <w:iCs/>
          <w:sz w:val="18"/>
          <w:szCs w:val="18"/>
          <w:lang w:val="en-US" w:eastAsia="en-US" w:bidi="en-US"/>
        </w:rPr>
        <w:t>i</w:t>
      </w:r>
    </w:p>
    <w:p w14:paraId="4D2BBA67" w14:textId="77777777" w:rsidR="00350396" w:rsidRPr="00350396" w:rsidRDefault="00350396" w:rsidP="00350396">
      <w:pPr>
        <w:widowControl w:val="0"/>
        <w:spacing w:line="250" w:lineRule="exact"/>
        <w:ind w:firstLine="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где </w:t>
      </w:r>
      <w:r w:rsidRPr="00350396">
        <w:rPr>
          <w:rFonts w:ascii="Bookman Old Style" w:eastAsia="Bookman Old Style" w:hAnsi="Bookman Old Style" w:cs="Bookman Old Style"/>
          <w:i/>
          <w:iCs/>
          <w:color w:val="231F20"/>
          <w:sz w:val="18"/>
          <w:szCs w:val="18"/>
          <w:lang w:val="en-US" w:eastAsia="en-US" w:bidi="en-US"/>
        </w:rPr>
        <w:t>D</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 xml:space="preserve">— выраженная в процентах доля </w:t>
      </w:r>
      <w:r w:rsidRPr="00350396">
        <w:rPr>
          <w:rFonts w:ascii="Bookman Old Style" w:eastAsia="Bookman Old Style" w:hAnsi="Bookman Old Style" w:cs="Bookman Old Style"/>
          <w:color w:val="231F20"/>
          <w:sz w:val="18"/>
          <w:szCs w:val="18"/>
          <w:lang w:val="en-US" w:eastAsia="en-US" w:bidi="en-US"/>
        </w:rPr>
        <w:t>i</w:t>
      </w:r>
      <w:r w:rsidRPr="00350396">
        <w:rPr>
          <w:rFonts w:ascii="Bookman Old Style" w:eastAsia="Bookman Old Style" w:hAnsi="Bookman Old Style" w:cs="Bookman Old Style"/>
          <w:color w:val="231F20"/>
          <w:sz w:val="18"/>
          <w:szCs w:val="18"/>
        </w:rPr>
        <w:t>-го хозяйствующего субъ</w:t>
      </w:r>
      <w:r w:rsidRPr="00350396">
        <w:rPr>
          <w:rFonts w:ascii="Bookman Old Style" w:eastAsia="Bookman Old Style" w:hAnsi="Bookman Old Style" w:cs="Bookman Old Style"/>
          <w:color w:val="231F20"/>
          <w:sz w:val="18"/>
          <w:szCs w:val="18"/>
        </w:rPr>
        <w:softHyphen/>
        <w:t xml:space="preserve">екта, действующего на товарном рынке; </w:t>
      </w:r>
      <w:r w:rsidRPr="00350396">
        <w:rPr>
          <w:rFonts w:ascii="Bookman Old Style" w:eastAsia="Bookman Old Style" w:hAnsi="Bookman Old Style" w:cs="Bookman Old Style"/>
          <w:i/>
          <w:iCs/>
          <w:color w:val="231F20"/>
          <w:sz w:val="18"/>
          <w:szCs w:val="18"/>
          <w:lang w:val="en-US" w:eastAsia="en-US" w:bidi="en-US"/>
        </w:rPr>
        <w:t>N</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 общее количество хо</w:t>
      </w:r>
      <w:r w:rsidRPr="00350396">
        <w:rPr>
          <w:rFonts w:ascii="Bookman Old Style" w:eastAsia="Bookman Old Style" w:hAnsi="Bookman Old Style" w:cs="Bookman Old Style"/>
          <w:color w:val="231F20"/>
          <w:sz w:val="18"/>
          <w:szCs w:val="18"/>
        </w:rPr>
        <w:softHyphen/>
        <w:t>зяйствующих субъектов, действующих на данном товарном рынке.</w:t>
      </w:r>
    </w:p>
    <w:p w14:paraId="219AD4D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Этот коэффициент учитывает не только численность предпри</w:t>
      </w:r>
      <w:r w:rsidRPr="00350396">
        <w:rPr>
          <w:rFonts w:ascii="Bookman Old Style" w:eastAsia="Bookman Old Style" w:hAnsi="Bookman Old Style" w:cs="Bookman Old Style"/>
          <w:color w:val="231F20"/>
          <w:sz w:val="18"/>
          <w:szCs w:val="18"/>
        </w:rPr>
        <w:softHyphen/>
        <w:t>ятий на рынке, но и такой важный показатель, как доля, занимае</w:t>
      </w:r>
      <w:r w:rsidRPr="00350396">
        <w:rPr>
          <w:rFonts w:ascii="Bookman Old Style" w:eastAsia="Bookman Old Style" w:hAnsi="Bookman Old Style" w:cs="Bookman Old Style"/>
          <w:color w:val="231F20"/>
          <w:sz w:val="18"/>
          <w:szCs w:val="18"/>
        </w:rPr>
        <w:softHyphen/>
        <w:t>мая предприятием на рынке. Это позволяет ему более точно отра</w:t>
      </w:r>
      <w:r w:rsidRPr="00350396">
        <w:rPr>
          <w:rFonts w:ascii="Bookman Old Style" w:eastAsia="Bookman Old Style" w:hAnsi="Bookman Old Style" w:cs="Bookman Old Style"/>
          <w:color w:val="231F20"/>
          <w:sz w:val="18"/>
          <w:szCs w:val="18"/>
        </w:rPr>
        <w:softHyphen/>
        <w:t>жать конкурентную ситуацию на различных рынках. Чем меньше расчетное значение индекса рыночной концентрации Герфинда- ля — Гиршмана, тем выше конкуренция на рассматриваемом рын</w:t>
      </w:r>
      <w:r w:rsidRPr="00350396">
        <w:rPr>
          <w:rFonts w:ascii="Bookman Old Style" w:eastAsia="Bookman Old Style" w:hAnsi="Bookman Old Style" w:cs="Bookman Old Style"/>
          <w:color w:val="231F20"/>
          <w:sz w:val="18"/>
          <w:szCs w:val="18"/>
        </w:rPr>
        <w:softHyphen/>
        <w:t>ке и тем меньше рыночная концентрация. Так, для конкурентного рынка данный индекс будет стремиться к единице.</w:t>
      </w:r>
    </w:p>
    <w:p w14:paraId="4BE30FC5" w14:textId="77777777" w:rsidR="00350396" w:rsidRPr="00350396" w:rsidRDefault="00350396" w:rsidP="00350396">
      <w:pPr>
        <w:widowControl w:val="0"/>
        <w:spacing w:line="245"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Уровни концентрации товарного рынка в соответствии со значе</w:t>
      </w:r>
      <w:r w:rsidRPr="00350396">
        <w:rPr>
          <w:rFonts w:ascii="Bookman Old Style" w:eastAsia="Bookman Old Style" w:hAnsi="Bookman Old Style" w:cs="Bookman Old Style"/>
          <w:color w:val="231F20"/>
          <w:sz w:val="18"/>
          <w:szCs w:val="18"/>
        </w:rPr>
        <w:softHyphen/>
        <w:t>ниями коэффициента рыночной концентрации и индекса рыночной концентрации Герфиндаля — Гиршмана представлены в табл. 5.1.</w:t>
      </w:r>
    </w:p>
    <w:p w14:paraId="60E0DB18" w14:textId="77777777" w:rsidR="00350396" w:rsidRPr="00350396" w:rsidRDefault="00350396" w:rsidP="00350396">
      <w:pPr>
        <w:widowControl w:val="0"/>
        <w:spacing w:line="192" w:lineRule="exact"/>
        <w:ind w:firstLine="0"/>
        <w:jc w:val="right"/>
        <w:rPr>
          <w:rFonts w:ascii="Arial Narrow" w:eastAsia="Arial Narrow" w:hAnsi="Arial Narrow" w:cs="Arial Narrow"/>
          <w:i/>
          <w:iCs/>
          <w:sz w:val="17"/>
          <w:szCs w:val="17"/>
        </w:rPr>
      </w:pPr>
      <w:r w:rsidRPr="00350396">
        <w:rPr>
          <w:rFonts w:ascii="Arial Narrow" w:eastAsia="Arial Narrow" w:hAnsi="Arial Narrow" w:cs="Arial Narrow"/>
          <w:i/>
          <w:iCs/>
          <w:color w:val="231F20"/>
          <w:sz w:val="17"/>
          <w:szCs w:val="17"/>
        </w:rPr>
        <w:t>Таблица 5.1</w:t>
      </w:r>
    </w:p>
    <w:p w14:paraId="2D422274" w14:textId="77777777" w:rsidR="00350396" w:rsidRPr="00350396" w:rsidRDefault="00350396" w:rsidP="00350396">
      <w:pPr>
        <w:framePr w:w="6581" w:wrap="notBeside" w:vAnchor="text" w:hAnchor="text" w:xAlign="center" w:y="1"/>
        <w:widowControl w:val="0"/>
        <w:spacing w:line="194" w:lineRule="exact"/>
        <w:ind w:firstLine="0"/>
        <w:jc w:val="left"/>
        <w:rPr>
          <w:rFonts w:ascii="Arial Narrow" w:eastAsia="Arial Narrow" w:hAnsi="Arial Narrow" w:cs="Arial Narrow"/>
          <w:b/>
          <w:bCs/>
          <w:sz w:val="17"/>
          <w:szCs w:val="17"/>
        </w:rPr>
      </w:pPr>
      <w:r w:rsidRPr="00350396">
        <w:rPr>
          <w:rFonts w:ascii="Arial Narrow" w:eastAsia="Arial Narrow" w:hAnsi="Arial Narrow" w:cs="Arial Narrow"/>
          <w:b/>
          <w:bCs/>
          <w:color w:val="231F20"/>
          <w:sz w:val="17"/>
          <w:szCs w:val="17"/>
        </w:rPr>
        <w:lastRenderedPageBreak/>
        <w:t>Уровни концентрации товарного рынка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32"/>
        <w:gridCol w:w="2054"/>
        <w:gridCol w:w="2294"/>
      </w:tblGrid>
      <w:tr w:rsidR="00350396" w:rsidRPr="00350396" w14:paraId="6109706E" w14:textId="77777777" w:rsidTr="006D7F71">
        <w:trPr>
          <w:trHeight w:hRule="exact" w:val="331"/>
          <w:jc w:val="center"/>
        </w:trPr>
        <w:tc>
          <w:tcPr>
            <w:tcW w:w="2232" w:type="dxa"/>
            <w:tcBorders>
              <w:top w:val="single" w:sz="4" w:space="0" w:color="auto"/>
              <w:left w:val="single" w:sz="4" w:space="0" w:color="auto"/>
            </w:tcBorders>
            <w:shd w:val="clear" w:color="auto" w:fill="FFFFFF"/>
            <w:vAlign w:val="bottom"/>
          </w:tcPr>
          <w:p w14:paraId="5D3083D8" w14:textId="77777777" w:rsidR="00350396" w:rsidRPr="00350396" w:rsidRDefault="00350396" w:rsidP="00350396">
            <w:pPr>
              <w:framePr w:w="6581" w:wrap="notBeside" w:vAnchor="text" w:hAnchor="text" w:xAlign="center" w:y="1"/>
              <w:widowControl w:val="0"/>
              <w:spacing w:line="176"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b/>
                <w:bCs/>
                <w:color w:val="231F20"/>
                <w:sz w:val="15"/>
                <w:szCs w:val="15"/>
              </w:rPr>
              <w:t>Уровень</w:t>
            </w:r>
          </w:p>
        </w:tc>
        <w:tc>
          <w:tcPr>
            <w:tcW w:w="2054" w:type="dxa"/>
            <w:tcBorders>
              <w:top w:val="single" w:sz="4" w:space="0" w:color="auto"/>
              <w:left w:val="single" w:sz="4" w:space="0" w:color="auto"/>
            </w:tcBorders>
            <w:shd w:val="clear" w:color="auto" w:fill="FFFFFF"/>
            <w:vAlign w:val="bottom"/>
          </w:tcPr>
          <w:p w14:paraId="293EEF27" w14:textId="77777777" w:rsidR="00350396" w:rsidRPr="00350396" w:rsidRDefault="00350396" w:rsidP="00350396">
            <w:pPr>
              <w:framePr w:w="6581" w:wrap="notBeside" w:vAnchor="text" w:hAnchor="text" w:xAlign="center" w:y="1"/>
              <w:widowControl w:val="0"/>
              <w:spacing w:line="176"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5"/>
                <w:szCs w:val="15"/>
                <w:lang w:val="en-US" w:eastAsia="en-US" w:bidi="en-US"/>
              </w:rPr>
              <w:t>CR,</w:t>
            </w:r>
            <w:r w:rsidRPr="00350396">
              <w:rPr>
                <w:rFonts w:ascii="Bookman Old Style" w:eastAsia="Bookman Old Style" w:hAnsi="Bookman Old Style" w:cs="Bookman Old Style"/>
                <w:color w:val="231F20"/>
                <w:sz w:val="15"/>
                <w:szCs w:val="15"/>
                <w:lang w:val="en-US" w:eastAsia="en-US" w:bidi="en-US"/>
              </w:rPr>
              <w:t xml:space="preserve"> </w:t>
            </w:r>
            <w:r w:rsidRPr="00350396">
              <w:rPr>
                <w:rFonts w:ascii="Bookman Old Style" w:eastAsia="Bookman Old Style" w:hAnsi="Bookman Old Style" w:cs="Bookman Old Style"/>
                <w:b/>
                <w:bCs/>
                <w:color w:val="231F20"/>
                <w:sz w:val="15"/>
                <w:szCs w:val="15"/>
              </w:rPr>
              <w:t>%</w:t>
            </w:r>
          </w:p>
        </w:tc>
        <w:tc>
          <w:tcPr>
            <w:tcW w:w="2294" w:type="dxa"/>
            <w:tcBorders>
              <w:top w:val="single" w:sz="4" w:space="0" w:color="auto"/>
              <w:left w:val="single" w:sz="4" w:space="0" w:color="auto"/>
              <w:right w:val="single" w:sz="4" w:space="0" w:color="auto"/>
            </w:tcBorders>
            <w:shd w:val="clear" w:color="auto" w:fill="FFFFFF"/>
            <w:vAlign w:val="bottom"/>
          </w:tcPr>
          <w:p w14:paraId="6E698468" w14:textId="77777777" w:rsidR="00350396" w:rsidRPr="00350396" w:rsidRDefault="00350396" w:rsidP="00350396">
            <w:pPr>
              <w:framePr w:w="6581" w:wrap="notBeside" w:vAnchor="text" w:hAnchor="text" w:xAlign="center" w:y="1"/>
              <w:widowControl w:val="0"/>
              <w:spacing w:line="166"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i/>
                <w:iCs/>
                <w:color w:val="231F20"/>
                <w:sz w:val="15"/>
                <w:szCs w:val="15"/>
                <w:lang w:val="en-US" w:eastAsia="en-US" w:bidi="en-US"/>
              </w:rPr>
              <w:t>HHI</w:t>
            </w:r>
          </w:p>
        </w:tc>
      </w:tr>
      <w:tr w:rsidR="00350396" w:rsidRPr="00350396" w14:paraId="3F7C1903" w14:textId="77777777" w:rsidTr="006D7F71">
        <w:trPr>
          <w:trHeight w:hRule="exact" w:val="322"/>
          <w:jc w:val="center"/>
        </w:trPr>
        <w:tc>
          <w:tcPr>
            <w:tcW w:w="2232" w:type="dxa"/>
            <w:tcBorders>
              <w:top w:val="single" w:sz="4" w:space="0" w:color="auto"/>
              <w:left w:val="single" w:sz="4" w:space="0" w:color="auto"/>
            </w:tcBorders>
            <w:shd w:val="clear" w:color="auto" w:fill="FFFFFF"/>
            <w:vAlign w:val="center"/>
          </w:tcPr>
          <w:p w14:paraId="422B2678" w14:textId="77777777" w:rsidR="00350396" w:rsidRPr="00350396" w:rsidRDefault="00350396" w:rsidP="00350396">
            <w:pPr>
              <w:framePr w:w="6581" w:wrap="notBeside" w:vAnchor="text" w:hAnchor="text" w:xAlign="center" w:y="1"/>
              <w:widowControl w:val="0"/>
              <w:spacing w:line="168" w:lineRule="exact"/>
              <w:ind w:firstLine="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Высокий</w:t>
            </w:r>
          </w:p>
        </w:tc>
        <w:tc>
          <w:tcPr>
            <w:tcW w:w="2054" w:type="dxa"/>
            <w:tcBorders>
              <w:top w:val="single" w:sz="4" w:space="0" w:color="auto"/>
              <w:left w:val="single" w:sz="4" w:space="0" w:color="auto"/>
            </w:tcBorders>
            <w:shd w:val="clear" w:color="auto" w:fill="FFFFFF"/>
            <w:vAlign w:val="center"/>
          </w:tcPr>
          <w:p w14:paraId="0C6FA2C3" w14:textId="77777777" w:rsidR="00350396" w:rsidRPr="00350396" w:rsidRDefault="00350396" w:rsidP="00350396">
            <w:pPr>
              <w:framePr w:w="6581" w:wrap="notBeside" w:vAnchor="text" w:hAnchor="text" w:xAlign="center" w:y="1"/>
              <w:widowControl w:val="0"/>
              <w:spacing w:line="168"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70—100</w:t>
            </w:r>
          </w:p>
        </w:tc>
        <w:tc>
          <w:tcPr>
            <w:tcW w:w="2294" w:type="dxa"/>
            <w:tcBorders>
              <w:top w:val="single" w:sz="4" w:space="0" w:color="auto"/>
              <w:left w:val="single" w:sz="4" w:space="0" w:color="auto"/>
              <w:right w:val="single" w:sz="4" w:space="0" w:color="auto"/>
            </w:tcBorders>
            <w:shd w:val="clear" w:color="auto" w:fill="FFFFFF"/>
            <w:vAlign w:val="center"/>
          </w:tcPr>
          <w:p w14:paraId="31C3CC29" w14:textId="77777777" w:rsidR="00350396" w:rsidRPr="00350396" w:rsidRDefault="00350396" w:rsidP="00350396">
            <w:pPr>
              <w:framePr w:w="6581" w:wrap="notBeside" w:vAnchor="text" w:hAnchor="text" w:xAlign="center" w:y="1"/>
              <w:widowControl w:val="0"/>
              <w:spacing w:line="168"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2000—10 000</w:t>
            </w:r>
          </w:p>
        </w:tc>
      </w:tr>
      <w:tr w:rsidR="00350396" w:rsidRPr="00350396" w14:paraId="20746CB3" w14:textId="77777777" w:rsidTr="006D7F71">
        <w:trPr>
          <w:trHeight w:hRule="exact" w:val="326"/>
          <w:jc w:val="center"/>
        </w:trPr>
        <w:tc>
          <w:tcPr>
            <w:tcW w:w="2232" w:type="dxa"/>
            <w:tcBorders>
              <w:top w:val="single" w:sz="4" w:space="0" w:color="auto"/>
              <w:left w:val="single" w:sz="4" w:space="0" w:color="auto"/>
            </w:tcBorders>
            <w:shd w:val="clear" w:color="auto" w:fill="FFFFFF"/>
            <w:vAlign w:val="center"/>
          </w:tcPr>
          <w:p w14:paraId="16D852F2" w14:textId="77777777" w:rsidR="00350396" w:rsidRPr="00350396" w:rsidRDefault="00350396" w:rsidP="00350396">
            <w:pPr>
              <w:framePr w:w="6581" w:wrap="notBeside" w:vAnchor="text" w:hAnchor="text" w:xAlign="center" w:y="1"/>
              <w:widowControl w:val="0"/>
              <w:spacing w:line="168" w:lineRule="exact"/>
              <w:ind w:firstLine="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Умеренный</w:t>
            </w:r>
          </w:p>
        </w:tc>
        <w:tc>
          <w:tcPr>
            <w:tcW w:w="2054" w:type="dxa"/>
            <w:tcBorders>
              <w:top w:val="single" w:sz="4" w:space="0" w:color="auto"/>
              <w:left w:val="single" w:sz="4" w:space="0" w:color="auto"/>
            </w:tcBorders>
            <w:shd w:val="clear" w:color="auto" w:fill="FFFFFF"/>
            <w:vAlign w:val="center"/>
          </w:tcPr>
          <w:p w14:paraId="03F2D300" w14:textId="77777777" w:rsidR="00350396" w:rsidRPr="00350396" w:rsidRDefault="00350396" w:rsidP="00350396">
            <w:pPr>
              <w:framePr w:w="6581" w:wrap="notBeside" w:vAnchor="text" w:hAnchor="text" w:xAlign="center" w:y="1"/>
              <w:widowControl w:val="0"/>
              <w:spacing w:line="168"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45—70</w:t>
            </w:r>
          </w:p>
        </w:tc>
        <w:tc>
          <w:tcPr>
            <w:tcW w:w="2294" w:type="dxa"/>
            <w:tcBorders>
              <w:top w:val="single" w:sz="4" w:space="0" w:color="auto"/>
              <w:left w:val="single" w:sz="4" w:space="0" w:color="auto"/>
              <w:right w:val="single" w:sz="4" w:space="0" w:color="auto"/>
            </w:tcBorders>
            <w:shd w:val="clear" w:color="auto" w:fill="FFFFFF"/>
            <w:vAlign w:val="center"/>
          </w:tcPr>
          <w:p w14:paraId="15956C9C" w14:textId="77777777" w:rsidR="00350396" w:rsidRPr="00350396" w:rsidRDefault="00350396" w:rsidP="00350396">
            <w:pPr>
              <w:framePr w:w="6581" w:wrap="notBeside" w:vAnchor="text" w:hAnchor="text" w:xAlign="center" w:y="1"/>
              <w:widowControl w:val="0"/>
              <w:spacing w:line="168"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1000—2000</w:t>
            </w:r>
          </w:p>
        </w:tc>
      </w:tr>
      <w:tr w:rsidR="00350396" w:rsidRPr="00350396" w14:paraId="70A98F4E" w14:textId="77777777" w:rsidTr="006D7F71">
        <w:trPr>
          <w:trHeight w:hRule="exact" w:val="336"/>
          <w:jc w:val="center"/>
        </w:trPr>
        <w:tc>
          <w:tcPr>
            <w:tcW w:w="2232" w:type="dxa"/>
            <w:tcBorders>
              <w:top w:val="single" w:sz="4" w:space="0" w:color="auto"/>
              <w:left w:val="single" w:sz="4" w:space="0" w:color="auto"/>
              <w:bottom w:val="single" w:sz="4" w:space="0" w:color="auto"/>
            </w:tcBorders>
            <w:shd w:val="clear" w:color="auto" w:fill="FFFFFF"/>
            <w:vAlign w:val="center"/>
          </w:tcPr>
          <w:p w14:paraId="2D7AC234" w14:textId="77777777" w:rsidR="00350396" w:rsidRPr="00350396" w:rsidRDefault="00350396" w:rsidP="00350396">
            <w:pPr>
              <w:framePr w:w="6581" w:wrap="notBeside" w:vAnchor="text" w:hAnchor="text" w:xAlign="center" w:y="1"/>
              <w:widowControl w:val="0"/>
              <w:spacing w:line="168" w:lineRule="exact"/>
              <w:ind w:firstLine="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Низкий</w:t>
            </w:r>
          </w:p>
        </w:tc>
        <w:tc>
          <w:tcPr>
            <w:tcW w:w="2054" w:type="dxa"/>
            <w:tcBorders>
              <w:top w:val="single" w:sz="4" w:space="0" w:color="auto"/>
              <w:left w:val="single" w:sz="4" w:space="0" w:color="auto"/>
              <w:bottom w:val="single" w:sz="4" w:space="0" w:color="auto"/>
            </w:tcBorders>
            <w:shd w:val="clear" w:color="auto" w:fill="FFFFFF"/>
            <w:vAlign w:val="center"/>
          </w:tcPr>
          <w:p w14:paraId="5979210D" w14:textId="77777777" w:rsidR="00350396" w:rsidRPr="00350396" w:rsidRDefault="00350396" w:rsidP="00350396">
            <w:pPr>
              <w:framePr w:w="6581" w:wrap="notBeside" w:vAnchor="text" w:hAnchor="text" w:xAlign="center" w:y="1"/>
              <w:widowControl w:val="0"/>
              <w:spacing w:line="168"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Менее 45</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center"/>
          </w:tcPr>
          <w:p w14:paraId="16F5D999" w14:textId="77777777" w:rsidR="00350396" w:rsidRPr="00350396" w:rsidRDefault="00350396" w:rsidP="00350396">
            <w:pPr>
              <w:framePr w:w="6581" w:wrap="notBeside" w:vAnchor="text" w:hAnchor="text" w:xAlign="center" w:y="1"/>
              <w:widowControl w:val="0"/>
              <w:spacing w:line="168"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5"/>
                <w:szCs w:val="15"/>
              </w:rPr>
              <w:t>Менее 1000</w:t>
            </w:r>
          </w:p>
        </w:tc>
      </w:tr>
    </w:tbl>
    <w:p w14:paraId="33EBA38A" w14:textId="77777777" w:rsidR="00350396" w:rsidRPr="00350396" w:rsidRDefault="00350396" w:rsidP="00350396">
      <w:pPr>
        <w:framePr w:w="6581" w:wrap="notBeside" w:vAnchor="text" w:hAnchor="text" w:xAlign="center" w:y="1"/>
        <w:widowControl w:val="0"/>
        <w:spacing w:line="240" w:lineRule="auto"/>
        <w:ind w:firstLine="0"/>
        <w:jc w:val="left"/>
        <w:rPr>
          <w:sz w:val="2"/>
          <w:szCs w:val="2"/>
        </w:rPr>
      </w:pPr>
    </w:p>
    <w:p w14:paraId="71EDB6E0" w14:textId="77777777" w:rsidR="00350396" w:rsidRPr="00350396" w:rsidRDefault="00350396" w:rsidP="00350396">
      <w:pPr>
        <w:widowControl w:val="0"/>
        <w:spacing w:line="240" w:lineRule="auto"/>
        <w:ind w:firstLine="0"/>
        <w:jc w:val="left"/>
        <w:rPr>
          <w:sz w:val="2"/>
          <w:szCs w:val="2"/>
        </w:rPr>
      </w:pPr>
    </w:p>
    <w:p w14:paraId="478DB619" w14:textId="77777777" w:rsidR="00350396" w:rsidRPr="00350396" w:rsidRDefault="00350396" w:rsidP="00350396">
      <w:pPr>
        <w:widowControl w:val="0"/>
        <w:spacing w:before="88" w:line="245"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п. 8.1 приказа № 220 процедура определения обстоятельств или действий, препятствующих или затрудняющих и ограничивающих хозяйствующим субъектам начало деятельности на товарном рынке, включает:</w:t>
      </w:r>
    </w:p>
    <w:p w14:paraId="228FA757" w14:textId="77777777" w:rsidR="00350396" w:rsidRPr="00350396" w:rsidRDefault="00350396" w:rsidP="00350396">
      <w:pPr>
        <w:widowControl w:val="0"/>
        <w:numPr>
          <w:ilvl w:val="0"/>
          <w:numId w:val="103"/>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выявление наличия (или отсутствия) барьеров для входа на рассматриваемый товарный рынок;</w:t>
      </w:r>
    </w:p>
    <w:p w14:paraId="7C13684D" w14:textId="77777777" w:rsidR="00350396" w:rsidRPr="00350396" w:rsidRDefault="00350396" w:rsidP="00350396">
      <w:pPr>
        <w:widowControl w:val="0"/>
        <w:numPr>
          <w:ilvl w:val="0"/>
          <w:numId w:val="103"/>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определение преодолимости выявленных барьеров для входа на рассматриваемый товарный рынок.</w:t>
      </w:r>
    </w:p>
    <w:p w14:paraId="0F955EEB" w14:textId="77777777" w:rsidR="00350396" w:rsidRPr="00350396" w:rsidRDefault="00350396" w:rsidP="00350396">
      <w:pPr>
        <w:widowControl w:val="0"/>
        <w:spacing w:line="245"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 барьерам для входа на товарный рынок относятся в первую очередь экономические ограничения, в том числе:</w:t>
      </w:r>
    </w:p>
    <w:p w14:paraId="7067041B" w14:textId="77777777" w:rsidR="00350396" w:rsidRPr="00350396" w:rsidRDefault="00350396" w:rsidP="00350396">
      <w:pPr>
        <w:widowControl w:val="0"/>
        <w:numPr>
          <w:ilvl w:val="0"/>
          <w:numId w:val="101"/>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необходимость осуществления значительных первоначаль</w:t>
      </w:r>
      <w:r w:rsidRPr="00350396">
        <w:rPr>
          <w:rFonts w:ascii="Bookman Old Style" w:eastAsia="Bookman Old Style" w:hAnsi="Bookman Old Style" w:cs="Bookman Old Style"/>
          <w:color w:val="231F20"/>
          <w:sz w:val="18"/>
          <w:szCs w:val="18"/>
        </w:rPr>
        <w:softHyphen/>
        <w:t>ных капитальных вложений при длительных сроках окупаемости этих вложений;</w:t>
      </w:r>
    </w:p>
    <w:p w14:paraId="3B157C7D" w14:textId="77777777" w:rsidR="00350396" w:rsidRPr="00350396" w:rsidRDefault="00350396" w:rsidP="00350396">
      <w:pPr>
        <w:widowControl w:val="0"/>
        <w:numPr>
          <w:ilvl w:val="0"/>
          <w:numId w:val="101"/>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ограниченная доступность финансовых ресурсов и более вы</w:t>
      </w:r>
      <w:r w:rsidRPr="00350396">
        <w:rPr>
          <w:rFonts w:ascii="Bookman Old Style" w:eastAsia="Bookman Old Style" w:hAnsi="Bookman Old Style" w:cs="Bookman Old Style"/>
          <w:color w:val="231F20"/>
          <w:sz w:val="18"/>
          <w:szCs w:val="18"/>
        </w:rPr>
        <w:softHyphen/>
        <w:t>сокие издержки привлечения финансирования для потенциальных участников по сравнению с хозяйствующими субъектами, действу</w:t>
      </w:r>
      <w:r w:rsidRPr="00350396">
        <w:rPr>
          <w:rFonts w:ascii="Bookman Old Style" w:eastAsia="Bookman Old Style" w:hAnsi="Bookman Old Style" w:cs="Bookman Old Style"/>
          <w:color w:val="231F20"/>
          <w:sz w:val="18"/>
          <w:szCs w:val="18"/>
        </w:rPr>
        <w:softHyphen/>
        <w:t>ющими на рассматриваемом рынке;</w:t>
      </w:r>
    </w:p>
    <w:p w14:paraId="4255AAD7" w14:textId="77777777" w:rsidR="00350396" w:rsidRPr="00350396" w:rsidRDefault="00350396" w:rsidP="00350396">
      <w:pPr>
        <w:widowControl w:val="0"/>
        <w:numPr>
          <w:ilvl w:val="0"/>
          <w:numId w:val="101"/>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издержки выхода с рынка, включающие инвестиции, которые невозможно возместить при прекращении хозяйственной деятель</w:t>
      </w:r>
      <w:r w:rsidRPr="00350396">
        <w:rPr>
          <w:rFonts w:ascii="Bookman Old Style" w:eastAsia="Bookman Old Style" w:hAnsi="Bookman Old Style" w:cs="Bookman Old Style"/>
          <w:color w:val="231F20"/>
          <w:sz w:val="18"/>
          <w:szCs w:val="18"/>
        </w:rPr>
        <w:softHyphen/>
        <w:t>ности;</w:t>
      </w:r>
    </w:p>
    <w:p w14:paraId="6B87D55E" w14:textId="77777777" w:rsidR="00350396" w:rsidRPr="00350396" w:rsidRDefault="00350396" w:rsidP="00350396">
      <w:pPr>
        <w:widowControl w:val="0"/>
        <w:numPr>
          <w:ilvl w:val="0"/>
          <w:numId w:val="101"/>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издержки получения доступа к необходимым ресурсам и пра</w:t>
      </w:r>
      <w:r w:rsidRPr="00350396">
        <w:rPr>
          <w:rFonts w:ascii="Bookman Old Style" w:eastAsia="Bookman Old Style" w:hAnsi="Bookman Old Style" w:cs="Bookman Old Style"/>
          <w:color w:val="231F20"/>
          <w:sz w:val="18"/>
          <w:szCs w:val="18"/>
        </w:rPr>
        <w:softHyphen/>
        <w:t>вам интеллектуальной собственности, издержки на рекламу, на по</w:t>
      </w:r>
      <w:r w:rsidRPr="00350396">
        <w:rPr>
          <w:rFonts w:ascii="Bookman Old Style" w:eastAsia="Bookman Old Style" w:hAnsi="Bookman Old Style" w:cs="Bookman Old Style"/>
          <w:color w:val="231F20"/>
          <w:sz w:val="18"/>
          <w:szCs w:val="18"/>
        </w:rPr>
        <w:softHyphen/>
        <w:t>лучение информации;</w:t>
      </w:r>
    </w:p>
    <w:p w14:paraId="55115A21" w14:textId="77777777" w:rsidR="00350396" w:rsidRPr="00350396" w:rsidRDefault="00350396" w:rsidP="00350396">
      <w:pPr>
        <w:widowControl w:val="0"/>
        <w:numPr>
          <w:ilvl w:val="0"/>
          <w:numId w:val="101"/>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транспортные ограничения;</w:t>
      </w:r>
    </w:p>
    <w:p w14:paraId="15BB7BE2" w14:textId="77777777" w:rsidR="00350396" w:rsidRPr="00350396" w:rsidRDefault="00350396" w:rsidP="00350396">
      <w:pPr>
        <w:widowControl w:val="0"/>
        <w:numPr>
          <w:ilvl w:val="0"/>
          <w:numId w:val="101"/>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отсутствие доступа потенциальных участников к ресурсам, предложение которых ограничено и которые распределены между хозяйствующими субъектами, действующими на рассматриваемом рынке;</w:t>
      </w:r>
    </w:p>
    <w:p w14:paraId="548C430D" w14:textId="77777777" w:rsidR="00350396" w:rsidRPr="00350396" w:rsidRDefault="00350396" w:rsidP="00350396">
      <w:pPr>
        <w:widowControl w:val="0"/>
        <w:numPr>
          <w:ilvl w:val="0"/>
          <w:numId w:val="101"/>
        </w:numPr>
        <w:tabs>
          <w:tab w:val="left" w:pos="630"/>
        </w:tabs>
        <w:spacing w:line="245"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наличие экономически оправданного минимального объема производства, обусловливающее для хозяйствующих субъектов бо</w:t>
      </w:r>
      <w:r w:rsidRPr="00350396">
        <w:rPr>
          <w:rFonts w:ascii="Bookman Old Style" w:eastAsia="Bookman Old Style" w:hAnsi="Bookman Old Style" w:cs="Bookman Old Style"/>
          <w:color w:val="231F20"/>
          <w:sz w:val="18"/>
          <w:szCs w:val="18"/>
        </w:rPr>
        <w:softHyphen/>
        <w:t>лее высокие затраты на единицу продукции до момента достижения такого объема производства (эффект масштаба производства);</w:t>
      </w:r>
    </w:p>
    <w:p w14:paraId="23F51B2C"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преимущества хозяйствующих субъектов, действующих на рассматриваемом рынке, перед потенциальными участниками товарного рынка, в частности по затратам на единицу продукции и спросу на товар, по наличию долгосрочных договоров с приобре</w:t>
      </w:r>
      <w:r w:rsidRPr="00350396">
        <w:rPr>
          <w:rFonts w:ascii="Bookman Old Style" w:eastAsia="Bookman Old Style" w:hAnsi="Bookman Old Style" w:cs="Bookman Old Style"/>
          <w:color w:val="231F20"/>
          <w:sz w:val="18"/>
          <w:szCs w:val="18"/>
        </w:rPr>
        <w:softHyphen/>
        <w:t>тателями.</w:t>
      </w:r>
    </w:p>
    <w:p w14:paraId="0D202B79"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Экономические барьеры возникают вследствие различия в де</w:t>
      </w:r>
      <w:r w:rsidRPr="00350396">
        <w:rPr>
          <w:rFonts w:ascii="Bookman Old Style" w:eastAsia="Bookman Old Style" w:hAnsi="Bookman Old Style" w:cs="Bookman Old Style"/>
          <w:color w:val="231F20"/>
          <w:sz w:val="18"/>
          <w:szCs w:val="18"/>
        </w:rPr>
        <w:softHyphen/>
        <w:t>ятельности предприятия, различных стартовых позиций. Они мо</w:t>
      </w:r>
      <w:r w:rsidRPr="00350396">
        <w:rPr>
          <w:rFonts w:ascii="Bookman Old Style" w:eastAsia="Bookman Old Style" w:hAnsi="Bookman Old Style" w:cs="Bookman Old Style"/>
          <w:color w:val="231F20"/>
          <w:sz w:val="18"/>
          <w:szCs w:val="18"/>
        </w:rPr>
        <w:softHyphen/>
        <w:t xml:space="preserve">гут </w:t>
      </w:r>
      <w:r w:rsidRPr="00350396">
        <w:rPr>
          <w:rFonts w:ascii="Bookman Old Style" w:eastAsia="Bookman Old Style" w:hAnsi="Bookman Old Style" w:cs="Bookman Old Style"/>
          <w:color w:val="231F20"/>
          <w:sz w:val="18"/>
          <w:szCs w:val="18"/>
        </w:rPr>
        <w:lastRenderedPageBreak/>
        <w:t>быть преодолены хозяйствующим субъектом при эффективном управлении его деятельностью. Однако существует группа барье</w:t>
      </w:r>
      <w:r w:rsidRPr="00350396">
        <w:rPr>
          <w:rFonts w:ascii="Bookman Old Style" w:eastAsia="Bookman Old Style" w:hAnsi="Bookman Old Style" w:cs="Bookman Old Style"/>
          <w:color w:val="231F20"/>
          <w:sz w:val="18"/>
          <w:szCs w:val="18"/>
        </w:rPr>
        <w:softHyphen/>
        <w:t>ров, преодоление которых вызывает серьезные трудности и иногда становится невозможным, — это административные барьеры.</w:t>
      </w:r>
    </w:p>
    <w:p w14:paraId="2630752F"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Административные ограничения — это ограничения, вводи</w:t>
      </w:r>
      <w:r w:rsidRPr="00350396">
        <w:rPr>
          <w:rFonts w:ascii="Bookman Old Style" w:eastAsia="Bookman Old Style" w:hAnsi="Bookman Old Style" w:cs="Bookman Old Style"/>
          <w:color w:val="231F20"/>
          <w:sz w:val="18"/>
          <w:szCs w:val="18"/>
        </w:rPr>
        <w:softHyphen/>
        <w:t>мые органами государственной власти и местного самоуправления и иными органами и организациями, наделенными правами дан</w:t>
      </w:r>
      <w:r w:rsidRPr="00350396">
        <w:rPr>
          <w:rFonts w:ascii="Bookman Old Style" w:eastAsia="Bookman Old Style" w:hAnsi="Bookman Old Style" w:cs="Bookman Old Style"/>
          <w:color w:val="231F20"/>
          <w:sz w:val="18"/>
          <w:szCs w:val="18"/>
        </w:rPr>
        <w:softHyphen/>
        <w:t>ных органов (не противоречащие антимонопольному законодатель</w:t>
      </w:r>
      <w:r w:rsidRPr="00350396">
        <w:rPr>
          <w:rFonts w:ascii="Bookman Old Style" w:eastAsia="Bookman Old Style" w:hAnsi="Bookman Old Style" w:cs="Bookman Old Style"/>
          <w:color w:val="231F20"/>
          <w:sz w:val="18"/>
          <w:szCs w:val="18"/>
        </w:rPr>
        <w:softHyphen/>
        <w:t>ству), в том числе:</w:t>
      </w:r>
    </w:p>
    <w:p w14:paraId="2C0C56B4"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условия лицензирования отдельных видов деятельности;</w:t>
      </w:r>
    </w:p>
    <w:p w14:paraId="70670DEE"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квотирование;</w:t>
      </w:r>
    </w:p>
    <w:p w14:paraId="3C8E5BCC"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ограничения ввоза-вывоза товаров;</w:t>
      </w:r>
    </w:p>
    <w:p w14:paraId="3C647029"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требования обязательного удовлетворения определенного спроса, поддержания мобилизационных мощностей, сохранения рабочих мест и социальной инфраструктуры;</w:t>
      </w:r>
    </w:p>
    <w:p w14:paraId="742FA092"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предоставление льгот отдельным хозяйствующим субъектам;</w:t>
      </w:r>
    </w:p>
    <w:p w14:paraId="622FEC69"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препятствия при отведении земельных участков, предостав</w:t>
      </w:r>
      <w:r w:rsidRPr="00350396">
        <w:rPr>
          <w:rFonts w:ascii="Bookman Old Style" w:eastAsia="Bookman Old Style" w:hAnsi="Bookman Old Style" w:cs="Bookman Old Style"/>
          <w:color w:val="231F20"/>
          <w:sz w:val="18"/>
          <w:szCs w:val="18"/>
        </w:rPr>
        <w:softHyphen/>
        <w:t>лении производственных и иных помещений;</w:t>
      </w:r>
    </w:p>
    <w:p w14:paraId="638D5D39"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условия конкурсного отбора поставщиков товара для госу</w:t>
      </w:r>
      <w:r w:rsidRPr="00350396">
        <w:rPr>
          <w:rFonts w:ascii="Bookman Old Style" w:eastAsia="Bookman Old Style" w:hAnsi="Bookman Old Style" w:cs="Bookman Old Style"/>
          <w:color w:val="231F20"/>
          <w:sz w:val="18"/>
          <w:szCs w:val="18"/>
        </w:rPr>
        <w:softHyphen/>
        <w:t>дарственных и муниципальных нужд;</w:t>
      </w:r>
    </w:p>
    <w:p w14:paraId="413E2ED2"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экологические ограничения, в том числе запрещение строи</w:t>
      </w:r>
      <w:r w:rsidRPr="00350396">
        <w:rPr>
          <w:rFonts w:ascii="Bookman Old Style" w:eastAsia="Bookman Old Style" w:hAnsi="Bookman Old Style" w:cs="Bookman Old Style"/>
          <w:color w:val="231F20"/>
          <w:sz w:val="18"/>
          <w:szCs w:val="18"/>
        </w:rPr>
        <w:softHyphen/>
        <w:t>тельства производственных мощностей и объектов транспортной инфраструктуры;</w:t>
      </w:r>
    </w:p>
    <w:p w14:paraId="09970356" w14:textId="77777777" w:rsidR="00350396" w:rsidRPr="00350396" w:rsidRDefault="00350396" w:rsidP="00350396">
      <w:pPr>
        <w:widowControl w:val="0"/>
        <w:numPr>
          <w:ilvl w:val="0"/>
          <w:numId w:val="101"/>
        </w:numPr>
        <w:tabs>
          <w:tab w:val="left" w:pos="642"/>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стандарты и предъявляемые к качеству требования.</w:t>
      </w:r>
    </w:p>
    <w:p w14:paraId="0167B3F1"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Административные барьеры представляют собой наиболее труд</w:t>
      </w:r>
      <w:r w:rsidRPr="00350396">
        <w:rPr>
          <w:rFonts w:ascii="Bookman Old Style" w:eastAsia="Bookman Old Style" w:hAnsi="Bookman Old Style" w:cs="Bookman Old Style"/>
          <w:color w:val="231F20"/>
          <w:sz w:val="18"/>
          <w:szCs w:val="18"/>
        </w:rPr>
        <w:softHyphen/>
        <w:t>но преодолимую группу барьеров в связи с тем, что зачастую вы</w:t>
      </w:r>
      <w:r w:rsidRPr="00350396">
        <w:rPr>
          <w:rFonts w:ascii="Bookman Old Style" w:eastAsia="Bookman Old Style" w:hAnsi="Bookman Old Style" w:cs="Bookman Old Style"/>
          <w:color w:val="231F20"/>
          <w:sz w:val="18"/>
          <w:szCs w:val="18"/>
        </w:rPr>
        <w:softHyphen/>
        <w:t>полнение требований административного характера становится для некоторых предприятий невозможным. В России эта группа ба</w:t>
      </w:r>
      <w:r w:rsidRPr="00350396">
        <w:rPr>
          <w:rFonts w:ascii="Bookman Old Style" w:eastAsia="Bookman Old Style" w:hAnsi="Bookman Old Style" w:cs="Bookman Old Style"/>
          <w:color w:val="231F20"/>
          <w:sz w:val="18"/>
          <w:szCs w:val="18"/>
        </w:rPr>
        <w:softHyphen/>
        <w:t>рьеров занимает существенно большую долю среди всех возможных барьеров.</w:t>
      </w:r>
    </w:p>
    <w:p w14:paraId="026ED2C9"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 серьезным трудностям при выходе на рынок может стать стра</w:t>
      </w:r>
      <w:r w:rsidRPr="00350396">
        <w:rPr>
          <w:rFonts w:ascii="Bookman Old Style" w:eastAsia="Bookman Old Style" w:hAnsi="Bookman Old Style" w:cs="Bookman Old Style"/>
          <w:color w:val="231F20"/>
          <w:sz w:val="18"/>
          <w:szCs w:val="18"/>
        </w:rPr>
        <w:softHyphen/>
        <w:t>тегия поведения действующих на рынке хозяйствующих субъектов, направленная на создание барьеров для входа на рынок, в том числе:</w:t>
      </w:r>
    </w:p>
    <w:p w14:paraId="70991F44"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инвестирование в избыточные производственные мощности, позволяющие увеличить выпуск товара для целей ограничения но</w:t>
      </w:r>
      <w:r w:rsidRPr="00350396">
        <w:rPr>
          <w:rFonts w:ascii="Bookman Old Style" w:eastAsia="Bookman Old Style" w:hAnsi="Bookman Old Style" w:cs="Bookman Old Style"/>
          <w:color w:val="231F20"/>
          <w:sz w:val="18"/>
          <w:szCs w:val="18"/>
        </w:rPr>
        <w:softHyphen/>
        <w:t>вых участников рынка;</w:t>
      </w:r>
    </w:p>
    <w:p w14:paraId="3D516C86" w14:textId="77777777" w:rsidR="00350396" w:rsidRPr="00350396" w:rsidRDefault="00350396" w:rsidP="00350396">
      <w:pPr>
        <w:widowControl w:val="0"/>
        <w:numPr>
          <w:ilvl w:val="0"/>
          <w:numId w:val="103"/>
        </w:numPr>
        <w:tabs>
          <w:tab w:val="left" w:pos="639"/>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увеличение издержек приобретателя, связанных со сменой продавца, в том числе в результате предоставления скидок посто</w:t>
      </w:r>
      <w:r w:rsidRPr="00350396">
        <w:rPr>
          <w:rFonts w:ascii="Bookman Old Style" w:eastAsia="Bookman Old Style" w:hAnsi="Bookman Old Style" w:cs="Bookman Old Style"/>
          <w:color w:val="231F20"/>
          <w:sz w:val="18"/>
          <w:szCs w:val="18"/>
        </w:rPr>
        <w:softHyphen/>
        <w:t>янным приобретателям, заключения долгосрочных контрактов или выпуска взаимодополняющих товаров, не являющихся взаимо</w:t>
      </w:r>
      <w:r w:rsidRPr="00350396">
        <w:rPr>
          <w:rFonts w:ascii="Bookman Old Style" w:eastAsia="Bookman Old Style" w:hAnsi="Bookman Old Style" w:cs="Bookman Old Style"/>
          <w:color w:val="231F20"/>
          <w:sz w:val="18"/>
          <w:szCs w:val="18"/>
        </w:rPr>
        <w:softHyphen/>
        <w:t>заменяемыми с продукцией других хозяйствующих субъектов;</w:t>
      </w:r>
    </w:p>
    <w:p w14:paraId="77BD22B9" w14:textId="77777777" w:rsidR="00350396" w:rsidRPr="00350396" w:rsidRDefault="00350396" w:rsidP="00350396">
      <w:pPr>
        <w:widowControl w:val="0"/>
        <w:numPr>
          <w:ilvl w:val="0"/>
          <w:numId w:val="103"/>
        </w:numPr>
        <w:tabs>
          <w:tab w:val="left" w:pos="67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проведение интенсивных рекламных кампаний.</w:t>
      </w:r>
    </w:p>
    <w:p w14:paraId="2DEA0F7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Еще одним фактором является наличие среди действующих на рынке хозяйствующих субъектов вертикально интегрированных хозяйствующих субъектов, что также приводит к созданию барье</w:t>
      </w:r>
      <w:r w:rsidRPr="00350396">
        <w:rPr>
          <w:rFonts w:ascii="Bookman Old Style" w:eastAsia="Bookman Old Style" w:hAnsi="Bookman Old Style" w:cs="Bookman Old Style"/>
          <w:color w:val="231F20"/>
          <w:sz w:val="18"/>
          <w:szCs w:val="18"/>
        </w:rPr>
        <w:softHyphen/>
        <w:t>ров для входа на рынок, в том числе:</w:t>
      </w:r>
    </w:p>
    <w:p w14:paraId="075F1BD3" w14:textId="77777777" w:rsidR="00350396" w:rsidRPr="00350396" w:rsidRDefault="00350396" w:rsidP="00350396">
      <w:pPr>
        <w:widowControl w:val="0"/>
        <w:numPr>
          <w:ilvl w:val="0"/>
          <w:numId w:val="103"/>
        </w:numPr>
        <w:tabs>
          <w:tab w:val="left" w:pos="635"/>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создает преимущества для участников вертикально интегри</w:t>
      </w:r>
      <w:r w:rsidRPr="00350396">
        <w:rPr>
          <w:rFonts w:ascii="Bookman Old Style" w:eastAsia="Bookman Old Style" w:hAnsi="Bookman Old Style" w:cs="Bookman Old Style"/>
          <w:color w:val="231F20"/>
          <w:sz w:val="18"/>
          <w:szCs w:val="18"/>
        </w:rPr>
        <w:softHyphen/>
        <w:t>рованных хозяйствующих субъектов по сравнению с другими по</w:t>
      </w:r>
      <w:r w:rsidRPr="00350396">
        <w:rPr>
          <w:rFonts w:ascii="Bookman Old Style" w:eastAsia="Bookman Old Style" w:hAnsi="Bookman Old Style" w:cs="Bookman Old Style"/>
          <w:color w:val="231F20"/>
          <w:sz w:val="18"/>
          <w:szCs w:val="18"/>
        </w:rPr>
        <w:softHyphen/>
        <w:t>тенциальными участниками рынка;</w:t>
      </w:r>
    </w:p>
    <w:p w14:paraId="66BB22D9" w14:textId="77777777" w:rsidR="00350396" w:rsidRPr="00350396" w:rsidRDefault="00350396" w:rsidP="00350396">
      <w:pPr>
        <w:widowControl w:val="0"/>
        <w:numPr>
          <w:ilvl w:val="0"/>
          <w:numId w:val="103"/>
        </w:numPr>
        <w:tabs>
          <w:tab w:val="left" w:pos="635"/>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требует необходимости участия потенциальных участников рынка в вертикальной интеграции, что увеличивает издержки вхо</w:t>
      </w:r>
      <w:r w:rsidRPr="00350396">
        <w:rPr>
          <w:rFonts w:ascii="Bookman Old Style" w:eastAsia="Bookman Old Style" w:hAnsi="Bookman Old Style" w:cs="Bookman Old Style"/>
          <w:color w:val="231F20"/>
          <w:sz w:val="18"/>
          <w:szCs w:val="18"/>
        </w:rPr>
        <w:softHyphen/>
        <w:t>да на товарный рынок.</w:t>
      </w:r>
    </w:p>
    <w:p w14:paraId="3434DDB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Для того чтобы понять уровень барьерных ограничений для вы</w:t>
      </w:r>
      <w:r w:rsidRPr="00350396">
        <w:rPr>
          <w:rFonts w:ascii="Bookman Old Style" w:eastAsia="Bookman Old Style" w:hAnsi="Bookman Old Style" w:cs="Bookman Old Style"/>
          <w:color w:val="231F20"/>
          <w:sz w:val="18"/>
          <w:szCs w:val="18"/>
        </w:rPr>
        <w:softHyphen/>
        <w:t>хода на определенный рынок, законодательно предусмотрена про</w:t>
      </w:r>
      <w:r w:rsidRPr="00350396">
        <w:rPr>
          <w:rFonts w:ascii="Bookman Old Style" w:eastAsia="Bookman Old Style" w:hAnsi="Bookman Old Style" w:cs="Bookman Old Style"/>
          <w:color w:val="231F20"/>
          <w:sz w:val="18"/>
          <w:szCs w:val="18"/>
        </w:rPr>
        <w:softHyphen/>
        <w:t>цедура анализа барьеров (п. 8.3 приказа № 220). Данный анализ должен проводиться:</w:t>
      </w:r>
    </w:p>
    <w:p w14:paraId="6B297044" w14:textId="77777777" w:rsidR="00350396" w:rsidRPr="00350396" w:rsidRDefault="00350396" w:rsidP="00350396">
      <w:pPr>
        <w:widowControl w:val="0"/>
        <w:tabs>
          <w:tab w:val="left" w:pos="635"/>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w:t>
      </w:r>
      <w:r w:rsidRPr="00350396">
        <w:rPr>
          <w:rFonts w:ascii="Bookman Old Style" w:eastAsia="Bookman Old Style" w:hAnsi="Bookman Old Style" w:cs="Bookman Old Style"/>
          <w:color w:val="231F20"/>
          <w:sz w:val="18"/>
          <w:szCs w:val="18"/>
        </w:rPr>
        <w:tab/>
        <w:t>с точки зрения возможности потенциальных продавцов, в том числе действующих на смежных рынках, стать участниками рассматриваемого товарного рынка;</w:t>
      </w:r>
    </w:p>
    <w:p w14:paraId="2FC4DDE9" w14:textId="77777777" w:rsidR="00350396" w:rsidRPr="00350396" w:rsidRDefault="00350396" w:rsidP="00350396">
      <w:pPr>
        <w:widowControl w:val="0"/>
        <w:tabs>
          <w:tab w:val="left" w:pos="635"/>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w:t>
      </w:r>
      <w:r w:rsidRPr="00350396">
        <w:rPr>
          <w:rFonts w:ascii="Bookman Old Style" w:eastAsia="Bookman Old Style" w:hAnsi="Bookman Old Style" w:cs="Bookman Old Style"/>
          <w:color w:val="231F20"/>
          <w:sz w:val="18"/>
          <w:szCs w:val="18"/>
        </w:rPr>
        <w:tab/>
        <w:t>с точки зрения возможности хозяйствующих субъектов, дей</w:t>
      </w:r>
      <w:r w:rsidRPr="00350396">
        <w:rPr>
          <w:rFonts w:ascii="Bookman Old Style" w:eastAsia="Bookman Old Style" w:hAnsi="Bookman Old Style" w:cs="Bookman Old Style"/>
          <w:color w:val="231F20"/>
          <w:sz w:val="18"/>
          <w:szCs w:val="18"/>
        </w:rPr>
        <w:softHyphen/>
        <w:t>ствующих на рассматриваемом товарном рынке, расширить произ</w:t>
      </w:r>
      <w:r w:rsidRPr="00350396">
        <w:rPr>
          <w:rFonts w:ascii="Bookman Old Style" w:eastAsia="Bookman Old Style" w:hAnsi="Bookman Old Style" w:cs="Bookman Old Style"/>
          <w:color w:val="231F20"/>
          <w:sz w:val="18"/>
          <w:szCs w:val="18"/>
        </w:rPr>
        <w:softHyphen/>
        <w:t>водственные мощности или объем продаж данного товара.</w:t>
      </w:r>
    </w:p>
    <w:p w14:paraId="2E81FB3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Как уже отмечалось, большая часть барьеров может быть пре</w:t>
      </w:r>
      <w:r w:rsidRPr="00350396">
        <w:rPr>
          <w:rFonts w:ascii="Bookman Old Style" w:eastAsia="Bookman Old Style" w:hAnsi="Bookman Old Style" w:cs="Bookman Old Style"/>
          <w:color w:val="231F20"/>
          <w:sz w:val="18"/>
          <w:szCs w:val="18"/>
        </w:rPr>
        <w:softHyphen/>
        <w:t>одолена субъектами в процессе реализации хозяйственной де</w:t>
      </w:r>
      <w:r w:rsidRPr="00350396">
        <w:rPr>
          <w:rFonts w:ascii="Bookman Old Style" w:eastAsia="Bookman Old Style" w:hAnsi="Bookman Old Style" w:cs="Bookman Old Style"/>
          <w:color w:val="231F20"/>
          <w:sz w:val="18"/>
          <w:szCs w:val="18"/>
        </w:rPr>
        <w:softHyphen/>
        <w:t>ятельности. Исключение составляет группа административных барьеров, которые зачастую создают непреодолимые преграды для выхода на рынок хозяйствующего субъекта или его развития на этом рынке.</w:t>
      </w:r>
    </w:p>
    <w:p w14:paraId="4B8EBF4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п. 8.4 приказа № 220 барьеры для входа на то</w:t>
      </w:r>
      <w:r w:rsidRPr="00350396">
        <w:rPr>
          <w:rFonts w:ascii="Bookman Old Style" w:eastAsia="Bookman Old Style" w:hAnsi="Bookman Old Style" w:cs="Bookman Old Style"/>
          <w:color w:val="231F20"/>
          <w:sz w:val="18"/>
          <w:szCs w:val="18"/>
        </w:rPr>
        <w:softHyphen/>
        <w:t>варный рынок считаются преодолимыми, если затраты на преодо</w:t>
      </w:r>
      <w:r w:rsidRPr="00350396">
        <w:rPr>
          <w:rFonts w:ascii="Bookman Old Style" w:eastAsia="Bookman Old Style" w:hAnsi="Bookman Old Style" w:cs="Bookman Old Style"/>
          <w:color w:val="231F20"/>
          <w:sz w:val="18"/>
          <w:szCs w:val="18"/>
        </w:rPr>
        <w:softHyphen/>
        <w:t>ление барьеров входа на рассматриваемый товарный рынок эко</w:t>
      </w:r>
      <w:r w:rsidRPr="00350396">
        <w:rPr>
          <w:rFonts w:ascii="Bookman Old Style" w:eastAsia="Bookman Old Style" w:hAnsi="Bookman Old Style" w:cs="Bookman Old Style"/>
          <w:color w:val="231F20"/>
          <w:sz w:val="18"/>
          <w:szCs w:val="18"/>
        </w:rPr>
        <w:softHyphen/>
        <w:t>номически оправдываются доходами (преимуществами), которые получит (предполагает получить) хозяйствующий субъект, собира</w:t>
      </w:r>
      <w:r w:rsidRPr="00350396">
        <w:rPr>
          <w:rFonts w:ascii="Bookman Old Style" w:eastAsia="Bookman Old Style" w:hAnsi="Bookman Old Style" w:cs="Bookman Old Style"/>
          <w:color w:val="231F20"/>
          <w:sz w:val="18"/>
          <w:szCs w:val="18"/>
        </w:rPr>
        <w:softHyphen/>
        <w:t>ющийся войти на данный товарный рынок. Необходимые для хо</w:t>
      </w:r>
      <w:r w:rsidRPr="00350396">
        <w:rPr>
          <w:rFonts w:ascii="Bookman Old Style" w:eastAsia="Bookman Old Style" w:hAnsi="Bookman Old Style" w:cs="Bookman Old Style"/>
          <w:color w:val="231F20"/>
          <w:sz w:val="18"/>
          <w:szCs w:val="18"/>
        </w:rPr>
        <w:softHyphen/>
        <w:t>зяйствующих субъектов сроки и затраты на преодоление барьеров для входа на рассматриваемый товарный рынок, а также преодо- лимость барьеров для входа на рассматриваемый товарный рынок могут оцениваться путем опроса фактических и потенциальных продавцов или отраслевых специалистов (экспертов).</w:t>
      </w:r>
    </w:p>
    <w:p w14:paraId="3E4CC1E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п. 9.1 приказа № 220 оценка состояния конку</w:t>
      </w:r>
      <w:r w:rsidRPr="00350396">
        <w:rPr>
          <w:rFonts w:ascii="Bookman Old Style" w:eastAsia="Bookman Old Style" w:hAnsi="Bookman Old Style" w:cs="Bookman Old Style"/>
          <w:color w:val="231F20"/>
          <w:sz w:val="18"/>
          <w:szCs w:val="18"/>
        </w:rPr>
        <w:softHyphen/>
        <w:t>ренции на товарном рынке включает:</w:t>
      </w:r>
    </w:p>
    <w:p w14:paraId="21B7ED8D" w14:textId="77777777" w:rsidR="00350396" w:rsidRPr="00350396" w:rsidRDefault="00350396" w:rsidP="00350396">
      <w:pPr>
        <w:widowControl w:val="0"/>
        <w:tabs>
          <w:tab w:val="left" w:pos="626"/>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w:t>
      </w:r>
      <w:r w:rsidRPr="00350396">
        <w:rPr>
          <w:rFonts w:ascii="Bookman Old Style" w:eastAsia="Bookman Old Style" w:hAnsi="Bookman Old Style" w:cs="Bookman Old Style"/>
          <w:color w:val="231F20"/>
          <w:sz w:val="18"/>
          <w:szCs w:val="18"/>
        </w:rPr>
        <w:tab/>
        <w:t>заключение о том, к какому виду рынков относится рассма</w:t>
      </w:r>
      <w:r w:rsidRPr="00350396">
        <w:rPr>
          <w:rFonts w:ascii="Bookman Old Style" w:eastAsia="Bookman Old Style" w:hAnsi="Bookman Old Style" w:cs="Bookman Old Style"/>
          <w:color w:val="231F20"/>
          <w:sz w:val="18"/>
          <w:szCs w:val="18"/>
        </w:rPr>
        <w:softHyphen/>
        <w:t>триваемый товарный рынок: к рынку с развитой конкуренцией, к рынку с недостаточно развитой конкуренцией или к рынку с не</w:t>
      </w:r>
      <w:r w:rsidRPr="00350396">
        <w:rPr>
          <w:rFonts w:ascii="Bookman Old Style" w:eastAsia="Bookman Old Style" w:hAnsi="Bookman Old Style" w:cs="Bookman Old Style"/>
          <w:color w:val="231F20"/>
          <w:sz w:val="18"/>
          <w:szCs w:val="18"/>
        </w:rPr>
        <w:softHyphen/>
        <w:t>развитой конкуренцией;</w:t>
      </w:r>
    </w:p>
    <w:p w14:paraId="2820EEE6" w14:textId="77777777" w:rsidR="00350396" w:rsidRPr="00350396" w:rsidRDefault="00350396" w:rsidP="00350396">
      <w:pPr>
        <w:widowControl w:val="0"/>
        <w:tabs>
          <w:tab w:val="left" w:pos="626"/>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w:t>
      </w:r>
      <w:r w:rsidRPr="00350396">
        <w:rPr>
          <w:rFonts w:ascii="Bookman Old Style" w:eastAsia="Bookman Old Style" w:hAnsi="Bookman Old Style" w:cs="Bookman Old Style"/>
          <w:color w:val="231F20"/>
          <w:sz w:val="18"/>
          <w:szCs w:val="18"/>
        </w:rPr>
        <w:tab/>
        <w:t>оценку перспективы изменения конкуренции на рассматри</w:t>
      </w:r>
      <w:r w:rsidRPr="00350396">
        <w:rPr>
          <w:rFonts w:ascii="Bookman Old Style" w:eastAsia="Bookman Old Style" w:hAnsi="Bookman Old Style" w:cs="Bookman Old Style"/>
          <w:color w:val="231F20"/>
          <w:sz w:val="18"/>
          <w:szCs w:val="18"/>
        </w:rPr>
        <w:softHyphen/>
        <w:t>ваемом товарном рынке.</w:t>
      </w:r>
    </w:p>
    <w:p w14:paraId="1279BBA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Заключение о том, к какому виду рынков относится рассматри</w:t>
      </w:r>
      <w:r w:rsidRPr="00350396">
        <w:rPr>
          <w:rFonts w:ascii="Bookman Old Style" w:eastAsia="Bookman Old Style" w:hAnsi="Bookman Old Style" w:cs="Bookman Old Style"/>
          <w:color w:val="231F20"/>
          <w:sz w:val="18"/>
          <w:szCs w:val="18"/>
        </w:rPr>
        <w:softHyphen/>
        <w:t>ваемый товарный рынок, дается на основании показателей уровня концентрации товарного рынка, наличия и преодолимости барье</w:t>
      </w:r>
      <w:r w:rsidRPr="00350396">
        <w:rPr>
          <w:rFonts w:ascii="Bookman Old Style" w:eastAsia="Bookman Old Style" w:hAnsi="Bookman Old Style" w:cs="Bookman Old Style"/>
          <w:color w:val="231F20"/>
          <w:sz w:val="18"/>
          <w:szCs w:val="18"/>
        </w:rPr>
        <w:softHyphen/>
        <w:t>ров входа на товарный рынок.</w:t>
      </w:r>
    </w:p>
    <w:p w14:paraId="631FF3A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Анализ поведения хозяйствующих субъектов на рассматривае</w:t>
      </w:r>
      <w:r w:rsidRPr="00350396">
        <w:rPr>
          <w:rFonts w:ascii="Bookman Old Style" w:eastAsia="Bookman Old Style" w:hAnsi="Bookman Old Style" w:cs="Bookman Old Style"/>
          <w:color w:val="231F20"/>
          <w:sz w:val="18"/>
          <w:szCs w:val="18"/>
        </w:rPr>
        <w:softHyphen/>
        <w:t xml:space="preserve">мом </w:t>
      </w:r>
      <w:r w:rsidRPr="00350396">
        <w:rPr>
          <w:rFonts w:ascii="Bookman Old Style" w:eastAsia="Bookman Old Style" w:hAnsi="Bookman Old Style" w:cs="Bookman Old Style"/>
          <w:color w:val="231F20"/>
          <w:sz w:val="18"/>
          <w:szCs w:val="18"/>
        </w:rPr>
        <w:lastRenderedPageBreak/>
        <w:t>товарном рынке включает в том числе:</w:t>
      </w:r>
    </w:p>
    <w:p w14:paraId="5BD3BB57" w14:textId="77777777" w:rsidR="00350396" w:rsidRPr="00350396" w:rsidRDefault="00350396" w:rsidP="00350396">
      <w:pPr>
        <w:widowControl w:val="0"/>
        <w:numPr>
          <w:ilvl w:val="0"/>
          <w:numId w:val="103"/>
        </w:numPr>
        <w:tabs>
          <w:tab w:val="left" w:pos="626"/>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изучение инновационной деятельности и маркетинговой стратегии продавцов;</w:t>
      </w:r>
    </w:p>
    <w:p w14:paraId="64C6D8BD"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установление фактов предоставления продавцами льгот от</w:t>
      </w:r>
      <w:r w:rsidRPr="00350396">
        <w:rPr>
          <w:rFonts w:ascii="Bookman Old Style" w:eastAsia="Bookman Old Style" w:hAnsi="Bookman Old Style" w:cs="Bookman Old Style"/>
          <w:color w:val="231F20"/>
          <w:sz w:val="18"/>
          <w:szCs w:val="18"/>
        </w:rPr>
        <w:softHyphen/>
        <w:t>дельным приобретателям (группам приобретателей);</w:t>
      </w:r>
    </w:p>
    <w:p w14:paraId="3B75A639" w14:textId="77777777" w:rsidR="00350396" w:rsidRPr="00350396" w:rsidRDefault="00350396" w:rsidP="00350396">
      <w:pPr>
        <w:widowControl w:val="0"/>
        <w:numPr>
          <w:ilvl w:val="0"/>
          <w:numId w:val="103"/>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выявление соглашений хозяйствующих субъектов, действую</w:t>
      </w:r>
      <w:r w:rsidRPr="00350396">
        <w:rPr>
          <w:rFonts w:ascii="Bookman Old Style" w:eastAsia="Bookman Old Style" w:hAnsi="Bookman Old Style" w:cs="Bookman Old Style"/>
          <w:color w:val="231F20"/>
          <w:sz w:val="18"/>
          <w:szCs w:val="18"/>
        </w:rPr>
        <w:softHyphen/>
        <w:t>щих на товарном рынке;</w:t>
      </w:r>
    </w:p>
    <w:p w14:paraId="2B76B133"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выявление имеющихся в распоряжении покупателя источни</w:t>
      </w:r>
      <w:r w:rsidRPr="00350396">
        <w:rPr>
          <w:rFonts w:ascii="Bookman Old Style" w:eastAsia="Bookman Old Style" w:hAnsi="Bookman Old Style" w:cs="Bookman Old Style"/>
          <w:color w:val="231F20"/>
          <w:sz w:val="18"/>
          <w:szCs w:val="18"/>
        </w:rPr>
        <w:softHyphen/>
        <w:t>ков информации о товаре, оценка достоверности и актуальности доступной ему информации, а также расходов, связанных с получе</w:t>
      </w:r>
      <w:r w:rsidRPr="00350396">
        <w:rPr>
          <w:rFonts w:ascii="Bookman Old Style" w:eastAsia="Bookman Old Style" w:hAnsi="Bookman Old Style" w:cs="Bookman Old Style"/>
          <w:color w:val="231F20"/>
          <w:sz w:val="18"/>
          <w:szCs w:val="18"/>
        </w:rPr>
        <w:softHyphen/>
        <w:t>нием такой информации.</w:t>
      </w:r>
    </w:p>
    <w:p w14:paraId="0378B8D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 факторам, способствующим ограничению конкуренции на рас</w:t>
      </w:r>
      <w:r w:rsidRPr="00350396">
        <w:rPr>
          <w:rFonts w:ascii="Bookman Old Style" w:eastAsia="Bookman Old Style" w:hAnsi="Bookman Old Style" w:cs="Bookman Old Style"/>
          <w:color w:val="231F20"/>
          <w:sz w:val="18"/>
          <w:szCs w:val="18"/>
        </w:rPr>
        <w:softHyphen/>
        <w:t>сматриваемом товарном рынке, могут относиться:</w:t>
      </w:r>
    </w:p>
    <w:p w14:paraId="4958A6C3" w14:textId="77777777" w:rsidR="00350396" w:rsidRPr="00350396" w:rsidRDefault="00350396" w:rsidP="00350396">
      <w:pPr>
        <w:widowControl w:val="0"/>
        <w:numPr>
          <w:ilvl w:val="0"/>
          <w:numId w:val="103"/>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наличие барьеров для распространения информации о това</w:t>
      </w:r>
      <w:r w:rsidRPr="00350396">
        <w:rPr>
          <w:rFonts w:ascii="Bookman Old Style" w:eastAsia="Bookman Old Style" w:hAnsi="Bookman Old Style" w:cs="Bookman Old Style"/>
          <w:color w:val="231F20"/>
          <w:sz w:val="18"/>
          <w:szCs w:val="18"/>
        </w:rPr>
        <w:softHyphen/>
        <w:t>рах-заменителях;</w:t>
      </w:r>
    </w:p>
    <w:p w14:paraId="690274AF"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значительная доля вертикально интегрированных хозяйству</w:t>
      </w:r>
      <w:r w:rsidRPr="00350396">
        <w:rPr>
          <w:rFonts w:ascii="Bookman Old Style" w:eastAsia="Bookman Old Style" w:hAnsi="Bookman Old Style" w:cs="Bookman Old Style"/>
          <w:color w:val="231F20"/>
          <w:sz w:val="18"/>
          <w:szCs w:val="18"/>
        </w:rPr>
        <w:softHyphen/>
        <w:t>ющих субъектов;</w:t>
      </w:r>
    </w:p>
    <w:p w14:paraId="1E43425B"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снижение в течение временного интервала исследования доли хозяйствующих субъектов, не являющихся вертикально инте</w:t>
      </w:r>
      <w:r w:rsidRPr="00350396">
        <w:rPr>
          <w:rFonts w:ascii="Bookman Old Style" w:eastAsia="Bookman Old Style" w:hAnsi="Bookman Old Style" w:cs="Bookman Old Style"/>
          <w:color w:val="231F20"/>
          <w:sz w:val="18"/>
          <w:szCs w:val="18"/>
        </w:rPr>
        <w:softHyphen/>
        <w:t>грированными;</w:t>
      </w:r>
    </w:p>
    <w:p w14:paraId="15555C4D" w14:textId="77777777" w:rsidR="00350396" w:rsidRPr="00350396" w:rsidRDefault="00350396" w:rsidP="00350396">
      <w:pPr>
        <w:widowControl w:val="0"/>
        <w:numPr>
          <w:ilvl w:val="0"/>
          <w:numId w:val="103"/>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доминирующее положение вертикально интегрированных хозяйствующих субъектов, действующих на рассматриваемом то</w:t>
      </w:r>
      <w:r w:rsidRPr="00350396">
        <w:rPr>
          <w:rFonts w:ascii="Bookman Old Style" w:eastAsia="Bookman Old Style" w:hAnsi="Bookman Old Style" w:cs="Bookman Old Style"/>
          <w:color w:val="231F20"/>
          <w:sz w:val="18"/>
          <w:szCs w:val="18"/>
        </w:rPr>
        <w:softHyphen/>
        <w:t>варном рынке, на одном из смежных товарных рынков, на кото</w:t>
      </w:r>
      <w:r w:rsidRPr="00350396">
        <w:rPr>
          <w:rFonts w:ascii="Bookman Old Style" w:eastAsia="Bookman Old Style" w:hAnsi="Bookman Old Style" w:cs="Bookman Old Style"/>
          <w:color w:val="231F20"/>
          <w:sz w:val="18"/>
          <w:szCs w:val="18"/>
        </w:rPr>
        <w:softHyphen/>
        <w:t>рых обращаются товары, используемые в производстве данного товара, или на которые данный товар последовательно поступа</w:t>
      </w:r>
      <w:r w:rsidRPr="00350396">
        <w:rPr>
          <w:rFonts w:ascii="Bookman Old Style" w:eastAsia="Bookman Old Style" w:hAnsi="Bookman Old Style" w:cs="Bookman Old Style"/>
          <w:color w:val="231F20"/>
          <w:sz w:val="18"/>
          <w:szCs w:val="18"/>
        </w:rPr>
        <w:softHyphen/>
        <w:t>ет в процессе своего физического перемещения от производителя к потребителю;</w:t>
      </w:r>
    </w:p>
    <w:p w14:paraId="06C2B524"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высокий уровень концентрации предшествующих (вышесто</w:t>
      </w:r>
      <w:r w:rsidRPr="00350396">
        <w:rPr>
          <w:rFonts w:ascii="Bookman Old Style" w:eastAsia="Bookman Old Style" w:hAnsi="Bookman Old Style" w:cs="Bookman Old Style"/>
          <w:color w:val="231F20"/>
          <w:sz w:val="18"/>
          <w:szCs w:val="18"/>
        </w:rPr>
        <w:softHyphen/>
        <w:t>ящих) смежных товарных рынков, на которых хозяйствующий субъ</w:t>
      </w:r>
      <w:r w:rsidRPr="00350396">
        <w:rPr>
          <w:rFonts w:ascii="Bookman Old Style" w:eastAsia="Bookman Old Style" w:hAnsi="Bookman Old Style" w:cs="Bookman Old Style"/>
          <w:color w:val="231F20"/>
          <w:sz w:val="18"/>
          <w:szCs w:val="18"/>
        </w:rPr>
        <w:softHyphen/>
        <w:t>ект, действующий на рассматриваемом товарном рынке (последую</w:t>
      </w:r>
      <w:r w:rsidRPr="00350396">
        <w:rPr>
          <w:rFonts w:ascii="Bookman Old Style" w:eastAsia="Bookman Old Style" w:hAnsi="Bookman Old Style" w:cs="Bookman Old Style"/>
          <w:color w:val="231F20"/>
          <w:sz w:val="18"/>
          <w:szCs w:val="18"/>
        </w:rPr>
        <w:softHyphen/>
        <w:t>щем или нижестоящем) в качестве продавца, выступает или готов выступить в качестве приобретателя.</w:t>
      </w:r>
    </w:p>
    <w:p w14:paraId="76ABDE4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Анализ состояния конкуренции на товарном рынке является базой для оценки конкурентоспособности рынка. Он проводится в соответствии со ст. 10 приказа № 220. Анализируемый рынок — это рынок, на котором действуют хозяйствующие субъекты, чья деятельность охватывает ряд последовательных стадий процесса производства (обработки, переработки) и обращения, причем про</w:t>
      </w:r>
      <w:r w:rsidRPr="00350396">
        <w:rPr>
          <w:rFonts w:ascii="Bookman Old Style" w:eastAsia="Bookman Old Style" w:hAnsi="Bookman Old Style" w:cs="Bookman Old Style"/>
          <w:color w:val="231F20"/>
          <w:sz w:val="18"/>
          <w:szCs w:val="18"/>
        </w:rPr>
        <w:softHyphen/>
        <w:t>дукция каждой из этих стадий может рассматриваться в качестве товара на соответствующем товарном рынке. Такие субъекты на</w:t>
      </w:r>
      <w:r w:rsidRPr="00350396">
        <w:rPr>
          <w:rFonts w:ascii="Bookman Old Style" w:eastAsia="Bookman Old Style" w:hAnsi="Bookman Old Style" w:cs="Bookman Old Style"/>
          <w:color w:val="231F20"/>
          <w:sz w:val="18"/>
          <w:szCs w:val="18"/>
        </w:rPr>
        <w:softHyphen/>
        <w:t>зывают вертикально интегрированными хозяйствующими субъек</w:t>
      </w:r>
      <w:r w:rsidRPr="00350396">
        <w:rPr>
          <w:rFonts w:ascii="Bookman Old Style" w:eastAsia="Bookman Old Style" w:hAnsi="Bookman Old Style" w:cs="Bookman Old Style"/>
          <w:color w:val="231F20"/>
          <w:sz w:val="18"/>
          <w:szCs w:val="18"/>
        </w:rPr>
        <w:softHyphen/>
        <w:t>тами. Данный анализ должен осуществляться с учетом следующих особенностей функционирования субъектов на рынке:</w:t>
      </w:r>
    </w:p>
    <w:p w14:paraId="3A7B061C" w14:textId="77777777" w:rsidR="00350396" w:rsidRPr="00350396" w:rsidRDefault="00350396" w:rsidP="00350396">
      <w:pPr>
        <w:widowControl w:val="0"/>
        <w:tabs>
          <w:tab w:val="left" w:pos="630"/>
        </w:tabs>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w:t>
      </w:r>
      <w:r w:rsidRPr="00350396">
        <w:rPr>
          <w:rFonts w:ascii="Bookman Old Style" w:eastAsia="Bookman Old Style" w:hAnsi="Bookman Old Style" w:cs="Bookman Old Style"/>
          <w:color w:val="231F20"/>
          <w:sz w:val="18"/>
          <w:szCs w:val="18"/>
        </w:rPr>
        <w:tab/>
        <w:t>произведенная на отдельных стадиях производства продук</w:t>
      </w:r>
      <w:r w:rsidRPr="00350396">
        <w:rPr>
          <w:rFonts w:ascii="Bookman Old Style" w:eastAsia="Bookman Old Style" w:hAnsi="Bookman Old Style" w:cs="Bookman Old Style"/>
          <w:color w:val="231F20"/>
          <w:sz w:val="18"/>
          <w:szCs w:val="18"/>
        </w:rPr>
        <w:softHyphen/>
        <w:t>ция (работы, услуги) вертикально интегрированных хозяйству</w:t>
      </w:r>
      <w:r w:rsidRPr="00350396">
        <w:rPr>
          <w:rFonts w:ascii="Bookman Old Style" w:eastAsia="Bookman Old Style" w:hAnsi="Bookman Old Style" w:cs="Bookman Old Style"/>
          <w:color w:val="231F20"/>
          <w:sz w:val="18"/>
          <w:szCs w:val="18"/>
        </w:rPr>
        <w:softHyphen/>
        <w:t>ющих субъектов, которую они могут без значительных дополни</w:t>
      </w:r>
      <w:r w:rsidRPr="00350396">
        <w:rPr>
          <w:rFonts w:ascii="Bookman Old Style" w:eastAsia="Bookman Old Style" w:hAnsi="Bookman Old Style" w:cs="Bookman Old Style"/>
          <w:color w:val="231F20"/>
          <w:sz w:val="18"/>
          <w:szCs w:val="18"/>
        </w:rPr>
        <w:softHyphen/>
        <w:t xml:space="preserve">тельных </w:t>
      </w:r>
      <w:r w:rsidRPr="00350396">
        <w:rPr>
          <w:rFonts w:ascii="Bookman Old Style" w:eastAsia="Bookman Old Style" w:hAnsi="Bookman Old Style" w:cs="Bookman Old Style"/>
          <w:color w:val="231F20"/>
          <w:sz w:val="18"/>
          <w:szCs w:val="18"/>
        </w:rPr>
        <w:lastRenderedPageBreak/>
        <w:t>издержек (не превышающих 10 % затрат на производство продукции) выпустить в обращение в качестве товара на соответ</w:t>
      </w:r>
      <w:r w:rsidRPr="00350396">
        <w:rPr>
          <w:rFonts w:ascii="Bookman Old Style" w:eastAsia="Bookman Old Style" w:hAnsi="Bookman Old Style" w:cs="Bookman Old Style"/>
          <w:color w:val="231F20"/>
          <w:sz w:val="18"/>
          <w:szCs w:val="18"/>
        </w:rPr>
        <w:softHyphen/>
        <w:t>ствующем товарном рынке, признается товаром, обращающимся на товарном рынке;</w:t>
      </w:r>
    </w:p>
    <w:p w14:paraId="1CA6428E" w14:textId="77777777" w:rsidR="00350396" w:rsidRPr="00350396" w:rsidRDefault="00350396" w:rsidP="00350396">
      <w:pPr>
        <w:widowControl w:val="0"/>
        <w:tabs>
          <w:tab w:val="left" w:pos="634"/>
        </w:tabs>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w:t>
      </w:r>
      <w:r w:rsidRPr="00350396">
        <w:rPr>
          <w:rFonts w:ascii="Bookman Old Style" w:eastAsia="Bookman Old Style" w:hAnsi="Bookman Old Style" w:cs="Bookman Old Style"/>
          <w:color w:val="231F20"/>
          <w:sz w:val="18"/>
          <w:szCs w:val="18"/>
        </w:rPr>
        <w:tab/>
        <w:t>вертикально интегрированный хозяйствующий субъект включается в число фактических или потенциальных продавцов на рассматриваемом товарном рынке, если произведенная им на от</w:t>
      </w:r>
      <w:r w:rsidRPr="00350396">
        <w:rPr>
          <w:rFonts w:ascii="Bookman Old Style" w:eastAsia="Bookman Old Style" w:hAnsi="Bookman Old Style" w:cs="Bookman Old Style"/>
          <w:color w:val="231F20"/>
          <w:sz w:val="18"/>
          <w:szCs w:val="18"/>
        </w:rPr>
        <w:softHyphen/>
        <w:t>дельных стадиях производства продукция признается товаром, об</w:t>
      </w:r>
      <w:r w:rsidRPr="00350396">
        <w:rPr>
          <w:rFonts w:ascii="Bookman Old Style" w:eastAsia="Bookman Old Style" w:hAnsi="Bookman Old Style" w:cs="Bookman Old Style"/>
          <w:color w:val="231F20"/>
          <w:sz w:val="18"/>
          <w:szCs w:val="18"/>
        </w:rPr>
        <w:softHyphen/>
        <w:t>ращающимся на рассматриваемом рынке;</w:t>
      </w:r>
    </w:p>
    <w:p w14:paraId="31540805" w14:textId="77777777" w:rsidR="00350396" w:rsidRPr="00350396" w:rsidRDefault="00350396" w:rsidP="00350396">
      <w:pPr>
        <w:widowControl w:val="0"/>
        <w:tabs>
          <w:tab w:val="left" w:pos="634"/>
        </w:tabs>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w:t>
      </w:r>
      <w:r w:rsidRPr="00350396">
        <w:rPr>
          <w:rFonts w:ascii="Bookman Old Style" w:eastAsia="Bookman Old Style" w:hAnsi="Bookman Old Style" w:cs="Bookman Old Style"/>
          <w:color w:val="231F20"/>
          <w:sz w:val="18"/>
          <w:szCs w:val="18"/>
        </w:rPr>
        <w:tab/>
        <w:t>в случае если вертикально интегрированные хозяйствующие субъекты включаются в число фактических или потенциальных продавцов на рассматриваемом товарном рынке, в расчет объема рассматриваемого товарного рынка включается объем производ</w:t>
      </w:r>
      <w:r w:rsidRPr="00350396">
        <w:rPr>
          <w:rFonts w:ascii="Bookman Old Style" w:eastAsia="Bookman Old Style" w:hAnsi="Bookman Old Style" w:cs="Bookman Old Style"/>
          <w:color w:val="231F20"/>
          <w:sz w:val="18"/>
          <w:szCs w:val="18"/>
        </w:rPr>
        <w:softHyphen/>
        <w:t>ства вертикально интегрированными хозяйствующими субъекта</w:t>
      </w:r>
      <w:r w:rsidRPr="00350396">
        <w:rPr>
          <w:rFonts w:ascii="Bookman Old Style" w:eastAsia="Bookman Old Style" w:hAnsi="Bookman Old Style" w:cs="Bookman Old Style"/>
          <w:color w:val="231F20"/>
          <w:sz w:val="18"/>
          <w:szCs w:val="18"/>
        </w:rPr>
        <w:softHyphen/>
        <w:t>ми соответствующей продукции (работ, услуг), а при расчете до</w:t>
      </w:r>
      <w:r w:rsidRPr="00350396">
        <w:rPr>
          <w:rFonts w:ascii="Bookman Old Style" w:eastAsia="Bookman Old Style" w:hAnsi="Bookman Old Style" w:cs="Bookman Old Style"/>
          <w:color w:val="231F20"/>
          <w:sz w:val="18"/>
          <w:szCs w:val="18"/>
        </w:rPr>
        <w:softHyphen/>
        <w:t>лей хозяйствующих субъектов на рынке и при определении уровня концентрации товарного рынка учитываются данные об объеме производства вертикально интегрированными хозяйствующими субъектами указанной продукции.</w:t>
      </w:r>
    </w:p>
    <w:p w14:paraId="7FC477C3"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Указанные выше особенности анализа необходимо учитывать при оценке конкурентоспособности рынка, поскольку вертикально интегрированные хозяйствующие субъекты могут создать суще</w:t>
      </w:r>
      <w:r w:rsidRPr="00350396">
        <w:rPr>
          <w:rFonts w:ascii="Bookman Old Style" w:eastAsia="Bookman Old Style" w:hAnsi="Bookman Old Style" w:cs="Bookman Old Style"/>
          <w:color w:val="231F20"/>
          <w:sz w:val="18"/>
          <w:szCs w:val="18"/>
        </w:rPr>
        <w:softHyphen/>
        <w:t>ственные трудности для конкурентной работы на товарных рынках иных хозяйствующих субъектов.</w:t>
      </w:r>
    </w:p>
    <w:p w14:paraId="2F336CC7"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анализе состояния конкуренции на товарном рынке не</w:t>
      </w:r>
      <w:r w:rsidRPr="00350396">
        <w:rPr>
          <w:rFonts w:ascii="Bookman Old Style" w:eastAsia="Bookman Old Style" w:hAnsi="Bookman Old Style" w:cs="Bookman Old Style"/>
          <w:color w:val="231F20"/>
          <w:sz w:val="18"/>
          <w:szCs w:val="18"/>
        </w:rPr>
        <w:softHyphen/>
        <w:t>обходимо также рассматривать возможности покупателя товара устранять, ограничивать или не допускать конкуренцию на таком товарном рынке. При проведении этого анализа исследующей ор</w:t>
      </w:r>
      <w:r w:rsidRPr="00350396">
        <w:rPr>
          <w:rFonts w:ascii="Bookman Old Style" w:eastAsia="Bookman Old Style" w:hAnsi="Bookman Old Style" w:cs="Bookman Old Style"/>
          <w:color w:val="231F20"/>
          <w:sz w:val="18"/>
          <w:szCs w:val="18"/>
        </w:rPr>
        <w:softHyphen/>
        <w:t>ганизацией должны учитываться следующие особенности:</w:t>
      </w:r>
    </w:p>
    <w:p w14:paraId="62E0C85C"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 при определении временного интервала исследования то</w:t>
      </w:r>
      <w:r w:rsidRPr="00350396">
        <w:rPr>
          <w:rFonts w:ascii="Bookman Old Style" w:eastAsia="Bookman Old Style" w:hAnsi="Bookman Old Style" w:cs="Bookman Old Style"/>
          <w:color w:val="231F20"/>
          <w:sz w:val="18"/>
          <w:szCs w:val="18"/>
        </w:rPr>
        <w:softHyphen/>
        <w:t>варного рынка, продуктовых границ товарного рынка и географи</w:t>
      </w:r>
      <w:r w:rsidRPr="00350396">
        <w:rPr>
          <w:rFonts w:ascii="Bookman Old Style" w:eastAsia="Bookman Old Style" w:hAnsi="Bookman Old Style" w:cs="Bookman Old Style"/>
          <w:color w:val="231F20"/>
          <w:sz w:val="18"/>
          <w:szCs w:val="18"/>
        </w:rPr>
        <w:softHyphen/>
        <w:t xml:space="preserve">ческих границ товарного рынка выявляется наличие у продавца </w:t>
      </w:r>
      <w:bookmarkStart w:id="87" w:name="bookmark73"/>
      <w:r w:rsidRPr="00350396">
        <w:rPr>
          <w:rFonts w:ascii="Bookman Old Style" w:eastAsia="Bookman Old Style" w:hAnsi="Bookman Old Style" w:cs="Bookman Old Style"/>
          <w:color w:val="231F20"/>
          <w:sz w:val="18"/>
          <w:szCs w:val="18"/>
        </w:rPr>
        <w:t>(продавцов) экономической и технической возможности продать рассматриваемый товар;</w:t>
      </w:r>
      <w:bookmarkEnd w:id="87"/>
    </w:p>
    <w:p w14:paraId="647368DB" w14:textId="77777777" w:rsidR="00350396" w:rsidRPr="00350396" w:rsidRDefault="00350396" w:rsidP="00350396">
      <w:pPr>
        <w:widowControl w:val="0"/>
        <w:tabs>
          <w:tab w:val="left" w:pos="624"/>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б)</w:t>
      </w:r>
      <w:r w:rsidRPr="00350396">
        <w:rPr>
          <w:rFonts w:ascii="Bookman Old Style" w:eastAsia="Bookman Old Style" w:hAnsi="Bookman Old Style" w:cs="Bookman Old Style"/>
          <w:color w:val="231F20"/>
          <w:sz w:val="18"/>
          <w:szCs w:val="18"/>
        </w:rPr>
        <w:tab/>
        <w:t>при определении состава хозяйствующих субъектов, действу</w:t>
      </w:r>
      <w:r w:rsidRPr="00350396">
        <w:rPr>
          <w:rFonts w:ascii="Bookman Old Style" w:eastAsia="Bookman Old Style" w:hAnsi="Bookman Old Style" w:cs="Bookman Old Style"/>
          <w:color w:val="231F20"/>
          <w:sz w:val="18"/>
          <w:szCs w:val="18"/>
        </w:rPr>
        <w:softHyphen/>
        <w:t>ющих на товарном рынке, расчете объема товарного рынка и долей хозяйствующих субъектов на рынке, определении уровня концен</w:t>
      </w:r>
      <w:r w:rsidRPr="00350396">
        <w:rPr>
          <w:rFonts w:ascii="Bookman Old Style" w:eastAsia="Bookman Old Style" w:hAnsi="Bookman Old Style" w:cs="Bookman Old Style"/>
          <w:color w:val="231F20"/>
          <w:sz w:val="18"/>
          <w:szCs w:val="18"/>
        </w:rPr>
        <w:softHyphen/>
        <w:t>трации товарного рынка выявляются приобретатели товара, для ко</w:t>
      </w:r>
      <w:r w:rsidRPr="00350396">
        <w:rPr>
          <w:rFonts w:ascii="Bookman Old Style" w:eastAsia="Bookman Old Style" w:hAnsi="Bookman Old Style" w:cs="Bookman Old Style"/>
          <w:color w:val="231F20"/>
          <w:sz w:val="18"/>
          <w:szCs w:val="18"/>
        </w:rPr>
        <w:softHyphen/>
        <w:t>торых рассчитываются соответствующие показатели;</w:t>
      </w:r>
    </w:p>
    <w:p w14:paraId="3A8A87EE" w14:textId="77777777" w:rsidR="00350396" w:rsidRPr="00350396" w:rsidRDefault="00350396" w:rsidP="00350396">
      <w:pPr>
        <w:widowControl w:val="0"/>
        <w:tabs>
          <w:tab w:val="left" w:pos="624"/>
        </w:tabs>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w:t>
      </w:r>
      <w:r w:rsidRPr="00350396">
        <w:rPr>
          <w:rFonts w:ascii="Bookman Old Style" w:eastAsia="Bookman Old Style" w:hAnsi="Bookman Old Style" w:cs="Bookman Old Style"/>
          <w:color w:val="231F20"/>
          <w:sz w:val="18"/>
          <w:szCs w:val="18"/>
        </w:rPr>
        <w:tab/>
        <w:t>при определении барьеров для входа на товарный рынок и оценке состояния конкуренции на товарном рынке анализируют</w:t>
      </w:r>
      <w:r w:rsidRPr="00350396">
        <w:rPr>
          <w:rFonts w:ascii="Bookman Old Style" w:eastAsia="Bookman Old Style" w:hAnsi="Bookman Old Style" w:cs="Bookman Old Style"/>
          <w:color w:val="231F20"/>
          <w:sz w:val="18"/>
          <w:szCs w:val="18"/>
        </w:rPr>
        <w:softHyphen/>
        <w:t>ся возможности потенциальных приобретателей приобрести товар на рассматриваемом рынке.</w:t>
      </w:r>
    </w:p>
    <w:p w14:paraId="6F8D7E4A" w14:textId="77777777" w:rsidR="00350396" w:rsidRPr="00350396" w:rsidRDefault="00350396" w:rsidP="00350396">
      <w:pPr>
        <w:widowControl w:val="0"/>
        <w:spacing w:after="401"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со ст. 11 приказа № 220 по результатам проведе</w:t>
      </w:r>
      <w:r w:rsidRPr="00350396">
        <w:rPr>
          <w:rFonts w:ascii="Bookman Old Style" w:eastAsia="Bookman Old Style" w:hAnsi="Bookman Old Style" w:cs="Bookman Old Style"/>
          <w:color w:val="231F20"/>
          <w:sz w:val="18"/>
          <w:szCs w:val="18"/>
        </w:rPr>
        <w:softHyphen/>
        <w:t>ния анализа состояния конкуренции на товарном рынке составля</w:t>
      </w:r>
      <w:r w:rsidRPr="00350396">
        <w:rPr>
          <w:rFonts w:ascii="Bookman Old Style" w:eastAsia="Bookman Old Style" w:hAnsi="Bookman Old Style" w:cs="Bookman Old Style"/>
          <w:color w:val="231F20"/>
          <w:sz w:val="18"/>
          <w:szCs w:val="18"/>
        </w:rPr>
        <w:softHyphen/>
        <w:t xml:space="preserve">ется </w:t>
      </w:r>
      <w:r w:rsidRPr="00350396">
        <w:rPr>
          <w:rFonts w:ascii="Bookman Old Style" w:eastAsia="Bookman Old Style" w:hAnsi="Bookman Old Style" w:cs="Bookman Old Style"/>
          <w:color w:val="231F20"/>
          <w:sz w:val="18"/>
          <w:szCs w:val="18"/>
        </w:rPr>
        <w:lastRenderedPageBreak/>
        <w:t>аналитический отчет, в котором приводятся результаты про</w:t>
      </w:r>
      <w:r w:rsidRPr="00350396">
        <w:rPr>
          <w:rFonts w:ascii="Bookman Old Style" w:eastAsia="Bookman Old Style" w:hAnsi="Bookman Old Style" w:cs="Bookman Old Style"/>
          <w:color w:val="231F20"/>
          <w:sz w:val="18"/>
          <w:szCs w:val="18"/>
        </w:rPr>
        <w:softHyphen/>
        <w:t>веденного анализа.</w:t>
      </w:r>
    </w:p>
    <w:p w14:paraId="2232CC01" w14:textId="77777777" w:rsidR="00350396" w:rsidRPr="00350396" w:rsidRDefault="00350396" w:rsidP="00350396">
      <w:pPr>
        <w:keepNext/>
        <w:keepLines/>
        <w:widowControl w:val="0"/>
        <w:numPr>
          <w:ilvl w:val="0"/>
          <w:numId w:val="102"/>
        </w:numPr>
        <w:tabs>
          <w:tab w:val="left" w:pos="920"/>
        </w:tabs>
        <w:spacing w:after="220" w:line="274" w:lineRule="exact"/>
        <w:ind w:left="420" w:firstLine="0"/>
        <w:jc w:val="left"/>
        <w:outlineLvl w:val="3"/>
        <w:rPr>
          <w:rFonts w:ascii="Arial Narrow" w:eastAsia="Arial Narrow" w:hAnsi="Arial Narrow" w:cs="Arial Narrow"/>
          <w:b/>
          <w:bCs/>
        </w:rPr>
      </w:pPr>
      <w:bookmarkStart w:id="88" w:name="bookmark74"/>
      <w:r w:rsidRPr="00350396">
        <w:rPr>
          <w:rFonts w:ascii="Arial Narrow" w:eastAsia="Arial Narrow" w:hAnsi="Arial Narrow" w:cs="Arial Narrow"/>
          <w:b/>
          <w:bCs/>
          <w:color w:val="231F20"/>
        </w:rPr>
        <w:t>Понятие доминирующего хозяйствующего субъекта</w:t>
      </w:r>
      <w:bookmarkEnd w:id="88"/>
    </w:p>
    <w:p w14:paraId="11C9043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Согласно ст. 5 Федерального закона «О защите конкуренции» до</w:t>
      </w:r>
      <w:r w:rsidRPr="00350396">
        <w:rPr>
          <w:rFonts w:ascii="Bookman Old Style" w:eastAsia="Bookman Old Style" w:hAnsi="Bookman Old Style" w:cs="Bookman Old Style"/>
          <w:color w:val="231F20"/>
          <w:sz w:val="18"/>
          <w:szCs w:val="18"/>
        </w:rPr>
        <w:softHyphen/>
        <w:t>минирующим положением признается положение хозяйствующего субъекта (группы лиц) или нескольких хозяйствующих субъектов (групп лиц) на рынке определенного товара, дающее такому хозяй</w:t>
      </w:r>
      <w:r w:rsidRPr="00350396">
        <w:rPr>
          <w:rFonts w:ascii="Bookman Old Style" w:eastAsia="Bookman Old Style" w:hAnsi="Bookman Old Style" w:cs="Bookman Old Style"/>
          <w:color w:val="231F20"/>
          <w:sz w:val="18"/>
          <w:szCs w:val="18"/>
        </w:rPr>
        <w:softHyphen/>
        <w:t>ствующему субъекту (группе лиц) или таким хозяйствующим субъ</w:t>
      </w:r>
      <w:r w:rsidRPr="00350396">
        <w:rPr>
          <w:rFonts w:ascii="Bookman Old Style" w:eastAsia="Bookman Old Style" w:hAnsi="Bookman Old Style" w:cs="Bookman Old Style"/>
          <w:color w:val="231F20"/>
          <w:sz w:val="18"/>
          <w:szCs w:val="18"/>
        </w:rPr>
        <w:softHyphen/>
        <w:t>ектам (группам лиц) возможность 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w:t>
      </w:r>
      <w:r w:rsidRPr="00350396">
        <w:rPr>
          <w:rFonts w:ascii="Bookman Old Style" w:eastAsia="Bookman Old Style" w:hAnsi="Bookman Old Style" w:cs="Bookman Old Style"/>
          <w:color w:val="231F20"/>
          <w:sz w:val="18"/>
          <w:szCs w:val="18"/>
        </w:rPr>
        <w:softHyphen/>
        <w:t>ющих субъектов, и (или) затруднять доступ на этот товарный ры</w:t>
      </w:r>
      <w:r w:rsidRPr="00350396">
        <w:rPr>
          <w:rFonts w:ascii="Bookman Old Style" w:eastAsia="Bookman Old Style" w:hAnsi="Bookman Old Style" w:cs="Bookman Old Style"/>
          <w:color w:val="231F20"/>
          <w:sz w:val="18"/>
          <w:szCs w:val="18"/>
        </w:rPr>
        <w:softHyphen/>
        <w:t>нок другим хозяйствующим субъектам.</w:t>
      </w:r>
    </w:p>
    <w:p w14:paraId="67B3F1F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Таким образом, хозяйствующий субъект при определенных об</w:t>
      </w:r>
      <w:r w:rsidRPr="00350396">
        <w:rPr>
          <w:rFonts w:ascii="Bookman Old Style" w:eastAsia="Bookman Old Style" w:hAnsi="Bookman Old Style" w:cs="Bookman Old Style"/>
          <w:color w:val="231F20"/>
          <w:sz w:val="18"/>
          <w:szCs w:val="18"/>
        </w:rPr>
        <w:softHyphen/>
        <w:t>стоятельствах может диктовать потребителю заведомо невыгодные условия приобретения товара, а также создавать серьезные помехи для деятельности других хозяйствующих субъектов, действующих на этом рынке.</w:t>
      </w:r>
    </w:p>
    <w:p w14:paraId="7D55B8B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рамках, предписанных законодательством, при проведении анализа состояния конкуренции антимонопольный орган дает оцен</w:t>
      </w:r>
      <w:r w:rsidRPr="00350396">
        <w:rPr>
          <w:rFonts w:ascii="Bookman Old Style" w:eastAsia="Bookman Old Style" w:hAnsi="Bookman Old Style" w:cs="Bookman Old Style"/>
          <w:color w:val="231F20"/>
          <w:sz w:val="18"/>
          <w:szCs w:val="18"/>
        </w:rPr>
        <w:softHyphen/>
        <w:t>ку обстоятельствам, влияющим на состояние конкуренции, в том числе условиям доступа на товарный рынок, долям хозяйствующих субъектов на рынках определенного товара, соотношению долей покупателей и продавцов товара, периоду существования возмож</w:t>
      </w:r>
      <w:r w:rsidRPr="00350396">
        <w:rPr>
          <w:rFonts w:ascii="Bookman Old Style" w:eastAsia="Bookman Old Style" w:hAnsi="Bookman Old Style" w:cs="Bookman Old Style"/>
          <w:color w:val="231F20"/>
          <w:sz w:val="18"/>
          <w:szCs w:val="18"/>
        </w:rPr>
        <w:softHyphen/>
        <w:t>ности оказывать решающее влияние на общие условия обращения товара на товарном рынке (ч. 8 ст. 5 Федерального закона «О за</w:t>
      </w:r>
      <w:r w:rsidRPr="00350396">
        <w:rPr>
          <w:rFonts w:ascii="Bookman Old Style" w:eastAsia="Bookman Old Style" w:hAnsi="Bookman Old Style" w:cs="Bookman Old Style"/>
          <w:color w:val="231F20"/>
          <w:sz w:val="18"/>
          <w:szCs w:val="18"/>
        </w:rPr>
        <w:softHyphen/>
        <w:t>щите конкуренции»).</w:t>
      </w:r>
    </w:p>
    <w:p w14:paraId="5C9B27B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Для проведения анализа состояния конкуренции в первую оче</w:t>
      </w:r>
      <w:r w:rsidRPr="00350396">
        <w:rPr>
          <w:rFonts w:ascii="Bookman Old Style" w:eastAsia="Bookman Old Style" w:hAnsi="Bookman Old Style" w:cs="Bookman Old Style"/>
          <w:color w:val="231F20"/>
          <w:sz w:val="18"/>
          <w:szCs w:val="18"/>
        </w:rPr>
        <w:softHyphen/>
        <w:t>редь необходимо выбрать временной интервал, т. е. определить, на каком промежутке будет проводится оценка. Такая необходи</w:t>
      </w:r>
      <w:r w:rsidRPr="00350396">
        <w:rPr>
          <w:rFonts w:ascii="Bookman Old Style" w:eastAsia="Bookman Old Style" w:hAnsi="Bookman Old Style" w:cs="Bookman Old Style"/>
          <w:color w:val="231F20"/>
          <w:sz w:val="18"/>
          <w:szCs w:val="18"/>
        </w:rPr>
        <w:softHyphen/>
        <w:t>мость возникает вследствие того, что ситуация на рынках суще</w:t>
      </w:r>
      <w:r w:rsidRPr="00350396">
        <w:rPr>
          <w:rFonts w:ascii="Bookman Old Style" w:eastAsia="Bookman Old Style" w:hAnsi="Bookman Old Style" w:cs="Bookman Old Style"/>
          <w:color w:val="231F20"/>
          <w:sz w:val="18"/>
          <w:szCs w:val="18"/>
        </w:rPr>
        <w:softHyphen/>
        <w:t>ственным образом меняется с течением времени. Такой интер</w:t>
      </w:r>
      <w:r w:rsidRPr="00350396">
        <w:rPr>
          <w:rFonts w:ascii="Bookman Old Style" w:eastAsia="Bookman Old Style" w:hAnsi="Bookman Old Style" w:cs="Bookman Old Style"/>
          <w:color w:val="231F20"/>
          <w:sz w:val="18"/>
          <w:szCs w:val="18"/>
        </w:rPr>
        <w:softHyphen/>
        <w:t>вал необходимо определять в зависимости от цели исследования, а также особенностей товарного рынка и доступности информации о рассматриваемом рынке.</w:t>
      </w:r>
    </w:p>
    <w:p w14:paraId="47500B1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Законом определен наименьший временной интервал анализа состояния конкуренции в целях установления доминирующего по</w:t>
      </w:r>
      <w:r w:rsidRPr="00350396">
        <w:rPr>
          <w:rFonts w:ascii="Bookman Old Style" w:eastAsia="Bookman Old Style" w:hAnsi="Bookman Old Style" w:cs="Bookman Old Style"/>
          <w:color w:val="231F20"/>
          <w:sz w:val="18"/>
          <w:szCs w:val="18"/>
        </w:rPr>
        <w:softHyphen/>
        <w:t>ложения хозяйствующего субъекта. Он должен составлять один год или срок существования товарного рынка, если он составляет менее чем один год (ч. 9 ст. 5 Федерального закона «О защите конкурен</w:t>
      </w:r>
      <w:r w:rsidRPr="00350396">
        <w:rPr>
          <w:rFonts w:ascii="Bookman Old Style" w:eastAsia="Bookman Old Style" w:hAnsi="Bookman Old Style" w:cs="Bookman Old Style"/>
          <w:color w:val="231F20"/>
          <w:sz w:val="18"/>
          <w:szCs w:val="18"/>
        </w:rPr>
        <w:softHyphen/>
        <w:t>ции»).</w:t>
      </w:r>
    </w:p>
    <w:p w14:paraId="64C59F1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 основании данного Закона выделен также ряд основных ха</w:t>
      </w:r>
      <w:r w:rsidRPr="00350396">
        <w:rPr>
          <w:rFonts w:ascii="Bookman Old Style" w:eastAsia="Bookman Old Style" w:hAnsi="Bookman Old Style" w:cs="Bookman Old Style"/>
          <w:color w:val="231F20"/>
          <w:sz w:val="18"/>
          <w:szCs w:val="18"/>
        </w:rPr>
        <w:softHyphen/>
        <w:t>рактеристик положения субъекта на рынке, при котором хозяйству</w:t>
      </w:r>
      <w:r w:rsidRPr="00350396">
        <w:rPr>
          <w:rFonts w:ascii="Bookman Old Style" w:eastAsia="Bookman Old Style" w:hAnsi="Bookman Old Style" w:cs="Bookman Old Style"/>
          <w:color w:val="231F20"/>
          <w:sz w:val="18"/>
          <w:szCs w:val="18"/>
        </w:rPr>
        <w:softHyphen/>
        <w:t>ющий субъект признается занимающим доминирующее положение (данные правила распространяются на всех хозяйствующих субъек</w:t>
      </w:r>
      <w:r w:rsidRPr="00350396">
        <w:rPr>
          <w:rFonts w:ascii="Bookman Old Style" w:eastAsia="Bookman Old Style" w:hAnsi="Bookman Old Style" w:cs="Bookman Old Style"/>
          <w:color w:val="231F20"/>
          <w:sz w:val="18"/>
          <w:szCs w:val="18"/>
        </w:rPr>
        <w:softHyphen/>
        <w:t xml:space="preserve">тов, </w:t>
      </w:r>
      <w:r w:rsidRPr="00350396">
        <w:rPr>
          <w:rFonts w:ascii="Bookman Old Style" w:eastAsia="Bookman Old Style" w:hAnsi="Bookman Old Style" w:cs="Bookman Old Style"/>
          <w:color w:val="231F20"/>
          <w:sz w:val="18"/>
          <w:szCs w:val="18"/>
        </w:rPr>
        <w:lastRenderedPageBreak/>
        <w:t>за исключением финансовых организаций). Субъект признает</w:t>
      </w:r>
      <w:r w:rsidRPr="00350396">
        <w:rPr>
          <w:rFonts w:ascii="Bookman Old Style" w:eastAsia="Bookman Old Style" w:hAnsi="Bookman Old Style" w:cs="Bookman Old Style"/>
          <w:color w:val="231F20"/>
          <w:sz w:val="18"/>
          <w:szCs w:val="18"/>
        </w:rPr>
        <w:softHyphen/>
        <w:t>ся занимающим доминирующее положение, если:</w:t>
      </w:r>
    </w:p>
    <w:p w14:paraId="0C74D7E7" w14:textId="77777777" w:rsidR="00350396" w:rsidRPr="00350396" w:rsidRDefault="00350396" w:rsidP="00350396">
      <w:pPr>
        <w:widowControl w:val="0"/>
        <w:numPr>
          <w:ilvl w:val="0"/>
          <w:numId w:val="105"/>
        </w:numPr>
        <w:tabs>
          <w:tab w:val="left" w:pos="626"/>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доля этого субъекта на рынке определенного товара превы</w:t>
      </w:r>
      <w:r w:rsidRPr="00350396">
        <w:rPr>
          <w:rFonts w:ascii="Bookman Old Style" w:eastAsia="Bookman Old Style" w:hAnsi="Bookman Old Style" w:cs="Bookman Old Style"/>
          <w:color w:val="231F20"/>
          <w:sz w:val="18"/>
          <w:szCs w:val="18"/>
        </w:rPr>
        <w:softHyphen/>
        <w:t>шает 50 %, если только при рассмотрении дела о нарушении анти</w:t>
      </w:r>
      <w:r w:rsidRPr="00350396">
        <w:rPr>
          <w:rFonts w:ascii="Bookman Old Style" w:eastAsia="Bookman Old Style" w:hAnsi="Bookman Old Style" w:cs="Bookman Old Style"/>
          <w:color w:val="231F20"/>
          <w:sz w:val="18"/>
          <w:szCs w:val="18"/>
        </w:rPr>
        <w:softHyphen/>
        <w:t>монопольного законодательства или при осуществлении государ</w:t>
      </w:r>
      <w:r w:rsidRPr="00350396">
        <w:rPr>
          <w:rFonts w:ascii="Bookman Old Style" w:eastAsia="Bookman Old Style" w:hAnsi="Bookman Old Style" w:cs="Bookman Old Style"/>
          <w:color w:val="231F20"/>
          <w:sz w:val="18"/>
          <w:szCs w:val="18"/>
        </w:rPr>
        <w:softHyphen/>
        <w:t>ственного контроля над экономической концентрацией не будет установлено, что, несмотря на превышение указанной величины, положение хозяйствующего субъекта на товарном рынке не явля</w:t>
      </w:r>
      <w:r w:rsidRPr="00350396">
        <w:rPr>
          <w:rFonts w:ascii="Bookman Old Style" w:eastAsia="Bookman Old Style" w:hAnsi="Bookman Old Style" w:cs="Bookman Old Style"/>
          <w:color w:val="231F20"/>
          <w:sz w:val="18"/>
          <w:szCs w:val="18"/>
        </w:rPr>
        <w:softHyphen/>
        <w:t>ется доминирующим;</w:t>
      </w:r>
    </w:p>
    <w:p w14:paraId="798B6246" w14:textId="77777777" w:rsidR="00350396" w:rsidRPr="00350396" w:rsidRDefault="00350396" w:rsidP="00350396">
      <w:pPr>
        <w:widowControl w:val="0"/>
        <w:numPr>
          <w:ilvl w:val="0"/>
          <w:numId w:val="105"/>
        </w:numPr>
        <w:tabs>
          <w:tab w:val="left" w:pos="626"/>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доля этого субъекта на рынке определенного товара состав</w:t>
      </w:r>
      <w:r w:rsidRPr="00350396">
        <w:rPr>
          <w:rFonts w:ascii="Bookman Old Style" w:eastAsia="Bookman Old Style" w:hAnsi="Bookman Old Style" w:cs="Bookman Old Style"/>
          <w:color w:val="231F20"/>
          <w:sz w:val="18"/>
          <w:szCs w:val="18"/>
        </w:rPr>
        <w:softHyphen/>
        <w:t>ляет менее 50 %, если доминирующее положение такого хозяйству</w:t>
      </w:r>
      <w:r w:rsidRPr="00350396">
        <w:rPr>
          <w:rFonts w:ascii="Bookman Old Style" w:eastAsia="Bookman Old Style" w:hAnsi="Bookman Old Style" w:cs="Bookman Old Style"/>
          <w:color w:val="231F20"/>
          <w:sz w:val="18"/>
          <w:szCs w:val="18"/>
        </w:rPr>
        <w:softHyphen/>
        <w:t>ющего субъекта установлено антимонопольным органом исходя из неизменной или подверженной малозначительным изменениям доли хозяйствующего субъекта на товарном рынке, относительного размера долей на этом товарном рынке, принадлежащих конкурен</w:t>
      </w:r>
      <w:r w:rsidRPr="00350396">
        <w:rPr>
          <w:rFonts w:ascii="Bookman Old Style" w:eastAsia="Bookman Old Style" w:hAnsi="Bookman Old Style" w:cs="Bookman Old Style"/>
          <w:color w:val="231F20"/>
          <w:sz w:val="18"/>
          <w:szCs w:val="18"/>
        </w:rPr>
        <w:softHyphen/>
        <w:t>там, возможности доступа на этот товарный рынок новых конку</w:t>
      </w:r>
      <w:r w:rsidRPr="00350396">
        <w:rPr>
          <w:rFonts w:ascii="Bookman Old Style" w:eastAsia="Bookman Old Style" w:hAnsi="Bookman Old Style" w:cs="Bookman Old Style"/>
          <w:color w:val="231F20"/>
          <w:sz w:val="18"/>
          <w:szCs w:val="18"/>
        </w:rPr>
        <w:softHyphen/>
        <w:t>рентов либо исходя из иных критериев, характеризующих товарный рынок.</w:t>
      </w:r>
    </w:p>
    <w:p w14:paraId="734621D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Оба правила не являются точными и требуют дополнительной проверки и обоснования, что дает возможность в ряде случаев огра</w:t>
      </w:r>
      <w:r w:rsidRPr="00350396">
        <w:rPr>
          <w:rFonts w:ascii="Bookman Old Style" w:eastAsia="Bookman Old Style" w:hAnsi="Bookman Old Style" w:cs="Bookman Old Style"/>
          <w:color w:val="231F20"/>
          <w:sz w:val="18"/>
          <w:szCs w:val="18"/>
        </w:rPr>
        <w:softHyphen/>
        <w:t>ничить действие закона.</w:t>
      </w:r>
    </w:p>
    <w:p w14:paraId="648C620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Существует также установленная снизу граница в 35 %. Однако в ряде случаев положение субъекта или группы субъектов может быть признано доминирующим (если даже его или их доля на рын</w:t>
      </w:r>
      <w:r w:rsidRPr="00350396">
        <w:rPr>
          <w:rFonts w:ascii="Bookman Old Style" w:eastAsia="Bookman Old Style" w:hAnsi="Bookman Old Style" w:cs="Bookman Old Style"/>
          <w:color w:val="231F20"/>
          <w:sz w:val="18"/>
          <w:szCs w:val="18"/>
        </w:rPr>
        <w:softHyphen/>
        <w:t>ке определенного товара не превышает 35 %) в ситуации, когда со</w:t>
      </w:r>
      <w:r w:rsidRPr="00350396">
        <w:rPr>
          <w:rFonts w:ascii="Bookman Old Style" w:eastAsia="Bookman Old Style" w:hAnsi="Bookman Old Style" w:cs="Bookman Old Style"/>
          <w:color w:val="231F20"/>
          <w:sz w:val="18"/>
          <w:szCs w:val="18"/>
        </w:rPr>
        <w:softHyphen/>
        <w:t>вокупная доля не более чем трех хозяйствующих субъектов, доля каждого из которых больше долей других хозяйствующих субъек</w:t>
      </w:r>
      <w:r w:rsidRPr="00350396">
        <w:rPr>
          <w:rFonts w:ascii="Bookman Old Style" w:eastAsia="Bookman Old Style" w:hAnsi="Bookman Old Style" w:cs="Bookman Old Style"/>
          <w:color w:val="231F20"/>
          <w:sz w:val="18"/>
          <w:szCs w:val="18"/>
        </w:rPr>
        <w:softHyphen/>
        <w:t>тов на соответствующем товарном рынке, превышает 50 %, или со</w:t>
      </w:r>
      <w:r w:rsidRPr="00350396">
        <w:rPr>
          <w:rFonts w:ascii="Bookman Old Style" w:eastAsia="Bookman Old Style" w:hAnsi="Bookman Old Style" w:cs="Bookman Old Style"/>
          <w:color w:val="231F20"/>
          <w:sz w:val="18"/>
          <w:szCs w:val="18"/>
        </w:rPr>
        <w:softHyphen/>
        <w:t>вокупная доля не более чем пяти хозяйствующих субъектов, доля каждого из которых больше долей других хозяйствующих субъектов на соответствующем товарном рынке, превышает 70 %. Исключе</w:t>
      </w:r>
      <w:r w:rsidRPr="00350396">
        <w:rPr>
          <w:rFonts w:ascii="Bookman Old Style" w:eastAsia="Bookman Old Style" w:hAnsi="Bookman Old Style" w:cs="Bookman Old Style"/>
          <w:color w:val="231F20"/>
          <w:sz w:val="18"/>
          <w:szCs w:val="18"/>
        </w:rPr>
        <w:softHyphen/>
        <w:t>нием из данного пункта является ситуация, когда доля хотя бы од</w:t>
      </w:r>
      <w:r w:rsidRPr="00350396">
        <w:rPr>
          <w:rFonts w:ascii="Bookman Old Style" w:eastAsia="Bookman Old Style" w:hAnsi="Bookman Old Style" w:cs="Bookman Old Style"/>
          <w:color w:val="231F20"/>
          <w:sz w:val="18"/>
          <w:szCs w:val="18"/>
        </w:rPr>
        <w:softHyphen/>
        <w:t>ного из указанных хозяйствующих субъектов менее 8 %.</w:t>
      </w:r>
    </w:p>
    <w:p w14:paraId="7898D62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положение субъекта или группы субъектов может быть признано доминирующим (если даже его или их доля на рынке определенного товара не превышает 35 %) в ситуации, когда в тече</w:t>
      </w:r>
      <w:r w:rsidRPr="00350396">
        <w:rPr>
          <w:rFonts w:ascii="Bookman Old Style" w:eastAsia="Bookman Old Style" w:hAnsi="Bookman Old Style" w:cs="Bookman Old Style"/>
          <w:color w:val="231F20"/>
          <w:sz w:val="18"/>
          <w:szCs w:val="18"/>
        </w:rPr>
        <w:softHyphen/>
        <w:t>ние не менее чем одного года (или в течение срока существования соответствующего товарного рынка, если такой срок составляет ме</w:t>
      </w:r>
      <w:r w:rsidRPr="00350396">
        <w:rPr>
          <w:rFonts w:ascii="Bookman Old Style" w:eastAsia="Bookman Old Style" w:hAnsi="Bookman Old Style" w:cs="Bookman Old Style"/>
          <w:color w:val="231F20"/>
          <w:sz w:val="18"/>
          <w:szCs w:val="18"/>
        </w:rPr>
        <w:softHyphen/>
        <w:t>нее одного года) относительные размеры долей субъектов неизмен</w:t>
      </w:r>
      <w:r w:rsidRPr="00350396">
        <w:rPr>
          <w:rFonts w:ascii="Bookman Old Style" w:eastAsia="Bookman Old Style" w:hAnsi="Bookman Old Style" w:cs="Bookman Old Style"/>
          <w:color w:val="231F20"/>
          <w:sz w:val="18"/>
          <w:szCs w:val="18"/>
        </w:rPr>
        <w:softHyphen/>
        <w:t>ны или подвержены малозначительным изменениям, а также доступ на соответствующий товарный рынок новых конкурентов затруднен.</w:t>
      </w:r>
    </w:p>
    <w:p w14:paraId="1A5C271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 оценку доминирующего положения субъекта или группы субъектов также влияет ситуация, когда реализуемый или приобре</w:t>
      </w:r>
      <w:r w:rsidRPr="00350396">
        <w:rPr>
          <w:rFonts w:ascii="Bookman Old Style" w:eastAsia="Bookman Old Style" w:hAnsi="Bookman Old Style" w:cs="Bookman Old Style"/>
          <w:color w:val="231F20"/>
          <w:sz w:val="18"/>
          <w:szCs w:val="18"/>
        </w:rPr>
        <w:softHyphen/>
        <w:t xml:space="preserve">таемый хозяйствующими субъектами товар не может быть заменен другим товаром при потреблении (в том числе при потреблении в </w:t>
      </w:r>
      <w:r w:rsidRPr="00350396">
        <w:rPr>
          <w:rFonts w:ascii="Bookman Old Style" w:eastAsia="Bookman Old Style" w:hAnsi="Bookman Old Style" w:cs="Bookman Old Style"/>
          <w:color w:val="231F20"/>
          <w:sz w:val="18"/>
          <w:szCs w:val="18"/>
        </w:rPr>
        <w:lastRenderedPageBreak/>
        <w:t>производственных целях), рост цены товара не обусловливает со</w:t>
      </w:r>
      <w:r w:rsidRPr="00350396">
        <w:rPr>
          <w:rFonts w:ascii="Bookman Old Style" w:eastAsia="Bookman Old Style" w:hAnsi="Bookman Old Style" w:cs="Bookman Old Style"/>
          <w:color w:val="231F20"/>
          <w:sz w:val="18"/>
          <w:szCs w:val="18"/>
        </w:rPr>
        <w:softHyphen/>
        <w:t>ответствующее такому росту снижение спроса на этот товар, а ин</w:t>
      </w:r>
      <w:r w:rsidRPr="00350396">
        <w:rPr>
          <w:rFonts w:ascii="Bookman Old Style" w:eastAsia="Bookman Old Style" w:hAnsi="Bookman Old Style" w:cs="Bookman Old Style"/>
          <w:color w:val="231F20"/>
          <w:sz w:val="18"/>
          <w:szCs w:val="18"/>
        </w:rPr>
        <w:softHyphen/>
        <w:t>формация о цене, об условиях реализации или приобретения этого товара на соответствующем товарном рынке доступна неопределен</w:t>
      </w:r>
      <w:r w:rsidRPr="00350396">
        <w:rPr>
          <w:rFonts w:ascii="Bookman Old Style" w:eastAsia="Bookman Old Style" w:hAnsi="Bookman Old Style" w:cs="Bookman Old Style"/>
          <w:color w:val="231F20"/>
          <w:sz w:val="18"/>
          <w:szCs w:val="18"/>
        </w:rPr>
        <w:softHyphen/>
        <w:t>ному кругу лиц.</w:t>
      </w:r>
    </w:p>
    <w:p w14:paraId="5C54EC6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Отметим, что федеральными законами также могут устанавли</w:t>
      </w:r>
      <w:r w:rsidRPr="00350396">
        <w:rPr>
          <w:rFonts w:ascii="Bookman Old Style" w:eastAsia="Bookman Old Style" w:hAnsi="Bookman Old Style" w:cs="Bookman Old Style"/>
          <w:color w:val="231F20"/>
          <w:sz w:val="18"/>
          <w:szCs w:val="18"/>
        </w:rPr>
        <w:softHyphen/>
        <w:t>ваться случаи признания доминирующим положения хозяйствую</w:t>
      </w:r>
      <w:r w:rsidRPr="00350396">
        <w:rPr>
          <w:rFonts w:ascii="Bookman Old Style" w:eastAsia="Bookman Old Style" w:hAnsi="Bookman Old Style" w:cs="Bookman Old Style"/>
          <w:color w:val="231F20"/>
          <w:sz w:val="18"/>
          <w:szCs w:val="18"/>
        </w:rPr>
        <w:softHyphen/>
        <w:t>щего субъекта, доля которого на рынке определенного товара со</w:t>
      </w:r>
      <w:r w:rsidRPr="00350396">
        <w:rPr>
          <w:rFonts w:ascii="Bookman Old Style" w:eastAsia="Bookman Old Style" w:hAnsi="Bookman Old Style" w:cs="Bookman Old Style"/>
          <w:color w:val="231F20"/>
          <w:sz w:val="18"/>
          <w:szCs w:val="18"/>
        </w:rPr>
        <w:softHyphen/>
        <w:t>ставляет менее 35 %.</w:t>
      </w:r>
    </w:p>
    <w:p w14:paraId="40FD409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Тем не менее доминирующим может быть признано и положе</w:t>
      </w:r>
      <w:r w:rsidRPr="00350396">
        <w:rPr>
          <w:rFonts w:ascii="Bookman Old Style" w:eastAsia="Bookman Old Style" w:hAnsi="Bookman Old Style" w:cs="Bookman Old Style"/>
          <w:color w:val="231F20"/>
          <w:sz w:val="18"/>
          <w:szCs w:val="18"/>
        </w:rPr>
        <w:softHyphen/>
        <w:t>ние хозяйствующего субъекта, доля которого на рынке определен</w:t>
      </w:r>
      <w:r w:rsidRPr="00350396">
        <w:rPr>
          <w:rFonts w:ascii="Bookman Old Style" w:eastAsia="Bookman Old Style" w:hAnsi="Bookman Old Style" w:cs="Bookman Old Style"/>
          <w:color w:val="231F20"/>
          <w:sz w:val="18"/>
          <w:szCs w:val="18"/>
        </w:rPr>
        <w:softHyphen/>
        <w:t>ного товара составляет менее 35 % и превышает доли других хо</w:t>
      </w:r>
      <w:r w:rsidRPr="00350396">
        <w:rPr>
          <w:rFonts w:ascii="Bookman Old Style" w:eastAsia="Bookman Old Style" w:hAnsi="Bookman Old Style" w:cs="Bookman Old Style"/>
          <w:color w:val="231F20"/>
          <w:sz w:val="18"/>
          <w:szCs w:val="18"/>
        </w:rPr>
        <w:softHyphen/>
        <w:t>зяйствующих субъектов на соответствующем товарном рынке. Это происходит, если будет установлено, что рассматриваемый хозяй</w:t>
      </w:r>
      <w:r w:rsidRPr="00350396">
        <w:rPr>
          <w:rFonts w:ascii="Bookman Old Style" w:eastAsia="Bookman Old Style" w:hAnsi="Bookman Old Style" w:cs="Bookman Old Style"/>
          <w:color w:val="231F20"/>
          <w:sz w:val="18"/>
          <w:szCs w:val="18"/>
        </w:rPr>
        <w:softHyphen/>
        <w:t>ствующий субъект может оказывать решающее влияние на общие условия обращения товара на товарном рынке.</w:t>
      </w:r>
    </w:p>
    <w:p w14:paraId="4EA2FA2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Оценка возможности влияния субъекта оценивается исходя из четырех факторов:</w:t>
      </w:r>
    </w:p>
    <w:p w14:paraId="5D629CB4" w14:textId="77777777" w:rsidR="00350396" w:rsidRPr="00350396" w:rsidRDefault="00350396" w:rsidP="00350396">
      <w:pPr>
        <w:widowControl w:val="0"/>
        <w:numPr>
          <w:ilvl w:val="0"/>
          <w:numId w:val="106"/>
        </w:numPr>
        <w:tabs>
          <w:tab w:val="left" w:pos="62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возможности в одностороннем порядке определять уровень цены товара, а также оказывать решающее влияние на общие усло</w:t>
      </w:r>
      <w:r w:rsidRPr="00350396">
        <w:rPr>
          <w:rFonts w:ascii="Bookman Old Style" w:eastAsia="Bookman Old Style" w:hAnsi="Bookman Old Style" w:cs="Bookman Old Style"/>
          <w:color w:val="231F20"/>
          <w:sz w:val="18"/>
          <w:szCs w:val="18"/>
        </w:rPr>
        <w:softHyphen/>
        <w:t>вия реализации товара на соответствующем товарном рынке;</w:t>
      </w:r>
    </w:p>
    <w:p w14:paraId="2B2281A1" w14:textId="77777777" w:rsidR="00350396" w:rsidRPr="00350396" w:rsidRDefault="00350396" w:rsidP="00350396">
      <w:pPr>
        <w:widowControl w:val="0"/>
        <w:numPr>
          <w:ilvl w:val="0"/>
          <w:numId w:val="106"/>
        </w:numPr>
        <w:tabs>
          <w:tab w:val="left" w:pos="62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трудности доступа на рассматриваемый рынок новых конку</w:t>
      </w:r>
      <w:r w:rsidRPr="00350396">
        <w:rPr>
          <w:rFonts w:ascii="Bookman Old Style" w:eastAsia="Bookman Old Style" w:hAnsi="Bookman Old Style" w:cs="Bookman Old Style"/>
          <w:color w:val="231F20"/>
          <w:sz w:val="18"/>
          <w:szCs w:val="18"/>
        </w:rPr>
        <w:softHyphen/>
        <w:t>рентов, в том числе вследствие наличия экономических, технологи</w:t>
      </w:r>
      <w:r w:rsidRPr="00350396">
        <w:rPr>
          <w:rFonts w:ascii="Bookman Old Style" w:eastAsia="Bookman Old Style" w:hAnsi="Bookman Old Style" w:cs="Bookman Old Style"/>
          <w:color w:val="231F20"/>
          <w:sz w:val="18"/>
          <w:szCs w:val="18"/>
        </w:rPr>
        <w:softHyphen/>
        <w:t>ческих, административных или иных ограничений;</w:t>
      </w:r>
    </w:p>
    <w:p w14:paraId="65D3C7F7" w14:textId="77777777" w:rsidR="00350396" w:rsidRPr="00350396" w:rsidRDefault="00350396" w:rsidP="00350396">
      <w:pPr>
        <w:widowControl w:val="0"/>
        <w:numPr>
          <w:ilvl w:val="0"/>
          <w:numId w:val="106"/>
        </w:numPr>
        <w:tabs>
          <w:tab w:val="left" w:pos="62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отсутствия товара-заменителя как при потреблении, так и при потреблении в производственных целях;</w:t>
      </w:r>
    </w:p>
    <w:p w14:paraId="08AB3DB4" w14:textId="77777777" w:rsidR="00350396" w:rsidRPr="00350396" w:rsidRDefault="00350396" w:rsidP="00350396">
      <w:pPr>
        <w:widowControl w:val="0"/>
        <w:numPr>
          <w:ilvl w:val="0"/>
          <w:numId w:val="106"/>
        </w:numPr>
        <w:tabs>
          <w:tab w:val="left" w:pos="62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отсутствия влияния изменения цены товара на величину из</w:t>
      </w:r>
      <w:r w:rsidRPr="00350396">
        <w:rPr>
          <w:rFonts w:ascii="Bookman Old Style" w:eastAsia="Bookman Old Style" w:hAnsi="Bookman Old Style" w:cs="Bookman Old Style"/>
          <w:color w:val="231F20"/>
          <w:sz w:val="18"/>
          <w:szCs w:val="18"/>
        </w:rPr>
        <w:softHyphen/>
        <w:t>менения спроса на товар (при росте цены товара отсутствует соот</w:t>
      </w:r>
      <w:r w:rsidRPr="00350396">
        <w:rPr>
          <w:rFonts w:ascii="Bookman Old Style" w:eastAsia="Bookman Old Style" w:hAnsi="Bookman Old Style" w:cs="Bookman Old Style"/>
          <w:color w:val="231F20"/>
          <w:sz w:val="18"/>
          <w:szCs w:val="18"/>
        </w:rPr>
        <w:softHyphen/>
        <w:t>ветствующее снижение спроса на товар).</w:t>
      </w:r>
    </w:p>
    <w:p w14:paraId="2C6AD63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Все эти положения в совокупности приводят к существенным трудностям при обосновании доминирующего положения на рынке и введении каких-либо санкций против хозяйствующих субъектов.</w:t>
      </w:r>
    </w:p>
    <w:p w14:paraId="19A9D6A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этом необходимо учитывать, что законодательно предус</w:t>
      </w:r>
      <w:r w:rsidRPr="00350396">
        <w:rPr>
          <w:rFonts w:ascii="Bookman Old Style" w:eastAsia="Bookman Old Style" w:hAnsi="Bookman Old Style" w:cs="Bookman Old Style"/>
          <w:color w:val="231F20"/>
          <w:sz w:val="18"/>
          <w:szCs w:val="18"/>
        </w:rPr>
        <w:softHyphen/>
        <w:t>мотрена возможность для хозяйствующего субъекта представлять в антимонопольный орган или в суд доказательства того, что поло</w:t>
      </w:r>
      <w:r w:rsidRPr="00350396">
        <w:rPr>
          <w:rFonts w:ascii="Bookman Old Style" w:eastAsia="Bookman Old Style" w:hAnsi="Bookman Old Style" w:cs="Bookman Old Style"/>
          <w:color w:val="231F20"/>
          <w:sz w:val="18"/>
          <w:szCs w:val="18"/>
        </w:rPr>
        <w:softHyphen/>
        <w:t>жение этого хозяйствующего субъекта на товарном рынке не может быть признано доминирующим. Таким образом, даже при условии реализации всех перечисленных выше положений и признании субъекта занимающим доминирующее положение на рынке субъ</w:t>
      </w:r>
      <w:r w:rsidRPr="00350396">
        <w:rPr>
          <w:rFonts w:ascii="Bookman Old Style" w:eastAsia="Bookman Old Style" w:hAnsi="Bookman Old Style" w:cs="Bookman Old Style"/>
          <w:color w:val="231F20"/>
          <w:sz w:val="18"/>
          <w:szCs w:val="18"/>
        </w:rPr>
        <w:softHyphen/>
        <w:t>ект имеет возможность обратиться, например, в суд за признанием того, что его положение не является доминирующим.</w:t>
      </w:r>
    </w:p>
    <w:p w14:paraId="239D6FA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в Федеральном законе «О защите конкуренции» предусмотрен ряд особых случаев признания доминирующего по</w:t>
      </w:r>
      <w:r w:rsidRPr="00350396">
        <w:rPr>
          <w:rFonts w:ascii="Bookman Old Style" w:eastAsia="Bookman Old Style" w:hAnsi="Bookman Old Style" w:cs="Bookman Old Style"/>
          <w:color w:val="231F20"/>
          <w:sz w:val="18"/>
          <w:szCs w:val="18"/>
        </w:rPr>
        <w:softHyphen/>
        <w:t>ложения хозяйствующего субъекта.</w:t>
      </w:r>
    </w:p>
    <w:p w14:paraId="69D069F3" w14:textId="77777777" w:rsidR="00350396" w:rsidRPr="00350396" w:rsidRDefault="00350396" w:rsidP="00350396">
      <w:pPr>
        <w:widowControl w:val="0"/>
        <w:numPr>
          <w:ilvl w:val="0"/>
          <w:numId w:val="107"/>
        </w:numPr>
        <w:tabs>
          <w:tab w:val="left" w:pos="622"/>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Доминирующим признается положение хозяйствующего </w:t>
      </w:r>
      <w:r w:rsidRPr="00350396">
        <w:rPr>
          <w:rFonts w:ascii="Bookman Old Style" w:eastAsia="Bookman Old Style" w:hAnsi="Bookman Old Style" w:cs="Bookman Old Style"/>
          <w:color w:val="231F20"/>
          <w:sz w:val="18"/>
          <w:szCs w:val="18"/>
        </w:rPr>
        <w:lastRenderedPageBreak/>
        <w:t>субъекта — субъекта естественной монополии на товарном рынке, находящемся в состоянии естественной монополии (ч. 5 ст. 5 Феде</w:t>
      </w:r>
      <w:r w:rsidRPr="00350396">
        <w:rPr>
          <w:rFonts w:ascii="Bookman Old Style" w:eastAsia="Bookman Old Style" w:hAnsi="Bookman Old Style" w:cs="Bookman Old Style"/>
          <w:color w:val="231F20"/>
          <w:sz w:val="18"/>
          <w:szCs w:val="18"/>
        </w:rPr>
        <w:softHyphen/>
        <w:t>рального закона «О защите конкуренции»).</w:t>
      </w:r>
    </w:p>
    <w:p w14:paraId="7B7D6FC8" w14:textId="77777777" w:rsidR="00350396" w:rsidRPr="00350396" w:rsidRDefault="00350396" w:rsidP="00350396">
      <w:pPr>
        <w:widowControl w:val="0"/>
        <w:numPr>
          <w:ilvl w:val="0"/>
          <w:numId w:val="107"/>
        </w:numPr>
        <w:tabs>
          <w:tab w:val="left" w:pos="622"/>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Условия признания доминирующим положения финансо</w:t>
      </w:r>
      <w:r w:rsidRPr="00350396">
        <w:rPr>
          <w:rFonts w:ascii="Bookman Old Style" w:eastAsia="Bookman Old Style" w:hAnsi="Bookman Old Style" w:cs="Bookman Old Style"/>
          <w:color w:val="231F20"/>
          <w:sz w:val="18"/>
          <w:szCs w:val="18"/>
        </w:rPr>
        <w:softHyphen/>
        <w:t>вой организации, поднадзорной Центральному банку РФ, уста</w:t>
      </w:r>
      <w:r w:rsidRPr="00350396">
        <w:rPr>
          <w:rFonts w:ascii="Bookman Old Style" w:eastAsia="Bookman Old Style" w:hAnsi="Bookman Old Style" w:cs="Bookman Old Style"/>
          <w:color w:val="231F20"/>
          <w:sz w:val="18"/>
          <w:szCs w:val="18"/>
        </w:rPr>
        <w:softHyphen/>
        <w:t>навливаются Правительством РФ по согласованию с Центральным банком РФ. Условия признания доминирующим положения иной финансовой организации устанавливаются Правительством РФ. Доминирующее положение финансовой организации, поднадзор</w:t>
      </w:r>
      <w:r w:rsidRPr="00350396">
        <w:rPr>
          <w:rFonts w:ascii="Bookman Old Style" w:eastAsia="Bookman Old Style" w:hAnsi="Bookman Old Style" w:cs="Bookman Old Style"/>
          <w:color w:val="231F20"/>
          <w:sz w:val="18"/>
          <w:szCs w:val="18"/>
        </w:rPr>
        <w:softHyphen/>
        <w:t>ной Центральному банку РФ, устанавливается антимонопольным органом в порядке, утвержденном Правительством РФ по согласо</w:t>
      </w:r>
      <w:r w:rsidRPr="00350396">
        <w:rPr>
          <w:rFonts w:ascii="Bookman Old Style" w:eastAsia="Bookman Old Style" w:hAnsi="Bookman Old Style" w:cs="Bookman Old Style"/>
          <w:color w:val="231F20"/>
          <w:sz w:val="18"/>
          <w:szCs w:val="18"/>
        </w:rPr>
        <w:softHyphen/>
        <w:t>ванию с Центральным банком РФ. Порядок установления антимо</w:t>
      </w:r>
      <w:r w:rsidRPr="00350396">
        <w:rPr>
          <w:rFonts w:ascii="Bookman Old Style" w:eastAsia="Bookman Old Style" w:hAnsi="Bookman Old Style" w:cs="Bookman Old Style"/>
          <w:color w:val="231F20"/>
          <w:sz w:val="18"/>
          <w:szCs w:val="18"/>
        </w:rPr>
        <w:softHyphen/>
        <w:t>нопольным органом доминирующего положения иной финансовой организации утверждается Правительством РФ. Не может быть при</w:t>
      </w:r>
      <w:r w:rsidRPr="00350396">
        <w:rPr>
          <w:rFonts w:ascii="Bookman Old Style" w:eastAsia="Bookman Old Style" w:hAnsi="Bookman Old Style" w:cs="Bookman Old Style"/>
          <w:color w:val="231F20"/>
          <w:sz w:val="18"/>
          <w:szCs w:val="18"/>
        </w:rPr>
        <w:softHyphen/>
        <w:t>знано доминирующим положение финансовой организации, доля которой не превышает 10 % на единственном в Российской Феде</w:t>
      </w:r>
      <w:r w:rsidRPr="00350396">
        <w:rPr>
          <w:rFonts w:ascii="Bookman Old Style" w:eastAsia="Bookman Old Style" w:hAnsi="Bookman Old Style" w:cs="Bookman Old Style"/>
          <w:color w:val="231F20"/>
          <w:sz w:val="18"/>
          <w:szCs w:val="18"/>
        </w:rPr>
        <w:softHyphen/>
        <w:t>рации товарном рынке или 20 % на товарном рынке, на котором обращается товар, обращающийся также на иных товарных рынках Российской Федерации (ч. 7 ст. 5 Федерального закона «О защите конкуренции»).</w:t>
      </w:r>
    </w:p>
    <w:p w14:paraId="16364A1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целом процедура признания положения хозяйствующего субъ</w:t>
      </w:r>
      <w:r w:rsidRPr="00350396">
        <w:rPr>
          <w:rFonts w:ascii="Bookman Old Style" w:eastAsia="Bookman Old Style" w:hAnsi="Bookman Old Style" w:cs="Bookman Old Style"/>
          <w:color w:val="231F20"/>
          <w:sz w:val="18"/>
          <w:szCs w:val="18"/>
        </w:rPr>
        <w:softHyphen/>
        <w:t>екта доминирующим представляется трудоемкой и непрозрачной, что приводит к большому числу спорных ситуаций.</w:t>
      </w:r>
    </w:p>
    <w:p w14:paraId="3BC40BC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Отметим, что определение доминирующего положения хозяй</w:t>
      </w:r>
      <w:r w:rsidRPr="00350396">
        <w:rPr>
          <w:rFonts w:ascii="Bookman Old Style" w:eastAsia="Bookman Old Style" w:hAnsi="Bookman Old Style" w:cs="Bookman Old Style"/>
          <w:color w:val="231F20"/>
          <w:sz w:val="18"/>
          <w:szCs w:val="18"/>
        </w:rPr>
        <w:softHyphen/>
        <w:t>ствующего субъекта требует подробного анализа рынка, ситуа</w:t>
      </w:r>
      <w:r w:rsidRPr="00350396">
        <w:rPr>
          <w:rFonts w:ascii="Bookman Old Style" w:eastAsia="Bookman Old Style" w:hAnsi="Bookman Old Style" w:cs="Bookman Old Style"/>
          <w:color w:val="231F20"/>
          <w:sz w:val="18"/>
          <w:szCs w:val="18"/>
        </w:rPr>
        <w:softHyphen/>
        <w:t>ции на рынке и деятельности самого хозяйствующего субъекта или субъектов.</w:t>
      </w:r>
    </w:p>
    <w:p w14:paraId="6B047B1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Следует иметь в виду, что в разных странах порядок определения доминирующего положения субъектов на рынке различен.</w:t>
      </w:r>
    </w:p>
    <w:p w14:paraId="25F37BEC" w14:textId="77777777" w:rsidR="00350396" w:rsidRPr="00350396" w:rsidRDefault="00350396" w:rsidP="00350396">
      <w:pPr>
        <w:keepNext/>
        <w:keepLines/>
        <w:widowControl w:val="0"/>
        <w:numPr>
          <w:ilvl w:val="0"/>
          <w:numId w:val="102"/>
        </w:numPr>
        <w:tabs>
          <w:tab w:val="left" w:pos="935"/>
        </w:tabs>
        <w:spacing w:after="213" w:line="336" w:lineRule="exact"/>
        <w:ind w:left="1660" w:hanging="1220"/>
        <w:jc w:val="left"/>
        <w:outlineLvl w:val="3"/>
        <w:rPr>
          <w:rFonts w:ascii="Arial Narrow" w:eastAsia="Arial Narrow" w:hAnsi="Arial Narrow" w:cs="Arial Narrow"/>
          <w:b/>
          <w:bCs/>
        </w:rPr>
      </w:pPr>
      <w:bookmarkStart w:id="89" w:name="bookmark75"/>
      <w:bookmarkStart w:id="90" w:name="bookmark76"/>
      <w:r w:rsidRPr="00350396">
        <w:rPr>
          <w:rFonts w:ascii="Arial Narrow" w:eastAsia="Arial Narrow" w:hAnsi="Arial Narrow" w:cs="Arial Narrow"/>
          <w:b/>
          <w:bCs/>
          <w:color w:val="231F20"/>
        </w:rPr>
        <w:t>Антимонопольное регулирование в сфере контроля недобросовестной деятельности</w:t>
      </w:r>
      <w:bookmarkEnd w:id="89"/>
      <w:bookmarkEnd w:id="90"/>
    </w:p>
    <w:p w14:paraId="08E5E0BC"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со ст. 4 Федерального закона «О защите конку</w:t>
      </w:r>
      <w:r w:rsidRPr="00350396">
        <w:rPr>
          <w:rFonts w:ascii="Bookman Old Style" w:eastAsia="Bookman Old Style" w:hAnsi="Bookman Old Style" w:cs="Bookman Old Style"/>
          <w:color w:val="231F20"/>
          <w:sz w:val="18"/>
          <w:szCs w:val="18"/>
        </w:rPr>
        <w:softHyphen/>
        <w:t>ренции» недобросовестной конкуренцией признаются любые дей</w:t>
      </w:r>
      <w:r w:rsidRPr="00350396">
        <w:rPr>
          <w:rFonts w:ascii="Bookman Old Style" w:eastAsia="Bookman Old Style" w:hAnsi="Bookman Old Style" w:cs="Bookman Old Style"/>
          <w:color w:val="231F20"/>
          <w:sz w:val="18"/>
          <w:szCs w:val="18"/>
        </w:rPr>
        <w:softHyphen/>
        <w:t>ствия хозяйствующих субъектов (группы лиц), которые направлены на получение преимуществ при осуществлении предприниматель</w:t>
      </w:r>
      <w:r w:rsidRPr="00350396">
        <w:rPr>
          <w:rFonts w:ascii="Bookman Old Style" w:eastAsia="Bookman Old Style" w:hAnsi="Bookman Old Style" w:cs="Bookman Old Style"/>
          <w:color w:val="231F20"/>
          <w:sz w:val="18"/>
          <w:szCs w:val="18"/>
        </w:rPr>
        <w:softHyphen/>
        <w:t>ской деятельности, противоречат законодательству РФ, обычаям делового оборота, требованиям добропорядочности, разумно</w:t>
      </w:r>
      <w:r w:rsidRPr="00350396">
        <w:rPr>
          <w:rFonts w:ascii="Bookman Old Style" w:eastAsia="Bookman Old Style" w:hAnsi="Bookman Old Style" w:cs="Bookman Old Style"/>
          <w:color w:val="231F20"/>
          <w:sz w:val="18"/>
          <w:szCs w:val="18"/>
        </w:rPr>
        <w:softHyphen/>
        <w:t>сти и справедливости и причинили или могут причинить убытки другим хозяйствующим субъектам — конкурентам либо нанесли или могут нанести вред их деловой репутации.</w:t>
      </w:r>
    </w:p>
    <w:p w14:paraId="75EB3129"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Законом также вводится понятие «признаки ограничения конку</w:t>
      </w:r>
      <w:r w:rsidRPr="00350396">
        <w:rPr>
          <w:rFonts w:ascii="Bookman Old Style" w:eastAsia="Bookman Old Style" w:hAnsi="Bookman Old Style" w:cs="Bookman Old Style"/>
          <w:color w:val="231F20"/>
          <w:sz w:val="18"/>
          <w:szCs w:val="18"/>
        </w:rPr>
        <w:softHyphen/>
        <w:t>ренции»:</w:t>
      </w:r>
    </w:p>
    <w:p w14:paraId="5AC9D9D2" w14:textId="77777777" w:rsidR="00350396" w:rsidRPr="00350396" w:rsidRDefault="00350396" w:rsidP="00350396">
      <w:pPr>
        <w:widowControl w:val="0"/>
        <w:numPr>
          <w:ilvl w:val="0"/>
          <w:numId w:val="103"/>
        </w:numPr>
        <w:tabs>
          <w:tab w:val="left" w:pos="630"/>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сокращение числа хозяйствующих субъектов, не входящих в одну группу лиц, на товарном рынке;</w:t>
      </w:r>
    </w:p>
    <w:p w14:paraId="0CB624BC" w14:textId="77777777" w:rsidR="00350396" w:rsidRPr="00350396" w:rsidRDefault="00350396" w:rsidP="00350396">
      <w:pPr>
        <w:widowControl w:val="0"/>
        <w:numPr>
          <w:ilvl w:val="0"/>
          <w:numId w:val="103"/>
        </w:numPr>
        <w:tabs>
          <w:tab w:val="left" w:pos="630"/>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рост или снижение цены товара, не связанные с соответ</w:t>
      </w:r>
      <w:r w:rsidRPr="00350396">
        <w:rPr>
          <w:rFonts w:ascii="Bookman Old Style" w:eastAsia="Bookman Old Style" w:hAnsi="Bookman Old Style" w:cs="Bookman Old Style"/>
          <w:color w:val="231F20"/>
          <w:sz w:val="18"/>
          <w:szCs w:val="18"/>
        </w:rPr>
        <w:softHyphen/>
        <w:t xml:space="preserve">ствующими изменениями иных общих условий обращения товара на </w:t>
      </w:r>
      <w:r w:rsidRPr="00350396">
        <w:rPr>
          <w:rFonts w:ascii="Bookman Old Style" w:eastAsia="Bookman Old Style" w:hAnsi="Bookman Old Style" w:cs="Bookman Old Style"/>
          <w:color w:val="231F20"/>
          <w:sz w:val="18"/>
          <w:szCs w:val="18"/>
        </w:rPr>
        <w:lastRenderedPageBreak/>
        <w:t>товарном рынке;</w:t>
      </w:r>
    </w:p>
    <w:p w14:paraId="42ABF2CC" w14:textId="77777777" w:rsidR="00350396" w:rsidRPr="00350396" w:rsidRDefault="00350396" w:rsidP="00350396">
      <w:pPr>
        <w:widowControl w:val="0"/>
        <w:numPr>
          <w:ilvl w:val="0"/>
          <w:numId w:val="103"/>
        </w:numPr>
        <w:tabs>
          <w:tab w:val="left" w:pos="639"/>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отказ хозяйствующих субъектов, не входящих в одну группу лиц, от самостоятельных действий на товарном рынке;</w:t>
      </w:r>
    </w:p>
    <w:p w14:paraId="598E6648" w14:textId="77777777" w:rsidR="00350396" w:rsidRPr="00350396" w:rsidRDefault="00350396" w:rsidP="00350396">
      <w:pPr>
        <w:widowControl w:val="0"/>
        <w:numPr>
          <w:ilvl w:val="0"/>
          <w:numId w:val="103"/>
        </w:numPr>
        <w:tabs>
          <w:tab w:val="left" w:pos="630"/>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определение общих условий обращения товара на товарном рынке соглашением между хозяйствующими субъектами или в со</w:t>
      </w:r>
      <w:r w:rsidRPr="00350396">
        <w:rPr>
          <w:rFonts w:ascii="Bookman Old Style" w:eastAsia="Bookman Old Style" w:hAnsi="Bookman Old Style" w:cs="Bookman Old Style"/>
          <w:color w:val="231F20"/>
          <w:sz w:val="18"/>
          <w:szCs w:val="18"/>
        </w:rPr>
        <w:softHyphen/>
        <w:t>ответствии с обязательными для исполнения ими указаниями ино</w:t>
      </w:r>
      <w:r w:rsidRPr="00350396">
        <w:rPr>
          <w:rFonts w:ascii="Bookman Old Style" w:eastAsia="Bookman Old Style" w:hAnsi="Bookman Old Style" w:cs="Bookman Old Style"/>
          <w:color w:val="231F20"/>
          <w:sz w:val="18"/>
          <w:szCs w:val="18"/>
        </w:rPr>
        <w:softHyphen/>
        <w:t>го лица либо в результате согласования хозяйствующими субъекта</w:t>
      </w:r>
      <w:r w:rsidRPr="00350396">
        <w:rPr>
          <w:rFonts w:ascii="Bookman Old Style" w:eastAsia="Bookman Old Style" w:hAnsi="Bookman Old Style" w:cs="Bookman Old Style"/>
          <w:color w:val="231F20"/>
          <w:sz w:val="18"/>
          <w:szCs w:val="18"/>
        </w:rPr>
        <w:softHyphen/>
        <w:t>ми, не входящими в одну группу лиц, своих действий на товарном рынке;</w:t>
      </w:r>
    </w:p>
    <w:p w14:paraId="46F6C0C2" w14:textId="77777777" w:rsidR="00350396" w:rsidRPr="00350396" w:rsidRDefault="00350396" w:rsidP="00350396">
      <w:pPr>
        <w:widowControl w:val="0"/>
        <w:numPr>
          <w:ilvl w:val="0"/>
          <w:numId w:val="103"/>
        </w:numPr>
        <w:tabs>
          <w:tab w:val="left" w:pos="630"/>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иные обстоятельства, создающие возможность для хозяйству</w:t>
      </w:r>
      <w:r w:rsidRPr="00350396">
        <w:rPr>
          <w:rFonts w:ascii="Bookman Old Style" w:eastAsia="Bookman Old Style" w:hAnsi="Bookman Old Style" w:cs="Bookman Old Style"/>
          <w:color w:val="231F20"/>
          <w:sz w:val="18"/>
          <w:szCs w:val="18"/>
        </w:rPr>
        <w:softHyphen/>
        <w:t>ющего субъекта или нескольких хозяйствующих субъектов в одно</w:t>
      </w:r>
      <w:r w:rsidRPr="00350396">
        <w:rPr>
          <w:rFonts w:ascii="Bookman Old Style" w:eastAsia="Bookman Old Style" w:hAnsi="Bookman Old Style" w:cs="Bookman Old Style"/>
          <w:color w:val="231F20"/>
          <w:sz w:val="18"/>
          <w:szCs w:val="18"/>
        </w:rPr>
        <w:softHyphen/>
        <w:t>стороннем порядке воздействовать на общие условия обращения товара на товарном рынке;</w:t>
      </w:r>
    </w:p>
    <w:p w14:paraId="034D9BD6" w14:textId="77777777" w:rsidR="00350396" w:rsidRPr="00350396" w:rsidRDefault="00350396" w:rsidP="00350396">
      <w:pPr>
        <w:widowControl w:val="0"/>
        <w:numPr>
          <w:ilvl w:val="0"/>
          <w:numId w:val="103"/>
        </w:numPr>
        <w:tabs>
          <w:tab w:val="left" w:pos="630"/>
        </w:tabs>
        <w:spacing w:line="245"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установление органами государственной власти, органами местного самоуправления, организациями, участвующими в предо</w:t>
      </w:r>
      <w:r w:rsidRPr="00350396">
        <w:rPr>
          <w:rFonts w:ascii="Bookman Old Style" w:eastAsia="Bookman Old Style" w:hAnsi="Bookman Old Style" w:cs="Bookman Old Style"/>
          <w:color w:val="231F20"/>
          <w:sz w:val="18"/>
          <w:szCs w:val="18"/>
        </w:rPr>
        <w:softHyphen/>
        <w:t>ставлении государственных или муниципальных услуг, при участии в предоставлении таких услуг требований к товарам или к хозяй</w:t>
      </w:r>
      <w:r w:rsidRPr="00350396">
        <w:rPr>
          <w:rFonts w:ascii="Bookman Old Style" w:eastAsia="Bookman Old Style" w:hAnsi="Bookman Old Style" w:cs="Bookman Old Style"/>
          <w:color w:val="231F20"/>
          <w:sz w:val="18"/>
          <w:szCs w:val="18"/>
        </w:rPr>
        <w:softHyphen/>
        <w:t>ствующим субъектам, не предусмотренных законодательством РФ.</w:t>
      </w:r>
    </w:p>
    <w:p w14:paraId="53600D8C"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Ежегодно антимонопольными органами выявляется и пресекает</w:t>
      </w:r>
      <w:r w:rsidRPr="00350396">
        <w:rPr>
          <w:rFonts w:ascii="Bookman Old Style" w:eastAsia="Bookman Old Style" w:hAnsi="Bookman Old Style" w:cs="Bookman Old Style"/>
          <w:color w:val="231F20"/>
          <w:sz w:val="18"/>
          <w:szCs w:val="18"/>
        </w:rPr>
        <w:softHyphen/>
        <w:t>ся большое количество актов недобросовестной конкуренции. Одна из причин этого — увеличение количества рассмотренных заявле</w:t>
      </w:r>
      <w:r w:rsidRPr="00350396">
        <w:rPr>
          <w:rFonts w:ascii="Bookman Old Style" w:eastAsia="Bookman Old Style" w:hAnsi="Bookman Old Style" w:cs="Bookman Old Style"/>
          <w:color w:val="231F20"/>
          <w:sz w:val="18"/>
          <w:szCs w:val="18"/>
        </w:rPr>
        <w:softHyphen/>
        <w:t>ний, что является следствием проведения антимонопольными ор</w:t>
      </w:r>
      <w:r w:rsidRPr="00350396">
        <w:rPr>
          <w:rFonts w:ascii="Bookman Old Style" w:eastAsia="Bookman Old Style" w:hAnsi="Bookman Old Style" w:cs="Bookman Old Style"/>
          <w:color w:val="231F20"/>
          <w:sz w:val="18"/>
          <w:szCs w:val="18"/>
        </w:rPr>
        <w:softHyphen/>
        <w:t>ганами обширной деятельности по адвокатированию конкуренции.</w:t>
      </w:r>
    </w:p>
    <w:p w14:paraId="26F4A588" w14:textId="77777777" w:rsidR="00350396" w:rsidRPr="00350396" w:rsidRDefault="00350396" w:rsidP="00350396">
      <w:pPr>
        <w:widowControl w:val="0"/>
        <w:spacing w:line="245"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настоящее время принята новая редакция Федерального за</w:t>
      </w:r>
      <w:r w:rsidRPr="00350396">
        <w:rPr>
          <w:rFonts w:ascii="Bookman Old Style" w:eastAsia="Bookman Old Style" w:hAnsi="Bookman Old Style" w:cs="Bookman Old Style"/>
          <w:color w:val="231F20"/>
          <w:sz w:val="18"/>
          <w:szCs w:val="18"/>
        </w:rPr>
        <w:softHyphen/>
        <w:t>кона «О защите конкуренции», в соответствии с которой (гл. 2.1) устанавливается запрет на недобросовестную конкуренцию по ряду оснований.</w:t>
      </w:r>
    </w:p>
    <w:p w14:paraId="127F0B9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Под запретом на недобросовестную конкуренцию путем </w:t>
      </w:r>
      <w:r w:rsidRPr="00350396">
        <w:rPr>
          <w:rFonts w:ascii="Bookman Old Style" w:eastAsia="Bookman Old Style" w:hAnsi="Bookman Old Style" w:cs="Bookman Old Style"/>
          <w:i/>
          <w:iCs/>
          <w:color w:val="231F20"/>
          <w:sz w:val="18"/>
          <w:szCs w:val="18"/>
        </w:rPr>
        <w:t>дискре</w:t>
      </w:r>
      <w:r w:rsidRPr="00350396">
        <w:rPr>
          <w:rFonts w:ascii="Bookman Old Style" w:eastAsia="Bookman Old Style" w:hAnsi="Bookman Old Style" w:cs="Bookman Old Style"/>
          <w:i/>
          <w:iCs/>
          <w:color w:val="231F20"/>
          <w:sz w:val="18"/>
          <w:szCs w:val="18"/>
        </w:rPr>
        <w:softHyphen/>
        <w:t>дитации</w:t>
      </w:r>
      <w:r w:rsidRPr="00350396">
        <w:rPr>
          <w:rFonts w:ascii="Bookman Old Style" w:eastAsia="Bookman Old Style" w:hAnsi="Bookman Old Style" w:cs="Bookman Old Style"/>
          <w:color w:val="231F20"/>
          <w:sz w:val="18"/>
          <w:szCs w:val="18"/>
        </w:rPr>
        <w:t xml:space="preserve"> (ст. 14.1) понимается распространение ложных, неточных или искаженных сведений, которые могут причинить убытки хозяй</w:t>
      </w:r>
      <w:r w:rsidRPr="00350396">
        <w:rPr>
          <w:rFonts w:ascii="Bookman Old Style" w:eastAsia="Bookman Old Style" w:hAnsi="Bookman Old Style" w:cs="Bookman Old Style"/>
          <w:color w:val="231F20"/>
          <w:sz w:val="18"/>
          <w:szCs w:val="18"/>
        </w:rPr>
        <w:softHyphen/>
        <w:t>ствующему субъекту и (или) нанести ущерб его деловой репутации, в том числе в отношении качества и потребительских свойств товара, количества товара, фактического размера спроса на такой товар, усло</w:t>
      </w:r>
      <w:r w:rsidRPr="00350396">
        <w:rPr>
          <w:rFonts w:ascii="Bookman Old Style" w:eastAsia="Bookman Old Style" w:hAnsi="Bookman Old Style" w:cs="Bookman Old Style"/>
          <w:color w:val="231F20"/>
          <w:sz w:val="18"/>
          <w:szCs w:val="18"/>
        </w:rPr>
        <w:softHyphen/>
        <w:t>вий, на которых предлагается к продаже и другим характеристикам.</w:t>
      </w:r>
    </w:p>
    <w:p w14:paraId="2EEBF6F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В части запрета на недобросовестную конкуренцию путем </w:t>
      </w:r>
      <w:r w:rsidRPr="00350396">
        <w:rPr>
          <w:rFonts w:ascii="Bookman Old Style" w:eastAsia="Bookman Old Style" w:hAnsi="Bookman Old Style" w:cs="Bookman Old Style"/>
          <w:i/>
          <w:iCs/>
          <w:color w:val="231F20"/>
          <w:sz w:val="18"/>
          <w:szCs w:val="18"/>
        </w:rPr>
        <w:t>вве</w:t>
      </w:r>
      <w:r w:rsidRPr="00350396">
        <w:rPr>
          <w:rFonts w:ascii="Bookman Old Style" w:eastAsia="Bookman Old Style" w:hAnsi="Bookman Old Style" w:cs="Bookman Old Style"/>
          <w:i/>
          <w:iCs/>
          <w:color w:val="231F20"/>
          <w:sz w:val="18"/>
          <w:szCs w:val="18"/>
        </w:rPr>
        <w:softHyphen/>
        <w:t>дения в заблуждение</w:t>
      </w:r>
      <w:r w:rsidRPr="00350396">
        <w:rPr>
          <w:rFonts w:ascii="Bookman Old Style" w:eastAsia="Bookman Old Style" w:hAnsi="Bookman Old Style" w:cs="Bookman Old Style"/>
          <w:color w:val="231F20"/>
          <w:sz w:val="18"/>
          <w:szCs w:val="18"/>
        </w:rPr>
        <w:t xml:space="preserve"> (ст. 14.2) понимается введение в заблуждение относительно качества и потребительских свойств товара, назначе</w:t>
      </w:r>
      <w:r w:rsidRPr="00350396">
        <w:rPr>
          <w:rFonts w:ascii="Bookman Old Style" w:eastAsia="Bookman Old Style" w:hAnsi="Bookman Old Style" w:cs="Bookman Old Style"/>
          <w:color w:val="231F20"/>
          <w:sz w:val="18"/>
          <w:szCs w:val="18"/>
        </w:rPr>
        <w:softHyphen/>
        <w:t>ния товара, способов и условий его изготовления или применения, количества товара, места производства товара, условий, на которых товар предлагается к продаже и др.</w:t>
      </w:r>
    </w:p>
    <w:p w14:paraId="2D6D750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При недобросовестной конкуренции путем </w:t>
      </w:r>
      <w:r w:rsidRPr="00350396">
        <w:rPr>
          <w:rFonts w:ascii="Bookman Old Style" w:eastAsia="Bookman Old Style" w:hAnsi="Bookman Old Style" w:cs="Bookman Old Style"/>
          <w:i/>
          <w:iCs/>
          <w:color w:val="231F20"/>
          <w:sz w:val="18"/>
          <w:szCs w:val="18"/>
        </w:rPr>
        <w:t>некорректного срав</w:t>
      </w:r>
      <w:r w:rsidRPr="00350396">
        <w:rPr>
          <w:rFonts w:ascii="Bookman Old Style" w:eastAsia="Bookman Old Style" w:hAnsi="Bookman Old Style" w:cs="Bookman Old Style"/>
          <w:i/>
          <w:iCs/>
          <w:color w:val="231F20"/>
          <w:sz w:val="18"/>
          <w:szCs w:val="18"/>
        </w:rPr>
        <w:softHyphen/>
        <w:t>нения хозяйствующего субъекта или его товара с другим хозяйству</w:t>
      </w:r>
      <w:r w:rsidRPr="00350396">
        <w:rPr>
          <w:rFonts w:ascii="Bookman Old Style" w:eastAsia="Bookman Old Style" w:hAnsi="Bookman Old Style" w:cs="Bookman Old Style"/>
          <w:i/>
          <w:iCs/>
          <w:color w:val="231F20"/>
          <w:sz w:val="18"/>
          <w:szCs w:val="18"/>
        </w:rPr>
        <w:softHyphen/>
        <w:t>ющим субъектом-конкурентом или его товаром</w:t>
      </w:r>
      <w:r w:rsidRPr="00350396">
        <w:rPr>
          <w:rFonts w:ascii="Bookman Old Style" w:eastAsia="Bookman Old Style" w:hAnsi="Bookman Old Style" w:cs="Bookman Old Style"/>
          <w:color w:val="231F20"/>
          <w:sz w:val="18"/>
          <w:szCs w:val="18"/>
        </w:rPr>
        <w:t xml:space="preserve"> (ст. 14.3) не допу</w:t>
      </w:r>
      <w:r w:rsidRPr="00350396">
        <w:rPr>
          <w:rFonts w:ascii="Bookman Old Style" w:eastAsia="Bookman Old Style" w:hAnsi="Bookman Old Style" w:cs="Bookman Old Style"/>
          <w:color w:val="231F20"/>
          <w:sz w:val="18"/>
          <w:szCs w:val="18"/>
        </w:rPr>
        <w:softHyphen/>
        <w:t>скается, например, использование слов «лучший», «первый», «номер один», «самый», «только», «единственный», иных слов или обозна</w:t>
      </w:r>
      <w:r w:rsidRPr="00350396">
        <w:rPr>
          <w:rFonts w:ascii="Bookman Old Style" w:eastAsia="Bookman Old Style" w:hAnsi="Bookman Old Style" w:cs="Bookman Old Style"/>
          <w:color w:val="231F20"/>
          <w:sz w:val="18"/>
          <w:szCs w:val="18"/>
        </w:rPr>
        <w:softHyphen/>
        <w:t>чений, создающих впечатление о превосходстве товара.</w:t>
      </w:r>
    </w:p>
    <w:p w14:paraId="5B2EB86C"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 xml:space="preserve">Не допускается недобросовестная конкуренция, связанная </w:t>
      </w:r>
      <w:r w:rsidRPr="00350396">
        <w:rPr>
          <w:rFonts w:ascii="Bookman Old Style" w:eastAsia="Bookman Old Style" w:hAnsi="Bookman Old Style" w:cs="Bookman Old Style"/>
          <w:i/>
          <w:iCs/>
          <w:color w:val="231F20"/>
          <w:sz w:val="18"/>
          <w:szCs w:val="18"/>
        </w:rPr>
        <w:t>с приоб</w:t>
      </w:r>
      <w:r w:rsidRPr="00350396">
        <w:rPr>
          <w:rFonts w:ascii="Bookman Old Style" w:eastAsia="Bookman Old Style" w:hAnsi="Bookman Old Style" w:cs="Bookman Old Style"/>
          <w:i/>
          <w:iCs/>
          <w:color w:val="231F20"/>
          <w:sz w:val="18"/>
          <w:szCs w:val="18"/>
        </w:rPr>
        <w:softHyphen/>
        <w:t>ретением и использованием исключительного права на средства ин</w:t>
      </w:r>
      <w:r w:rsidRPr="00350396">
        <w:rPr>
          <w:rFonts w:ascii="Bookman Old Style" w:eastAsia="Bookman Old Style" w:hAnsi="Bookman Old Style" w:cs="Bookman Old Style"/>
          <w:i/>
          <w:iCs/>
          <w:color w:val="231F20"/>
          <w:sz w:val="18"/>
          <w:szCs w:val="18"/>
        </w:rPr>
        <w:softHyphen/>
        <w:t>дивидуализации юридического лица, средства индивидуализации то</w:t>
      </w:r>
      <w:r w:rsidRPr="00350396">
        <w:rPr>
          <w:rFonts w:ascii="Bookman Old Style" w:eastAsia="Bookman Old Style" w:hAnsi="Bookman Old Style" w:cs="Bookman Old Style"/>
          <w:i/>
          <w:iCs/>
          <w:color w:val="231F20"/>
          <w:sz w:val="18"/>
          <w:szCs w:val="18"/>
        </w:rPr>
        <w:softHyphen/>
        <w:t>варов, работ или услуг</w:t>
      </w:r>
      <w:r w:rsidRPr="00350396">
        <w:rPr>
          <w:rFonts w:ascii="Bookman Old Style" w:eastAsia="Bookman Old Style" w:hAnsi="Bookman Old Style" w:cs="Bookman Old Style"/>
          <w:color w:val="231F20"/>
          <w:sz w:val="18"/>
          <w:szCs w:val="18"/>
        </w:rPr>
        <w:t xml:space="preserve"> (ст. 14.4). Решение антимонопольного органа об установлении исключительного права на товарный знак направля</w:t>
      </w:r>
      <w:r w:rsidRPr="00350396">
        <w:rPr>
          <w:rFonts w:ascii="Bookman Old Style" w:eastAsia="Bookman Old Style" w:hAnsi="Bookman Old Style" w:cs="Bookman Old Style"/>
          <w:color w:val="231F20"/>
          <w:sz w:val="18"/>
          <w:szCs w:val="18"/>
        </w:rPr>
        <w:softHyphen/>
        <w:t>ется заинтересованным лицом в федеральный орган исполнительной власти по интеллектуальной собственности для признания недействи</w:t>
      </w:r>
      <w:r w:rsidRPr="00350396">
        <w:rPr>
          <w:rFonts w:ascii="Bookman Old Style" w:eastAsia="Bookman Old Style" w:hAnsi="Bookman Old Style" w:cs="Bookman Old Style"/>
          <w:color w:val="231F20"/>
          <w:sz w:val="18"/>
          <w:szCs w:val="18"/>
        </w:rPr>
        <w:softHyphen/>
        <w:t>тельным предоставления правовой охраны товарному знаку.</w:t>
      </w:r>
    </w:p>
    <w:p w14:paraId="2A65FA40" w14:textId="77777777" w:rsidR="00350396" w:rsidRPr="00350396" w:rsidRDefault="00350396" w:rsidP="00350396">
      <w:pPr>
        <w:widowControl w:val="0"/>
        <w:spacing w:line="250" w:lineRule="exact"/>
        <w:ind w:firstLine="320"/>
        <w:rPr>
          <w:rFonts w:ascii="Bookman Old Style" w:eastAsia="Bookman Old Style" w:hAnsi="Bookman Old Style" w:cs="Bookman Old Style"/>
          <w:i/>
          <w:iCs/>
          <w:sz w:val="18"/>
          <w:szCs w:val="18"/>
        </w:rPr>
      </w:pPr>
      <w:r w:rsidRPr="00350396">
        <w:rPr>
          <w:rFonts w:ascii="Bookman Old Style" w:eastAsia="Bookman Old Style" w:hAnsi="Bookman Old Style" w:cs="Bookman Old Style"/>
          <w:color w:val="231F20"/>
          <w:sz w:val="18"/>
          <w:szCs w:val="18"/>
        </w:rPr>
        <w:t xml:space="preserve">Согласно закону не допускается недобросовестная конкуренция путем </w:t>
      </w:r>
      <w:r w:rsidRPr="00350396">
        <w:rPr>
          <w:rFonts w:ascii="Bookman Old Style" w:eastAsia="Bookman Old Style" w:hAnsi="Bookman Old Style" w:cs="Bookman Old Style"/>
          <w:i/>
          <w:iCs/>
          <w:color w:val="231F20"/>
          <w:sz w:val="18"/>
          <w:szCs w:val="18"/>
        </w:rPr>
        <w:t>совершения хозяйствующим субъектом действий по продаже, обмену или иному введению в оборот товара, если при этом неза</w:t>
      </w:r>
      <w:r w:rsidRPr="00350396">
        <w:rPr>
          <w:rFonts w:ascii="Bookman Old Style" w:eastAsia="Bookman Old Style" w:hAnsi="Bookman Old Style" w:cs="Bookman Old Style"/>
          <w:i/>
          <w:iCs/>
          <w:color w:val="231F20"/>
          <w:sz w:val="18"/>
          <w:szCs w:val="18"/>
        </w:rPr>
        <w:softHyphen/>
        <w:t>конно использовались результаты интеллектуальной деятельно</w:t>
      </w:r>
      <w:r w:rsidRPr="00350396">
        <w:rPr>
          <w:rFonts w:ascii="Bookman Old Style" w:eastAsia="Bookman Old Style" w:hAnsi="Bookman Old Style" w:cs="Bookman Old Style"/>
          <w:i/>
          <w:iCs/>
          <w:color w:val="231F20"/>
          <w:sz w:val="18"/>
          <w:szCs w:val="18"/>
        </w:rPr>
        <w:softHyphen/>
        <w:t>сти</w:t>
      </w:r>
      <w:r w:rsidRPr="00350396">
        <w:rPr>
          <w:rFonts w:ascii="Bookman Old Style" w:eastAsia="Bookman Old Style" w:hAnsi="Bookman Old Style" w:cs="Bookman Old Style"/>
          <w:color w:val="231F20"/>
          <w:sz w:val="18"/>
          <w:szCs w:val="18"/>
        </w:rPr>
        <w:t xml:space="preserve"> (ст. 14.5).</w:t>
      </w:r>
    </w:p>
    <w:p w14:paraId="253E3C1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В Законе существует также запрет </w:t>
      </w:r>
      <w:r w:rsidRPr="00350396">
        <w:rPr>
          <w:rFonts w:ascii="Bookman Old Style" w:eastAsia="Bookman Old Style" w:hAnsi="Bookman Old Style" w:cs="Bookman Old Style"/>
          <w:i/>
          <w:iCs/>
          <w:color w:val="231F20"/>
          <w:sz w:val="18"/>
          <w:szCs w:val="18"/>
        </w:rPr>
        <w:t>на совершение хозяйствующим субъектом действий, способных вызвать смешение с деятельностью хозяйствующего субъекта-конкурента либо с товарами или услу</w:t>
      </w:r>
      <w:r w:rsidRPr="00350396">
        <w:rPr>
          <w:rFonts w:ascii="Bookman Old Style" w:eastAsia="Bookman Old Style" w:hAnsi="Bookman Old Style" w:cs="Bookman Old Style"/>
          <w:i/>
          <w:iCs/>
          <w:color w:val="231F20"/>
          <w:sz w:val="18"/>
          <w:szCs w:val="18"/>
        </w:rPr>
        <w:softHyphen/>
        <w:t>гами,</w:t>
      </w:r>
      <w:r w:rsidRPr="00350396">
        <w:rPr>
          <w:rFonts w:ascii="Bookman Old Style" w:eastAsia="Bookman Old Style" w:hAnsi="Bookman Old Style" w:cs="Bookman Old Style"/>
          <w:color w:val="231F20"/>
          <w:sz w:val="18"/>
          <w:szCs w:val="18"/>
        </w:rPr>
        <w:t xml:space="preserve"> в том числе незаконное использование обозначения, тожде</w:t>
      </w:r>
      <w:r w:rsidRPr="00350396">
        <w:rPr>
          <w:rFonts w:ascii="Bookman Old Style" w:eastAsia="Bookman Old Style" w:hAnsi="Bookman Old Style" w:cs="Bookman Old Style"/>
          <w:color w:val="231F20"/>
          <w:sz w:val="18"/>
          <w:szCs w:val="18"/>
        </w:rPr>
        <w:softHyphen/>
        <w:t>ственного товарному знаку, фирменному наименованию и пр., ко</w:t>
      </w:r>
      <w:r w:rsidRPr="00350396">
        <w:rPr>
          <w:rFonts w:ascii="Bookman Old Style" w:eastAsia="Bookman Old Style" w:hAnsi="Bookman Old Style" w:cs="Bookman Old Style"/>
          <w:color w:val="231F20"/>
          <w:sz w:val="18"/>
          <w:szCs w:val="18"/>
        </w:rPr>
        <w:softHyphen/>
        <w:t>пирование или имитация внешнего вида товара (ст. 4.6).</w:t>
      </w:r>
    </w:p>
    <w:p w14:paraId="5F95470E" w14:textId="77777777" w:rsidR="00350396" w:rsidRPr="00350396" w:rsidRDefault="00350396" w:rsidP="00350396">
      <w:pPr>
        <w:widowControl w:val="0"/>
        <w:spacing w:line="250" w:lineRule="exact"/>
        <w:ind w:firstLine="320"/>
        <w:rPr>
          <w:rFonts w:ascii="Bookman Old Style" w:eastAsia="Bookman Old Style" w:hAnsi="Bookman Old Style" w:cs="Bookman Old Style"/>
          <w:i/>
          <w:iCs/>
          <w:sz w:val="18"/>
          <w:szCs w:val="18"/>
        </w:rPr>
      </w:pPr>
      <w:r w:rsidRPr="00350396">
        <w:rPr>
          <w:rFonts w:ascii="Bookman Old Style" w:eastAsia="Bookman Old Style" w:hAnsi="Bookman Old Style" w:cs="Bookman Old Style"/>
          <w:i/>
          <w:iCs/>
          <w:color w:val="231F20"/>
          <w:sz w:val="18"/>
          <w:szCs w:val="18"/>
        </w:rPr>
        <w:t>Разглашение информации, составляющей коммерческую или иную охраняемую законом тайну</w:t>
      </w:r>
      <w:r w:rsidRPr="00350396">
        <w:rPr>
          <w:rFonts w:ascii="Bookman Old Style" w:eastAsia="Bookman Old Style" w:hAnsi="Bookman Old Style" w:cs="Bookman Old Style"/>
          <w:color w:val="231F20"/>
          <w:sz w:val="18"/>
          <w:szCs w:val="18"/>
        </w:rPr>
        <w:t>, также может стать предметом недобро</w:t>
      </w:r>
      <w:r w:rsidRPr="00350396">
        <w:rPr>
          <w:rFonts w:ascii="Bookman Old Style" w:eastAsia="Bookman Old Style" w:hAnsi="Bookman Old Style" w:cs="Bookman Old Style"/>
          <w:color w:val="231F20"/>
          <w:sz w:val="18"/>
          <w:szCs w:val="18"/>
        </w:rPr>
        <w:softHyphen/>
        <w:t>совестной конкуренции (ст. 4.7).</w:t>
      </w:r>
    </w:p>
    <w:p w14:paraId="7CD3BD1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Наибольший рост числа выявленных нарушений недобросовест</w:t>
      </w:r>
      <w:r w:rsidRPr="00350396">
        <w:rPr>
          <w:rFonts w:ascii="Bookman Old Style" w:eastAsia="Bookman Old Style" w:hAnsi="Bookman Old Style" w:cs="Bookman Old Style"/>
          <w:color w:val="231F20"/>
          <w:sz w:val="18"/>
          <w:szCs w:val="18"/>
        </w:rPr>
        <w:softHyphen/>
        <w:t>ной конкуренции связан с некорректным сравнением хозяйствую</w:t>
      </w:r>
      <w:r w:rsidRPr="00350396">
        <w:rPr>
          <w:rFonts w:ascii="Bookman Old Style" w:eastAsia="Bookman Old Style" w:hAnsi="Bookman Old Style" w:cs="Bookman Old Style"/>
          <w:color w:val="231F20"/>
          <w:sz w:val="18"/>
          <w:szCs w:val="18"/>
        </w:rPr>
        <w:softHyphen/>
        <w:t>щим субъектом производимых или реализуемых им товаров с това</w:t>
      </w:r>
      <w:r w:rsidRPr="00350396">
        <w:rPr>
          <w:rFonts w:ascii="Bookman Old Style" w:eastAsia="Bookman Old Style" w:hAnsi="Bookman Old Style" w:cs="Bookman Old Style"/>
          <w:color w:val="231F20"/>
          <w:sz w:val="18"/>
          <w:szCs w:val="18"/>
        </w:rPr>
        <w:softHyphen/>
        <w:t xml:space="preserve">рами, производимыми или реализуемыми другими хозяйствующими </w:t>
      </w:r>
      <w:bookmarkStart w:id="91" w:name="bookmark77"/>
      <w:r w:rsidRPr="00350396">
        <w:rPr>
          <w:rFonts w:ascii="Bookman Old Style" w:eastAsia="Bookman Old Style" w:hAnsi="Bookman Old Style" w:cs="Bookman Old Style"/>
          <w:color w:val="231F20"/>
          <w:sz w:val="18"/>
          <w:szCs w:val="18"/>
        </w:rPr>
        <w:t>субъектами. При этом данный вид нарушения составляет небольшую долю в общем количестве выявленных нарушений в данной сфере.</w:t>
      </w:r>
      <w:bookmarkEnd w:id="91"/>
    </w:p>
    <w:p w14:paraId="620A6031"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Существенно увеличилось число выявленных случаев недобросо</w:t>
      </w:r>
      <w:r w:rsidRPr="00350396">
        <w:rPr>
          <w:rFonts w:ascii="Bookman Old Style" w:eastAsia="Bookman Old Style" w:hAnsi="Bookman Old Style" w:cs="Bookman Old Style"/>
          <w:color w:val="231F20"/>
          <w:sz w:val="18"/>
          <w:szCs w:val="18"/>
        </w:rPr>
        <w:softHyphen/>
        <w:t>вестной конкуренции в связи с введением потребителей в заблуж</w:t>
      </w:r>
      <w:r w:rsidRPr="00350396">
        <w:rPr>
          <w:rFonts w:ascii="Bookman Old Style" w:eastAsia="Bookman Old Style" w:hAnsi="Bookman Old Style" w:cs="Bookman Old Style"/>
          <w:color w:val="231F20"/>
          <w:sz w:val="18"/>
          <w:szCs w:val="18"/>
        </w:rPr>
        <w:softHyphen/>
        <w:t>дение относительно характера, способа и места изготовления, по</w:t>
      </w:r>
      <w:r w:rsidRPr="00350396">
        <w:rPr>
          <w:rFonts w:ascii="Bookman Old Style" w:eastAsia="Bookman Old Style" w:hAnsi="Bookman Old Style" w:cs="Bookman Old Style"/>
          <w:color w:val="231F20"/>
          <w:sz w:val="18"/>
          <w:szCs w:val="18"/>
        </w:rPr>
        <w:softHyphen/>
        <w:t>требительских свойств, качества товаров.</w:t>
      </w:r>
    </w:p>
    <w:p w14:paraId="4319183C"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 каждым годом возрастает количество выявленных правонаруше</w:t>
      </w:r>
      <w:r w:rsidRPr="00350396">
        <w:rPr>
          <w:rFonts w:ascii="Bookman Old Style" w:eastAsia="Bookman Old Style" w:hAnsi="Bookman Old Style" w:cs="Bookman Old Style"/>
          <w:color w:val="231F20"/>
          <w:sz w:val="18"/>
          <w:szCs w:val="18"/>
        </w:rPr>
        <w:softHyphen/>
        <w:t>ний в сфере недобросовестной конкуренции, не подпадающих ни под одну из форм, указанных выше. Это связано с тем, что многие предпри</w:t>
      </w:r>
      <w:r w:rsidRPr="00350396">
        <w:rPr>
          <w:rFonts w:ascii="Bookman Old Style" w:eastAsia="Bookman Old Style" w:hAnsi="Bookman Old Style" w:cs="Bookman Old Style"/>
          <w:color w:val="231F20"/>
          <w:sz w:val="18"/>
          <w:szCs w:val="18"/>
        </w:rPr>
        <w:softHyphen/>
        <w:t>ниматели используют новые формы недобросовестной конкуренции.</w:t>
      </w:r>
    </w:p>
    <w:p w14:paraId="34C386DF"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Наибольшее количество выявленных нарушений приходится на следующие виды недобросовестной конкуренции:</w:t>
      </w:r>
    </w:p>
    <w:p w14:paraId="4C19E104" w14:textId="77777777" w:rsidR="00350396" w:rsidRPr="00350396" w:rsidRDefault="00350396" w:rsidP="00350396">
      <w:pPr>
        <w:widowControl w:val="0"/>
        <w:numPr>
          <w:ilvl w:val="0"/>
          <w:numId w:val="101"/>
        </w:numPr>
        <w:tabs>
          <w:tab w:val="left" w:pos="626"/>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недобросовестная конкуренция в форме, не определенной за</w:t>
      </w:r>
      <w:r w:rsidRPr="00350396">
        <w:rPr>
          <w:rFonts w:ascii="Bookman Old Style" w:eastAsia="Bookman Old Style" w:hAnsi="Bookman Old Style" w:cs="Bookman Old Style"/>
          <w:color w:val="231F20"/>
          <w:sz w:val="18"/>
          <w:szCs w:val="18"/>
        </w:rPr>
        <w:softHyphen/>
        <w:t>конодательно;</w:t>
      </w:r>
    </w:p>
    <w:p w14:paraId="17DA45A6" w14:textId="77777777" w:rsidR="00350396" w:rsidRPr="00350396" w:rsidRDefault="00350396" w:rsidP="00350396">
      <w:pPr>
        <w:widowControl w:val="0"/>
        <w:numPr>
          <w:ilvl w:val="0"/>
          <w:numId w:val="101"/>
        </w:numPr>
        <w:tabs>
          <w:tab w:val="left" w:pos="626"/>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продажа товаров с незаконным использованием результатов интеллектуальной деятельности и приравненных к ним средств ин</w:t>
      </w:r>
      <w:r w:rsidRPr="00350396">
        <w:rPr>
          <w:rFonts w:ascii="Bookman Old Style" w:eastAsia="Bookman Old Style" w:hAnsi="Bookman Old Style" w:cs="Bookman Old Style"/>
          <w:color w:val="231F20"/>
          <w:sz w:val="18"/>
          <w:szCs w:val="18"/>
        </w:rPr>
        <w:softHyphen/>
        <w:t>дивидуализации продукции, выполнения работ, услуг;</w:t>
      </w:r>
    </w:p>
    <w:p w14:paraId="2BAEBA10" w14:textId="77777777" w:rsidR="00350396" w:rsidRPr="00350396" w:rsidRDefault="00350396" w:rsidP="00350396">
      <w:pPr>
        <w:widowControl w:val="0"/>
        <w:numPr>
          <w:ilvl w:val="0"/>
          <w:numId w:val="101"/>
        </w:numPr>
        <w:tabs>
          <w:tab w:val="left" w:pos="626"/>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распространение ложных, неточных или искаженных сведе</w:t>
      </w:r>
      <w:r w:rsidRPr="00350396">
        <w:rPr>
          <w:rFonts w:ascii="Bookman Old Style" w:eastAsia="Bookman Old Style" w:hAnsi="Bookman Old Style" w:cs="Bookman Old Style"/>
          <w:color w:val="231F20"/>
          <w:sz w:val="18"/>
          <w:szCs w:val="18"/>
        </w:rPr>
        <w:softHyphen/>
        <w:t>ний, способных причинить убытки другому хозяйствующему субъ</w:t>
      </w:r>
      <w:r w:rsidRPr="00350396">
        <w:rPr>
          <w:rFonts w:ascii="Bookman Old Style" w:eastAsia="Bookman Old Style" w:hAnsi="Bookman Old Style" w:cs="Bookman Old Style"/>
          <w:color w:val="231F20"/>
          <w:sz w:val="18"/>
          <w:szCs w:val="18"/>
        </w:rPr>
        <w:softHyphen/>
        <w:t xml:space="preserve">екту или </w:t>
      </w:r>
      <w:r w:rsidRPr="00350396">
        <w:rPr>
          <w:rFonts w:ascii="Bookman Old Style" w:eastAsia="Bookman Old Style" w:hAnsi="Bookman Old Style" w:cs="Bookman Old Style"/>
          <w:color w:val="231F20"/>
          <w:sz w:val="18"/>
          <w:szCs w:val="18"/>
        </w:rPr>
        <w:lastRenderedPageBreak/>
        <w:t>нанести ущерб его деловой репутации;</w:t>
      </w:r>
    </w:p>
    <w:p w14:paraId="6924B999" w14:textId="77777777" w:rsidR="00350396" w:rsidRPr="00350396" w:rsidRDefault="00350396" w:rsidP="00350396">
      <w:pPr>
        <w:widowControl w:val="0"/>
        <w:numPr>
          <w:ilvl w:val="0"/>
          <w:numId w:val="101"/>
        </w:numPr>
        <w:tabs>
          <w:tab w:val="left" w:pos="626"/>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введение потребителей в заблуждение относительно харак</w:t>
      </w:r>
      <w:r w:rsidRPr="00350396">
        <w:rPr>
          <w:rFonts w:ascii="Bookman Old Style" w:eastAsia="Bookman Old Style" w:hAnsi="Bookman Old Style" w:cs="Bookman Old Style"/>
          <w:color w:val="231F20"/>
          <w:sz w:val="18"/>
          <w:szCs w:val="18"/>
        </w:rPr>
        <w:softHyphen/>
        <w:t>тера, способа и места изготовления, потребительских свойств, ка</w:t>
      </w:r>
      <w:r w:rsidRPr="00350396">
        <w:rPr>
          <w:rFonts w:ascii="Bookman Old Style" w:eastAsia="Bookman Old Style" w:hAnsi="Bookman Old Style" w:cs="Bookman Old Style"/>
          <w:color w:val="231F20"/>
          <w:sz w:val="18"/>
          <w:szCs w:val="18"/>
        </w:rPr>
        <w:softHyphen/>
        <w:t>чества товаров;</w:t>
      </w:r>
    </w:p>
    <w:p w14:paraId="40F10EDB" w14:textId="77777777" w:rsidR="00350396" w:rsidRPr="00350396" w:rsidRDefault="00350396" w:rsidP="00350396">
      <w:pPr>
        <w:widowControl w:val="0"/>
        <w:numPr>
          <w:ilvl w:val="0"/>
          <w:numId w:val="101"/>
        </w:numPr>
        <w:tabs>
          <w:tab w:val="left" w:pos="626"/>
        </w:tabs>
        <w:spacing w:line="250" w:lineRule="exact"/>
        <w:ind w:firstLine="34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приобретение и использование исключительных прав на сред</w:t>
      </w:r>
      <w:r w:rsidRPr="00350396">
        <w:rPr>
          <w:rFonts w:ascii="Bookman Old Style" w:eastAsia="Bookman Old Style" w:hAnsi="Bookman Old Style" w:cs="Bookman Old Style"/>
          <w:color w:val="231F20"/>
          <w:sz w:val="18"/>
          <w:szCs w:val="18"/>
        </w:rPr>
        <w:softHyphen/>
        <w:t>ства индивидуализации юридического лица, средства индивидуали</w:t>
      </w:r>
      <w:r w:rsidRPr="00350396">
        <w:rPr>
          <w:rFonts w:ascii="Bookman Old Style" w:eastAsia="Bookman Old Style" w:hAnsi="Bookman Old Style" w:cs="Bookman Old Style"/>
          <w:color w:val="231F20"/>
          <w:sz w:val="18"/>
          <w:szCs w:val="18"/>
        </w:rPr>
        <w:softHyphen/>
        <w:t>зации продукции, работ или услуг</w:t>
      </w:r>
      <w:r w:rsidRPr="00350396">
        <w:rPr>
          <w:rFonts w:ascii="Bookman Old Style" w:eastAsia="Bookman Old Style" w:hAnsi="Bookman Old Style" w:cs="Bookman Old Style"/>
          <w:color w:val="231F20"/>
          <w:sz w:val="18"/>
          <w:szCs w:val="18"/>
          <w:vertAlign w:val="superscript"/>
        </w:rPr>
        <w:footnoteReference w:id="160"/>
      </w:r>
      <w:r w:rsidRPr="00350396">
        <w:rPr>
          <w:rFonts w:ascii="Bookman Old Style" w:eastAsia="Bookman Old Style" w:hAnsi="Bookman Old Style" w:cs="Bookman Old Style"/>
          <w:color w:val="231F20"/>
          <w:sz w:val="18"/>
          <w:szCs w:val="18"/>
        </w:rPr>
        <w:t>.</w:t>
      </w:r>
    </w:p>
    <w:p w14:paraId="7AD3AD17" w14:textId="77777777" w:rsidR="00350396" w:rsidRPr="00350396" w:rsidRDefault="00350396" w:rsidP="00350396">
      <w:pPr>
        <w:widowControl w:val="0"/>
        <w:spacing w:after="351"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 практике, даже при наличии соответствующих предпосылок, далеко не все хозяйствующие субъекты проводят активную конку</w:t>
      </w:r>
      <w:r w:rsidRPr="00350396">
        <w:rPr>
          <w:rFonts w:ascii="Bookman Old Style" w:eastAsia="Bookman Old Style" w:hAnsi="Bookman Old Style" w:cs="Bookman Old Style"/>
          <w:color w:val="231F20"/>
          <w:sz w:val="18"/>
          <w:szCs w:val="18"/>
        </w:rPr>
        <w:softHyphen/>
        <w:t>рентную борьбу за расширение собственной доли рынка и объема сбыта товаров и услуг. В то же время наличие монопольной струк</w:t>
      </w:r>
      <w:r w:rsidRPr="00350396">
        <w:rPr>
          <w:rFonts w:ascii="Bookman Old Style" w:eastAsia="Bookman Old Style" w:hAnsi="Bookman Old Style" w:cs="Bookman Old Style"/>
          <w:color w:val="231F20"/>
          <w:sz w:val="18"/>
          <w:szCs w:val="18"/>
        </w:rPr>
        <w:softHyphen/>
        <w:t>туры на рынке может быть предопределено не характеристикой рынка и наличием барьера, а иными факторами, например слабым спросом, спецификой товарных групп.</w:t>
      </w:r>
    </w:p>
    <w:p w14:paraId="25A43AC7" w14:textId="77777777" w:rsidR="00350396" w:rsidRPr="00350396" w:rsidRDefault="00350396" w:rsidP="00350396">
      <w:pPr>
        <w:keepNext/>
        <w:keepLines/>
        <w:widowControl w:val="0"/>
        <w:numPr>
          <w:ilvl w:val="0"/>
          <w:numId w:val="102"/>
        </w:numPr>
        <w:tabs>
          <w:tab w:val="left" w:pos="975"/>
        </w:tabs>
        <w:spacing w:after="209" w:line="336" w:lineRule="exact"/>
        <w:ind w:left="480" w:right="460" w:firstLine="0"/>
        <w:jc w:val="left"/>
        <w:outlineLvl w:val="3"/>
        <w:rPr>
          <w:rFonts w:ascii="Arial Narrow" w:eastAsia="Arial Narrow" w:hAnsi="Arial Narrow" w:cs="Arial Narrow"/>
          <w:b/>
          <w:bCs/>
        </w:rPr>
      </w:pPr>
      <w:bookmarkStart w:id="92" w:name="bookmark78"/>
      <w:r w:rsidRPr="00350396">
        <w:rPr>
          <w:rFonts w:ascii="Arial Narrow" w:eastAsia="Arial Narrow" w:hAnsi="Arial Narrow" w:cs="Arial Narrow"/>
          <w:b/>
          <w:bCs/>
          <w:color w:val="231F20"/>
        </w:rPr>
        <w:t>Виды злоупотреблений со стороны хозяйствующих субъектов своим доминирующим положением на рынках энергетических ресурсов</w:t>
      </w:r>
      <w:bookmarkEnd w:id="92"/>
    </w:p>
    <w:p w14:paraId="286F9BAB"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sectPr w:rsidR="00350396" w:rsidRPr="00350396">
          <w:pgSz w:w="8789" w:h="13493"/>
          <w:pgMar w:top="924" w:right="1075" w:bottom="1182" w:left="1070" w:header="0" w:footer="3" w:gutter="0"/>
          <w:cols w:space="720"/>
          <w:noEndnote/>
          <w:docGrid w:linePitch="360"/>
        </w:sectPr>
      </w:pPr>
      <w:r w:rsidRPr="00350396">
        <w:rPr>
          <w:rFonts w:ascii="Bookman Old Style" w:eastAsia="Bookman Old Style" w:hAnsi="Bookman Old Style" w:cs="Bookman Old Style"/>
          <w:color w:val="231F20"/>
          <w:sz w:val="18"/>
          <w:szCs w:val="18"/>
        </w:rPr>
        <w:t xml:space="preserve">В соответствии с Методическим пособием для предпринимателей, подготовленным ФАС и объединением предпринимателей «Опора России» на основе постановления Правительства РФ от 27.12.2004 </w:t>
      </w:r>
    </w:p>
    <w:p w14:paraId="5CB3AB83" w14:textId="77777777" w:rsidR="00350396" w:rsidRPr="00350396" w:rsidRDefault="00350396" w:rsidP="00350396">
      <w:pPr>
        <w:widowControl w:val="0"/>
        <w:spacing w:line="250" w:lineRule="exact"/>
        <w:ind w:firstLine="34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lastRenderedPageBreak/>
        <w:t>№ 861 «Об утверждении Правил недискриминационного доступа к услугам по передаче электрической энергии и оказания этих ус</w:t>
      </w:r>
      <w:r w:rsidRPr="00350396">
        <w:rPr>
          <w:rFonts w:ascii="Bookman Old Style" w:eastAsia="Bookman Old Style" w:hAnsi="Bookman Old Style" w:cs="Bookman Old Style"/>
          <w:color w:val="231F20"/>
          <w:sz w:val="18"/>
          <w:szCs w:val="18"/>
        </w:rPr>
        <w:softHyphen/>
        <w:t>луг, Правил недискриминационного доступа к услугам по опера</w:t>
      </w:r>
      <w:r w:rsidRPr="00350396">
        <w:rPr>
          <w:rFonts w:ascii="Bookman Old Style" w:eastAsia="Bookman Old Style" w:hAnsi="Bookman Old Style" w:cs="Bookman Old Style"/>
          <w:color w:val="231F20"/>
          <w:sz w:val="18"/>
          <w:szCs w:val="18"/>
        </w:rPr>
        <w:softHyphen/>
        <w:t>тивно-диспетчерскому управлению в электроэнергетике и оказа</w:t>
      </w:r>
      <w:r w:rsidRPr="00350396">
        <w:rPr>
          <w:rFonts w:ascii="Bookman Old Style" w:eastAsia="Bookman Old Style" w:hAnsi="Bookman Old Style" w:cs="Bookman Old Style"/>
          <w:color w:val="231F20"/>
          <w:sz w:val="18"/>
          <w:szCs w:val="18"/>
        </w:rPr>
        <w:softHyphen/>
        <w:t>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w:t>
      </w:r>
      <w:r w:rsidRPr="00350396">
        <w:rPr>
          <w:rFonts w:ascii="Bookman Old Style" w:eastAsia="Bookman Old Style" w:hAnsi="Bookman Old Style" w:cs="Bookman Old Style"/>
          <w:color w:val="231F20"/>
          <w:sz w:val="18"/>
          <w:szCs w:val="18"/>
        </w:rPr>
        <w:softHyphen/>
        <w:t>ющих устройств потребителей электрической энергии, объектов по производству электрической энергии, а также объектов электро</w:t>
      </w:r>
      <w:r w:rsidRPr="00350396">
        <w:rPr>
          <w:rFonts w:ascii="Bookman Old Style" w:eastAsia="Bookman Old Style" w:hAnsi="Bookman Old Style" w:cs="Bookman Old Style"/>
          <w:color w:val="231F20"/>
          <w:sz w:val="18"/>
          <w:szCs w:val="18"/>
        </w:rPr>
        <w:softHyphen/>
        <w:t>сетевого хозяйства, принадлежащих сетевым организациям и иным лицам, к электрическим сетям», технологическое присоединение к электрическим сетям осуществляется следующим образом.</w:t>
      </w:r>
    </w:p>
    <w:p w14:paraId="73C7A9DC" w14:textId="77777777" w:rsidR="00350396" w:rsidRPr="00350396" w:rsidRDefault="00350396" w:rsidP="00350396">
      <w:pPr>
        <w:widowControl w:val="0"/>
        <w:numPr>
          <w:ilvl w:val="0"/>
          <w:numId w:val="108"/>
        </w:numPr>
        <w:tabs>
          <w:tab w:val="left" w:pos="63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Мероприятия по технологическому присоединению энер</w:t>
      </w:r>
      <w:r w:rsidRPr="00350396">
        <w:rPr>
          <w:rFonts w:ascii="Bookman Old Style" w:eastAsia="Bookman Old Style" w:hAnsi="Bookman Old Style" w:cs="Bookman Old Style"/>
          <w:color w:val="231F20"/>
          <w:sz w:val="18"/>
          <w:szCs w:val="18"/>
        </w:rPr>
        <w:softHyphen/>
        <w:t>гопринимающих устройств (энергетических установок) юриди</w:t>
      </w:r>
      <w:r w:rsidRPr="00350396">
        <w:rPr>
          <w:rFonts w:ascii="Bookman Old Style" w:eastAsia="Bookman Old Style" w:hAnsi="Bookman Old Style" w:cs="Bookman Old Style"/>
          <w:color w:val="231F20"/>
          <w:sz w:val="18"/>
          <w:szCs w:val="18"/>
        </w:rPr>
        <w:softHyphen/>
        <w:t>ческих и физических лиц к электрическим сетям осуществляются непосредственно с целью последующей передачи электрической энергии для потребителя (технологическое присоединение является обязательной составной частью единого технологического процесса по оказанию услуг по передаче электрической энергии). Возмож</w:t>
      </w:r>
      <w:r w:rsidRPr="00350396">
        <w:rPr>
          <w:rFonts w:ascii="Bookman Old Style" w:eastAsia="Bookman Old Style" w:hAnsi="Bookman Old Style" w:cs="Bookman Old Style"/>
          <w:color w:val="231F20"/>
          <w:sz w:val="18"/>
          <w:szCs w:val="18"/>
        </w:rPr>
        <w:softHyphen/>
        <w:t>ность заключения договора на передачу электрической энергии об</w:t>
      </w:r>
      <w:r w:rsidRPr="00350396">
        <w:rPr>
          <w:rFonts w:ascii="Bookman Old Style" w:eastAsia="Bookman Old Style" w:hAnsi="Bookman Old Style" w:cs="Bookman Old Style"/>
          <w:color w:val="231F20"/>
          <w:sz w:val="18"/>
          <w:szCs w:val="18"/>
        </w:rPr>
        <w:softHyphen/>
        <w:t>условлена необходимостью заключения обязательного для сетевой организации (владельца электрических сетей) договора на техноло</w:t>
      </w:r>
      <w:r w:rsidRPr="00350396">
        <w:rPr>
          <w:rFonts w:ascii="Bookman Old Style" w:eastAsia="Bookman Old Style" w:hAnsi="Bookman Old Style" w:cs="Bookman Old Style"/>
          <w:color w:val="231F20"/>
          <w:sz w:val="18"/>
          <w:szCs w:val="18"/>
        </w:rPr>
        <w:softHyphen/>
        <w:t>гическое присоединение.</w:t>
      </w:r>
    </w:p>
    <w:p w14:paraId="4DCC64FE" w14:textId="77777777" w:rsidR="00350396" w:rsidRPr="00350396" w:rsidRDefault="00350396" w:rsidP="00350396">
      <w:pPr>
        <w:widowControl w:val="0"/>
        <w:numPr>
          <w:ilvl w:val="0"/>
          <w:numId w:val="108"/>
        </w:numPr>
        <w:tabs>
          <w:tab w:val="left" w:pos="63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Оказание услуг по технологическому присоединению энерго</w:t>
      </w:r>
      <w:r w:rsidRPr="00350396">
        <w:rPr>
          <w:rFonts w:ascii="Bookman Old Style" w:eastAsia="Bookman Old Style" w:hAnsi="Bookman Old Style" w:cs="Bookman Old Style"/>
          <w:color w:val="231F20"/>
          <w:sz w:val="18"/>
          <w:szCs w:val="18"/>
        </w:rPr>
        <w:softHyphen/>
        <w:t>принимающих устройств (энергетических установок) юридических и физических лиц к электрическим сетям не является отдельным видом экономической деятельности и, как следствие, не образу</w:t>
      </w:r>
      <w:r w:rsidRPr="00350396">
        <w:rPr>
          <w:rFonts w:ascii="Bookman Old Style" w:eastAsia="Bookman Old Style" w:hAnsi="Bookman Old Style" w:cs="Bookman Old Style"/>
          <w:color w:val="231F20"/>
          <w:sz w:val="18"/>
          <w:szCs w:val="18"/>
        </w:rPr>
        <w:softHyphen/>
        <w:t>ет самостоятельного товарного рынка. Так, сетевые организации не вправе препятствовать заключению такого договора с контр</w:t>
      </w:r>
      <w:r w:rsidRPr="00350396">
        <w:rPr>
          <w:rFonts w:ascii="Bookman Old Style" w:eastAsia="Bookman Old Style" w:hAnsi="Bookman Old Style" w:cs="Bookman Old Style"/>
          <w:color w:val="231F20"/>
          <w:sz w:val="18"/>
          <w:szCs w:val="18"/>
        </w:rPr>
        <w:softHyphen/>
        <w:t>агентами: навязывать невыгодные условия договора, требовать не предусмотренные нормативными правовыми актами Правитель</w:t>
      </w:r>
      <w:r w:rsidRPr="00350396">
        <w:rPr>
          <w:rFonts w:ascii="Bookman Old Style" w:eastAsia="Bookman Old Style" w:hAnsi="Bookman Old Style" w:cs="Bookman Old Style"/>
          <w:color w:val="231F20"/>
          <w:sz w:val="18"/>
          <w:szCs w:val="18"/>
        </w:rPr>
        <w:softHyphen/>
        <w:t>ства РФ документы, затягивая сроки заключения договора, а также включать отлагательные условия в договор (сетевая организация обязуется выполнить технические условия при условии реконструк</w:t>
      </w:r>
      <w:r w:rsidRPr="00350396">
        <w:rPr>
          <w:rFonts w:ascii="Bookman Old Style" w:eastAsia="Bookman Old Style" w:hAnsi="Bookman Old Style" w:cs="Bookman Old Style"/>
          <w:color w:val="231F20"/>
          <w:sz w:val="18"/>
          <w:szCs w:val="18"/>
        </w:rPr>
        <w:softHyphen/>
        <w:t>ции подстанции, разгрузки подстанции, ввода в эксплуатацию новой подстанции, установки передвижной мобильной подстанции и т. д.).</w:t>
      </w:r>
    </w:p>
    <w:p w14:paraId="354B38B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рамках рассматриваемой деятельности предусмотрен ряд огра</w:t>
      </w:r>
      <w:r w:rsidRPr="00350396">
        <w:rPr>
          <w:rFonts w:ascii="Bookman Old Style" w:eastAsia="Bookman Old Style" w:hAnsi="Bookman Old Style" w:cs="Bookman Old Style"/>
          <w:color w:val="231F20"/>
          <w:sz w:val="18"/>
          <w:szCs w:val="18"/>
        </w:rPr>
        <w:softHyphen/>
        <w:t>ничивающих положений, в том числе по вопросам навязывания за</w:t>
      </w:r>
      <w:r w:rsidRPr="00350396">
        <w:rPr>
          <w:rFonts w:ascii="Bookman Old Style" w:eastAsia="Bookman Old Style" w:hAnsi="Bookman Old Style" w:cs="Bookman Old Style"/>
          <w:color w:val="231F20"/>
          <w:sz w:val="18"/>
          <w:szCs w:val="18"/>
        </w:rPr>
        <w:softHyphen/>
        <w:t>нимающим доминирующее положение хозяйствующим субъектом контрагенту невыгодных условий договора. Так, в соответствии с п. 1 ст. 10 Гражданского кодекса РФ</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 xml:space="preserve"> не допускаются действия граждан и юридических лиц, осуществляемые исключительно с на</w:t>
      </w:r>
      <w:r w:rsidRPr="00350396">
        <w:rPr>
          <w:rFonts w:ascii="Bookman Old Style" w:eastAsia="Bookman Old Style" w:hAnsi="Bookman Old Style" w:cs="Bookman Old Style"/>
          <w:color w:val="231F20"/>
          <w:sz w:val="18"/>
          <w:szCs w:val="18"/>
        </w:rPr>
        <w:softHyphen/>
        <w:t xml:space="preserve">мерением причинить вред другому лицу, а также злоупотребление правом в иных формах. Не допускается использование гражданских прав в целях ограничения конкуренции, а также злоупотребление доминирующим </w:t>
      </w:r>
      <w:r w:rsidRPr="00350396">
        <w:rPr>
          <w:rFonts w:ascii="Bookman Old Style" w:eastAsia="Bookman Old Style" w:hAnsi="Bookman Old Style" w:cs="Bookman Old Style"/>
          <w:color w:val="231F20"/>
          <w:sz w:val="18"/>
          <w:szCs w:val="18"/>
        </w:rPr>
        <w:lastRenderedPageBreak/>
        <w:t>положением на рынке.</w:t>
      </w:r>
    </w:p>
    <w:p w14:paraId="21CBB98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со ст. 10 Федерального закона «О защите кон</w:t>
      </w:r>
      <w:r w:rsidRPr="00350396">
        <w:rPr>
          <w:rFonts w:ascii="Bookman Old Style" w:eastAsia="Bookman Old Style" w:hAnsi="Bookman Old Style" w:cs="Bookman Old Style"/>
          <w:color w:val="231F20"/>
          <w:sz w:val="18"/>
          <w:szCs w:val="18"/>
        </w:rPr>
        <w:softHyphen/>
        <w:t>куренции» под навязыванием контрагенту условий договора, не</w:t>
      </w:r>
      <w:r w:rsidRPr="00350396">
        <w:rPr>
          <w:rFonts w:ascii="Bookman Old Style" w:eastAsia="Bookman Old Style" w:hAnsi="Bookman Old Style" w:cs="Bookman Old Style"/>
          <w:color w:val="231F20"/>
          <w:sz w:val="18"/>
          <w:szCs w:val="18"/>
        </w:rPr>
        <w:softHyphen/>
        <w:t>выгодных для него или не относящихся к предмету договора (эко</w:t>
      </w:r>
      <w:r w:rsidRPr="00350396">
        <w:rPr>
          <w:rFonts w:ascii="Bookman Old Style" w:eastAsia="Bookman Old Style" w:hAnsi="Bookman Old Style" w:cs="Bookman Old Style"/>
          <w:color w:val="231F20"/>
          <w:sz w:val="18"/>
          <w:szCs w:val="18"/>
        </w:rPr>
        <w:softHyphen/>
        <w:t>номически или технологически не обоснованные и (или) прямо не предусмотренные федеральными законами, нормативными пра</w:t>
      </w:r>
      <w:r w:rsidRPr="00350396">
        <w:rPr>
          <w:rFonts w:ascii="Bookman Old Style" w:eastAsia="Bookman Old Style" w:hAnsi="Bookman Old Style" w:cs="Bookman Old Style"/>
          <w:color w:val="231F20"/>
          <w:sz w:val="18"/>
          <w:szCs w:val="18"/>
        </w:rPr>
        <w:softHyphen/>
        <w:t>вовыми актами Президента РФ, Правительства РФ, уполномоченных федеральных органов исполнительной власти или судебными акта</w:t>
      </w:r>
      <w:r w:rsidRPr="00350396">
        <w:rPr>
          <w:rFonts w:ascii="Bookman Old Style" w:eastAsia="Bookman Old Style" w:hAnsi="Bookman Old Style" w:cs="Bookman Old Style"/>
          <w:color w:val="231F20"/>
          <w:sz w:val="18"/>
          <w:szCs w:val="18"/>
        </w:rPr>
        <w:softHyphen/>
        <w:t>ми требования о передаче финансовых средств, иного имущества, в том числе имущественных прав, а также согласие заключить до</w:t>
      </w:r>
      <w:r w:rsidRPr="00350396">
        <w:rPr>
          <w:rFonts w:ascii="Bookman Old Style" w:eastAsia="Bookman Old Style" w:hAnsi="Bookman Old Style" w:cs="Bookman Old Style"/>
          <w:color w:val="231F20"/>
          <w:sz w:val="18"/>
          <w:szCs w:val="18"/>
        </w:rPr>
        <w:softHyphen/>
        <w:t>говор при условии внесения в него положений относительно товара, в котором контрагент не заинтересован, и другие требования).</w:t>
      </w:r>
    </w:p>
    <w:p w14:paraId="1F98F28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разъяснениями ФАС при рассмотрении дей</w:t>
      </w:r>
      <w:r w:rsidRPr="00350396">
        <w:rPr>
          <w:rFonts w:ascii="Bookman Old Style" w:eastAsia="Bookman Old Style" w:hAnsi="Bookman Old Style" w:cs="Bookman Old Style"/>
          <w:color w:val="231F20"/>
          <w:sz w:val="18"/>
          <w:szCs w:val="18"/>
        </w:rPr>
        <w:softHyphen/>
        <w:t>ствий (бездействия) занимающего доминирующее положение хо</w:t>
      </w:r>
      <w:r w:rsidRPr="00350396">
        <w:rPr>
          <w:rFonts w:ascii="Bookman Old Style" w:eastAsia="Bookman Old Style" w:hAnsi="Bookman Old Style" w:cs="Bookman Old Style"/>
          <w:color w:val="231F20"/>
          <w:sz w:val="18"/>
          <w:szCs w:val="18"/>
        </w:rPr>
        <w:softHyphen/>
        <w:t>зяйствующего субъекта на предмет нарушения антимонопольно</w:t>
      </w:r>
      <w:r w:rsidRPr="00350396">
        <w:rPr>
          <w:rFonts w:ascii="Bookman Old Style" w:eastAsia="Bookman Old Style" w:hAnsi="Bookman Old Style" w:cs="Bookman Old Style"/>
          <w:color w:val="231F20"/>
          <w:sz w:val="18"/>
          <w:szCs w:val="18"/>
        </w:rPr>
        <w:softHyphen/>
        <w:t>го законодательства в части злоупотребления своим положением на товарном рынке антимонопольному органу наряду с установле</w:t>
      </w:r>
      <w:r w:rsidRPr="00350396">
        <w:rPr>
          <w:rFonts w:ascii="Bookman Old Style" w:eastAsia="Bookman Old Style" w:hAnsi="Bookman Old Style" w:cs="Bookman Old Style"/>
          <w:color w:val="231F20"/>
          <w:sz w:val="18"/>
          <w:szCs w:val="18"/>
        </w:rPr>
        <w:softHyphen/>
        <w:t>нием наличия (отсутствия) условий договора, являющихся невы</w:t>
      </w:r>
      <w:r w:rsidRPr="00350396">
        <w:rPr>
          <w:rFonts w:ascii="Bookman Old Style" w:eastAsia="Bookman Old Style" w:hAnsi="Bookman Old Style" w:cs="Bookman Old Style"/>
          <w:color w:val="231F20"/>
          <w:sz w:val="18"/>
          <w:szCs w:val="18"/>
        </w:rPr>
        <w:softHyphen/>
        <w:t>годными для контрагента, необходимо исследовать обстоятельства, подтверждающие или опровергающие факты того, что:</w:t>
      </w:r>
    </w:p>
    <w:p w14:paraId="499C8B91"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согласие контрагента на включение в договор невыгодных для него условий являлось вынужденным;</w:t>
      </w:r>
    </w:p>
    <w:p w14:paraId="15A31CCF"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хозяйствующий субъект, занимающий доминирующее поло</w:t>
      </w:r>
      <w:r w:rsidRPr="00350396">
        <w:rPr>
          <w:rFonts w:ascii="Bookman Old Style" w:eastAsia="Bookman Old Style" w:hAnsi="Bookman Old Style" w:cs="Bookman Old Style"/>
          <w:color w:val="231F20"/>
          <w:sz w:val="18"/>
          <w:szCs w:val="18"/>
        </w:rPr>
        <w:softHyphen/>
        <w:t>жение, совершил определенные действия (бездействие) по принуж</w:t>
      </w:r>
      <w:r w:rsidRPr="00350396">
        <w:rPr>
          <w:rFonts w:ascii="Bookman Old Style" w:eastAsia="Bookman Old Style" w:hAnsi="Bookman Old Style" w:cs="Bookman Old Style"/>
          <w:color w:val="231F20"/>
          <w:sz w:val="18"/>
          <w:szCs w:val="18"/>
        </w:rPr>
        <w:softHyphen/>
        <w:t>дению контрагента дать указанное согласие.</w:t>
      </w:r>
    </w:p>
    <w:p w14:paraId="2D94F09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в постановлении Правительства РФ от 27.12.2004 № 861 предусмотрено, что сетевая организация обязана выпол</w:t>
      </w:r>
      <w:r w:rsidRPr="00350396">
        <w:rPr>
          <w:rFonts w:ascii="Bookman Old Style" w:eastAsia="Bookman Old Style" w:hAnsi="Bookman Old Style" w:cs="Bookman Old Style"/>
          <w:color w:val="231F20"/>
          <w:sz w:val="18"/>
          <w:szCs w:val="18"/>
        </w:rPr>
        <w:softHyphen/>
        <w:t>нить в отношении любого обратившегося к ней лица мероприя</w:t>
      </w:r>
      <w:r w:rsidRPr="00350396">
        <w:rPr>
          <w:rFonts w:ascii="Bookman Old Style" w:eastAsia="Bookman Old Style" w:hAnsi="Bookman Old Style" w:cs="Bookman Old Style"/>
          <w:color w:val="231F20"/>
          <w:sz w:val="18"/>
          <w:szCs w:val="18"/>
        </w:rPr>
        <w:softHyphen/>
        <w:t>тия по технологическому присоединению при условии соблюдения им Правил технологического присоединения. Также отметим, что по закону сетевая организация не вправе отказать заявителю в осу</w:t>
      </w:r>
      <w:r w:rsidRPr="00350396">
        <w:rPr>
          <w:rFonts w:ascii="Bookman Old Style" w:eastAsia="Bookman Old Style" w:hAnsi="Bookman Old Style" w:cs="Bookman Old Style"/>
          <w:color w:val="231F20"/>
          <w:sz w:val="18"/>
          <w:szCs w:val="18"/>
        </w:rPr>
        <w:softHyphen/>
        <w:t>ществлении технологического присоединения по причине отсут</w:t>
      </w:r>
      <w:r w:rsidRPr="00350396">
        <w:rPr>
          <w:rFonts w:ascii="Bookman Old Style" w:eastAsia="Bookman Old Style" w:hAnsi="Bookman Old Style" w:cs="Bookman Old Style"/>
          <w:color w:val="231F20"/>
          <w:sz w:val="18"/>
          <w:szCs w:val="18"/>
        </w:rPr>
        <w:softHyphen/>
        <w:t>ствия у нее технической возможности. Законодательством в сфере электроэнергетики не предусмотрено такого основания для отказа в технологическом присоединении.</w:t>
      </w:r>
    </w:p>
    <w:p w14:paraId="45DE9DF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Заключение договора является обязательным для сетевой орга</w:t>
      </w:r>
      <w:r w:rsidRPr="00350396">
        <w:rPr>
          <w:rFonts w:ascii="Bookman Old Style" w:eastAsia="Bookman Old Style" w:hAnsi="Bookman Old Style" w:cs="Bookman Old Style"/>
          <w:color w:val="231F20"/>
          <w:sz w:val="18"/>
          <w:szCs w:val="18"/>
        </w:rPr>
        <w:softHyphen/>
        <w:t>низации. При необоснованном отказе или уклонении сетевой ор</w:t>
      </w:r>
      <w:r w:rsidRPr="00350396">
        <w:rPr>
          <w:rFonts w:ascii="Bookman Old Style" w:eastAsia="Bookman Old Style" w:hAnsi="Bookman Old Style" w:cs="Bookman Old Style"/>
          <w:color w:val="231F20"/>
          <w:sz w:val="18"/>
          <w:szCs w:val="18"/>
        </w:rPr>
        <w:softHyphen/>
        <w:t>ганизации от заключения договора заинтересованное лицо вправе обратиться в суд с иском о понуждении к заключению договора и взыскании убытков, причиненных таким необоснованным отка</w:t>
      </w:r>
      <w:r w:rsidRPr="00350396">
        <w:rPr>
          <w:rFonts w:ascii="Bookman Old Style" w:eastAsia="Bookman Old Style" w:hAnsi="Bookman Old Style" w:cs="Bookman Old Style"/>
          <w:color w:val="231F20"/>
          <w:sz w:val="18"/>
          <w:szCs w:val="18"/>
        </w:rPr>
        <w:softHyphen/>
        <w:t>зом или уклонением. Также в подобной ситуации заявитель вправе обратиться в антимонопольный орган с заявлением о возбуждении дела о нарушении антимонопольного законодательства.</w:t>
      </w:r>
    </w:p>
    <w:p w14:paraId="085E965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bookmarkStart w:id="93" w:name="bookmark79"/>
      <w:r w:rsidRPr="00350396">
        <w:rPr>
          <w:rFonts w:ascii="Bookman Old Style" w:eastAsia="Bookman Old Style" w:hAnsi="Bookman Old Style" w:cs="Bookman Old Style"/>
          <w:color w:val="231F20"/>
          <w:sz w:val="18"/>
          <w:szCs w:val="18"/>
        </w:rPr>
        <w:t>Постановлением Правительства РФ от 27.12.2004 № 861 установ</w:t>
      </w:r>
      <w:r w:rsidRPr="00350396">
        <w:rPr>
          <w:rFonts w:ascii="Bookman Old Style" w:eastAsia="Bookman Old Style" w:hAnsi="Bookman Old Style" w:cs="Bookman Old Style"/>
          <w:color w:val="231F20"/>
          <w:sz w:val="18"/>
          <w:szCs w:val="18"/>
        </w:rPr>
        <w:softHyphen/>
        <w:t>лены сроки осуществления технологического присоединения, кото</w:t>
      </w:r>
      <w:r w:rsidRPr="00350396">
        <w:rPr>
          <w:rFonts w:ascii="Bookman Old Style" w:eastAsia="Bookman Old Style" w:hAnsi="Bookman Old Style" w:cs="Bookman Old Style"/>
          <w:color w:val="231F20"/>
          <w:sz w:val="18"/>
          <w:szCs w:val="18"/>
        </w:rPr>
        <w:softHyphen/>
        <w:t xml:space="preserve">рые не </w:t>
      </w:r>
      <w:r w:rsidRPr="00350396">
        <w:rPr>
          <w:rFonts w:ascii="Bookman Old Style" w:eastAsia="Bookman Old Style" w:hAnsi="Bookman Old Style" w:cs="Bookman Old Style"/>
          <w:color w:val="231F20"/>
          <w:sz w:val="18"/>
          <w:szCs w:val="18"/>
        </w:rPr>
        <w:lastRenderedPageBreak/>
        <w:t>могут превышать:</w:t>
      </w:r>
      <w:bookmarkEnd w:id="93"/>
    </w:p>
    <w:p w14:paraId="2FB9AB38"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15 рабочих дней — для заявителей по временному технологи</w:t>
      </w:r>
      <w:r w:rsidRPr="00350396">
        <w:rPr>
          <w:rFonts w:ascii="Bookman Old Style" w:eastAsia="Bookman Old Style" w:hAnsi="Bookman Old Style" w:cs="Bookman Old Style"/>
          <w:color w:val="231F20"/>
          <w:sz w:val="18"/>
          <w:szCs w:val="18"/>
        </w:rPr>
        <w:softHyphen/>
        <w:t>ческому присоединению;</w:t>
      </w:r>
    </w:p>
    <w:p w14:paraId="00EA5E9C" w14:textId="77777777" w:rsidR="00350396" w:rsidRPr="00350396" w:rsidRDefault="00350396" w:rsidP="00350396">
      <w:pPr>
        <w:widowControl w:val="0"/>
        <w:numPr>
          <w:ilvl w:val="0"/>
          <w:numId w:val="103"/>
        </w:numPr>
        <w:tabs>
          <w:tab w:val="left" w:pos="63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6 месяцев — для юридических лиц, присоединяемая мощ</w:t>
      </w:r>
      <w:r w:rsidRPr="00350396">
        <w:rPr>
          <w:rFonts w:ascii="Bookman Old Style" w:eastAsia="Bookman Old Style" w:hAnsi="Bookman Old Style" w:cs="Bookman Old Style"/>
          <w:color w:val="231F20"/>
          <w:sz w:val="18"/>
          <w:szCs w:val="18"/>
        </w:rPr>
        <w:softHyphen/>
        <w:t>ность которых не превышает 100 кВт, и физических лиц в случае технологического присоединения к электрическим сетям классом напряжения до 20 кВ включительно;</w:t>
      </w:r>
    </w:p>
    <w:p w14:paraId="3A3C434A" w14:textId="77777777" w:rsidR="00350396" w:rsidRPr="00350396" w:rsidRDefault="00350396" w:rsidP="00350396">
      <w:pPr>
        <w:widowControl w:val="0"/>
        <w:numPr>
          <w:ilvl w:val="0"/>
          <w:numId w:val="103"/>
        </w:numPr>
        <w:tabs>
          <w:tab w:val="left" w:pos="631"/>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одного года — для заявителей, суммарная присоединенная мощ</w:t>
      </w:r>
      <w:r w:rsidRPr="00350396">
        <w:rPr>
          <w:rFonts w:ascii="Bookman Old Style" w:eastAsia="Bookman Old Style" w:hAnsi="Bookman Old Style" w:cs="Bookman Old Style"/>
          <w:color w:val="231F20"/>
          <w:sz w:val="18"/>
          <w:szCs w:val="18"/>
        </w:rPr>
        <w:softHyphen/>
        <w:t>ность энергопринимающих устройств которых не превышает 750 кВА;</w:t>
      </w:r>
    </w:p>
    <w:p w14:paraId="34EE45B3" w14:textId="77777777" w:rsidR="00350396" w:rsidRPr="00350396" w:rsidRDefault="00350396" w:rsidP="00350396">
      <w:pPr>
        <w:widowControl w:val="0"/>
        <w:numPr>
          <w:ilvl w:val="0"/>
          <w:numId w:val="103"/>
        </w:numPr>
        <w:tabs>
          <w:tab w:val="left" w:pos="634"/>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двух лет — для заявителей, суммарная присоединенная мощ</w:t>
      </w:r>
      <w:r w:rsidRPr="00350396">
        <w:rPr>
          <w:rFonts w:ascii="Bookman Old Style" w:eastAsia="Bookman Old Style" w:hAnsi="Bookman Old Style" w:cs="Bookman Old Style"/>
          <w:color w:val="231F20"/>
          <w:sz w:val="18"/>
          <w:szCs w:val="18"/>
        </w:rPr>
        <w:softHyphen/>
        <w:t>ность энергопринимающих устройств которых превышает 750 кВА.</w:t>
      </w:r>
    </w:p>
    <w:p w14:paraId="33F4C4D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Для того чтобы избежать различного рода злоупотреблений, проце</w:t>
      </w:r>
      <w:r w:rsidRPr="00350396">
        <w:rPr>
          <w:rFonts w:ascii="Bookman Old Style" w:eastAsia="Bookman Old Style" w:hAnsi="Bookman Old Style" w:cs="Bookman Old Style"/>
          <w:color w:val="231F20"/>
          <w:sz w:val="18"/>
          <w:szCs w:val="18"/>
        </w:rPr>
        <w:softHyphen/>
        <w:t>дура технологического присоединения носит однократный характер как в части взимания платы за технологическое присоединение (взи</w:t>
      </w:r>
      <w:r w:rsidRPr="00350396">
        <w:rPr>
          <w:rFonts w:ascii="Bookman Old Style" w:eastAsia="Bookman Old Style" w:hAnsi="Bookman Old Style" w:cs="Bookman Old Style"/>
          <w:color w:val="231F20"/>
          <w:sz w:val="18"/>
          <w:szCs w:val="18"/>
        </w:rPr>
        <w:softHyphen/>
        <w:t>мается однократно), так и при смене формы собственности или соб</w:t>
      </w:r>
      <w:r w:rsidRPr="00350396">
        <w:rPr>
          <w:rFonts w:ascii="Bookman Old Style" w:eastAsia="Bookman Old Style" w:hAnsi="Bookman Old Style" w:cs="Bookman Old Style"/>
          <w:color w:val="231F20"/>
          <w:sz w:val="18"/>
          <w:szCs w:val="18"/>
        </w:rPr>
        <w:softHyphen/>
        <w:t>ственника (не требуется осуществления новой процедуры технологи</w:t>
      </w:r>
      <w:r w:rsidRPr="00350396">
        <w:rPr>
          <w:rFonts w:ascii="Bookman Old Style" w:eastAsia="Bookman Old Style" w:hAnsi="Bookman Old Style" w:cs="Bookman Old Style"/>
          <w:color w:val="231F20"/>
          <w:sz w:val="18"/>
          <w:szCs w:val="18"/>
        </w:rPr>
        <w:softHyphen/>
        <w:t>ческого присоединения и не влечет за собой повторную оплату).</w:t>
      </w:r>
    </w:p>
    <w:p w14:paraId="5030134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Также особо отмечается, что требования сетевой организации о том, чтобы заявитель самостоятельно урегулировал вопросы, свя</w:t>
      </w:r>
      <w:r w:rsidRPr="00350396">
        <w:rPr>
          <w:rFonts w:ascii="Bookman Old Style" w:eastAsia="Bookman Old Style" w:hAnsi="Bookman Old Style" w:cs="Bookman Old Style"/>
          <w:color w:val="231F20"/>
          <w:sz w:val="18"/>
          <w:szCs w:val="18"/>
        </w:rPr>
        <w:softHyphen/>
        <w:t>занные с опосредованным присоединением (т. е. присоединением к электрическим сетям третьих лиц), являются необоснованными. Сетевая организация обязана урегулировать вопросы с собственни</w:t>
      </w:r>
      <w:r w:rsidRPr="00350396">
        <w:rPr>
          <w:rFonts w:ascii="Bookman Old Style" w:eastAsia="Bookman Old Style" w:hAnsi="Bookman Old Style" w:cs="Bookman Old Style"/>
          <w:color w:val="231F20"/>
          <w:sz w:val="18"/>
          <w:szCs w:val="18"/>
        </w:rPr>
        <w:softHyphen/>
        <w:t>ком объектов электросетевого хозяйства, через объекты которого будет осуществляться опосредованное присоединение (постановле</w:t>
      </w:r>
      <w:r w:rsidRPr="00350396">
        <w:rPr>
          <w:rFonts w:ascii="Bookman Old Style" w:eastAsia="Bookman Old Style" w:hAnsi="Bookman Old Style" w:cs="Bookman Old Style"/>
          <w:color w:val="231F20"/>
          <w:sz w:val="18"/>
          <w:szCs w:val="18"/>
        </w:rPr>
        <w:softHyphen/>
        <w:t>ние Правительства РФ от 27.12.2004 № 861).</w:t>
      </w:r>
    </w:p>
    <w:p w14:paraId="5F60FE02" w14:textId="77777777" w:rsidR="00350396" w:rsidRPr="00350396" w:rsidRDefault="00350396" w:rsidP="00350396">
      <w:pPr>
        <w:widowControl w:val="0"/>
        <w:spacing w:after="471"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сетевая организация не вправе возлагать на заявите</w:t>
      </w:r>
      <w:r w:rsidRPr="00350396">
        <w:rPr>
          <w:rFonts w:ascii="Bookman Old Style" w:eastAsia="Bookman Old Style" w:hAnsi="Bookman Old Style" w:cs="Bookman Old Style"/>
          <w:color w:val="231F20"/>
          <w:sz w:val="18"/>
          <w:szCs w:val="18"/>
        </w:rPr>
        <w:softHyphen/>
        <w:t>ля обязательства, не предусмотренные Правилами технологическо</w:t>
      </w:r>
      <w:r w:rsidRPr="00350396">
        <w:rPr>
          <w:rFonts w:ascii="Bookman Old Style" w:eastAsia="Bookman Old Style" w:hAnsi="Bookman Old Style" w:cs="Bookman Old Style"/>
          <w:color w:val="231F20"/>
          <w:sz w:val="18"/>
          <w:szCs w:val="18"/>
        </w:rPr>
        <w:softHyphen/>
        <w:t>го присоединения. Сетевая организация не вправе ставить заклю</w:t>
      </w:r>
      <w:r w:rsidRPr="00350396">
        <w:rPr>
          <w:rFonts w:ascii="Bookman Old Style" w:eastAsia="Bookman Old Style" w:hAnsi="Bookman Old Style" w:cs="Bookman Old Style"/>
          <w:color w:val="231F20"/>
          <w:sz w:val="18"/>
          <w:szCs w:val="18"/>
        </w:rPr>
        <w:softHyphen/>
        <w:t>чение договора технологического присоединения в зависимость от заключения заявителем какого-либо другого договора с сетевой организацией или другой организацией (постановление Правитель</w:t>
      </w:r>
      <w:r w:rsidRPr="00350396">
        <w:rPr>
          <w:rFonts w:ascii="Bookman Old Style" w:eastAsia="Bookman Old Style" w:hAnsi="Bookman Old Style" w:cs="Bookman Old Style"/>
          <w:color w:val="231F20"/>
          <w:sz w:val="18"/>
          <w:szCs w:val="18"/>
        </w:rPr>
        <w:softHyphen/>
        <w:t>ства РФ от 27.12.2004 № 861).</w:t>
      </w:r>
    </w:p>
    <w:p w14:paraId="26FD83CC" w14:textId="77777777" w:rsidR="00350396" w:rsidRPr="00350396" w:rsidRDefault="00350396" w:rsidP="00350396">
      <w:pPr>
        <w:widowControl w:val="0"/>
        <w:numPr>
          <w:ilvl w:val="0"/>
          <w:numId w:val="102"/>
        </w:numPr>
        <w:tabs>
          <w:tab w:val="left" w:pos="1430"/>
        </w:tabs>
        <w:spacing w:after="209" w:line="336" w:lineRule="exact"/>
        <w:ind w:left="580" w:right="540" w:firstLine="360"/>
        <w:jc w:val="left"/>
        <w:rPr>
          <w:rFonts w:ascii="Arial Narrow" w:eastAsia="Arial Narrow" w:hAnsi="Arial Narrow" w:cs="Arial Narrow"/>
          <w:b/>
          <w:bCs/>
        </w:rPr>
      </w:pPr>
      <w:r w:rsidRPr="00350396">
        <w:rPr>
          <w:rFonts w:ascii="Arial Narrow" w:eastAsia="Arial Narrow" w:hAnsi="Arial Narrow" w:cs="Arial Narrow"/>
          <w:b/>
          <w:bCs/>
          <w:color w:val="231F20"/>
        </w:rPr>
        <w:t>Основы контроля процедуры организации и проведения торгов со стороны субъектов естественных монополий и заключения договоров по результатам таких торгов (конкурсов и аукционов)</w:t>
      </w:r>
    </w:p>
    <w:p w14:paraId="66B5E04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С 1 января 2012 г. вступил в силу Федеральный закон от 18.07.2011 № 223-ФЗ «О закупках товаров, работ, услуг отдельными видами юридических лиц» (далее — Закон о закупках). Он устанавливает</w:t>
      </w:r>
    </w:p>
    <w:p w14:paraId="6A6911D3" w14:textId="77777777" w:rsidR="00350396" w:rsidRPr="00350396" w:rsidRDefault="00350396" w:rsidP="00350396">
      <w:pPr>
        <w:widowControl w:val="0"/>
        <w:spacing w:line="250" w:lineRule="exact"/>
        <w:ind w:firstLine="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общие принципы и требования к закупкам для государственных корпораций, государственных компаний, субъектов естественных </w:t>
      </w:r>
      <w:r w:rsidRPr="00350396">
        <w:rPr>
          <w:rFonts w:ascii="Bookman Old Style" w:eastAsia="Bookman Old Style" w:hAnsi="Bookman Old Style" w:cs="Bookman Old Style"/>
          <w:color w:val="231F20"/>
          <w:sz w:val="18"/>
          <w:szCs w:val="18"/>
        </w:rPr>
        <w:lastRenderedPageBreak/>
        <w:t>монополий, организаций, осуществляющих регулируемые виды де</w:t>
      </w:r>
      <w:r w:rsidRPr="00350396">
        <w:rPr>
          <w:rFonts w:ascii="Bookman Old Style" w:eastAsia="Bookman Old Style" w:hAnsi="Bookman Old Style" w:cs="Bookman Old Style"/>
          <w:color w:val="231F20"/>
          <w:sz w:val="18"/>
          <w:szCs w:val="18"/>
        </w:rPr>
        <w:softHyphen/>
        <w:t>ятельности.</w:t>
      </w:r>
    </w:p>
    <w:p w14:paraId="5BDDC14A"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Закон о закупках регулирует весь механизм проведения заку</w:t>
      </w:r>
      <w:r w:rsidRPr="00350396">
        <w:rPr>
          <w:rFonts w:ascii="Bookman Old Style" w:eastAsia="Bookman Old Style" w:hAnsi="Bookman Old Style" w:cs="Bookman Old Style"/>
          <w:color w:val="231F20"/>
          <w:sz w:val="18"/>
          <w:szCs w:val="18"/>
        </w:rPr>
        <w:softHyphen/>
        <w:t>пок отдельными видами юридических лиц. Основной целью Закона признается либерализация процедуры закупок с участием государ</w:t>
      </w:r>
      <w:r w:rsidRPr="00350396">
        <w:rPr>
          <w:rFonts w:ascii="Bookman Old Style" w:eastAsia="Bookman Old Style" w:hAnsi="Bookman Old Style" w:cs="Bookman Old Style"/>
          <w:color w:val="231F20"/>
          <w:sz w:val="18"/>
          <w:szCs w:val="18"/>
        </w:rPr>
        <w:softHyphen/>
        <w:t>ственных корпораций и естественных монополий для всех ее участ</w:t>
      </w:r>
      <w:r w:rsidRPr="00350396">
        <w:rPr>
          <w:rFonts w:ascii="Bookman Old Style" w:eastAsia="Bookman Old Style" w:hAnsi="Bookman Old Style" w:cs="Bookman Old Style"/>
          <w:color w:val="231F20"/>
          <w:sz w:val="18"/>
          <w:szCs w:val="18"/>
        </w:rPr>
        <w:softHyphen/>
        <w:t>ников. Он содержит ряд инноваций при выборе способа размеще</w:t>
      </w:r>
      <w:r w:rsidRPr="00350396">
        <w:rPr>
          <w:rFonts w:ascii="Bookman Old Style" w:eastAsia="Bookman Old Style" w:hAnsi="Bookman Old Style" w:cs="Bookman Old Style"/>
          <w:color w:val="231F20"/>
          <w:sz w:val="18"/>
          <w:szCs w:val="18"/>
        </w:rPr>
        <w:softHyphen/>
        <w:t>ния заказа и отборе потенциальных поставщиков.</w:t>
      </w:r>
    </w:p>
    <w:p w14:paraId="654D147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Данный Закон предлагает актуальные альтернативы государ</w:t>
      </w:r>
      <w:r w:rsidRPr="00350396">
        <w:rPr>
          <w:rFonts w:ascii="Bookman Old Style" w:eastAsia="Bookman Old Style" w:hAnsi="Bookman Old Style" w:cs="Bookman Old Style"/>
          <w:color w:val="231F20"/>
          <w:sz w:val="18"/>
          <w:szCs w:val="18"/>
        </w:rPr>
        <w:softHyphen/>
        <w:t>ственным компаниям и корпорациям, субъектам естественных монополий и организациям, осуществляющим регулируемые виды деятельности, государственным и муниципальным унитарным предприятиям и автономным учреждениям, а также хозяйствую</w:t>
      </w:r>
      <w:r w:rsidRPr="00350396">
        <w:rPr>
          <w:rFonts w:ascii="Bookman Old Style" w:eastAsia="Bookman Old Style" w:hAnsi="Bookman Old Style" w:cs="Bookman Old Style"/>
          <w:color w:val="231F20"/>
          <w:sz w:val="18"/>
          <w:szCs w:val="18"/>
        </w:rPr>
        <w:softHyphen/>
        <w:t>щим субъектам с долей участия Российской Федерации в уставном капитале свыше 50 %</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5916F83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Закон о закупках устанавливает следующие основные требова</w:t>
      </w:r>
      <w:r w:rsidRPr="00350396">
        <w:rPr>
          <w:rFonts w:ascii="Bookman Old Style" w:eastAsia="Bookman Old Style" w:hAnsi="Bookman Old Style" w:cs="Bookman Old Style"/>
          <w:color w:val="231F20"/>
          <w:sz w:val="18"/>
          <w:szCs w:val="18"/>
        </w:rPr>
        <w:softHyphen/>
        <w:t>ния к проведению закупок:</w:t>
      </w:r>
    </w:p>
    <w:p w14:paraId="613E2249" w14:textId="77777777" w:rsidR="00350396" w:rsidRPr="00350396" w:rsidRDefault="00350396" w:rsidP="00350396">
      <w:pPr>
        <w:widowControl w:val="0"/>
        <w:numPr>
          <w:ilvl w:val="0"/>
          <w:numId w:val="109"/>
        </w:numPr>
        <w:tabs>
          <w:tab w:val="left" w:pos="633"/>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информационная открытость закупки;</w:t>
      </w:r>
    </w:p>
    <w:p w14:paraId="27B63A77" w14:textId="77777777" w:rsidR="00350396" w:rsidRPr="00350396" w:rsidRDefault="00350396" w:rsidP="00350396">
      <w:pPr>
        <w:widowControl w:val="0"/>
        <w:numPr>
          <w:ilvl w:val="0"/>
          <w:numId w:val="109"/>
        </w:numPr>
        <w:tabs>
          <w:tab w:val="left" w:pos="633"/>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равноправие, справедливость, отсутствие дискриминации и необоснованных ограничений конкуренции по отношению к участ</w:t>
      </w:r>
      <w:r w:rsidRPr="00350396">
        <w:rPr>
          <w:rFonts w:ascii="Bookman Old Style" w:eastAsia="Bookman Old Style" w:hAnsi="Bookman Old Style" w:cs="Bookman Old Style"/>
          <w:color w:val="231F20"/>
          <w:sz w:val="18"/>
          <w:szCs w:val="18"/>
        </w:rPr>
        <w:softHyphen/>
        <w:t>никам закупки;</w:t>
      </w:r>
    </w:p>
    <w:p w14:paraId="14EDA8F2" w14:textId="77777777" w:rsidR="00350396" w:rsidRPr="00350396" w:rsidRDefault="00350396" w:rsidP="00350396">
      <w:pPr>
        <w:widowControl w:val="0"/>
        <w:numPr>
          <w:ilvl w:val="0"/>
          <w:numId w:val="109"/>
        </w:numPr>
        <w:tabs>
          <w:tab w:val="left" w:pos="633"/>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целевое и экономически эффективное расходование де</w:t>
      </w:r>
      <w:r w:rsidRPr="00350396">
        <w:rPr>
          <w:rFonts w:ascii="Bookman Old Style" w:eastAsia="Bookman Old Style" w:hAnsi="Bookman Old Style" w:cs="Bookman Old Style"/>
          <w:color w:val="231F20"/>
          <w:sz w:val="18"/>
          <w:szCs w:val="18"/>
        </w:rPr>
        <w:softHyphen/>
        <w:t>нежных средств на приобретение товаров, работ, услуг (с учетом при необходимости стоимости жизненного цикла закупаемой про</w:t>
      </w:r>
      <w:r w:rsidRPr="00350396">
        <w:rPr>
          <w:rFonts w:ascii="Bookman Old Style" w:eastAsia="Bookman Old Style" w:hAnsi="Bookman Old Style" w:cs="Bookman Old Style"/>
          <w:color w:val="231F20"/>
          <w:sz w:val="18"/>
          <w:szCs w:val="18"/>
        </w:rPr>
        <w:softHyphen/>
        <w:t>дукции) и реализация мер, направленных на сокращение издержек заказчика;</w:t>
      </w:r>
    </w:p>
    <w:p w14:paraId="7C770ADA" w14:textId="77777777" w:rsidR="00350396" w:rsidRPr="00350396" w:rsidRDefault="00350396" w:rsidP="00350396">
      <w:pPr>
        <w:widowControl w:val="0"/>
        <w:numPr>
          <w:ilvl w:val="0"/>
          <w:numId w:val="109"/>
        </w:numPr>
        <w:tabs>
          <w:tab w:val="left" w:pos="633"/>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отсутствие ограничения допуска к участию в закупке путем установления неизмеряемых требований к участникам закупки.</w:t>
      </w:r>
    </w:p>
    <w:p w14:paraId="7DE83D3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Преимущественными способами закупок являются открытые торги в форме конкурса или аукциона. Установлено требование о повышении доли закупок инновационной продукции.</w:t>
      </w:r>
    </w:p>
    <w:p w14:paraId="51812FBC"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Новый закон важен как для заказчиков, так и для поставщиков с точки зрения организации закупочных процессов в государствен</w:t>
      </w:r>
      <w:r w:rsidRPr="00350396">
        <w:rPr>
          <w:rFonts w:ascii="Bookman Old Style" w:eastAsia="Bookman Old Style" w:hAnsi="Bookman Old Style" w:cs="Bookman Old Style"/>
          <w:color w:val="231F20"/>
          <w:sz w:val="18"/>
          <w:szCs w:val="18"/>
        </w:rPr>
        <w:softHyphen/>
        <w:t>ных компаниях. Согласно статистическим данным закупки для нужд государства — это около 6 трлн руб. ежегодно, которые из бюджета напрямую направляются в российскую экономику</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w:t>
      </w:r>
    </w:p>
    <w:p w14:paraId="6411278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Объем закупок государственных компаний и естественных мо</w:t>
      </w:r>
      <w:r w:rsidRPr="00350396">
        <w:rPr>
          <w:rFonts w:ascii="Bookman Old Style" w:eastAsia="Bookman Old Style" w:hAnsi="Bookman Old Style" w:cs="Bookman Old Style"/>
          <w:color w:val="231F20"/>
          <w:sz w:val="18"/>
          <w:szCs w:val="18"/>
        </w:rPr>
        <w:softHyphen/>
        <w:t xml:space="preserve">нополий еще выше: около 7 трлн руб </w:t>
      </w:r>
      <w:r w:rsidRPr="00350396">
        <w:rPr>
          <w:rFonts w:ascii="Bookman Old Style" w:eastAsia="Bookman Old Style" w:hAnsi="Bookman Old Style" w:cs="Bookman Old Style"/>
          <w:color w:val="231F20"/>
          <w:sz w:val="18"/>
          <w:szCs w:val="18"/>
          <w:highlight w:val="green"/>
        </w:rPr>
        <w:t>/9.3 три руб в 21 году https://finance.rambler.ru/business/48035228-obem-zakupok-v-rossii-kompaniy-s-gosuchastiem-vyros-na-15-v-2021-godu/?ysclid=l5tnrprx92970930115.</w:t>
      </w:r>
      <w:r w:rsidRPr="00350396">
        <w:rPr>
          <w:rFonts w:ascii="Bookman Old Style" w:eastAsia="Bookman Old Style" w:hAnsi="Bookman Old Style" w:cs="Bookman Old Style"/>
          <w:color w:val="231F20"/>
          <w:sz w:val="18"/>
          <w:szCs w:val="18"/>
        </w:rPr>
        <w:t xml:space="preserve"> Закон о закупках призван обе</w:t>
      </w:r>
      <w:r w:rsidRPr="00350396">
        <w:rPr>
          <w:rFonts w:ascii="Bookman Old Style" w:eastAsia="Bookman Old Style" w:hAnsi="Bookman Old Style" w:cs="Bookman Old Style"/>
          <w:color w:val="231F20"/>
          <w:sz w:val="18"/>
          <w:szCs w:val="18"/>
        </w:rPr>
        <w:softHyphen/>
        <w:t xml:space="preserve">спечить такие механизмы регулирования, при которых бюджетные </w:t>
      </w:r>
      <w:r w:rsidRPr="00350396">
        <w:rPr>
          <w:rFonts w:ascii="Bookman Old Style" w:eastAsia="Bookman Old Style" w:hAnsi="Bookman Old Style" w:cs="Bookman Old Style"/>
          <w:color w:val="231F20"/>
          <w:sz w:val="18"/>
          <w:szCs w:val="18"/>
          <w:vertAlign w:val="superscript"/>
        </w:rPr>
        <w:footnoteReference w:id="161"/>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162"/>
      </w:r>
      <w:r w:rsidRPr="00350396">
        <w:rPr>
          <w:rFonts w:ascii="Bookman Old Style" w:eastAsia="Bookman Old Style" w:hAnsi="Bookman Old Style" w:cs="Bookman Old Style"/>
          <w:color w:val="231F20"/>
          <w:sz w:val="18"/>
          <w:szCs w:val="18"/>
        </w:rPr>
        <w:t xml:space="preserve"> деньги будут расходоваться наиболее рационально, создавая тем </w:t>
      </w:r>
      <w:r w:rsidRPr="00350396">
        <w:rPr>
          <w:rFonts w:ascii="Bookman Old Style" w:eastAsia="Bookman Old Style" w:hAnsi="Bookman Old Style" w:cs="Bookman Old Style"/>
          <w:color w:val="231F20"/>
          <w:sz w:val="18"/>
          <w:szCs w:val="18"/>
        </w:rPr>
        <w:lastRenderedPageBreak/>
        <w:t>самым благоприятную конкурентную среду</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01260C8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 Законом о закупках вся информация о прово</w:t>
      </w:r>
      <w:r w:rsidRPr="00350396">
        <w:rPr>
          <w:rFonts w:ascii="Bookman Old Style" w:eastAsia="Bookman Old Style" w:hAnsi="Bookman Old Style" w:cs="Bookman Old Style"/>
          <w:color w:val="231F20"/>
          <w:sz w:val="18"/>
          <w:szCs w:val="18"/>
        </w:rPr>
        <w:softHyphen/>
        <w:t xml:space="preserve">димых закупках должна размещаться на официальном сайте </w:t>
      </w:r>
      <w:r w:rsidRPr="00350396">
        <w:rPr>
          <w:rFonts w:ascii="Bookman Old Style" w:eastAsia="Bookman Old Style" w:hAnsi="Bookman Old Style" w:cs="Bookman Old Style"/>
          <w:color w:val="231F20"/>
          <w:sz w:val="18"/>
          <w:szCs w:val="18"/>
          <w:lang w:eastAsia="en-US" w:bidi="en-US"/>
        </w:rPr>
        <w:t>(</w:t>
      </w:r>
      <w:r w:rsidRPr="00350396">
        <w:rPr>
          <w:rFonts w:ascii="Bookman Old Style" w:eastAsia="Bookman Old Style" w:hAnsi="Bookman Old Style" w:cs="Bookman Old Style"/>
          <w:color w:val="231F20"/>
          <w:sz w:val="18"/>
          <w:szCs w:val="18"/>
          <w:lang w:val="en-US" w:eastAsia="en-US" w:bidi="en-US"/>
        </w:rPr>
        <w:t>www</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lang w:val="en-US" w:eastAsia="en-US" w:bidi="en-US"/>
        </w:rPr>
        <w:t>zakupki</w:t>
      </w:r>
      <w:r w:rsidRPr="00350396">
        <w:rPr>
          <w:rFonts w:ascii="Bookman Old Style" w:eastAsia="Bookman Old Style" w:hAnsi="Bookman Old Style" w:cs="Bookman Old Style"/>
          <w:color w:val="231F20"/>
          <w:sz w:val="18"/>
          <w:szCs w:val="18"/>
          <w:lang w:eastAsia="en-US" w:bidi="en-US"/>
        </w:rPr>
        <w:t>.</w:t>
      </w:r>
      <w:r w:rsidRPr="00350396">
        <w:rPr>
          <w:rFonts w:ascii="Bookman Old Style" w:eastAsia="Bookman Old Style" w:hAnsi="Bookman Old Style" w:cs="Bookman Old Style"/>
          <w:color w:val="231F20"/>
          <w:sz w:val="18"/>
          <w:szCs w:val="18"/>
          <w:lang w:val="en-US" w:eastAsia="en-US" w:bidi="en-US"/>
        </w:rPr>
        <w:t>gov</w:t>
      </w:r>
      <w:r w:rsidRPr="00350396">
        <w:rPr>
          <w:rFonts w:ascii="Bookman Old Style" w:eastAsia="Bookman Old Style" w:hAnsi="Bookman Old Style" w:cs="Bookman Old Style"/>
          <w:color w:val="231F20"/>
          <w:sz w:val="18"/>
          <w:szCs w:val="18"/>
          <w:lang w:eastAsia="en-US" w:bidi="en-US"/>
        </w:rPr>
        <w:t>.</w:t>
      </w:r>
      <w:r w:rsidRPr="00350396">
        <w:rPr>
          <w:rFonts w:ascii="Bookman Old Style" w:eastAsia="Bookman Old Style" w:hAnsi="Bookman Old Style" w:cs="Bookman Old Style"/>
          <w:color w:val="231F20"/>
          <w:sz w:val="18"/>
          <w:szCs w:val="18"/>
          <w:lang w:val="en-US" w:eastAsia="en-US" w:bidi="en-US"/>
        </w:rPr>
        <w:t>ru</w:t>
      </w:r>
      <w:r w:rsidRPr="00350396">
        <w:rPr>
          <w:rFonts w:ascii="Bookman Old Style" w:eastAsia="Bookman Old Style" w:hAnsi="Bookman Old Style" w:cs="Bookman Old Style"/>
          <w:color w:val="231F20"/>
          <w:sz w:val="18"/>
          <w:szCs w:val="18"/>
          <w:lang w:eastAsia="en-US" w:bidi="en-US"/>
        </w:rPr>
        <w:t xml:space="preserve">). </w:t>
      </w:r>
      <w:r w:rsidRPr="00350396">
        <w:rPr>
          <w:rFonts w:ascii="Bookman Old Style" w:eastAsia="Bookman Old Style" w:hAnsi="Bookman Old Style" w:cs="Bookman Old Style"/>
          <w:color w:val="231F20"/>
          <w:sz w:val="18"/>
          <w:szCs w:val="18"/>
        </w:rPr>
        <w:t>Таким образом, все субъекты государственных кор</w:t>
      </w:r>
      <w:r w:rsidRPr="00350396">
        <w:rPr>
          <w:rFonts w:ascii="Bookman Old Style" w:eastAsia="Bookman Old Style" w:hAnsi="Bookman Old Style" w:cs="Bookman Old Style"/>
          <w:color w:val="231F20"/>
          <w:sz w:val="18"/>
          <w:szCs w:val="18"/>
        </w:rPr>
        <w:softHyphen/>
        <w:t>пораций, естественных монополий и унитарных предприятий долж</w:t>
      </w:r>
      <w:r w:rsidRPr="00350396">
        <w:rPr>
          <w:rFonts w:ascii="Bookman Old Style" w:eastAsia="Bookman Old Style" w:hAnsi="Bookman Old Style" w:cs="Bookman Old Style"/>
          <w:color w:val="231F20"/>
          <w:sz w:val="18"/>
          <w:szCs w:val="18"/>
        </w:rPr>
        <w:softHyphen/>
        <w:t>ны организовать доступность и открытость информации для уча</w:t>
      </w:r>
      <w:r w:rsidRPr="00350396">
        <w:rPr>
          <w:rFonts w:ascii="Bookman Old Style" w:eastAsia="Bookman Old Style" w:hAnsi="Bookman Old Style" w:cs="Bookman Old Style"/>
          <w:color w:val="231F20"/>
          <w:sz w:val="18"/>
          <w:szCs w:val="18"/>
        </w:rPr>
        <w:softHyphen/>
        <w:t>стия в них физических и юридических лиц, что, в конечном счете, должно привести к развитию добросовестной конкуренции, а также повысить прозрачность закупок, расширить возможности участни</w:t>
      </w:r>
      <w:r w:rsidRPr="00350396">
        <w:rPr>
          <w:rFonts w:ascii="Bookman Old Style" w:eastAsia="Bookman Old Style" w:hAnsi="Bookman Old Style" w:cs="Bookman Old Style"/>
          <w:color w:val="231F20"/>
          <w:sz w:val="18"/>
          <w:szCs w:val="18"/>
        </w:rPr>
        <w:softHyphen/>
        <w:t>ков торгов.</w:t>
      </w:r>
    </w:p>
    <w:p w14:paraId="2BBC8B5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Важным факторам, влияющим на порядок проведения закупок, является то, что в Законе о закупках не установлено жестких огра</w:t>
      </w:r>
      <w:r w:rsidRPr="00350396">
        <w:rPr>
          <w:rFonts w:ascii="Bookman Old Style" w:eastAsia="Bookman Old Style" w:hAnsi="Bookman Old Style" w:cs="Bookman Old Style"/>
          <w:color w:val="231F20"/>
          <w:sz w:val="18"/>
          <w:szCs w:val="18"/>
        </w:rPr>
        <w:softHyphen/>
        <w:t>ничений на осуществление закупочной деятельности. В целом За</w:t>
      </w:r>
      <w:r w:rsidRPr="00350396">
        <w:rPr>
          <w:rFonts w:ascii="Bookman Old Style" w:eastAsia="Bookman Old Style" w:hAnsi="Bookman Old Style" w:cs="Bookman Old Style"/>
          <w:color w:val="231F20"/>
          <w:sz w:val="18"/>
          <w:szCs w:val="18"/>
        </w:rPr>
        <w:softHyphen/>
        <w:t>коном предусмотрены только общие требования по проведению этой деятельности, включая разработку внутренних документов, которые регламентируют закупочную деятельность (план закупок, положение о закупках). В процессе ее осуществления необходимо опубликовать в открытом доступе сообщение о закупке, где будут указаны предмет договора и количество поставляемого товара, а также объем выполняемых работ или оказываемых услуг, место поставки, начальную (максимальную) цену договора (лота). Кроме того, сообщение должно содержать информацию о способе закупки и необходимые контакты заказчика.</w:t>
      </w:r>
    </w:p>
    <w:p w14:paraId="7B3B383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Исходя из выше сказанного, можно сделать вывод, что субъекты государственных корпораций, естественных монополий и унитар</w:t>
      </w:r>
      <w:r w:rsidRPr="00350396">
        <w:rPr>
          <w:rFonts w:ascii="Bookman Old Style" w:eastAsia="Bookman Old Style" w:hAnsi="Bookman Old Style" w:cs="Bookman Old Style"/>
          <w:color w:val="231F20"/>
          <w:sz w:val="18"/>
          <w:szCs w:val="18"/>
        </w:rPr>
        <w:softHyphen/>
        <w:t>ных предприятий могут выбрать способ закупки, предлагаемый за</w:t>
      </w:r>
      <w:r w:rsidRPr="00350396">
        <w:rPr>
          <w:rFonts w:ascii="Bookman Old Style" w:eastAsia="Bookman Old Style" w:hAnsi="Bookman Old Style" w:cs="Bookman Old Style"/>
          <w:color w:val="231F20"/>
          <w:sz w:val="18"/>
          <w:szCs w:val="18"/>
        </w:rPr>
        <w:softHyphen/>
        <w:t>коном, — конкурс, аукцион, запрос цен или иные формы.</w:t>
      </w:r>
    </w:p>
    <w:p w14:paraId="29E87B9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Для повышения эффективности исполнения своих контрольных функций ФАС России разработала порядок рассмотрения жалоб на действия (бездействие) заказчика при закупке товаров работ ус</w:t>
      </w:r>
      <w:r w:rsidRPr="00350396">
        <w:rPr>
          <w:rFonts w:ascii="Bookman Old Style" w:eastAsia="Bookman Old Style" w:hAnsi="Bookman Old Style" w:cs="Bookman Old Style"/>
          <w:color w:val="231F20"/>
          <w:sz w:val="18"/>
          <w:szCs w:val="18"/>
        </w:rPr>
        <w:softHyphen/>
        <w:t>луг, проводимых в соответствии с Законом закупках.</w:t>
      </w:r>
    </w:p>
    <w:p w14:paraId="56DB58B4"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Основные выводы в Законе о закупках в целом носят негативный характер. Истинная проблема состоит в неэффективности системы закупок в регулируемых отраслях, завышающей издержки и цены для потребителей. В связи с этим необходимо добиться, в частно</w:t>
      </w:r>
      <w:r w:rsidRPr="00350396">
        <w:rPr>
          <w:rFonts w:ascii="Bookman Old Style" w:eastAsia="Bookman Old Style" w:hAnsi="Bookman Old Style" w:cs="Bookman Old Style"/>
          <w:color w:val="231F20"/>
          <w:sz w:val="18"/>
          <w:szCs w:val="18"/>
        </w:rPr>
        <w:softHyphen/>
        <w:t>сти, исключения из числа субъектов регулирования:</w:t>
      </w:r>
    </w:p>
    <w:p w14:paraId="37E6D858" w14:textId="77777777" w:rsidR="00350396" w:rsidRPr="00350396" w:rsidRDefault="00350396" w:rsidP="00350396">
      <w:pPr>
        <w:widowControl w:val="0"/>
        <w:numPr>
          <w:ilvl w:val="0"/>
          <w:numId w:val="110"/>
        </w:numPr>
        <w:tabs>
          <w:tab w:val="left" w:pos="63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дочерних обществ субъектов естественных монополий, у ко</w:t>
      </w:r>
      <w:r w:rsidRPr="00350396">
        <w:rPr>
          <w:rFonts w:ascii="Bookman Old Style" w:eastAsia="Bookman Old Style" w:hAnsi="Bookman Old Style" w:cs="Bookman Old Style"/>
          <w:color w:val="231F20"/>
          <w:sz w:val="18"/>
          <w:szCs w:val="18"/>
        </w:rPr>
        <w:softHyphen/>
        <w:t>торых доля поставок материнским компаниям ниже 10 % оборота;</w:t>
      </w:r>
    </w:p>
    <w:p w14:paraId="2E06717A" w14:textId="77777777" w:rsidR="00350396" w:rsidRPr="00350396" w:rsidRDefault="00350396" w:rsidP="00350396">
      <w:pPr>
        <w:widowControl w:val="0"/>
        <w:numPr>
          <w:ilvl w:val="0"/>
          <w:numId w:val="110"/>
        </w:numPr>
        <w:tabs>
          <w:tab w:val="left" w:pos="638"/>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компаний, которые действуют на нерегулируемых рынках или в обороте которых регулируемые виды деятельности составля</w:t>
      </w:r>
      <w:r w:rsidRPr="00350396">
        <w:rPr>
          <w:rFonts w:ascii="Bookman Old Style" w:eastAsia="Bookman Old Style" w:hAnsi="Bookman Old Style" w:cs="Bookman Old Style"/>
          <w:color w:val="231F20"/>
          <w:sz w:val="18"/>
          <w:szCs w:val="18"/>
        </w:rPr>
        <w:softHyphen/>
        <w:t>ют не более 10 % оборота;</w:t>
      </w:r>
    </w:p>
    <w:p w14:paraId="483C1010" w14:textId="77777777" w:rsidR="00350396" w:rsidRPr="00350396" w:rsidRDefault="00350396" w:rsidP="00350396">
      <w:pPr>
        <w:widowControl w:val="0"/>
        <w:numPr>
          <w:ilvl w:val="0"/>
          <w:numId w:val="110"/>
        </w:numPr>
        <w:tabs>
          <w:tab w:val="left" w:pos="671"/>
        </w:tabs>
        <w:spacing w:line="250" w:lineRule="exact"/>
        <w:ind w:firstLine="320"/>
        <w:jc w:val="left"/>
        <w:rPr>
          <w:rFonts w:ascii="Bookman Old Style" w:eastAsia="Bookman Old Style" w:hAnsi="Bookman Old Style" w:cs="Bookman Old Style"/>
          <w:sz w:val="18"/>
          <w:szCs w:val="18"/>
        </w:rPr>
        <w:sectPr w:rsidR="00350396" w:rsidRPr="00350396">
          <w:footerReference w:type="even" r:id="rId129"/>
          <w:footerReference w:type="default" r:id="rId130"/>
          <w:headerReference w:type="first" r:id="rId131"/>
          <w:footerReference w:type="first" r:id="rId132"/>
          <w:pgSz w:w="8789" w:h="13493"/>
          <w:pgMar w:top="924" w:right="1075" w:bottom="1182" w:left="1070" w:header="0" w:footer="3" w:gutter="0"/>
          <w:cols w:space="720"/>
          <w:noEndnote/>
          <w:titlePg/>
          <w:docGrid w:linePitch="360"/>
        </w:sectPr>
      </w:pPr>
      <w:r w:rsidRPr="00350396">
        <w:rPr>
          <w:rFonts w:ascii="Bookman Old Style" w:eastAsia="Bookman Old Style" w:hAnsi="Bookman Old Style" w:cs="Bookman Old Style"/>
          <w:color w:val="231F20"/>
          <w:sz w:val="18"/>
          <w:szCs w:val="18"/>
        </w:rPr>
        <w:t>компаний с незначительным объемом закупок</w:t>
      </w:r>
      <w:r w:rsidRPr="00350396">
        <w:rPr>
          <w:rFonts w:ascii="Bookman Old Style" w:eastAsia="Bookman Old Style" w:hAnsi="Bookman Old Style" w:cs="Bookman Old Style"/>
          <w:color w:val="231F20"/>
          <w:sz w:val="18"/>
          <w:szCs w:val="18"/>
          <w:vertAlign w:val="superscript"/>
        </w:rPr>
        <w:t>2</w:t>
      </w:r>
      <w:r w:rsidRPr="00350396">
        <w:rPr>
          <w:rFonts w:ascii="Bookman Old Style" w:eastAsia="Bookman Old Style" w:hAnsi="Bookman Old Style" w:cs="Bookman Old Style"/>
          <w:color w:val="231F20"/>
          <w:sz w:val="18"/>
          <w:szCs w:val="18"/>
        </w:rPr>
        <w:t xml:space="preserve">. </w:t>
      </w:r>
      <w:r w:rsidRPr="00350396">
        <w:rPr>
          <w:rFonts w:ascii="Bookman Old Style" w:eastAsia="Bookman Old Style" w:hAnsi="Bookman Old Style" w:cs="Bookman Old Style"/>
          <w:color w:val="231F20"/>
          <w:sz w:val="18"/>
          <w:szCs w:val="18"/>
          <w:vertAlign w:val="superscript"/>
        </w:rPr>
        <w:footnoteReference w:id="163"/>
      </w:r>
      <w:r w:rsidRPr="00350396">
        <w:rPr>
          <w:rFonts w:ascii="Bookman Old Style" w:eastAsia="Bookman Old Style" w:hAnsi="Bookman Old Style" w:cs="Bookman Old Style"/>
          <w:color w:val="231F20"/>
          <w:sz w:val="18"/>
          <w:szCs w:val="18"/>
          <w:vertAlign w:val="superscript"/>
        </w:rPr>
        <w:t xml:space="preserve"> </w:t>
      </w:r>
      <w:r w:rsidRPr="00350396">
        <w:rPr>
          <w:rFonts w:ascii="Bookman Old Style" w:eastAsia="Bookman Old Style" w:hAnsi="Bookman Old Style" w:cs="Bookman Old Style"/>
          <w:color w:val="231F20"/>
          <w:sz w:val="18"/>
          <w:szCs w:val="18"/>
          <w:vertAlign w:val="superscript"/>
        </w:rPr>
        <w:footnoteReference w:id="164"/>
      </w:r>
    </w:p>
    <w:p w14:paraId="43411F3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bookmarkStart w:id="94" w:name="bookmark80"/>
      <w:r w:rsidRPr="00350396">
        <w:rPr>
          <w:rFonts w:ascii="Bookman Old Style" w:eastAsia="Bookman Old Style" w:hAnsi="Bookman Old Style" w:cs="Bookman Old Style"/>
          <w:color w:val="231F20"/>
          <w:sz w:val="18"/>
          <w:szCs w:val="18"/>
        </w:rPr>
        <w:lastRenderedPageBreak/>
        <w:t>Таким образом, чем хуже организованы закупки в государствен</w:t>
      </w:r>
      <w:r w:rsidRPr="00350396">
        <w:rPr>
          <w:rFonts w:ascii="Bookman Old Style" w:eastAsia="Bookman Old Style" w:hAnsi="Bookman Old Style" w:cs="Bookman Old Style"/>
          <w:color w:val="231F20"/>
          <w:sz w:val="18"/>
          <w:szCs w:val="18"/>
        </w:rPr>
        <w:softHyphen/>
        <w:t>ном секторе, чем больше в них коррупции и меньше конкуренции, тем выше цены и издержки, тем больше приходится налогоплатель</w:t>
      </w:r>
      <w:r w:rsidRPr="00350396">
        <w:rPr>
          <w:rFonts w:ascii="Bookman Old Style" w:eastAsia="Bookman Old Style" w:hAnsi="Bookman Old Style" w:cs="Bookman Old Style"/>
          <w:color w:val="231F20"/>
          <w:sz w:val="18"/>
          <w:szCs w:val="18"/>
        </w:rPr>
        <w:softHyphen/>
        <w:t>щикам платить за работу государственного сектора, тем меньше услуг (и худшего качества) они получают. Вместе с тем остается от</w:t>
      </w:r>
      <w:r w:rsidRPr="00350396">
        <w:rPr>
          <w:rFonts w:ascii="Bookman Old Style" w:eastAsia="Bookman Old Style" w:hAnsi="Bookman Old Style" w:cs="Bookman Old Style"/>
          <w:color w:val="231F20"/>
          <w:sz w:val="18"/>
          <w:szCs w:val="18"/>
        </w:rPr>
        <w:softHyphen/>
        <w:t>крытым вопрос как о целесообразности принципиального измене</w:t>
      </w:r>
      <w:r w:rsidRPr="00350396">
        <w:rPr>
          <w:rFonts w:ascii="Bookman Old Style" w:eastAsia="Bookman Old Style" w:hAnsi="Bookman Old Style" w:cs="Bookman Old Style"/>
          <w:color w:val="231F20"/>
          <w:sz w:val="18"/>
          <w:szCs w:val="18"/>
        </w:rPr>
        <w:softHyphen/>
        <w:t>ния Закона о закупках, так и о направлениях этого изменения, кото</w:t>
      </w:r>
      <w:r w:rsidRPr="00350396">
        <w:rPr>
          <w:rFonts w:ascii="Bookman Old Style" w:eastAsia="Bookman Old Style" w:hAnsi="Bookman Old Style" w:cs="Bookman Old Style"/>
          <w:color w:val="231F20"/>
          <w:sz w:val="18"/>
          <w:szCs w:val="18"/>
        </w:rPr>
        <w:softHyphen/>
        <w:t>рый, несомненно, должен решаться с учетом практики реализации Закона о закупках, которая пока еще недостаточна.</w:t>
      </w:r>
      <w:bookmarkEnd w:id="94"/>
    </w:p>
    <w:p w14:paraId="34583071" w14:textId="77777777" w:rsidR="00350396" w:rsidRPr="00350396" w:rsidRDefault="00350396" w:rsidP="00350396">
      <w:pPr>
        <w:widowControl w:val="0"/>
        <w:spacing w:after="351"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Наибольшее количество жалоб в ФАС России и ее территори</w:t>
      </w:r>
      <w:r w:rsidRPr="00350396">
        <w:rPr>
          <w:rFonts w:ascii="Bookman Old Style" w:eastAsia="Bookman Old Style" w:hAnsi="Bookman Old Style" w:cs="Bookman Old Style"/>
          <w:color w:val="231F20"/>
          <w:sz w:val="18"/>
          <w:szCs w:val="18"/>
        </w:rPr>
        <w:softHyphen/>
        <w:t>альные органы поступает на действия (бездействие) организатора торгов, оператора электронной площадки, конкурсной или аукци</w:t>
      </w:r>
      <w:r w:rsidRPr="00350396">
        <w:rPr>
          <w:rFonts w:ascii="Bookman Old Style" w:eastAsia="Bookman Old Style" w:hAnsi="Bookman Old Style" w:cs="Bookman Old Style"/>
          <w:color w:val="231F20"/>
          <w:sz w:val="18"/>
          <w:szCs w:val="18"/>
        </w:rPr>
        <w:softHyphen/>
        <w:t>онной комиссии при организации и проведении закупок товаров, работ, услуг в соответствии с Законом о закупках. Больше всего нарушений связано с неправомерными действиями организаторов торгов в части несоблюдения требований положения о закупках, несоответствия конкурсной документации требованиям положения о закупках, а также установления в конкурсной документации не</w:t>
      </w:r>
      <w:r w:rsidRPr="00350396">
        <w:rPr>
          <w:rFonts w:ascii="Bookman Old Style" w:eastAsia="Bookman Old Style" w:hAnsi="Bookman Old Style" w:cs="Bookman Old Style"/>
          <w:color w:val="231F20"/>
          <w:sz w:val="18"/>
          <w:szCs w:val="18"/>
        </w:rPr>
        <w:softHyphen/>
        <w:t>правомерных требований к участникам конкурса (аукциона), огра</w:t>
      </w:r>
      <w:r w:rsidRPr="00350396">
        <w:rPr>
          <w:rFonts w:ascii="Bookman Old Style" w:eastAsia="Bookman Old Style" w:hAnsi="Bookman Old Style" w:cs="Bookman Old Style"/>
          <w:color w:val="231F20"/>
          <w:sz w:val="18"/>
          <w:szCs w:val="18"/>
        </w:rPr>
        <w:softHyphen/>
        <w:t>ничивающих доступ к участию в торгах, в том числе создающих пре</w:t>
      </w:r>
      <w:r w:rsidRPr="00350396">
        <w:rPr>
          <w:rFonts w:ascii="Bookman Old Style" w:eastAsia="Bookman Old Style" w:hAnsi="Bookman Old Style" w:cs="Bookman Old Style"/>
          <w:color w:val="231F20"/>
          <w:sz w:val="18"/>
          <w:szCs w:val="18"/>
        </w:rPr>
        <w:softHyphen/>
        <w:t>имущественные условия участия в торгах отдельным участникам</w:t>
      </w:r>
      <w:r w:rsidRPr="00350396">
        <w:rPr>
          <w:rFonts w:ascii="Bookman Old Style" w:eastAsia="Bookman Old Style" w:hAnsi="Bookman Old Style" w:cs="Bookman Old Style"/>
          <w:color w:val="231F20"/>
          <w:sz w:val="18"/>
          <w:szCs w:val="18"/>
          <w:vertAlign w:val="superscript"/>
        </w:rPr>
        <w:t>1</w:t>
      </w:r>
      <w:r w:rsidRPr="00350396">
        <w:rPr>
          <w:rFonts w:ascii="Bookman Old Style" w:eastAsia="Bookman Old Style" w:hAnsi="Bookman Old Style" w:cs="Bookman Old Style"/>
          <w:color w:val="231F20"/>
          <w:sz w:val="18"/>
          <w:szCs w:val="18"/>
        </w:rPr>
        <w:t>.</w:t>
      </w:r>
    </w:p>
    <w:p w14:paraId="36472B41" w14:textId="77777777" w:rsidR="00350396" w:rsidRPr="00350396" w:rsidRDefault="00350396" w:rsidP="00350396">
      <w:pPr>
        <w:keepNext/>
        <w:keepLines/>
        <w:widowControl w:val="0"/>
        <w:numPr>
          <w:ilvl w:val="0"/>
          <w:numId w:val="111"/>
        </w:numPr>
        <w:tabs>
          <w:tab w:val="left" w:pos="975"/>
        </w:tabs>
        <w:spacing w:after="209" w:line="336" w:lineRule="exact"/>
        <w:ind w:left="480" w:right="480" w:firstLine="0"/>
        <w:jc w:val="left"/>
        <w:outlineLvl w:val="3"/>
        <w:rPr>
          <w:rFonts w:ascii="Arial Narrow" w:eastAsia="Arial Narrow" w:hAnsi="Arial Narrow" w:cs="Arial Narrow"/>
          <w:b/>
          <w:bCs/>
        </w:rPr>
      </w:pPr>
      <w:bookmarkStart w:id="95" w:name="bookmark81"/>
      <w:r w:rsidRPr="00350396">
        <w:rPr>
          <w:rFonts w:ascii="Arial Narrow" w:eastAsia="Arial Narrow" w:hAnsi="Arial Narrow" w:cs="Arial Narrow"/>
          <w:b/>
          <w:bCs/>
          <w:color w:val="231F20"/>
        </w:rPr>
        <w:t>Типичные нарушения со стороны государственных заказчиков при проведении закупочных процедур для государственных и муниципальных нужд</w:t>
      </w:r>
      <w:bookmarkEnd w:id="95"/>
    </w:p>
    <w:p w14:paraId="63532C0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Правовой основой регулирования отношений государственных заказчиков при проведении закупочных процедур для государствен</w:t>
      </w:r>
      <w:r w:rsidRPr="00350396">
        <w:rPr>
          <w:rFonts w:ascii="Bookman Old Style" w:eastAsia="Bookman Old Style" w:hAnsi="Bookman Old Style" w:cs="Bookman Old Style"/>
          <w:color w:val="231F20"/>
          <w:sz w:val="18"/>
          <w:szCs w:val="18"/>
        </w:rPr>
        <w:softHyphen/>
        <w:t>ных и муниципальных нужд представляет Закон о ФКС.</w:t>
      </w:r>
    </w:p>
    <w:p w14:paraId="08CD43C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наличии нарушений со стороны государственных заказ</w:t>
      </w:r>
      <w:r w:rsidRPr="00350396">
        <w:rPr>
          <w:rFonts w:ascii="Bookman Old Style" w:eastAsia="Bookman Old Style" w:hAnsi="Bookman Old Style" w:cs="Bookman Old Style"/>
          <w:color w:val="231F20"/>
          <w:sz w:val="18"/>
          <w:szCs w:val="18"/>
        </w:rPr>
        <w:softHyphen/>
        <w:t>чиков в процессе проведения закупочных процедур для государ</w:t>
      </w:r>
      <w:r w:rsidRPr="00350396">
        <w:rPr>
          <w:rFonts w:ascii="Bookman Old Style" w:eastAsia="Bookman Old Style" w:hAnsi="Bookman Old Style" w:cs="Bookman Old Style"/>
          <w:color w:val="231F20"/>
          <w:sz w:val="18"/>
          <w:szCs w:val="18"/>
        </w:rPr>
        <w:softHyphen/>
        <w:t>ственных и муниципальных нужд возможно обжалование действий заказчиков, уполномоченных органов, специализированных орга</w:t>
      </w:r>
      <w:r w:rsidRPr="00350396">
        <w:rPr>
          <w:rFonts w:ascii="Bookman Old Style" w:eastAsia="Bookman Old Style" w:hAnsi="Bookman Old Style" w:cs="Bookman Old Style"/>
          <w:color w:val="231F20"/>
          <w:sz w:val="18"/>
          <w:szCs w:val="18"/>
        </w:rPr>
        <w:softHyphen/>
        <w:t>низаций, операторов электронных площадок, конкурсных, аукцион</w:t>
      </w:r>
      <w:r w:rsidRPr="00350396">
        <w:rPr>
          <w:rFonts w:ascii="Bookman Old Style" w:eastAsia="Bookman Old Style" w:hAnsi="Bookman Old Style" w:cs="Bookman Old Style"/>
          <w:color w:val="231F20"/>
          <w:sz w:val="18"/>
          <w:szCs w:val="18"/>
        </w:rPr>
        <w:softHyphen/>
        <w:t>ных или котировочных комиссий в целях защиты прав и законных интересов участников размещения заказов, а также повышения эф</w:t>
      </w:r>
      <w:r w:rsidRPr="00350396">
        <w:rPr>
          <w:rFonts w:ascii="Bookman Old Style" w:eastAsia="Bookman Old Style" w:hAnsi="Bookman Old Style" w:cs="Bookman Old Style"/>
          <w:color w:val="231F20"/>
          <w:sz w:val="18"/>
          <w:szCs w:val="18"/>
        </w:rPr>
        <w:softHyphen/>
        <w:t>фективности размещения заказов.</w:t>
      </w:r>
    </w:p>
    <w:p w14:paraId="45AE7326"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Федеральная антимонопольная служба РФ и ее территориаль</w:t>
      </w:r>
      <w:r w:rsidRPr="00350396">
        <w:rPr>
          <w:rFonts w:ascii="Bookman Old Style" w:eastAsia="Bookman Old Style" w:hAnsi="Bookman Old Style" w:cs="Bookman Old Style"/>
          <w:color w:val="231F20"/>
          <w:sz w:val="18"/>
          <w:szCs w:val="18"/>
        </w:rPr>
        <w:softHyphen/>
        <w:t>ные органы вправе вернуть жалобу заявителю на положение доку</w:t>
      </w:r>
      <w:r w:rsidRPr="00350396">
        <w:rPr>
          <w:rFonts w:ascii="Bookman Old Style" w:eastAsia="Bookman Old Style" w:hAnsi="Bookman Old Style" w:cs="Bookman Old Style"/>
          <w:color w:val="231F20"/>
          <w:sz w:val="18"/>
          <w:szCs w:val="18"/>
        </w:rPr>
        <w:softHyphen/>
        <w:t>ментации о торгах или извещения о проведении запроса котировок, если жалоба подана после окончания срока подачи заявок на уча</w:t>
      </w:r>
      <w:r w:rsidRPr="00350396">
        <w:rPr>
          <w:rFonts w:ascii="Bookman Old Style" w:eastAsia="Bookman Old Style" w:hAnsi="Bookman Old Style" w:cs="Bookman Old Style"/>
          <w:color w:val="231F20"/>
          <w:sz w:val="18"/>
          <w:szCs w:val="18"/>
        </w:rPr>
        <w:softHyphen/>
        <w:t>стие в торгах, котировочных заявок.</w:t>
      </w:r>
    </w:p>
    <w:p w14:paraId="50845FA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Порядок рассмотрения обращений о согласовании способа раз</w:t>
      </w:r>
      <w:r w:rsidRPr="00350396">
        <w:rPr>
          <w:rFonts w:ascii="Bookman Old Style" w:eastAsia="Bookman Old Style" w:hAnsi="Bookman Old Style" w:cs="Bookman Old Style"/>
          <w:color w:val="231F20"/>
          <w:sz w:val="18"/>
          <w:szCs w:val="18"/>
        </w:rPr>
        <w:softHyphen/>
        <w:t xml:space="preserve">мещения заказов, а также уведомлений о размещении заказов у </w:t>
      </w:r>
      <w:r w:rsidRPr="00350396">
        <w:rPr>
          <w:rFonts w:ascii="Bookman Old Style" w:eastAsia="Bookman Old Style" w:hAnsi="Bookman Old Style" w:cs="Bookman Old Style"/>
          <w:color w:val="231F20"/>
          <w:sz w:val="18"/>
          <w:szCs w:val="18"/>
        </w:rPr>
        <w:lastRenderedPageBreak/>
        <w:t>единственного поставщика (исполнителя, подрядчика) осущест</w:t>
      </w:r>
      <w:r w:rsidRPr="00350396">
        <w:rPr>
          <w:rFonts w:ascii="Bookman Old Style" w:eastAsia="Bookman Old Style" w:hAnsi="Bookman Old Style" w:cs="Bookman Old Style"/>
          <w:color w:val="231F20"/>
          <w:sz w:val="18"/>
          <w:szCs w:val="18"/>
        </w:rPr>
        <w:softHyphen/>
        <w:t>вляется ФАС России в соответствии с приказом Минэкономразвития России от 03.05.2006 № 124 «Об утверждении Порядка согласова</w:t>
      </w:r>
      <w:r w:rsidRPr="00350396">
        <w:rPr>
          <w:rFonts w:ascii="Bookman Old Style" w:eastAsia="Bookman Old Style" w:hAnsi="Bookman Old Style" w:cs="Bookman Old Style"/>
          <w:color w:val="231F20"/>
          <w:sz w:val="18"/>
          <w:szCs w:val="18"/>
        </w:rPr>
        <w:softHyphen/>
        <w:t>ния проведения закрытого конкурса, закрытого аукциона, возмож</w:t>
      </w:r>
      <w:r w:rsidRPr="00350396">
        <w:rPr>
          <w:rFonts w:ascii="Bookman Old Style" w:eastAsia="Bookman Old Style" w:hAnsi="Bookman Old Style" w:cs="Bookman Old Style"/>
          <w:color w:val="231F20"/>
          <w:sz w:val="18"/>
          <w:szCs w:val="18"/>
        </w:rPr>
        <w:softHyphen/>
        <w:t>ности заключения государственного или муниципального контрак</w:t>
      </w:r>
      <w:r w:rsidRPr="00350396">
        <w:rPr>
          <w:rFonts w:ascii="Bookman Old Style" w:eastAsia="Bookman Old Style" w:hAnsi="Bookman Old Style" w:cs="Bookman Old Style"/>
          <w:color w:val="231F20"/>
          <w:sz w:val="18"/>
          <w:szCs w:val="18"/>
        </w:rPr>
        <w:softHyphen/>
        <w:t>та с единственным поставщиком (исполнителем, подрядчиком)».</w:t>
      </w:r>
    </w:p>
    <w:p w14:paraId="01577F1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 рассмотрении поступающих от заказчиков обращений о со</w:t>
      </w:r>
      <w:r w:rsidRPr="00350396">
        <w:rPr>
          <w:rFonts w:ascii="Bookman Old Style" w:eastAsia="Bookman Old Style" w:hAnsi="Bookman Old Style" w:cs="Bookman Old Style"/>
          <w:color w:val="231F20"/>
          <w:sz w:val="18"/>
          <w:szCs w:val="18"/>
        </w:rPr>
        <w:softHyphen/>
        <w:t>гласовании возможности заключения контракта с единственным поставщиком (исполнителем, подрядчиком) ФАС России осущест</w:t>
      </w:r>
      <w:r w:rsidRPr="00350396">
        <w:rPr>
          <w:rFonts w:ascii="Bookman Old Style" w:eastAsia="Bookman Old Style" w:hAnsi="Bookman Old Style" w:cs="Bookman Old Style"/>
          <w:color w:val="231F20"/>
          <w:sz w:val="18"/>
          <w:szCs w:val="18"/>
        </w:rPr>
        <w:softHyphen/>
        <w:t>вляет проверку соблюдения заказчиками требований законодатель</w:t>
      </w:r>
      <w:r w:rsidRPr="00350396">
        <w:rPr>
          <w:rFonts w:ascii="Bookman Old Style" w:eastAsia="Bookman Old Style" w:hAnsi="Bookman Old Style" w:cs="Bookman Old Style"/>
          <w:color w:val="231F20"/>
          <w:sz w:val="18"/>
          <w:szCs w:val="18"/>
        </w:rPr>
        <w:softHyphen/>
        <w:t>ства о размещении заказов при проведении процедур размещений заказов в форме торгов, запросов котировок, признанными несо- стоявшимися и ставшими основанием для обращений. ФАС России вправе отказать в таком согласовании по причине выявления в дей</w:t>
      </w:r>
      <w:r w:rsidRPr="00350396">
        <w:rPr>
          <w:rFonts w:ascii="Bookman Old Style" w:eastAsia="Bookman Old Style" w:hAnsi="Bookman Old Style" w:cs="Bookman Old Style"/>
          <w:color w:val="231F20"/>
          <w:sz w:val="18"/>
          <w:szCs w:val="18"/>
        </w:rPr>
        <w:softHyphen/>
        <w:t>ствиях заказчика нарушения законодательства РФ.</w:t>
      </w:r>
    </w:p>
    <w:p w14:paraId="14B43A6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Из анализа обращений заказчиков о согласовании возможности заключения контракта с единственным поставщиком (исполните</w:t>
      </w:r>
      <w:r w:rsidRPr="00350396">
        <w:rPr>
          <w:rFonts w:ascii="Bookman Old Style" w:eastAsia="Bookman Old Style" w:hAnsi="Bookman Old Style" w:cs="Bookman Old Style"/>
          <w:color w:val="231F20"/>
          <w:sz w:val="18"/>
          <w:szCs w:val="18"/>
        </w:rPr>
        <w:softHyphen/>
        <w:t>лем, подрядчиком) следует, что решение об отказе в согласовании возможности заключения контрактов с единственным поставщи</w:t>
      </w:r>
      <w:r w:rsidRPr="00350396">
        <w:rPr>
          <w:rFonts w:ascii="Bookman Old Style" w:eastAsia="Bookman Old Style" w:hAnsi="Bookman Old Style" w:cs="Bookman Old Style"/>
          <w:color w:val="231F20"/>
          <w:sz w:val="18"/>
          <w:szCs w:val="18"/>
        </w:rPr>
        <w:softHyphen/>
        <w:t>ком (исполнителем, подрядчиком) принимается в основном по сле</w:t>
      </w:r>
      <w:r w:rsidRPr="00350396">
        <w:rPr>
          <w:rFonts w:ascii="Bookman Old Style" w:eastAsia="Bookman Old Style" w:hAnsi="Bookman Old Style" w:cs="Bookman Old Style"/>
          <w:color w:val="231F20"/>
          <w:sz w:val="18"/>
          <w:szCs w:val="18"/>
        </w:rPr>
        <w:softHyphen/>
        <w:t>дующим причинам:</w:t>
      </w:r>
    </w:p>
    <w:p w14:paraId="6131441B" w14:textId="77777777" w:rsidR="00350396" w:rsidRPr="00350396" w:rsidRDefault="00350396" w:rsidP="00350396">
      <w:pPr>
        <w:widowControl w:val="0"/>
        <w:numPr>
          <w:ilvl w:val="0"/>
          <w:numId w:val="110"/>
        </w:numPr>
        <w:tabs>
          <w:tab w:val="left" w:pos="625"/>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несоответствие конкурсной документации (документации об аукционе в электронной форме);</w:t>
      </w:r>
    </w:p>
    <w:p w14:paraId="3A0E981D" w14:textId="77777777" w:rsidR="00350396" w:rsidRPr="00350396" w:rsidRDefault="00350396" w:rsidP="00350396">
      <w:pPr>
        <w:widowControl w:val="0"/>
        <w:numPr>
          <w:ilvl w:val="0"/>
          <w:numId w:val="110"/>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установление в конкурсной документации (документации об аукционе в электронной форме), извещении о проведении за</w:t>
      </w:r>
      <w:r w:rsidRPr="00350396">
        <w:rPr>
          <w:rFonts w:ascii="Bookman Old Style" w:eastAsia="Bookman Old Style" w:hAnsi="Bookman Old Style" w:cs="Bookman Old Style"/>
          <w:color w:val="231F20"/>
          <w:sz w:val="18"/>
          <w:szCs w:val="18"/>
        </w:rPr>
        <w:softHyphen/>
        <w:t>проса котировок неправомерных требований к участникам разме</w:t>
      </w:r>
      <w:r w:rsidRPr="00350396">
        <w:rPr>
          <w:rFonts w:ascii="Bookman Old Style" w:eastAsia="Bookman Old Style" w:hAnsi="Bookman Old Style" w:cs="Bookman Old Style"/>
          <w:color w:val="231F20"/>
          <w:sz w:val="18"/>
          <w:szCs w:val="18"/>
        </w:rPr>
        <w:softHyphen/>
        <w:t>щения заказа, к составу заявок;</w:t>
      </w:r>
    </w:p>
    <w:p w14:paraId="5CEE59AA" w14:textId="77777777" w:rsidR="00350396" w:rsidRPr="00350396" w:rsidRDefault="00350396" w:rsidP="00350396">
      <w:pPr>
        <w:widowControl w:val="0"/>
        <w:numPr>
          <w:ilvl w:val="0"/>
          <w:numId w:val="110"/>
        </w:numPr>
        <w:tabs>
          <w:tab w:val="left" w:pos="630"/>
        </w:tabs>
        <w:spacing w:line="250"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выявление иных нарушений законодательства РФ о кон</w:t>
      </w:r>
      <w:r w:rsidRPr="00350396">
        <w:rPr>
          <w:rFonts w:ascii="Bookman Old Style" w:eastAsia="Bookman Old Style" w:hAnsi="Bookman Old Style" w:cs="Bookman Old Style"/>
          <w:color w:val="231F20"/>
          <w:sz w:val="18"/>
          <w:szCs w:val="18"/>
        </w:rPr>
        <w:softHyphen/>
        <w:t>трактной системе в сфере закупок, которые повлияли на результат определения поставщика (подрядчика, исполнителя).</w:t>
      </w:r>
    </w:p>
    <w:p w14:paraId="3EF2B36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ФАС России рассматривает уведомления о разме</w:t>
      </w:r>
      <w:r w:rsidRPr="00350396">
        <w:rPr>
          <w:rFonts w:ascii="Bookman Old Style" w:eastAsia="Bookman Old Style" w:hAnsi="Bookman Old Style" w:cs="Bookman Old Style"/>
          <w:color w:val="231F20"/>
          <w:sz w:val="18"/>
          <w:szCs w:val="18"/>
        </w:rPr>
        <w:softHyphen/>
        <w:t>щении заказа у единственного поставщика (исполнителя, подряд</w:t>
      </w:r>
      <w:r w:rsidRPr="00350396">
        <w:rPr>
          <w:rFonts w:ascii="Bookman Old Style" w:eastAsia="Bookman Old Style" w:hAnsi="Bookman Old Style" w:cs="Bookman Old Style"/>
          <w:color w:val="231F20"/>
          <w:sz w:val="18"/>
          <w:szCs w:val="18"/>
        </w:rPr>
        <w:softHyphen/>
        <w:t>чика). При этом в 5 % случаев выявляется, что заказы размещены с нарушением законодательства РФ.</w:t>
      </w:r>
    </w:p>
    <w:p w14:paraId="7FD8B4A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Административная практика. По результатам рассмотрения жалоб в случае выявления нарушений законодательства РФ ФАС России и ее территориальные органы возбуждают дела об адми</w:t>
      </w:r>
      <w:r w:rsidRPr="00350396">
        <w:rPr>
          <w:rFonts w:ascii="Bookman Old Style" w:eastAsia="Bookman Old Style" w:hAnsi="Bookman Old Style" w:cs="Bookman Old Style"/>
          <w:color w:val="231F20"/>
          <w:sz w:val="18"/>
          <w:szCs w:val="18"/>
        </w:rPr>
        <w:softHyphen/>
        <w:t>нистративных правонарушениях. По итогам рассмотрения таких дел выносятся постановления о наложении административных штрафов.</w:t>
      </w:r>
    </w:p>
    <w:p w14:paraId="3796724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 xml:space="preserve">Наибольшее количество постановлений о наложении штрафа выдается лицам, привлеченным к ответственности за нарушение порядка отбора участников торгов. Кроме того, должностные лица </w:t>
      </w:r>
      <w:r w:rsidRPr="00350396">
        <w:rPr>
          <w:rFonts w:ascii="Arial Narrow" w:eastAsia="Arial Narrow" w:hAnsi="Arial Narrow" w:cs="Arial Narrow"/>
          <w:b/>
          <w:bCs/>
          <w:color w:val="231F20"/>
          <w:sz w:val="17"/>
          <w:szCs w:val="17"/>
        </w:rPr>
        <w:t>привлекаются к административной ответственности в связи с ут</w:t>
      </w:r>
      <w:r w:rsidRPr="00350396">
        <w:rPr>
          <w:rFonts w:ascii="Arial Narrow" w:eastAsia="Arial Narrow" w:hAnsi="Arial Narrow" w:cs="Arial Narrow"/>
          <w:b/>
          <w:bCs/>
          <w:color w:val="231F20"/>
          <w:sz w:val="17"/>
          <w:szCs w:val="17"/>
        </w:rPr>
        <w:softHyphen/>
        <w:t>верждением заказчиками документации о торгах, не соответству</w:t>
      </w:r>
      <w:r w:rsidRPr="00350396">
        <w:rPr>
          <w:rFonts w:ascii="Arial Narrow" w:eastAsia="Arial Narrow" w:hAnsi="Arial Narrow" w:cs="Arial Narrow"/>
          <w:b/>
          <w:bCs/>
          <w:color w:val="231F20"/>
          <w:sz w:val="17"/>
          <w:szCs w:val="17"/>
        </w:rPr>
        <w:softHyphen/>
        <w:t>ющей требованиям законодательства РФ о размещении заказов, а также по причине неправомерного отклонения членами котиро</w:t>
      </w:r>
      <w:r w:rsidRPr="00350396">
        <w:rPr>
          <w:rFonts w:ascii="Arial Narrow" w:eastAsia="Arial Narrow" w:hAnsi="Arial Narrow" w:cs="Arial Narrow"/>
          <w:b/>
          <w:bCs/>
          <w:color w:val="231F20"/>
          <w:sz w:val="17"/>
          <w:szCs w:val="17"/>
        </w:rPr>
        <w:softHyphen/>
        <w:t xml:space="preserve">вочной или единой </w:t>
      </w:r>
      <w:r w:rsidRPr="00350396">
        <w:rPr>
          <w:rFonts w:ascii="Arial Narrow" w:eastAsia="Arial Narrow" w:hAnsi="Arial Narrow" w:cs="Arial Narrow"/>
          <w:b/>
          <w:bCs/>
          <w:color w:val="231F20"/>
          <w:sz w:val="17"/>
          <w:szCs w:val="17"/>
        </w:rPr>
        <w:lastRenderedPageBreak/>
        <w:t>комиссии котировочной заявки.</w:t>
      </w:r>
    </w:p>
    <w:p w14:paraId="21AA2BDD" w14:textId="77777777" w:rsidR="00350396" w:rsidRPr="00350396" w:rsidRDefault="00350396" w:rsidP="00350396">
      <w:pPr>
        <w:widowControl w:val="0"/>
        <w:spacing w:line="250" w:lineRule="exact"/>
        <w:ind w:firstLine="320"/>
        <w:rPr>
          <w:rFonts w:ascii="Arial Narrow" w:eastAsia="Arial Narrow" w:hAnsi="Arial Narrow" w:cs="Arial Narrow"/>
          <w:b/>
          <w:bCs/>
          <w:sz w:val="17"/>
          <w:szCs w:val="17"/>
        </w:rPr>
      </w:pPr>
      <w:r w:rsidRPr="00350396">
        <w:rPr>
          <w:rFonts w:ascii="Arial Narrow" w:eastAsia="Arial Narrow" w:hAnsi="Arial Narrow" w:cs="Arial Narrow"/>
          <w:b/>
          <w:bCs/>
          <w:color w:val="231F20"/>
          <w:sz w:val="17"/>
          <w:szCs w:val="17"/>
        </w:rPr>
        <w:t>В 2015 г. ФАС России возбудила 22 062 дела об административ</w:t>
      </w:r>
      <w:r w:rsidRPr="00350396">
        <w:rPr>
          <w:rFonts w:ascii="Arial Narrow" w:eastAsia="Arial Narrow" w:hAnsi="Arial Narrow" w:cs="Arial Narrow"/>
          <w:b/>
          <w:bCs/>
          <w:color w:val="231F20"/>
          <w:sz w:val="17"/>
          <w:szCs w:val="17"/>
        </w:rPr>
        <w:softHyphen/>
        <w:t>ных правонарушениях за нарушения законодательства РФ о кон</w:t>
      </w:r>
      <w:r w:rsidRPr="00350396">
        <w:rPr>
          <w:rFonts w:ascii="Arial Narrow" w:eastAsia="Arial Narrow" w:hAnsi="Arial Narrow" w:cs="Arial Narrow"/>
          <w:b/>
          <w:bCs/>
          <w:color w:val="231F20"/>
          <w:sz w:val="17"/>
          <w:szCs w:val="17"/>
        </w:rPr>
        <w:softHyphen/>
        <w:t>трактной системе в сфере закупок. По итогам рассмотрения выдано 18 966 постановлений о наложении административных штрафов.</w:t>
      </w:r>
    </w:p>
    <w:p w14:paraId="1861879E" w14:textId="77777777" w:rsidR="00350396" w:rsidRPr="00350396" w:rsidRDefault="00350396" w:rsidP="00350396">
      <w:pPr>
        <w:widowControl w:val="0"/>
        <w:spacing w:line="250" w:lineRule="exact"/>
        <w:ind w:firstLine="320"/>
        <w:rPr>
          <w:rFonts w:ascii="Arial Narrow" w:eastAsia="Arial Narrow" w:hAnsi="Arial Narrow" w:cs="Arial Narrow"/>
          <w:b/>
          <w:bCs/>
          <w:sz w:val="17"/>
          <w:szCs w:val="17"/>
        </w:rPr>
      </w:pPr>
      <w:r w:rsidRPr="00350396">
        <w:rPr>
          <w:rFonts w:ascii="Arial Narrow" w:eastAsia="Arial Narrow" w:hAnsi="Arial Narrow" w:cs="Arial Narrow"/>
          <w:b/>
          <w:bCs/>
          <w:color w:val="231F20"/>
          <w:sz w:val="17"/>
          <w:szCs w:val="17"/>
        </w:rPr>
        <w:t>В 2014 г. было возбуждено 13 928 дел об административных пра</w:t>
      </w:r>
      <w:r w:rsidRPr="00350396">
        <w:rPr>
          <w:rFonts w:ascii="Arial Narrow" w:eastAsia="Arial Narrow" w:hAnsi="Arial Narrow" w:cs="Arial Narrow"/>
          <w:b/>
          <w:bCs/>
          <w:color w:val="231F20"/>
          <w:sz w:val="17"/>
          <w:szCs w:val="17"/>
        </w:rPr>
        <w:softHyphen/>
        <w:t>вонарушениях и вынесено 9041 постановление о наложении адми</w:t>
      </w:r>
      <w:r w:rsidRPr="00350396">
        <w:rPr>
          <w:rFonts w:ascii="Arial Narrow" w:eastAsia="Arial Narrow" w:hAnsi="Arial Narrow" w:cs="Arial Narrow"/>
          <w:b/>
          <w:bCs/>
          <w:color w:val="231F20"/>
          <w:sz w:val="17"/>
          <w:szCs w:val="17"/>
        </w:rPr>
        <w:softHyphen/>
        <w:t>нистративных штрафов.</w:t>
      </w:r>
    </w:p>
    <w:p w14:paraId="709C7311" w14:textId="77777777" w:rsidR="00350396" w:rsidRPr="00350396" w:rsidRDefault="00350396" w:rsidP="00350396">
      <w:pPr>
        <w:widowControl w:val="0"/>
        <w:spacing w:line="250" w:lineRule="exact"/>
        <w:ind w:firstLine="320"/>
        <w:rPr>
          <w:rFonts w:ascii="Arial Narrow" w:eastAsia="Arial Narrow" w:hAnsi="Arial Narrow" w:cs="Arial Narrow"/>
          <w:b/>
          <w:bCs/>
          <w:sz w:val="17"/>
          <w:szCs w:val="17"/>
        </w:rPr>
      </w:pPr>
      <w:r w:rsidRPr="00350396">
        <w:rPr>
          <w:rFonts w:ascii="Arial Narrow" w:eastAsia="Arial Narrow" w:hAnsi="Arial Narrow" w:cs="Arial Narrow"/>
          <w:b/>
          <w:bCs/>
          <w:color w:val="231F20"/>
          <w:sz w:val="17"/>
          <w:szCs w:val="17"/>
        </w:rPr>
        <w:t>Кроме того, в 2015 г. было выдано 2363 предупреждения и 46 пре</w:t>
      </w:r>
      <w:r w:rsidRPr="00350396">
        <w:rPr>
          <w:rFonts w:ascii="Arial Narrow" w:eastAsia="Arial Narrow" w:hAnsi="Arial Narrow" w:cs="Arial Narrow"/>
          <w:b/>
          <w:bCs/>
          <w:color w:val="231F20"/>
          <w:sz w:val="17"/>
          <w:szCs w:val="17"/>
        </w:rPr>
        <w:softHyphen/>
        <w:t>достережений, что превышает показатели 2014 г. (1928 предупреж</w:t>
      </w:r>
      <w:r w:rsidRPr="00350396">
        <w:rPr>
          <w:rFonts w:ascii="Arial Narrow" w:eastAsia="Arial Narrow" w:hAnsi="Arial Narrow" w:cs="Arial Narrow"/>
          <w:b/>
          <w:bCs/>
          <w:color w:val="231F20"/>
          <w:sz w:val="17"/>
          <w:szCs w:val="17"/>
        </w:rPr>
        <w:softHyphen/>
        <w:t>дений и 91 предостережение)</w:t>
      </w:r>
      <w:r w:rsidRPr="00350396">
        <w:rPr>
          <w:rFonts w:ascii="Arial Narrow" w:eastAsia="Arial Narrow" w:hAnsi="Arial Narrow" w:cs="Arial Narrow"/>
          <w:b/>
          <w:bCs/>
          <w:color w:val="231F20"/>
          <w:sz w:val="17"/>
          <w:szCs w:val="17"/>
          <w:vertAlign w:val="superscript"/>
        </w:rPr>
        <w:footnoteReference w:id="165"/>
      </w:r>
      <w:r w:rsidRPr="00350396">
        <w:rPr>
          <w:rFonts w:ascii="Arial Narrow" w:eastAsia="Arial Narrow" w:hAnsi="Arial Narrow" w:cs="Arial Narrow"/>
          <w:b/>
          <w:bCs/>
          <w:color w:val="231F20"/>
          <w:sz w:val="17"/>
          <w:szCs w:val="17"/>
        </w:rPr>
        <w:t>.</w:t>
      </w:r>
    </w:p>
    <w:p w14:paraId="3CF735A2" w14:textId="77777777" w:rsidR="00350396" w:rsidRPr="00350396" w:rsidRDefault="00350396" w:rsidP="00350396">
      <w:pPr>
        <w:widowControl w:val="0"/>
        <w:spacing w:line="250" w:lineRule="exact"/>
        <w:ind w:firstLine="320"/>
        <w:rPr>
          <w:rFonts w:ascii="Arial Narrow" w:eastAsia="Arial Narrow" w:hAnsi="Arial Narrow" w:cs="Arial Narrow"/>
          <w:b/>
          <w:bCs/>
          <w:sz w:val="17"/>
          <w:szCs w:val="17"/>
        </w:rPr>
      </w:pPr>
      <w:r w:rsidRPr="00350396">
        <w:rPr>
          <w:rFonts w:ascii="Arial Narrow" w:eastAsia="Arial Narrow" w:hAnsi="Arial Narrow" w:cs="Arial Narrow"/>
          <w:b/>
          <w:bCs/>
          <w:color w:val="231F20"/>
          <w:sz w:val="17"/>
          <w:szCs w:val="17"/>
        </w:rPr>
        <w:t>В 2018 г. ФАС России было возбуждено уже 30 377 дел об админи</w:t>
      </w:r>
      <w:r w:rsidRPr="00350396">
        <w:rPr>
          <w:rFonts w:ascii="Arial Narrow" w:eastAsia="Arial Narrow" w:hAnsi="Arial Narrow" w:cs="Arial Narrow"/>
          <w:b/>
          <w:bCs/>
          <w:color w:val="231F20"/>
          <w:sz w:val="17"/>
          <w:szCs w:val="17"/>
        </w:rPr>
        <w:softHyphen/>
        <w:t>стративных правонарушениях за нарушения законодательства Рос</w:t>
      </w:r>
      <w:r w:rsidRPr="00350396">
        <w:rPr>
          <w:rFonts w:ascii="Arial Narrow" w:eastAsia="Arial Narrow" w:hAnsi="Arial Narrow" w:cs="Arial Narrow"/>
          <w:b/>
          <w:bCs/>
          <w:color w:val="231F20"/>
          <w:sz w:val="17"/>
          <w:szCs w:val="17"/>
        </w:rPr>
        <w:softHyphen/>
        <w:t>сийской Федерации о контрактной системе в сфере закупок. По ито</w:t>
      </w:r>
      <w:r w:rsidRPr="00350396">
        <w:rPr>
          <w:rFonts w:ascii="Arial Narrow" w:eastAsia="Arial Narrow" w:hAnsi="Arial Narrow" w:cs="Arial Narrow"/>
          <w:b/>
          <w:bCs/>
          <w:color w:val="231F20"/>
          <w:sz w:val="17"/>
          <w:szCs w:val="17"/>
        </w:rPr>
        <w:softHyphen/>
        <w:t>гам рассмотрения выдано 25 357 постановлений о наложении административных штрафов на общую сумму 387 728,50 тыс. руб. За отчетный период ФАС России взыскано 258 482,05 тыс. руб.</w:t>
      </w:r>
    </w:p>
    <w:p w14:paraId="72D15566" w14:textId="77777777" w:rsidR="00350396" w:rsidRPr="00350396" w:rsidRDefault="00350396" w:rsidP="00350396">
      <w:pPr>
        <w:widowControl w:val="0"/>
        <w:spacing w:line="250" w:lineRule="exact"/>
        <w:ind w:firstLine="320"/>
        <w:rPr>
          <w:rFonts w:ascii="Arial Narrow" w:eastAsia="Arial Narrow" w:hAnsi="Arial Narrow" w:cs="Arial Narrow"/>
          <w:b/>
          <w:bCs/>
          <w:sz w:val="17"/>
          <w:szCs w:val="17"/>
        </w:rPr>
      </w:pPr>
      <w:r w:rsidRPr="00350396">
        <w:rPr>
          <w:rFonts w:ascii="Arial Narrow" w:eastAsia="Arial Narrow" w:hAnsi="Arial Narrow" w:cs="Arial Narrow"/>
          <w:b/>
          <w:bCs/>
          <w:color w:val="231F20"/>
          <w:sz w:val="17"/>
          <w:szCs w:val="17"/>
        </w:rPr>
        <w:t>За аналогичный период в 2017 г. ФАС России возбуждено 23 830 дел об административных правонарушениях и вынесено 20 125 поста</w:t>
      </w:r>
      <w:r w:rsidRPr="00350396">
        <w:rPr>
          <w:rFonts w:ascii="Arial Narrow" w:eastAsia="Arial Narrow" w:hAnsi="Arial Narrow" w:cs="Arial Narrow"/>
          <w:b/>
          <w:bCs/>
          <w:color w:val="231F20"/>
          <w:sz w:val="17"/>
          <w:szCs w:val="17"/>
        </w:rPr>
        <w:softHyphen/>
        <w:t>новлений о наложении административных штрафов на общую сум</w:t>
      </w:r>
      <w:r w:rsidRPr="00350396">
        <w:rPr>
          <w:rFonts w:ascii="Arial Narrow" w:eastAsia="Arial Narrow" w:hAnsi="Arial Narrow" w:cs="Arial Narrow"/>
          <w:b/>
          <w:bCs/>
          <w:color w:val="231F20"/>
          <w:sz w:val="17"/>
          <w:szCs w:val="17"/>
        </w:rPr>
        <w:softHyphen/>
        <w:t>му 295 821,16 тыс. руб. За отчетный период ФАС России взыскано 209 886,43 тыс. руб.</w:t>
      </w:r>
      <w:r w:rsidRPr="00350396">
        <w:rPr>
          <w:rFonts w:ascii="Arial Narrow" w:eastAsia="Arial Narrow" w:hAnsi="Arial Narrow" w:cs="Arial Narrow"/>
          <w:b/>
          <w:bCs/>
          <w:color w:val="231F20"/>
          <w:sz w:val="17"/>
          <w:szCs w:val="17"/>
          <w:vertAlign w:val="superscript"/>
        </w:rPr>
        <w:footnoteReference w:id="166"/>
      </w:r>
    </w:p>
    <w:p w14:paraId="63C62A2E" w14:textId="77777777" w:rsidR="00350396" w:rsidRPr="00350396" w:rsidRDefault="00350396" w:rsidP="00350396">
      <w:pPr>
        <w:widowControl w:val="0"/>
        <w:shd w:val="clear" w:color="auto" w:fill="FFFFFF"/>
        <w:spacing w:before="340" w:line="250" w:lineRule="exact"/>
        <w:ind w:firstLine="320"/>
        <w:rPr>
          <w:rFonts w:ascii="Arial Narrow" w:eastAsia="Arial Narrow" w:hAnsi="Arial Narrow" w:cs="Arial Narrow"/>
          <w:b/>
          <w:bCs/>
          <w:color w:val="231F20"/>
          <w:sz w:val="17"/>
          <w:szCs w:val="17"/>
          <w:highlight w:val="red"/>
        </w:rPr>
      </w:pPr>
      <w:r w:rsidRPr="00350396">
        <w:rPr>
          <w:rFonts w:ascii="Arial Narrow" w:eastAsia="Arial Narrow" w:hAnsi="Arial Narrow" w:cs="Arial Narrow"/>
          <w:b/>
          <w:bCs/>
          <w:color w:val="231F20"/>
          <w:sz w:val="17"/>
          <w:szCs w:val="17"/>
          <w:highlight w:val="red"/>
        </w:rPr>
        <w:t>Ведение реестра недобросовестных поставщиков. Федераль</w:t>
      </w:r>
      <w:r w:rsidRPr="00350396">
        <w:rPr>
          <w:rFonts w:ascii="Arial Narrow" w:eastAsia="Arial Narrow" w:hAnsi="Arial Narrow" w:cs="Arial Narrow"/>
          <w:b/>
          <w:bCs/>
          <w:color w:val="231F20"/>
          <w:sz w:val="17"/>
          <w:szCs w:val="17"/>
          <w:highlight w:val="red"/>
        </w:rPr>
        <w:softHyphen/>
        <w:t>ной антимонопольной службой РФ осуществляется ведение реестра недобросовестных поставщиков в соответствии с постановлением Правительства РФ от 25.11.2013 № 1062 «О порядке ведения реестра недобросовестных поставщиков (подрядчиков, исполнителей)»</w:t>
      </w:r>
    </w:p>
    <w:p w14:paraId="444D17ED" w14:textId="77777777" w:rsidR="00350396" w:rsidRPr="00350396" w:rsidRDefault="00350396" w:rsidP="00350396">
      <w:pPr>
        <w:widowControl w:val="0"/>
        <w:spacing w:line="250" w:lineRule="exact"/>
        <w:ind w:firstLine="320"/>
        <w:rPr>
          <w:rFonts w:ascii="Bookman Old Style" w:eastAsia="Bookman Old Style" w:hAnsi="Bookman Old Style" w:cs="Bookman Old Style"/>
          <w:color w:val="231F20"/>
          <w:sz w:val="18"/>
          <w:szCs w:val="18"/>
        </w:rPr>
      </w:pPr>
    </w:p>
    <w:p w14:paraId="5C9BCA8B" w14:textId="77777777" w:rsidR="00350396" w:rsidRPr="00350396" w:rsidRDefault="00350396" w:rsidP="00350396">
      <w:pPr>
        <w:widowControl w:val="0"/>
        <w:spacing w:line="250" w:lineRule="exact"/>
        <w:ind w:firstLine="320"/>
        <w:rPr>
          <w:rFonts w:ascii="Arial Narrow" w:eastAsia="Arial Narrow" w:hAnsi="Arial Narrow" w:cs="Arial Narrow"/>
          <w:b/>
          <w:bCs/>
          <w:color w:val="231F20"/>
          <w:sz w:val="17"/>
          <w:szCs w:val="17"/>
        </w:rPr>
      </w:pPr>
    </w:p>
    <w:p w14:paraId="5FB6227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highlight w:val="green"/>
        </w:rPr>
      </w:pPr>
      <w:r w:rsidRPr="00350396">
        <w:rPr>
          <w:rFonts w:ascii="Bookman Old Style" w:eastAsia="Bookman Old Style" w:hAnsi="Bookman Old Style" w:cs="Bookman Old Style"/>
          <w:sz w:val="18"/>
          <w:szCs w:val="18"/>
          <w:highlight w:val="green"/>
        </w:rPr>
        <w:t xml:space="preserve">В соответствии с </w:t>
      </w:r>
      <w:r w:rsidRPr="00350396">
        <w:rPr>
          <w:rFonts w:ascii="Bookman Old Style" w:eastAsia="Bookman Old Style" w:hAnsi="Bookman Old Style" w:cs="Bookman Old Style"/>
          <w:color w:val="231F20"/>
          <w:sz w:val="18"/>
          <w:szCs w:val="18"/>
          <w:highlight w:val="green"/>
        </w:rPr>
        <w:t xml:space="preserve">постановлением Правительства Российской Федерации от 30.06.2021 № 1078 «О порядке ведения реестра </w:t>
      </w:r>
      <w:r w:rsidRPr="00350396">
        <w:rPr>
          <w:rFonts w:ascii="Bookman Old Style" w:eastAsia="Bookman Old Style" w:hAnsi="Bookman Old Style" w:cs="Bookman Old Style"/>
          <w:sz w:val="18"/>
          <w:szCs w:val="18"/>
          <w:highlight w:val="green"/>
        </w:rPr>
        <w:t>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w:t>
      </w:r>
      <w:r w:rsidRPr="00350396">
        <w:rPr>
          <w:rFonts w:ascii="Bookman Old Style" w:eastAsia="Bookman Old Style" w:hAnsi="Bookman Old Style" w:cs="Bookman Old Style"/>
          <w:bCs/>
          <w:sz w:val="18"/>
          <w:szCs w:val="18"/>
          <w:highlight w:val="green"/>
        </w:rPr>
        <w:t xml:space="preserve"> ведение реестра недобросовестных поставщиков осуществляется в единой информационной системе путем размещения в ней федеральным органом исполнительной власти, уполномоченным на осуществление контроля в сфере закупок, информации, предусмотренной настоящей статьей.</w:t>
      </w:r>
    </w:p>
    <w:p w14:paraId="6955259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highlight w:val="green"/>
        </w:rPr>
      </w:pPr>
      <w:r w:rsidRPr="00350396">
        <w:rPr>
          <w:rFonts w:ascii="Bookman Old Style" w:eastAsia="Bookman Old Style" w:hAnsi="Bookman Old Style" w:cs="Bookman Old Style"/>
          <w:sz w:val="18"/>
          <w:szCs w:val="18"/>
          <w:highlight w:val="green"/>
        </w:rPr>
        <w:t xml:space="preserve">В рамках </w:t>
      </w:r>
      <w:r w:rsidRPr="00350396">
        <w:rPr>
          <w:rFonts w:ascii="Bookman Old Style" w:eastAsia="Bookman Old Style" w:hAnsi="Bookman Old Style" w:cs="Bookman Old Style"/>
          <w:bCs/>
          <w:sz w:val="18"/>
          <w:szCs w:val="18"/>
          <w:highlight w:val="green"/>
        </w:rPr>
        <w:t xml:space="preserve">реестра недобросовестных поставщиков содержится информация об участниках закупок, уклонившихся от заключения контрактов, а также о поставщиках (подрядчиках, исполнителях), не исполнивших </w:t>
      </w:r>
      <w:r w:rsidRPr="00350396">
        <w:rPr>
          <w:rFonts w:ascii="Bookman Old Style" w:eastAsia="Bookman Old Style" w:hAnsi="Bookman Old Style" w:cs="Bookman Old Style"/>
          <w:sz w:val="18"/>
          <w:szCs w:val="18"/>
          <w:highlight w:val="green"/>
        </w:rPr>
        <w:t>или ненадлежащим образом исполнивших обязательства</w:t>
      </w:r>
      <w:r w:rsidRPr="00350396">
        <w:rPr>
          <w:rFonts w:ascii="Bookman Old Style" w:eastAsia="Bookman Old Style" w:hAnsi="Bookman Old Style" w:cs="Bookman Old Style"/>
          <w:bCs/>
          <w:sz w:val="18"/>
          <w:szCs w:val="18"/>
          <w:highlight w:val="green"/>
        </w:rPr>
        <w:t xml:space="preserve">, предусмотренные контрактами, включая </w:t>
      </w:r>
      <w:r w:rsidRPr="00350396">
        <w:rPr>
          <w:rFonts w:ascii="Bookman Old Style" w:eastAsia="Bookman Old Style" w:hAnsi="Bookman Old Style" w:cs="Bookman Old Style"/>
          <w:sz w:val="18"/>
          <w:szCs w:val="18"/>
          <w:highlight w:val="green"/>
        </w:rPr>
        <w:t xml:space="preserve">полное и сокращенное </w:t>
      </w:r>
      <w:r w:rsidRPr="00350396">
        <w:rPr>
          <w:rFonts w:ascii="Bookman Old Style" w:eastAsia="Bookman Old Style" w:hAnsi="Bookman Old Style" w:cs="Bookman Old Style"/>
          <w:sz w:val="18"/>
          <w:szCs w:val="18"/>
          <w:highlight w:val="green"/>
        </w:rPr>
        <w:lastRenderedPageBreak/>
        <w:t>наименования юридического лица, фамилии, имена, отчества, идентификационные номера налогоплательщика и проча информация.</w:t>
      </w:r>
    </w:p>
    <w:p w14:paraId="0290F7F1"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highlight w:val="green"/>
        </w:rPr>
      </w:pPr>
      <w:r w:rsidRPr="00350396">
        <w:rPr>
          <w:rFonts w:ascii="Bookman Old Style" w:eastAsia="Bookman Old Style" w:hAnsi="Bookman Old Style" w:cs="Bookman Old Style"/>
          <w:sz w:val="18"/>
          <w:szCs w:val="18"/>
          <w:highlight w:val="green"/>
        </w:rPr>
        <w:t>Такой реестр включает в себя три группы поставщиков:</w:t>
      </w:r>
    </w:p>
    <w:p w14:paraId="0E848E5A" w14:textId="77777777" w:rsidR="00350396" w:rsidRPr="00350396" w:rsidRDefault="00350396" w:rsidP="00350396">
      <w:pPr>
        <w:widowControl w:val="0"/>
        <w:numPr>
          <w:ilvl w:val="0"/>
          <w:numId w:val="182"/>
        </w:numPr>
        <w:spacing w:line="250" w:lineRule="exact"/>
        <w:jc w:val="left"/>
        <w:rPr>
          <w:rFonts w:ascii="Bookman Old Style" w:eastAsia="Bookman Old Style" w:hAnsi="Bookman Old Style" w:cs="Bookman Old Style"/>
          <w:sz w:val="18"/>
          <w:szCs w:val="18"/>
          <w:highlight w:val="green"/>
        </w:rPr>
      </w:pPr>
      <w:r w:rsidRPr="00350396">
        <w:rPr>
          <w:rFonts w:ascii="Bookman Old Style" w:eastAsia="Bookman Old Style" w:hAnsi="Bookman Old Style" w:cs="Bookman Old Style"/>
          <w:sz w:val="18"/>
          <w:szCs w:val="18"/>
          <w:highlight w:val="green"/>
        </w:rPr>
        <w:t>Реестр недобросовестных поставщиков (подрядчиков, исполнителей) (44-ФЗ)</w:t>
      </w:r>
    </w:p>
    <w:p w14:paraId="0E55D636" w14:textId="77777777" w:rsidR="00350396" w:rsidRPr="00350396" w:rsidRDefault="00350396" w:rsidP="00350396">
      <w:pPr>
        <w:widowControl w:val="0"/>
        <w:numPr>
          <w:ilvl w:val="0"/>
          <w:numId w:val="182"/>
        </w:numPr>
        <w:spacing w:line="250" w:lineRule="exact"/>
        <w:jc w:val="left"/>
        <w:rPr>
          <w:rFonts w:ascii="Bookman Old Style" w:eastAsia="Bookman Old Style" w:hAnsi="Bookman Old Style" w:cs="Bookman Old Style"/>
          <w:sz w:val="18"/>
          <w:szCs w:val="18"/>
          <w:highlight w:val="green"/>
        </w:rPr>
      </w:pPr>
      <w:r w:rsidRPr="00350396">
        <w:rPr>
          <w:rFonts w:ascii="Bookman Old Style" w:eastAsia="Bookman Old Style" w:hAnsi="Bookman Old Style" w:cs="Bookman Old Style"/>
          <w:sz w:val="18"/>
          <w:szCs w:val="18"/>
          <w:highlight w:val="green"/>
        </w:rPr>
        <w:t>Реестр недобросовестных поставщиков (223-ФЗ)</w:t>
      </w:r>
    </w:p>
    <w:p w14:paraId="0E0792FD" w14:textId="77777777" w:rsidR="00350396" w:rsidRPr="00350396" w:rsidRDefault="00350396" w:rsidP="00350396">
      <w:pPr>
        <w:widowControl w:val="0"/>
        <w:numPr>
          <w:ilvl w:val="0"/>
          <w:numId w:val="182"/>
        </w:numPr>
        <w:spacing w:line="250" w:lineRule="exact"/>
        <w:jc w:val="left"/>
        <w:rPr>
          <w:rFonts w:ascii="Bookman Old Style" w:eastAsia="Bookman Old Style" w:hAnsi="Bookman Old Style" w:cs="Bookman Old Style"/>
          <w:sz w:val="18"/>
          <w:szCs w:val="18"/>
          <w:highlight w:val="green"/>
        </w:rPr>
      </w:pPr>
      <w:r w:rsidRPr="00350396">
        <w:rPr>
          <w:rFonts w:ascii="Bookman Old Style" w:eastAsia="Bookman Old Style" w:hAnsi="Bookman Old Style" w:cs="Bookman Old Style"/>
          <w:sz w:val="18"/>
          <w:szCs w:val="18"/>
          <w:highlight w:val="green"/>
        </w:rPr>
        <w:t>Реестр недобросовестных подрядных организаций (ПП РФ 615)</w:t>
      </w:r>
    </w:p>
    <w:p w14:paraId="539E9E5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highlight w:val="green"/>
        </w:rPr>
      </w:pPr>
    </w:p>
    <w:p w14:paraId="072C824A" w14:textId="77777777" w:rsidR="00350396" w:rsidRPr="00350396" w:rsidRDefault="00350396" w:rsidP="00350396">
      <w:pPr>
        <w:widowControl w:val="0"/>
        <w:spacing w:line="250" w:lineRule="exact"/>
        <w:ind w:firstLine="320"/>
        <w:rPr>
          <w:rFonts w:ascii="Arial Narrow" w:eastAsia="Arial Narrow" w:hAnsi="Arial Narrow" w:cs="Arial Narrow"/>
          <w:b/>
          <w:bCs/>
          <w:sz w:val="17"/>
          <w:szCs w:val="17"/>
        </w:rPr>
      </w:pPr>
      <w:r w:rsidRPr="00350396">
        <w:rPr>
          <w:rFonts w:ascii="Arial Narrow" w:eastAsia="Arial Narrow" w:hAnsi="Arial Narrow" w:cs="Arial Narrow"/>
          <w:b/>
          <w:bCs/>
          <w:color w:val="231F20"/>
          <w:sz w:val="17"/>
          <w:szCs w:val="17"/>
        </w:rPr>
        <w:t>Федеральная антимонопольная служба РФ рассматривает обра</w:t>
      </w:r>
      <w:r w:rsidRPr="00350396">
        <w:rPr>
          <w:rFonts w:ascii="Arial Narrow" w:eastAsia="Arial Narrow" w:hAnsi="Arial Narrow" w:cs="Arial Narrow"/>
          <w:b/>
          <w:bCs/>
          <w:color w:val="231F20"/>
          <w:sz w:val="17"/>
          <w:szCs w:val="17"/>
        </w:rPr>
        <w:softHyphen/>
        <w:t>щения о включении сведений об участниках размещения заказов в Реестр недобросовестных поставщиков. По итогам рассмотрения обращений о включении сведений об участниках размещения за</w:t>
      </w:r>
      <w:r w:rsidRPr="00350396">
        <w:rPr>
          <w:rFonts w:ascii="Arial Narrow" w:eastAsia="Arial Narrow" w:hAnsi="Arial Narrow" w:cs="Arial Narrow"/>
          <w:b/>
          <w:bCs/>
          <w:color w:val="231F20"/>
          <w:sz w:val="17"/>
          <w:szCs w:val="17"/>
        </w:rPr>
        <w:softHyphen/>
        <w:t>казов, уклонившихся от заключения контракта, а также о постав</w:t>
      </w:r>
      <w:r w:rsidRPr="00350396">
        <w:rPr>
          <w:rFonts w:ascii="Arial Narrow" w:eastAsia="Arial Narrow" w:hAnsi="Arial Narrow" w:cs="Arial Narrow"/>
          <w:b/>
          <w:bCs/>
          <w:color w:val="231F20"/>
          <w:sz w:val="17"/>
          <w:szCs w:val="17"/>
        </w:rPr>
        <w:softHyphen/>
        <w:t>щиках (исполнителях, подрядчиках), с которыми контракты растор</w:t>
      </w:r>
      <w:r w:rsidRPr="00350396">
        <w:rPr>
          <w:rFonts w:ascii="Arial Narrow" w:eastAsia="Arial Narrow" w:hAnsi="Arial Narrow" w:cs="Arial Narrow"/>
          <w:b/>
          <w:bCs/>
          <w:color w:val="231F20"/>
          <w:sz w:val="17"/>
          <w:szCs w:val="17"/>
        </w:rPr>
        <w:softHyphen/>
        <w:t>гнуты в связи с нарушением ими условий надлежащего исполнения обязательств по контракту, в реестр недобросовестных поставщи</w:t>
      </w:r>
      <w:r w:rsidRPr="00350396">
        <w:rPr>
          <w:rFonts w:ascii="Arial Narrow" w:eastAsia="Arial Narrow" w:hAnsi="Arial Narrow" w:cs="Arial Narrow"/>
          <w:b/>
          <w:bCs/>
          <w:color w:val="231F20"/>
          <w:sz w:val="17"/>
          <w:szCs w:val="17"/>
        </w:rPr>
        <w:softHyphen/>
        <w:t xml:space="preserve">ков ФАС России внесены сведения о недобросовестных поставщиках </w:t>
      </w:r>
      <w:r w:rsidRPr="00350396">
        <w:rPr>
          <w:rFonts w:ascii="Bookman Old Style" w:eastAsia="Bookman Old Style" w:hAnsi="Bookman Old Style" w:cs="Bookman Old Style"/>
          <w:color w:val="231F20"/>
          <w:sz w:val="18"/>
          <w:szCs w:val="18"/>
        </w:rPr>
        <w:t>(в большей половине случаев от общего количества рассмотренных обращений).</w:t>
      </w:r>
    </w:p>
    <w:p w14:paraId="518F03D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Основной причиной включения в Реестр недобросовестных по</w:t>
      </w:r>
      <w:r w:rsidRPr="00350396">
        <w:rPr>
          <w:rFonts w:ascii="Bookman Old Style" w:eastAsia="Bookman Old Style" w:hAnsi="Bookman Old Style" w:cs="Bookman Old Style"/>
          <w:color w:val="231F20"/>
          <w:sz w:val="18"/>
          <w:szCs w:val="18"/>
        </w:rPr>
        <w:softHyphen/>
        <w:t>ставщиков является уклонение участника размещения заказа от за</w:t>
      </w:r>
      <w:r w:rsidRPr="00350396">
        <w:rPr>
          <w:rFonts w:ascii="Bookman Old Style" w:eastAsia="Bookman Old Style" w:hAnsi="Bookman Old Style" w:cs="Bookman Old Style"/>
          <w:color w:val="231F20"/>
          <w:sz w:val="18"/>
          <w:szCs w:val="18"/>
        </w:rPr>
        <w:softHyphen/>
        <w:t>ключения контракта.</w:t>
      </w:r>
    </w:p>
    <w:p w14:paraId="7692EFF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целом в 2015 г. ФАС России в части осуществления контро</w:t>
      </w:r>
      <w:r w:rsidRPr="00350396">
        <w:rPr>
          <w:rFonts w:ascii="Bookman Old Style" w:eastAsia="Bookman Old Style" w:hAnsi="Bookman Old Style" w:cs="Bookman Old Style"/>
          <w:color w:val="231F20"/>
          <w:sz w:val="18"/>
          <w:szCs w:val="18"/>
        </w:rPr>
        <w:softHyphen/>
        <w:t>ля за соблюдением Закона о ФКС рассмотрено 10 927 обращений о включении сведений об участниках закупок в реестр недобросо</w:t>
      </w:r>
      <w:r w:rsidRPr="00350396">
        <w:rPr>
          <w:rFonts w:ascii="Bookman Old Style" w:eastAsia="Bookman Old Style" w:hAnsi="Bookman Old Style" w:cs="Bookman Old Style"/>
          <w:color w:val="231F20"/>
          <w:sz w:val="18"/>
          <w:szCs w:val="18"/>
        </w:rPr>
        <w:softHyphen/>
        <w:t>вестных поставщиков. По итогам этой работы в реестр недобро</w:t>
      </w:r>
      <w:r w:rsidRPr="00350396">
        <w:rPr>
          <w:rFonts w:ascii="Bookman Old Style" w:eastAsia="Bookman Old Style" w:hAnsi="Bookman Old Style" w:cs="Bookman Old Style"/>
          <w:color w:val="231F20"/>
          <w:sz w:val="18"/>
          <w:szCs w:val="18"/>
        </w:rPr>
        <w:softHyphen/>
        <w:t>совестных поставщиков в 2015 г. ФАС России включены сведения о 4994 недобросовестных поставщиках (исполнителях, подрядчи</w:t>
      </w:r>
      <w:r w:rsidRPr="00350396">
        <w:rPr>
          <w:rFonts w:ascii="Bookman Old Style" w:eastAsia="Bookman Old Style" w:hAnsi="Bookman Old Style" w:cs="Bookman Old Style"/>
          <w:color w:val="231F20"/>
          <w:sz w:val="18"/>
          <w:szCs w:val="18"/>
        </w:rPr>
        <w:softHyphen/>
        <w:t>ках), что составляет 45 % рассмотренных обращений в отношении закупок, осуществляемых в соответствии с Законом о ФКС. Основ</w:t>
      </w:r>
      <w:r w:rsidRPr="00350396">
        <w:rPr>
          <w:rFonts w:ascii="Bookman Old Style" w:eastAsia="Bookman Old Style" w:hAnsi="Bookman Old Style" w:cs="Bookman Old Style"/>
          <w:color w:val="231F20"/>
          <w:sz w:val="18"/>
          <w:szCs w:val="18"/>
        </w:rPr>
        <w:softHyphen/>
        <w:t>ной причиной включения в реестр недобросовестных поставщиков является уклонение участника закупок от заключения контракта (55,8 % включенных в реестр лиц).</w:t>
      </w:r>
    </w:p>
    <w:p w14:paraId="7E0DFFDF" w14:textId="77777777" w:rsidR="00350396" w:rsidRPr="00350396" w:rsidRDefault="00350396" w:rsidP="00350396">
      <w:pPr>
        <w:widowControl w:val="0"/>
        <w:spacing w:line="250" w:lineRule="exact"/>
        <w:ind w:firstLine="320"/>
        <w:rPr>
          <w:rFonts w:ascii="Bookman Old Style" w:eastAsia="Bookman Old Style" w:hAnsi="Bookman Old Style" w:cs="Bookman Old Style"/>
          <w:color w:val="231F20"/>
          <w:sz w:val="18"/>
          <w:szCs w:val="18"/>
        </w:rPr>
      </w:pPr>
      <w:r w:rsidRPr="00350396">
        <w:rPr>
          <w:rFonts w:ascii="Bookman Old Style" w:eastAsia="Bookman Old Style" w:hAnsi="Bookman Old Style" w:cs="Bookman Old Style"/>
          <w:color w:val="231F20"/>
          <w:sz w:val="18"/>
          <w:szCs w:val="18"/>
        </w:rPr>
        <w:t>На 31 декабря 2015 г. реестр недобросовестных поставщиков со</w:t>
      </w:r>
      <w:r w:rsidRPr="00350396">
        <w:rPr>
          <w:rFonts w:ascii="Bookman Old Style" w:eastAsia="Bookman Old Style" w:hAnsi="Bookman Old Style" w:cs="Bookman Old Style"/>
          <w:color w:val="231F20"/>
          <w:sz w:val="18"/>
          <w:szCs w:val="18"/>
        </w:rPr>
        <w:softHyphen/>
        <w:t>держал сведения о 8783 недобросовестных поставщиках, на анало</w:t>
      </w:r>
      <w:r w:rsidRPr="00350396">
        <w:rPr>
          <w:rFonts w:ascii="Bookman Old Style" w:eastAsia="Bookman Old Style" w:hAnsi="Bookman Old Style" w:cs="Bookman Old Style"/>
          <w:color w:val="231F20"/>
          <w:sz w:val="18"/>
          <w:szCs w:val="18"/>
        </w:rPr>
        <w:softHyphen/>
        <w:t>гичную дату 2014 г. таких записей в реестре было 5726</w:t>
      </w:r>
      <w:r w:rsidRPr="00350396">
        <w:rPr>
          <w:rFonts w:ascii="Bookman Old Style" w:eastAsia="Bookman Old Style" w:hAnsi="Bookman Old Style" w:cs="Bookman Old Style"/>
          <w:color w:val="231F20"/>
          <w:sz w:val="18"/>
          <w:szCs w:val="18"/>
          <w:vertAlign w:val="superscript"/>
        </w:rPr>
        <w:footnoteReference w:id="167"/>
      </w:r>
      <w:r w:rsidRPr="00350396">
        <w:rPr>
          <w:rFonts w:ascii="Bookman Old Style" w:eastAsia="Bookman Old Style" w:hAnsi="Bookman Old Style" w:cs="Bookman Old Style"/>
          <w:color w:val="231F20"/>
          <w:sz w:val="18"/>
          <w:szCs w:val="18"/>
        </w:rPr>
        <w:t>.</w:t>
      </w:r>
    </w:p>
    <w:p w14:paraId="7A1E0020" w14:textId="77777777" w:rsidR="00350396" w:rsidRPr="00350396" w:rsidRDefault="00350396" w:rsidP="00350396">
      <w:pPr>
        <w:widowControl w:val="0"/>
        <w:shd w:val="clear" w:color="auto" w:fill="FFFFFF"/>
        <w:spacing w:before="340" w:line="250" w:lineRule="exact"/>
        <w:ind w:firstLine="320"/>
        <w:rPr>
          <w:rFonts w:ascii="Bookman Old Style" w:eastAsia="Bookman Old Style" w:hAnsi="Bookman Old Style" w:cs="Bookman Old Style"/>
          <w:color w:val="231F20"/>
          <w:sz w:val="18"/>
          <w:szCs w:val="18"/>
        </w:rPr>
      </w:pPr>
      <w:r w:rsidRPr="00350396">
        <w:rPr>
          <w:rFonts w:ascii="Bookman Old Style" w:eastAsia="Bookman Old Style" w:hAnsi="Bookman Old Style" w:cs="Bookman Old Style"/>
          <w:color w:val="231F20"/>
          <w:sz w:val="18"/>
          <w:szCs w:val="18"/>
          <w:highlight w:val="green"/>
        </w:rPr>
        <w:t xml:space="preserve">Необходимо обратить внимание на то, что порядок ведения реестра недобросовестных поставщиков (подрядчиков, исполнителей) установлен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постановлением Правительства Российской Федерации от 30.06.2021 № 1078 «О порядке ведения реестра </w:t>
      </w:r>
      <w:r w:rsidRPr="00350396">
        <w:rPr>
          <w:rFonts w:ascii="Bookman Old Style" w:eastAsia="Bookman Old Style" w:hAnsi="Bookman Old Style" w:cs="Bookman Old Style"/>
          <w:sz w:val="18"/>
          <w:szCs w:val="18"/>
          <w:highlight w:val="green"/>
        </w:rPr>
        <w:t xml:space="preserve">недобросовестных поставщиков (подрядчиков, исполнителей), о внесении изменений в некоторые акты </w:t>
      </w:r>
      <w:r w:rsidRPr="00350396">
        <w:rPr>
          <w:rFonts w:ascii="Bookman Old Style" w:eastAsia="Bookman Old Style" w:hAnsi="Bookman Old Style" w:cs="Bookman Old Style"/>
          <w:sz w:val="18"/>
          <w:szCs w:val="18"/>
          <w:highlight w:val="green"/>
        </w:rPr>
        <w:lastRenderedPageBreak/>
        <w:t>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 Далее приведем ссылку на реестр недобросовестных поставщиков:</w:t>
      </w:r>
      <w:r w:rsidRPr="00350396">
        <w:rPr>
          <w:rFonts w:ascii="Bookman Old Style" w:eastAsia="Bookman Old Style" w:hAnsi="Bookman Old Style" w:cs="Bookman Old Style"/>
          <w:color w:val="231F20"/>
          <w:sz w:val="18"/>
          <w:szCs w:val="18"/>
          <w:highlight w:val="green"/>
        </w:rPr>
        <w:t xml:space="preserve"> https://zakupki.gov.ru/epz/dishonestsupplier/search/results.html</w:t>
      </w:r>
    </w:p>
    <w:p w14:paraId="6BF7BE0A" w14:textId="77777777" w:rsidR="00350396" w:rsidRPr="00350396" w:rsidRDefault="00350396" w:rsidP="00350396">
      <w:pPr>
        <w:widowControl w:val="0"/>
        <w:spacing w:line="250" w:lineRule="exact"/>
        <w:ind w:firstLine="320"/>
        <w:rPr>
          <w:rFonts w:ascii="Bookman Old Style" w:eastAsia="Bookman Old Style" w:hAnsi="Bookman Old Style" w:cs="Bookman Old Style"/>
          <w:color w:val="231F20"/>
          <w:sz w:val="18"/>
          <w:szCs w:val="18"/>
        </w:rPr>
      </w:pPr>
    </w:p>
    <w:p w14:paraId="1A426D9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2018 г. ФАС России в части осуществления контроля за соблю</w:t>
      </w:r>
      <w:r w:rsidRPr="00350396">
        <w:rPr>
          <w:rFonts w:ascii="Bookman Old Style" w:eastAsia="Bookman Old Style" w:hAnsi="Bookman Old Style" w:cs="Bookman Old Style"/>
          <w:color w:val="231F20"/>
          <w:sz w:val="18"/>
          <w:szCs w:val="18"/>
        </w:rPr>
        <w:softHyphen/>
        <w:t>дением Закона № 44-ФЗ рассмотрено уже 14 117 обращений о вклю</w:t>
      </w:r>
      <w:r w:rsidRPr="00350396">
        <w:rPr>
          <w:rFonts w:ascii="Bookman Old Style" w:eastAsia="Bookman Old Style" w:hAnsi="Bookman Old Style" w:cs="Bookman Old Style"/>
          <w:color w:val="231F20"/>
          <w:sz w:val="18"/>
          <w:szCs w:val="18"/>
        </w:rPr>
        <w:softHyphen/>
        <w:t>чении сведений об участниках закупок в реестр недобросовестных поставщиков. По итогам рассмотрения в реестр недобросовестных поставщиков в 2018 г. ФАС России включены сведения о 7082 не</w:t>
      </w:r>
      <w:r w:rsidRPr="00350396">
        <w:rPr>
          <w:rFonts w:ascii="Bookman Old Style" w:eastAsia="Bookman Old Style" w:hAnsi="Bookman Old Style" w:cs="Bookman Old Style"/>
          <w:color w:val="231F20"/>
          <w:sz w:val="18"/>
          <w:szCs w:val="18"/>
        </w:rPr>
        <w:softHyphen/>
        <w:t>добросовестных поставщиках (исполнителях, подрядчиках), что со</w:t>
      </w:r>
      <w:r w:rsidRPr="00350396">
        <w:rPr>
          <w:rFonts w:ascii="Bookman Old Style" w:eastAsia="Bookman Old Style" w:hAnsi="Bookman Old Style" w:cs="Bookman Old Style"/>
          <w:color w:val="231F20"/>
          <w:sz w:val="18"/>
          <w:szCs w:val="18"/>
        </w:rPr>
        <w:softHyphen/>
        <w:t>ставляет 51 % от рассмотренных обращений в отношении закупок, осуществляемых в соответствии с Законом № 44-ФЗ. Основной при</w:t>
      </w:r>
      <w:r w:rsidRPr="00350396">
        <w:rPr>
          <w:rFonts w:ascii="Bookman Old Style" w:eastAsia="Bookman Old Style" w:hAnsi="Bookman Old Style" w:cs="Bookman Old Style"/>
          <w:color w:val="231F20"/>
          <w:sz w:val="18"/>
          <w:szCs w:val="18"/>
        </w:rPr>
        <w:softHyphen/>
        <w:t>чиной включения в реестр недобросовестных поставщиков является одностороннее расторжение контракта (64 % от включенных в ре</w:t>
      </w:r>
      <w:r w:rsidRPr="00350396">
        <w:rPr>
          <w:rFonts w:ascii="Bookman Old Style" w:eastAsia="Bookman Old Style" w:hAnsi="Bookman Old Style" w:cs="Bookman Old Style"/>
          <w:color w:val="231F20"/>
          <w:sz w:val="18"/>
          <w:szCs w:val="18"/>
        </w:rPr>
        <w:softHyphen/>
        <w:t>естр недобросовестных поставщиков лиц)</w:t>
      </w:r>
      <w:r w:rsidRPr="00350396">
        <w:rPr>
          <w:rFonts w:ascii="Bookman Old Style" w:eastAsia="Bookman Old Style" w:hAnsi="Bookman Old Style" w:cs="Bookman Old Style"/>
          <w:color w:val="231F20"/>
          <w:sz w:val="18"/>
          <w:szCs w:val="18"/>
          <w:vertAlign w:val="superscript"/>
        </w:rPr>
        <w:footnoteReference w:id="168"/>
      </w:r>
      <w:r w:rsidRPr="00350396">
        <w:rPr>
          <w:rFonts w:ascii="Bookman Old Style" w:eastAsia="Bookman Old Style" w:hAnsi="Bookman Old Style" w:cs="Bookman Old Style"/>
          <w:color w:val="231F20"/>
          <w:sz w:val="18"/>
          <w:szCs w:val="18"/>
        </w:rPr>
        <w:t>.</w:t>
      </w:r>
    </w:p>
    <w:p w14:paraId="0171DE65"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Обжалование решений ФАС России в судах. Федеральная ан</w:t>
      </w:r>
      <w:r w:rsidRPr="00350396">
        <w:rPr>
          <w:rFonts w:ascii="Bookman Old Style" w:eastAsia="Bookman Old Style" w:hAnsi="Bookman Old Style" w:cs="Bookman Old Style"/>
          <w:color w:val="231F20"/>
          <w:sz w:val="18"/>
          <w:szCs w:val="18"/>
        </w:rPr>
        <w:softHyphen/>
        <w:t>тимонопольная служба РФ принимает решения (выдает предпи</w:t>
      </w:r>
      <w:r w:rsidRPr="00350396">
        <w:rPr>
          <w:rFonts w:ascii="Bookman Old Style" w:eastAsia="Bookman Old Style" w:hAnsi="Bookman Old Style" w:cs="Bookman Old Style"/>
          <w:color w:val="231F20"/>
          <w:sz w:val="18"/>
          <w:szCs w:val="18"/>
        </w:rPr>
        <w:softHyphen/>
        <w:t>сания), выносит постановления о назначении административного наказания и иные решения, а также осуществляет иные действия (бездействия), которые могут быть обжалованы в арбитражных су</w:t>
      </w:r>
      <w:r w:rsidRPr="00350396">
        <w:rPr>
          <w:rFonts w:ascii="Bookman Old Style" w:eastAsia="Bookman Old Style" w:hAnsi="Bookman Old Style" w:cs="Bookman Old Style"/>
          <w:color w:val="231F20"/>
          <w:sz w:val="18"/>
          <w:szCs w:val="18"/>
        </w:rPr>
        <w:softHyphen/>
        <w:t>дах и судах общей юрисдикции.</w:t>
      </w:r>
    </w:p>
    <w:p w14:paraId="086D7B32"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2015 г. в арбитражных судах и судах общей юрисдикции было обжаловано более 3,5 тыс. предписаний ФАС России, в 10,4 % слу</w:t>
      </w:r>
      <w:r w:rsidRPr="00350396">
        <w:rPr>
          <w:rFonts w:ascii="Bookman Old Style" w:eastAsia="Bookman Old Style" w:hAnsi="Bookman Old Style" w:cs="Bookman Old Style"/>
          <w:color w:val="231F20"/>
          <w:sz w:val="18"/>
          <w:szCs w:val="18"/>
        </w:rPr>
        <w:softHyphen/>
        <w:t>чаев требования заявителей удовлетворены</w:t>
      </w:r>
      <w:r w:rsidRPr="00350396">
        <w:rPr>
          <w:rFonts w:ascii="Bookman Old Style" w:eastAsia="Bookman Old Style" w:hAnsi="Bookman Old Style" w:cs="Bookman Old Style"/>
          <w:color w:val="231F20"/>
          <w:sz w:val="18"/>
          <w:szCs w:val="18"/>
          <w:vertAlign w:val="superscript"/>
        </w:rPr>
        <w:footnoteReference w:id="169"/>
      </w:r>
      <w:r w:rsidRPr="00350396">
        <w:rPr>
          <w:rFonts w:ascii="Bookman Old Style" w:eastAsia="Bookman Old Style" w:hAnsi="Bookman Old Style" w:cs="Bookman Old Style"/>
          <w:color w:val="231F20"/>
          <w:sz w:val="18"/>
          <w:szCs w:val="18"/>
        </w:rPr>
        <w:t>.</w:t>
      </w:r>
    </w:p>
    <w:p w14:paraId="6B1BF0F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bookmarkStart w:id="96" w:name="bookmark82"/>
      <w:r w:rsidRPr="00350396">
        <w:rPr>
          <w:rFonts w:ascii="Bookman Old Style" w:eastAsia="Bookman Old Style" w:hAnsi="Bookman Old Style" w:cs="Bookman Old Style"/>
          <w:color w:val="231F20"/>
          <w:sz w:val="18"/>
          <w:szCs w:val="18"/>
        </w:rPr>
        <w:t>В 2018 г. зафиксировано 3855 случаев обжалования в арбитраж</w:t>
      </w:r>
      <w:r w:rsidRPr="00350396">
        <w:rPr>
          <w:rFonts w:ascii="Bookman Old Style" w:eastAsia="Bookman Old Style" w:hAnsi="Bookman Old Style" w:cs="Bookman Old Style"/>
          <w:color w:val="231F20"/>
          <w:sz w:val="18"/>
          <w:szCs w:val="18"/>
        </w:rPr>
        <w:softHyphen/>
        <w:t>ных судах и судах общей юрисдикции решений (предписаний) ФАС России, что составляет 3,4 % от общего количества принятых ре</w:t>
      </w:r>
      <w:r w:rsidRPr="00350396">
        <w:rPr>
          <w:rFonts w:ascii="Bookman Old Style" w:eastAsia="Bookman Old Style" w:hAnsi="Bookman Old Style" w:cs="Bookman Old Style"/>
          <w:color w:val="231F20"/>
          <w:sz w:val="18"/>
          <w:szCs w:val="18"/>
        </w:rPr>
        <w:softHyphen/>
        <w:t>шений (предписаний), 3501 случай обжалования постановлений о назначении административного наказания, что составляет 9,9 % от общего количества принятых постановлений о назначении адми</w:t>
      </w:r>
      <w:r w:rsidRPr="00350396">
        <w:rPr>
          <w:rFonts w:ascii="Bookman Old Style" w:eastAsia="Bookman Old Style" w:hAnsi="Bookman Old Style" w:cs="Bookman Old Style"/>
          <w:color w:val="231F20"/>
          <w:sz w:val="18"/>
          <w:szCs w:val="18"/>
        </w:rPr>
        <w:softHyphen/>
        <w:t>нистративного наказания за нарушения законодательства Россий</w:t>
      </w:r>
      <w:r w:rsidRPr="00350396">
        <w:rPr>
          <w:rFonts w:ascii="Bookman Old Style" w:eastAsia="Bookman Old Style" w:hAnsi="Bookman Old Style" w:cs="Bookman Old Style"/>
          <w:color w:val="231F20"/>
          <w:sz w:val="18"/>
          <w:szCs w:val="18"/>
        </w:rPr>
        <w:softHyphen/>
        <w:t>ской Федерации о контрактной системе в сфере закупок.</w:t>
      </w:r>
      <w:bookmarkEnd w:id="96"/>
    </w:p>
    <w:p w14:paraId="29F8748F"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целом за 2018 г. требования заявителей при обжаловании ре</w:t>
      </w:r>
      <w:r w:rsidRPr="00350396">
        <w:rPr>
          <w:rFonts w:ascii="Bookman Old Style" w:eastAsia="Bookman Old Style" w:hAnsi="Bookman Old Style" w:cs="Bookman Old Style"/>
          <w:color w:val="231F20"/>
          <w:sz w:val="18"/>
          <w:szCs w:val="18"/>
        </w:rPr>
        <w:softHyphen/>
        <w:t>шений (предписаний) удовлетворены в 587 случаях, при обжалова</w:t>
      </w:r>
      <w:r w:rsidRPr="00350396">
        <w:rPr>
          <w:rFonts w:ascii="Bookman Old Style" w:eastAsia="Bookman Old Style" w:hAnsi="Bookman Old Style" w:cs="Bookman Old Style"/>
          <w:color w:val="231F20"/>
          <w:sz w:val="18"/>
          <w:szCs w:val="18"/>
        </w:rPr>
        <w:softHyphen/>
        <w:t>нии постановлений о назначении административного наказания — в 770 случаях.</w:t>
      </w:r>
    </w:p>
    <w:p w14:paraId="3B9C69FE"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целом за 2017 г. зафиксированы 3241 случай обжалования в арбитражных судах и судах общей юрисдикции решений (пред</w:t>
      </w:r>
      <w:r w:rsidRPr="00350396">
        <w:rPr>
          <w:rFonts w:ascii="Bookman Old Style" w:eastAsia="Bookman Old Style" w:hAnsi="Bookman Old Style" w:cs="Bookman Old Style"/>
          <w:color w:val="231F20"/>
          <w:sz w:val="18"/>
          <w:szCs w:val="18"/>
        </w:rPr>
        <w:softHyphen/>
        <w:t>писаний) ФАС России, что составляет 3,6 % от общего количества принятых решений (предписаний), 3187 случаев обжалования по</w:t>
      </w:r>
      <w:r w:rsidRPr="00350396">
        <w:rPr>
          <w:rFonts w:ascii="Bookman Old Style" w:eastAsia="Bookman Old Style" w:hAnsi="Bookman Old Style" w:cs="Bookman Old Style"/>
          <w:color w:val="231F20"/>
          <w:sz w:val="18"/>
          <w:szCs w:val="18"/>
        </w:rPr>
        <w:softHyphen/>
        <w:t xml:space="preserve">становлений о </w:t>
      </w:r>
      <w:r w:rsidRPr="00350396">
        <w:rPr>
          <w:rFonts w:ascii="Bookman Old Style" w:eastAsia="Bookman Old Style" w:hAnsi="Bookman Old Style" w:cs="Bookman Old Style"/>
          <w:color w:val="231F20"/>
          <w:sz w:val="18"/>
          <w:szCs w:val="18"/>
        </w:rPr>
        <w:lastRenderedPageBreak/>
        <w:t>назначении административного наказания, что со</w:t>
      </w:r>
      <w:r w:rsidRPr="00350396">
        <w:rPr>
          <w:rFonts w:ascii="Bookman Old Style" w:eastAsia="Bookman Old Style" w:hAnsi="Bookman Old Style" w:cs="Bookman Old Style"/>
          <w:color w:val="231F20"/>
          <w:sz w:val="18"/>
          <w:szCs w:val="18"/>
        </w:rPr>
        <w:softHyphen/>
        <w:t>ставляет 15,8 % от общего количества принятых постановлений о назначении административного наказания за нарушения законо</w:t>
      </w:r>
      <w:r w:rsidRPr="00350396">
        <w:rPr>
          <w:rFonts w:ascii="Bookman Old Style" w:eastAsia="Bookman Old Style" w:hAnsi="Bookman Old Style" w:cs="Bookman Old Style"/>
          <w:color w:val="231F20"/>
          <w:sz w:val="18"/>
          <w:szCs w:val="18"/>
        </w:rPr>
        <w:softHyphen/>
        <w:t>дательства Российской Федерации о контрактной системе в сфере закупок.</w:t>
      </w:r>
    </w:p>
    <w:p w14:paraId="7A9AF92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целом за 2017 г. требования заявителей при обжаловании ре</w:t>
      </w:r>
      <w:r w:rsidRPr="00350396">
        <w:rPr>
          <w:rFonts w:ascii="Bookman Old Style" w:eastAsia="Bookman Old Style" w:hAnsi="Bookman Old Style" w:cs="Bookman Old Style"/>
          <w:color w:val="231F20"/>
          <w:sz w:val="18"/>
          <w:szCs w:val="18"/>
        </w:rPr>
        <w:softHyphen/>
        <w:t>шений (предписаний) удовлетворены в 578 случаях, при обжалова</w:t>
      </w:r>
      <w:r w:rsidRPr="00350396">
        <w:rPr>
          <w:rFonts w:ascii="Bookman Old Style" w:eastAsia="Bookman Old Style" w:hAnsi="Bookman Old Style" w:cs="Bookman Old Style"/>
          <w:color w:val="231F20"/>
          <w:sz w:val="18"/>
          <w:szCs w:val="18"/>
        </w:rPr>
        <w:softHyphen/>
        <w:t>нии постановлений о назначении административного наказания — в 1903 случаях</w:t>
      </w:r>
      <w:r w:rsidRPr="00350396">
        <w:rPr>
          <w:rFonts w:ascii="Bookman Old Style" w:eastAsia="Bookman Old Style" w:hAnsi="Bookman Old Style" w:cs="Bookman Old Style"/>
          <w:color w:val="231F20"/>
          <w:sz w:val="18"/>
          <w:szCs w:val="18"/>
          <w:vertAlign w:val="superscript"/>
        </w:rPr>
        <w:footnoteReference w:id="170"/>
      </w:r>
      <w:r w:rsidRPr="00350396">
        <w:rPr>
          <w:rFonts w:ascii="Bookman Old Style" w:eastAsia="Bookman Old Style" w:hAnsi="Bookman Old Style" w:cs="Bookman Old Style"/>
          <w:color w:val="231F20"/>
          <w:sz w:val="18"/>
          <w:szCs w:val="18"/>
        </w:rPr>
        <w:t>.</w:t>
      </w:r>
    </w:p>
    <w:p w14:paraId="2655631A" w14:textId="77777777" w:rsidR="00350396" w:rsidRPr="00350396" w:rsidRDefault="00350396" w:rsidP="00350396">
      <w:pPr>
        <w:widowControl w:val="0"/>
        <w:spacing w:after="351"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Отметим, что в ч. 3 ст. 26 Федерального закона «О защите конку</w:t>
      </w:r>
      <w:r w:rsidRPr="00350396">
        <w:rPr>
          <w:rFonts w:ascii="Bookman Old Style" w:eastAsia="Bookman Old Style" w:hAnsi="Bookman Old Style" w:cs="Bookman Old Style"/>
          <w:color w:val="231F20"/>
          <w:sz w:val="18"/>
          <w:szCs w:val="18"/>
        </w:rPr>
        <w:softHyphen/>
        <w:t>ренции» предусматривается, что вред, причиненный физическому или юридическому лицу в результате разглашения антимонополь</w:t>
      </w:r>
      <w:r w:rsidRPr="00350396">
        <w:rPr>
          <w:rFonts w:ascii="Bookman Old Style" w:eastAsia="Bookman Old Style" w:hAnsi="Bookman Old Style" w:cs="Bookman Old Style"/>
          <w:color w:val="231F20"/>
          <w:sz w:val="18"/>
          <w:szCs w:val="18"/>
        </w:rPr>
        <w:softHyphen/>
        <w:t>ным органом или его должностными лицами информации, состав</w:t>
      </w:r>
      <w:r w:rsidRPr="00350396">
        <w:rPr>
          <w:rFonts w:ascii="Bookman Old Style" w:eastAsia="Bookman Old Style" w:hAnsi="Bookman Old Style" w:cs="Bookman Old Style"/>
          <w:color w:val="231F20"/>
          <w:sz w:val="18"/>
          <w:szCs w:val="18"/>
        </w:rPr>
        <w:softHyphen/>
        <w:t>ляющей коммерческую (служебную, иную охраняемую законом) тайну, подлежит возмещению за счет средств казны Российской Фе- дерации</w:t>
      </w:r>
      <w:r w:rsidRPr="00350396">
        <w:rPr>
          <w:rFonts w:ascii="Bookman Old Style" w:eastAsia="Bookman Old Style" w:hAnsi="Bookman Old Style" w:cs="Bookman Old Style"/>
          <w:color w:val="231F20"/>
          <w:sz w:val="18"/>
          <w:szCs w:val="18"/>
          <w:vertAlign w:val="superscript"/>
        </w:rPr>
        <w:footnoteReference w:id="171"/>
      </w:r>
      <w:r w:rsidRPr="00350396">
        <w:rPr>
          <w:rFonts w:ascii="Bookman Old Style" w:eastAsia="Bookman Old Style" w:hAnsi="Bookman Old Style" w:cs="Bookman Old Style"/>
          <w:color w:val="231F20"/>
          <w:sz w:val="18"/>
          <w:szCs w:val="18"/>
        </w:rPr>
        <w:t>.</w:t>
      </w:r>
    </w:p>
    <w:p w14:paraId="34C7A1C1" w14:textId="77777777" w:rsidR="00350396" w:rsidRPr="00350396" w:rsidRDefault="00350396" w:rsidP="00350396">
      <w:pPr>
        <w:keepNext/>
        <w:keepLines/>
        <w:widowControl w:val="0"/>
        <w:numPr>
          <w:ilvl w:val="0"/>
          <w:numId w:val="111"/>
        </w:numPr>
        <w:tabs>
          <w:tab w:val="left" w:pos="1115"/>
        </w:tabs>
        <w:spacing w:after="209" w:line="336" w:lineRule="exact"/>
        <w:ind w:left="1220" w:hanging="600"/>
        <w:jc w:val="left"/>
        <w:outlineLvl w:val="3"/>
        <w:rPr>
          <w:rFonts w:ascii="Arial Narrow" w:eastAsia="Arial Narrow" w:hAnsi="Arial Narrow" w:cs="Arial Narrow"/>
          <w:b/>
          <w:bCs/>
        </w:rPr>
      </w:pPr>
      <w:bookmarkStart w:id="97" w:name="bookmark83"/>
      <w:r w:rsidRPr="00350396">
        <w:rPr>
          <w:rFonts w:ascii="Arial Narrow" w:eastAsia="Arial Narrow" w:hAnsi="Arial Narrow" w:cs="Arial Narrow"/>
          <w:b/>
          <w:bCs/>
          <w:color w:val="231F20"/>
        </w:rPr>
        <w:t>Предупреждения и предостережения как новый инструмент антимонопольного контроля</w:t>
      </w:r>
      <w:bookmarkEnd w:id="97"/>
    </w:p>
    <w:p w14:paraId="699543A0"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настоящее время в антимонопольное законодательство вве</w:t>
      </w:r>
      <w:r w:rsidRPr="00350396">
        <w:rPr>
          <w:rFonts w:ascii="Bookman Old Style" w:eastAsia="Bookman Old Style" w:hAnsi="Bookman Old Style" w:cs="Bookman Old Style"/>
          <w:color w:val="231F20"/>
          <w:sz w:val="18"/>
          <w:szCs w:val="18"/>
        </w:rPr>
        <w:softHyphen/>
        <w:t>ден ряд новых институтов. Важным нововведением стал институт предупреждений (ст. 39.1 Федерального закона «О защите конку</w:t>
      </w:r>
      <w:r w:rsidRPr="00350396">
        <w:rPr>
          <w:rFonts w:ascii="Bookman Old Style" w:eastAsia="Bookman Old Style" w:hAnsi="Bookman Old Style" w:cs="Bookman Old Style"/>
          <w:color w:val="231F20"/>
          <w:sz w:val="18"/>
          <w:szCs w:val="18"/>
        </w:rPr>
        <w:softHyphen/>
        <w:t>ренции»). Предупреждения о прекращении действий (бездействия), которые содержат признаки нарушения антимонопольного законо</w:t>
      </w:r>
      <w:r w:rsidRPr="00350396">
        <w:rPr>
          <w:rFonts w:ascii="Bookman Old Style" w:eastAsia="Bookman Old Style" w:hAnsi="Bookman Old Style" w:cs="Bookman Old Style"/>
          <w:color w:val="231F20"/>
          <w:sz w:val="18"/>
          <w:szCs w:val="18"/>
        </w:rPr>
        <w:softHyphen/>
        <w:t>дательства, выдаются антимонопольными органами хозяйствую</w:t>
      </w:r>
      <w:r w:rsidRPr="00350396">
        <w:rPr>
          <w:rFonts w:ascii="Bookman Old Style" w:eastAsia="Bookman Old Style" w:hAnsi="Bookman Old Style" w:cs="Bookman Old Style"/>
          <w:color w:val="231F20"/>
          <w:sz w:val="18"/>
          <w:szCs w:val="18"/>
        </w:rPr>
        <w:softHyphen/>
        <w:t>щим субъектам, занимающим доминирующее положение, в случаях (ст. 10 Федерального закона «О защите конкуренции»):</w:t>
      </w:r>
    </w:p>
    <w:p w14:paraId="1E503B27" w14:textId="77777777" w:rsidR="00350396" w:rsidRPr="00350396" w:rsidRDefault="00350396" w:rsidP="00350396">
      <w:pPr>
        <w:widowControl w:val="0"/>
        <w:numPr>
          <w:ilvl w:val="0"/>
          <w:numId w:val="110"/>
        </w:numPr>
        <w:tabs>
          <w:tab w:val="left" w:pos="634"/>
        </w:tabs>
        <w:spacing w:line="254"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навязывания контрагенту условий договора, невыгодных для него или не относящихся к предмету договора (экономически или технологически не обоснованного и (или) прямо не предус</w:t>
      </w:r>
      <w:r w:rsidRPr="00350396">
        <w:rPr>
          <w:rFonts w:ascii="Bookman Old Style" w:eastAsia="Bookman Old Style" w:hAnsi="Bookman Old Style" w:cs="Bookman Old Style"/>
          <w:color w:val="231F20"/>
          <w:sz w:val="18"/>
          <w:szCs w:val="18"/>
        </w:rPr>
        <w:softHyphen/>
        <w:t>мотренного федеральными законами, нормативными правовыми актами Президента РФ, Правительства РФ, уполномоченных фе</w:t>
      </w:r>
      <w:r w:rsidRPr="00350396">
        <w:rPr>
          <w:rFonts w:ascii="Bookman Old Style" w:eastAsia="Bookman Old Style" w:hAnsi="Bookman Old Style" w:cs="Bookman Old Style"/>
          <w:color w:val="231F20"/>
          <w:sz w:val="18"/>
          <w:szCs w:val="18"/>
        </w:rPr>
        <w:softHyphen/>
        <w:t>деральных органов исполнительной власти или судебными акта</w:t>
      </w:r>
      <w:r w:rsidRPr="00350396">
        <w:rPr>
          <w:rFonts w:ascii="Bookman Old Style" w:eastAsia="Bookman Old Style" w:hAnsi="Bookman Old Style" w:cs="Bookman Old Style"/>
          <w:color w:val="231F20"/>
          <w:sz w:val="18"/>
          <w:szCs w:val="18"/>
        </w:rPr>
        <w:softHyphen/>
        <w:t>ми требования о передаче финансовых средств, иного имущества, в том числе имущественных прав, а также согласия заключить дого</w:t>
      </w:r>
      <w:r w:rsidRPr="00350396">
        <w:rPr>
          <w:rFonts w:ascii="Bookman Old Style" w:eastAsia="Bookman Old Style" w:hAnsi="Bookman Old Style" w:cs="Bookman Old Style"/>
          <w:color w:val="231F20"/>
          <w:sz w:val="18"/>
          <w:szCs w:val="18"/>
        </w:rPr>
        <w:softHyphen/>
        <w:t>вор при условии внесения в него положений относительно товара, в котором контрагент не заинтересован, и других требований);</w:t>
      </w:r>
    </w:p>
    <w:p w14:paraId="06F9FB79" w14:textId="77777777" w:rsidR="00350396" w:rsidRPr="00350396" w:rsidRDefault="00350396" w:rsidP="00350396">
      <w:pPr>
        <w:widowControl w:val="0"/>
        <w:numPr>
          <w:ilvl w:val="0"/>
          <w:numId w:val="110"/>
        </w:numPr>
        <w:tabs>
          <w:tab w:val="left" w:pos="639"/>
        </w:tabs>
        <w:spacing w:line="254"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экономически или технологически не обоснованного отказа либо уклонения от заключения договора с отдельными покупате</w:t>
      </w:r>
      <w:r w:rsidRPr="00350396">
        <w:rPr>
          <w:rFonts w:ascii="Bookman Old Style" w:eastAsia="Bookman Old Style" w:hAnsi="Bookman Old Style" w:cs="Bookman Old Style"/>
          <w:color w:val="231F20"/>
          <w:sz w:val="18"/>
          <w:szCs w:val="18"/>
        </w:rPr>
        <w:softHyphen/>
        <w:t xml:space="preserve">лями (заказчиками) в случае наличия возможности производства или </w:t>
      </w:r>
      <w:r w:rsidRPr="00350396">
        <w:rPr>
          <w:rFonts w:ascii="Bookman Old Style" w:eastAsia="Bookman Old Style" w:hAnsi="Bookman Old Style" w:cs="Bookman Old Style"/>
          <w:color w:val="231F20"/>
          <w:sz w:val="18"/>
          <w:szCs w:val="18"/>
        </w:rPr>
        <w:lastRenderedPageBreak/>
        <w:t>поставок соответствующего товара, а также в случае, если та</w:t>
      </w:r>
      <w:r w:rsidRPr="00350396">
        <w:rPr>
          <w:rFonts w:ascii="Bookman Old Style" w:eastAsia="Bookman Old Style" w:hAnsi="Bookman Old Style" w:cs="Bookman Old Style"/>
          <w:color w:val="231F20"/>
          <w:sz w:val="18"/>
          <w:szCs w:val="18"/>
        </w:rPr>
        <w:softHyphen/>
        <w:t>кой отказ или такое уклонение прямо не предусмотрены федераль</w:t>
      </w:r>
      <w:r w:rsidRPr="00350396">
        <w:rPr>
          <w:rFonts w:ascii="Bookman Old Style" w:eastAsia="Bookman Old Style" w:hAnsi="Bookman Old Style" w:cs="Bookman Old Style"/>
          <w:color w:val="231F20"/>
          <w:sz w:val="18"/>
          <w:szCs w:val="18"/>
        </w:rPr>
        <w:softHyphen/>
        <w:t>ными законами, нормативными правовыми актами Президента РФ, Правительства РФ, уполномоченных федеральных органов исполни</w:t>
      </w:r>
      <w:r w:rsidRPr="00350396">
        <w:rPr>
          <w:rFonts w:ascii="Bookman Old Style" w:eastAsia="Bookman Old Style" w:hAnsi="Bookman Old Style" w:cs="Bookman Old Style"/>
          <w:color w:val="231F20"/>
          <w:sz w:val="18"/>
          <w:szCs w:val="18"/>
        </w:rPr>
        <w:softHyphen/>
        <w:t>тельной власти или судебными актами.</w:t>
      </w:r>
    </w:p>
    <w:p w14:paraId="3F30FC31"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Цель выдачи предупреждений — пресечение действий (бездей</w:t>
      </w:r>
      <w:r w:rsidRPr="00350396">
        <w:rPr>
          <w:rFonts w:ascii="Bookman Old Style" w:eastAsia="Bookman Old Style" w:hAnsi="Bookman Old Style" w:cs="Bookman Old Style"/>
          <w:color w:val="231F20"/>
          <w:sz w:val="18"/>
          <w:szCs w:val="18"/>
        </w:rPr>
        <w:softHyphen/>
        <w:t>ствия), которые приводят или могут привести к недопущению, ограничению, устранению конкуренции.</w:t>
      </w:r>
    </w:p>
    <w:p w14:paraId="5547B639"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Предупреждение может быть выдано либо до возбуждения дела о нарушении антимонопольного законодательства, либо в период рассмотрения дела о таком нарушении. Принятие решения о воз</w:t>
      </w:r>
      <w:r w:rsidRPr="00350396">
        <w:rPr>
          <w:rFonts w:ascii="Bookman Old Style" w:eastAsia="Bookman Old Style" w:hAnsi="Bookman Old Style" w:cs="Bookman Old Style"/>
          <w:color w:val="231F20"/>
          <w:sz w:val="18"/>
          <w:szCs w:val="18"/>
        </w:rPr>
        <w:softHyphen/>
        <w:t>буждении дела о нарушении антимонопольного законодательства в части навязывания невыгодных условий договора или экономиче</w:t>
      </w:r>
      <w:r w:rsidRPr="00350396">
        <w:rPr>
          <w:rFonts w:ascii="Bookman Old Style" w:eastAsia="Bookman Old Style" w:hAnsi="Bookman Old Style" w:cs="Bookman Old Style"/>
          <w:color w:val="231F20"/>
          <w:sz w:val="18"/>
          <w:szCs w:val="18"/>
        </w:rPr>
        <w:softHyphen/>
        <w:t>ски или технологически не обоснованного отказа либо уклонения от заключения договора без вынесения предупреждения и до завер</w:t>
      </w:r>
      <w:r w:rsidRPr="00350396">
        <w:rPr>
          <w:rFonts w:ascii="Bookman Old Style" w:eastAsia="Bookman Old Style" w:hAnsi="Bookman Old Style" w:cs="Bookman Old Style"/>
          <w:color w:val="231F20"/>
          <w:sz w:val="18"/>
          <w:szCs w:val="18"/>
        </w:rPr>
        <w:softHyphen/>
        <w:t>шения срока его выполнения не допускается. Законодательством также предусмотрено, что если хозяйствующий субъект выполнил предупреждение, дело о нарушении антимонопольного законода</w:t>
      </w:r>
      <w:r w:rsidRPr="00350396">
        <w:rPr>
          <w:rFonts w:ascii="Bookman Old Style" w:eastAsia="Bookman Old Style" w:hAnsi="Bookman Old Style" w:cs="Bookman Old Style"/>
          <w:color w:val="231F20"/>
          <w:sz w:val="18"/>
          <w:szCs w:val="18"/>
        </w:rPr>
        <w:softHyphen/>
        <w:t>тельства не возбуждается и такой хозяйствующий субъект к адми</w:t>
      </w:r>
      <w:r w:rsidRPr="00350396">
        <w:rPr>
          <w:rFonts w:ascii="Bookman Old Style" w:eastAsia="Bookman Old Style" w:hAnsi="Bookman Old Style" w:cs="Bookman Old Style"/>
          <w:color w:val="231F20"/>
          <w:sz w:val="18"/>
          <w:szCs w:val="18"/>
        </w:rPr>
        <w:softHyphen/>
        <w:t>нистративной ответственности не привлекается.</w:t>
      </w:r>
    </w:p>
    <w:p w14:paraId="3B267B0E" w14:textId="77777777" w:rsidR="00350396" w:rsidRPr="00350396" w:rsidRDefault="00350396" w:rsidP="00350396">
      <w:pPr>
        <w:widowControl w:val="0"/>
        <w:spacing w:line="254"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Применение этого нововведения в последующие после его введе</w:t>
      </w:r>
      <w:r w:rsidRPr="00350396">
        <w:rPr>
          <w:rFonts w:ascii="Bookman Old Style" w:eastAsia="Bookman Old Style" w:hAnsi="Bookman Old Style" w:cs="Bookman Old Style"/>
          <w:color w:val="231F20"/>
          <w:sz w:val="18"/>
          <w:szCs w:val="18"/>
        </w:rPr>
        <w:softHyphen/>
        <w:t>ния годы дало основание утверждать, что происходит сокращение объема дел, возбужденных по признакам нарушения антимонополь</w:t>
      </w:r>
      <w:r w:rsidRPr="00350396">
        <w:rPr>
          <w:rFonts w:ascii="Bookman Old Style" w:eastAsia="Bookman Old Style" w:hAnsi="Bookman Old Style" w:cs="Bookman Old Style"/>
          <w:color w:val="231F20"/>
          <w:sz w:val="18"/>
          <w:szCs w:val="18"/>
        </w:rPr>
        <w:softHyphen/>
        <w:t>ного законодательства в части навязывания невыгодных условий договора или экономически или технологически не обоснованного отказа (по п. 3 и 5 ч. 1 ст. 10 Федерального закона «О защите кон</w:t>
      </w:r>
      <w:r w:rsidRPr="00350396">
        <w:rPr>
          <w:rFonts w:ascii="Bookman Old Style" w:eastAsia="Bookman Old Style" w:hAnsi="Bookman Old Style" w:cs="Bookman Old Style"/>
          <w:color w:val="231F20"/>
          <w:sz w:val="18"/>
          <w:szCs w:val="18"/>
        </w:rPr>
        <w:softHyphen/>
      </w:r>
      <w:bookmarkStart w:id="98" w:name="bookmark84"/>
      <w:r w:rsidRPr="00350396">
        <w:rPr>
          <w:rFonts w:ascii="Bookman Old Style" w:eastAsia="Bookman Old Style" w:hAnsi="Bookman Old Style" w:cs="Bookman Old Style"/>
          <w:color w:val="231F20"/>
          <w:sz w:val="18"/>
          <w:szCs w:val="18"/>
        </w:rPr>
        <w:t>куренции»). Большинство предупреждений, выданных ФАС России, выполняется.</w:t>
      </w:r>
      <w:bookmarkEnd w:id="98"/>
    </w:p>
    <w:p w14:paraId="4E4B9377"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Еще одним новшеством, введенным данным Законом, стал ин</w:t>
      </w:r>
      <w:r w:rsidRPr="00350396">
        <w:rPr>
          <w:rFonts w:ascii="Bookman Old Style" w:eastAsia="Bookman Old Style" w:hAnsi="Bookman Old Style" w:cs="Bookman Old Style"/>
          <w:color w:val="231F20"/>
          <w:sz w:val="18"/>
          <w:szCs w:val="18"/>
        </w:rPr>
        <w:softHyphen/>
        <w:t>ститут предостережений.</w:t>
      </w:r>
    </w:p>
    <w:p w14:paraId="44650BB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со ст. 25.7 Федерального закона «О защите конку</w:t>
      </w:r>
      <w:r w:rsidRPr="00350396">
        <w:rPr>
          <w:rFonts w:ascii="Bookman Old Style" w:eastAsia="Bookman Old Style" w:hAnsi="Bookman Old Style" w:cs="Bookman Old Style"/>
          <w:color w:val="231F20"/>
          <w:sz w:val="18"/>
          <w:szCs w:val="18"/>
        </w:rPr>
        <w:softHyphen/>
        <w:t>ренции» предостережения о недопустимости совершения действий, которые могут привести к нарушению антимонопольного законо</w:t>
      </w:r>
      <w:r w:rsidRPr="00350396">
        <w:rPr>
          <w:rFonts w:ascii="Bookman Old Style" w:eastAsia="Bookman Old Style" w:hAnsi="Bookman Old Style" w:cs="Bookman Old Style"/>
          <w:color w:val="231F20"/>
          <w:sz w:val="18"/>
          <w:szCs w:val="18"/>
        </w:rPr>
        <w:softHyphen/>
        <w:t>дательства, антимонопольные органы направляют должностным лицам хозяйствующих субъектов, публично заявляющим о плани</w:t>
      </w:r>
      <w:r w:rsidRPr="00350396">
        <w:rPr>
          <w:rFonts w:ascii="Bookman Old Style" w:eastAsia="Bookman Old Style" w:hAnsi="Bookman Old Style" w:cs="Bookman Old Style"/>
          <w:color w:val="231F20"/>
          <w:sz w:val="18"/>
          <w:szCs w:val="18"/>
        </w:rPr>
        <w:softHyphen/>
        <w:t>руемом поведении на товарном рынке, если такое поведение может привести к нарушению антимонопольного законодательства. Цель применения такого акта антимонопольного органа — предупрежде</w:t>
      </w:r>
      <w:r w:rsidRPr="00350396">
        <w:rPr>
          <w:rFonts w:ascii="Bookman Old Style" w:eastAsia="Bookman Old Style" w:hAnsi="Bookman Old Style" w:cs="Bookman Old Style"/>
          <w:color w:val="231F20"/>
          <w:sz w:val="18"/>
          <w:szCs w:val="18"/>
        </w:rPr>
        <w:softHyphen/>
        <w:t>ние нарушения антимонопольного законодательства.</w:t>
      </w:r>
    </w:p>
    <w:p w14:paraId="737FD40E" w14:textId="77777777" w:rsidR="00350396" w:rsidRPr="00350396" w:rsidRDefault="00350396" w:rsidP="00350396">
      <w:pPr>
        <w:widowControl w:val="0"/>
        <w:spacing w:after="401"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Вместе с тем у юристов возник вопрос о возможности обжалова</w:t>
      </w:r>
      <w:r w:rsidRPr="00350396">
        <w:rPr>
          <w:rFonts w:ascii="Bookman Old Style" w:eastAsia="Bookman Old Style" w:hAnsi="Bookman Old Style" w:cs="Bookman Old Style"/>
          <w:color w:val="231F20"/>
          <w:sz w:val="18"/>
          <w:szCs w:val="18"/>
        </w:rPr>
        <w:softHyphen/>
        <w:t>ния этого акта. Однако пока суды приходят к выводу, что предосте</w:t>
      </w:r>
      <w:r w:rsidRPr="00350396">
        <w:rPr>
          <w:rFonts w:ascii="Bookman Old Style" w:eastAsia="Bookman Old Style" w:hAnsi="Bookman Old Style" w:cs="Bookman Old Style"/>
          <w:color w:val="231F20"/>
          <w:sz w:val="18"/>
          <w:szCs w:val="18"/>
        </w:rPr>
        <w:softHyphen/>
        <w:t>режение не влечет никаких правовых последствий, носит рекомен</w:t>
      </w:r>
      <w:r w:rsidRPr="00350396">
        <w:rPr>
          <w:rFonts w:ascii="Bookman Old Style" w:eastAsia="Bookman Old Style" w:hAnsi="Bookman Old Style" w:cs="Bookman Old Style"/>
          <w:color w:val="231F20"/>
          <w:sz w:val="18"/>
          <w:szCs w:val="18"/>
        </w:rPr>
        <w:softHyphen/>
        <w:t>дательный характер и поэтому обжалованию в судах не подлежит (см., например, постановление Тринадцатого Арбитражного апел</w:t>
      </w:r>
      <w:r w:rsidRPr="00350396">
        <w:rPr>
          <w:rFonts w:ascii="Bookman Old Style" w:eastAsia="Bookman Old Style" w:hAnsi="Bookman Old Style" w:cs="Bookman Old Style"/>
          <w:color w:val="231F20"/>
          <w:sz w:val="18"/>
          <w:szCs w:val="18"/>
        </w:rPr>
        <w:softHyphen/>
        <w:t xml:space="preserve">ляционного суда от </w:t>
      </w:r>
      <w:r w:rsidRPr="00350396">
        <w:rPr>
          <w:rFonts w:ascii="Bookman Old Style" w:eastAsia="Bookman Old Style" w:hAnsi="Bookman Old Style" w:cs="Bookman Old Style"/>
          <w:color w:val="231F20"/>
          <w:sz w:val="18"/>
          <w:szCs w:val="18"/>
        </w:rPr>
        <w:lastRenderedPageBreak/>
        <w:t>09.02.2015 № 13АП-29200/14)</w:t>
      </w:r>
      <w:r w:rsidRPr="00350396">
        <w:rPr>
          <w:rFonts w:ascii="Bookman Old Style" w:eastAsia="Bookman Old Style" w:hAnsi="Bookman Old Style" w:cs="Bookman Old Style"/>
          <w:color w:val="231F20"/>
          <w:sz w:val="18"/>
          <w:szCs w:val="18"/>
          <w:vertAlign w:val="superscript"/>
        </w:rPr>
        <w:footnoteReference w:id="172"/>
      </w:r>
      <w:r w:rsidRPr="00350396">
        <w:rPr>
          <w:rFonts w:ascii="Bookman Old Style" w:eastAsia="Bookman Old Style" w:hAnsi="Bookman Old Style" w:cs="Bookman Old Style"/>
          <w:color w:val="231F20"/>
          <w:sz w:val="18"/>
          <w:szCs w:val="18"/>
        </w:rPr>
        <w:t>.</w:t>
      </w:r>
    </w:p>
    <w:p w14:paraId="09F71619" w14:textId="77777777" w:rsidR="00350396" w:rsidRPr="00350396" w:rsidRDefault="00350396" w:rsidP="00350396">
      <w:pPr>
        <w:keepNext/>
        <w:keepLines/>
        <w:widowControl w:val="0"/>
        <w:spacing w:after="160" w:line="274" w:lineRule="exact"/>
        <w:ind w:firstLine="0"/>
        <w:jc w:val="center"/>
        <w:outlineLvl w:val="3"/>
        <w:rPr>
          <w:rFonts w:ascii="Arial Narrow" w:eastAsia="Arial Narrow" w:hAnsi="Arial Narrow" w:cs="Arial Narrow"/>
          <w:b/>
          <w:bCs/>
        </w:rPr>
      </w:pPr>
      <w:bookmarkStart w:id="99" w:name="bookmark85"/>
      <w:r w:rsidRPr="00350396">
        <w:rPr>
          <w:rFonts w:ascii="Arial Narrow" w:eastAsia="Arial Narrow" w:hAnsi="Arial Narrow" w:cs="Arial Narrow"/>
          <w:b/>
          <w:bCs/>
          <w:color w:val="231F20"/>
        </w:rPr>
        <w:t>Выводы</w:t>
      </w:r>
      <w:bookmarkEnd w:id="99"/>
    </w:p>
    <w:p w14:paraId="67177E0B"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Анализ состояния конкуренции на товарных рынках проводится в соответствии с приказом ФАС России от 28.04.2010 № 220 «Об ут</w:t>
      </w:r>
      <w:r w:rsidRPr="00350396">
        <w:rPr>
          <w:rFonts w:ascii="Bookman Old Style" w:eastAsia="Bookman Old Style" w:hAnsi="Bookman Old Style" w:cs="Bookman Old Style"/>
          <w:color w:val="231F20"/>
          <w:sz w:val="18"/>
          <w:szCs w:val="18"/>
        </w:rPr>
        <w:softHyphen/>
        <w:t>верждении порядка проведения анализа состояния конкуренции на товарном рынке».</w:t>
      </w:r>
    </w:p>
    <w:p w14:paraId="0B4B5859"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последнее время произошли существенные изменения зако</w:t>
      </w:r>
      <w:r w:rsidRPr="00350396">
        <w:rPr>
          <w:rFonts w:ascii="Bookman Old Style" w:eastAsia="Bookman Old Style" w:hAnsi="Bookman Old Style" w:cs="Bookman Old Style"/>
          <w:color w:val="231F20"/>
          <w:sz w:val="18"/>
          <w:szCs w:val="18"/>
        </w:rPr>
        <w:softHyphen/>
        <w:t>нодательства в области регулирования конкуренции на товарных рынках, которые направлены на совершенствование функциониро</w:t>
      </w:r>
      <w:r w:rsidRPr="00350396">
        <w:rPr>
          <w:rFonts w:ascii="Bookman Old Style" w:eastAsia="Bookman Old Style" w:hAnsi="Bookman Old Style" w:cs="Bookman Old Style"/>
          <w:color w:val="231F20"/>
          <w:sz w:val="18"/>
          <w:szCs w:val="18"/>
        </w:rPr>
        <w:softHyphen/>
        <w:t>вания рынков в целом, создание конкурентных условий, улучшение инвестиционного климата на каждом рынке путем принятия соот</w:t>
      </w:r>
      <w:r w:rsidRPr="00350396">
        <w:rPr>
          <w:rFonts w:ascii="Bookman Old Style" w:eastAsia="Bookman Old Style" w:hAnsi="Bookman Old Style" w:cs="Bookman Old Style"/>
          <w:color w:val="231F20"/>
          <w:sz w:val="18"/>
          <w:szCs w:val="18"/>
        </w:rPr>
        <w:softHyphen/>
        <w:t>ветствующих законодательных актов, с учетом специфических осо</w:t>
      </w:r>
      <w:r w:rsidRPr="00350396">
        <w:rPr>
          <w:rFonts w:ascii="Bookman Old Style" w:eastAsia="Bookman Old Style" w:hAnsi="Bookman Old Style" w:cs="Bookman Old Style"/>
          <w:color w:val="231F20"/>
          <w:sz w:val="18"/>
          <w:szCs w:val="18"/>
        </w:rPr>
        <w:softHyphen/>
        <w:t>бенностей конкретных рынков.</w:t>
      </w:r>
    </w:p>
    <w:p w14:paraId="6488F478"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соответствии со ст. 5 Федерального закона «О защите конку</w:t>
      </w:r>
      <w:r w:rsidRPr="00350396">
        <w:rPr>
          <w:rFonts w:ascii="Bookman Old Style" w:eastAsia="Bookman Old Style" w:hAnsi="Bookman Old Style" w:cs="Bookman Old Style"/>
          <w:color w:val="231F20"/>
          <w:sz w:val="18"/>
          <w:szCs w:val="18"/>
        </w:rPr>
        <w:softHyphen/>
        <w:t>ренции» доминирующим положением признается положение хозяй</w:t>
      </w:r>
      <w:r w:rsidRPr="00350396">
        <w:rPr>
          <w:rFonts w:ascii="Bookman Old Style" w:eastAsia="Bookman Old Style" w:hAnsi="Bookman Old Style" w:cs="Bookman Old Style"/>
          <w:color w:val="231F20"/>
          <w:sz w:val="18"/>
          <w:szCs w:val="18"/>
        </w:rPr>
        <w:softHyphen/>
        <w:t>ствующего субъекта (группы лиц) или нескольких хозяйствующих субъектов (групп лиц) на рынке определенного товара, дающее та</w:t>
      </w:r>
      <w:r w:rsidRPr="00350396">
        <w:rPr>
          <w:rFonts w:ascii="Bookman Old Style" w:eastAsia="Bookman Old Style" w:hAnsi="Bookman Old Style" w:cs="Bookman Old Style"/>
          <w:color w:val="231F20"/>
          <w:sz w:val="18"/>
          <w:szCs w:val="18"/>
        </w:rPr>
        <w:softHyphen/>
        <w:t>кому хозяйствующему субъекту (группе лиц) или таким хозяйству</w:t>
      </w:r>
      <w:r w:rsidRPr="00350396">
        <w:rPr>
          <w:rFonts w:ascii="Bookman Old Style" w:eastAsia="Bookman Old Style" w:hAnsi="Bookman Old Style" w:cs="Bookman Old Style"/>
          <w:color w:val="231F20"/>
          <w:sz w:val="18"/>
          <w:szCs w:val="18"/>
        </w:rPr>
        <w:softHyphen/>
        <w:t xml:space="preserve">ющим субъектам (группам лиц) возможность оказывать решающее влияние на общие условия обращения товара на соответствующем товарном рынке, и (или) устранять с этого товарного рынка других </w:t>
      </w:r>
      <w:bookmarkStart w:id="100" w:name="bookmark86"/>
      <w:r w:rsidRPr="00350396">
        <w:rPr>
          <w:rFonts w:ascii="Bookman Old Style" w:eastAsia="Bookman Old Style" w:hAnsi="Bookman Old Style" w:cs="Bookman Old Style"/>
          <w:color w:val="231F20"/>
          <w:sz w:val="18"/>
          <w:szCs w:val="18"/>
        </w:rPr>
        <w:t>хозяйствующих субъектов, и (или) затруднять доступ на этот товар</w:t>
      </w:r>
      <w:r w:rsidRPr="00350396">
        <w:rPr>
          <w:rFonts w:ascii="Bookman Old Style" w:eastAsia="Bookman Old Style" w:hAnsi="Bookman Old Style" w:cs="Bookman Old Style"/>
          <w:color w:val="231F20"/>
          <w:sz w:val="18"/>
          <w:szCs w:val="18"/>
        </w:rPr>
        <w:softHyphen/>
        <w:t>ный рынок другим хозяйствующим субъектам.</w:t>
      </w:r>
      <w:bookmarkEnd w:id="100"/>
    </w:p>
    <w:p w14:paraId="75178AE3"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настоящее время в антимонопольное законодательство введен ряд новых институтов. Важным нововведением стали институты предупреждений и предостережений (ст. 39.1 Федерального закона «О защите конкуренции»), которые оказывают существенное влия</w:t>
      </w:r>
      <w:r w:rsidRPr="00350396">
        <w:rPr>
          <w:rFonts w:ascii="Bookman Old Style" w:eastAsia="Bookman Old Style" w:hAnsi="Bookman Old Style" w:cs="Bookman Old Style"/>
          <w:color w:val="231F20"/>
          <w:sz w:val="18"/>
          <w:szCs w:val="18"/>
        </w:rPr>
        <w:softHyphen/>
        <w:t>ние на соблюдение законодательства.</w:t>
      </w:r>
    </w:p>
    <w:p w14:paraId="23382ADD" w14:textId="77777777" w:rsidR="00350396" w:rsidRPr="00350396" w:rsidRDefault="00350396" w:rsidP="00350396">
      <w:pPr>
        <w:widowControl w:val="0"/>
        <w:spacing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Кроме того, в 2015 г. для повышения эффективности реализа</w:t>
      </w:r>
      <w:r w:rsidRPr="00350396">
        <w:rPr>
          <w:rFonts w:ascii="Bookman Old Style" w:eastAsia="Bookman Old Style" w:hAnsi="Bookman Old Style" w:cs="Bookman Old Style"/>
          <w:color w:val="231F20"/>
          <w:sz w:val="18"/>
          <w:szCs w:val="18"/>
        </w:rPr>
        <w:softHyphen/>
        <w:t>ции функций, возложенных на ФАС России, а также ее полномочий в сфере государственного оборонного заказа в КоАП РФ внесен ряд изменений. Изменения также внесены в Федеральные законы «О за</w:t>
      </w:r>
      <w:r w:rsidRPr="00350396">
        <w:rPr>
          <w:rFonts w:ascii="Bookman Old Style" w:eastAsia="Bookman Old Style" w:hAnsi="Bookman Old Style" w:cs="Bookman Old Style"/>
          <w:color w:val="231F20"/>
          <w:sz w:val="18"/>
          <w:szCs w:val="18"/>
        </w:rPr>
        <w:softHyphen/>
        <w:t>щите прав юридических лиц и индивидуальных предпринимателей при осуществлении государственного контроля (надзора) и муни</w:t>
      </w:r>
      <w:r w:rsidRPr="00350396">
        <w:rPr>
          <w:rFonts w:ascii="Bookman Old Style" w:eastAsia="Bookman Old Style" w:hAnsi="Bookman Old Style" w:cs="Bookman Old Style"/>
          <w:color w:val="231F20"/>
          <w:sz w:val="18"/>
          <w:szCs w:val="18"/>
        </w:rPr>
        <w:softHyphen/>
        <w:t>ципального контроля» и «О государственном оборонном заказе».</w:t>
      </w:r>
    </w:p>
    <w:p w14:paraId="3CD138A0" w14:textId="77777777" w:rsidR="00350396" w:rsidRPr="00350396" w:rsidRDefault="00350396" w:rsidP="00350396">
      <w:pPr>
        <w:widowControl w:val="0"/>
        <w:spacing w:after="401" w:line="250" w:lineRule="exact"/>
        <w:ind w:firstLine="320"/>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 результате внесения указанных выше изменений произошло су</w:t>
      </w:r>
      <w:r w:rsidRPr="00350396">
        <w:rPr>
          <w:rFonts w:ascii="Bookman Old Style" w:eastAsia="Bookman Old Style" w:hAnsi="Bookman Old Style" w:cs="Bookman Old Style"/>
          <w:color w:val="231F20"/>
          <w:sz w:val="18"/>
          <w:szCs w:val="18"/>
        </w:rPr>
        <w:softHyphen/>
        <w:t>щественное снижение числа дел, возбуждаемых ФАС России в сфе</w:t>
      </w:r>
      <w:r w:rsidRPr="00350396">
        <w:rPr>
          <w:rFonts w:ascii="Bookman Old Style" w:eastAsia="Bookman Old Style" w:hAnsi="Bookman Old Style" w:cs="Bookman Old Style"/>
          <w:color w:val="231F20"/>
          <w:sz w:val="18"/>
          <w:szCs w:val="18"/>
        </w:rPr>
        <w:softHyphen/>
        <w:t>ре антимонопольного регулирования (с 11 276 в 2011 г. до 9092 в 2015 г.). По данным ФАС России основной объем снижения при</w:t>
      </w:r>
      <w:r w:rsidRPr="00350396">
        <w:rPr>
          <w:rFonts w:ascii="Bookman Old Style" w:eastAsia="Bookman Old Style" w:hAnsi="Bookman Old Style" w:cs="Bookman Old Style"/>
          <w:color w:val="231F20"/>
          <w:sz w:val="18"/>
          <w:szCs w:val="18"/>
        </w:rPr>
        <w:softHyphen/>
        <w:t>ходится на дела, возбуждаемые в связи со злоупотреблением хо</w:t>
      </w:r>
      <w:r w:rsidRPr="00350396">
        <w:rPr>
          <w:rFonts w:ascii="Bookman Old Style" w:eastAsia="Bookman Old Style" w:hAnsi="Bookman Old Style" w:cs="Bookman Old Style"/>
          <w:color w:val="231F20"/>
          <w:sz w:val="18"/>
          <w:szCs w:val="18"/>
        </w:rPr>
        <w:softHyphen/>
        <w:t xml:space="preserve">зяйствующими </w:t>
      </w:r>
      <w:r w:rsidRPr="00350396">
        <w:rPr>
          <w:rFonts w:ascii="Bookman Old Style" w:eastAsia="Bookman Old Style" w:hAnsi="Bookman Old Style" w:cs="Bookman Old Style"/>
          <w:color w:val="231F20"/>
          <w:sz w:val="18"/>
          <w:szCs w:val="18"/>
        </w:rPr>
        <w:lastRenderedPageBreak/>
        <w:t>субъектами доминирующим положением. Однако в сфере деятельности ФАС России по контролю за соблюдением законодательства о закупках происходит рост числа фиксируемых нарушений: если в 2015 г. реестр недобросовестных поставщиков содержал сведения примерно о 9 тыс. недобросовестных поставщи</w:t>
      </w:r>
      <w:r w:rsidRPr="00350396">
        <w:rPr>
          <w:rFonts w:ascii="Bookman Old Style" w:eastAsia="Bookman Old Style" w:hAnsi="Bookman Old Style" w:cs="Bookman Old Style"/>
          <w:color w:val="231F20"/>
          <w:sz w:val="18"/>
          <w:szCs w:val="18"/>
        </w:rPr>
        <w:softHyphen/>
        <w:t>ках, на аналогичную дату 2019 г. количество таких записей в рее</w:t>
      </w:r>
      <w:r w:rsidRPr="00350396">
        <w:rPr>
          <w:rFonts w:ascii="Bookman Old Style" w:eastAsia="Bookman Old Style" w:hAnsi="Bookman Old Style" w:cs="Bookman Old Style"/>
          <w:color w:val="231F20"/>
          <w:sz w:val="18"/>
          <w:szCs w:val="18"/>
        </w:rPr>
        <w:softHyphen/>
        <w:t>стре превышало 15 тыс., что связано с ужесточением контроля ФАС России за ситуацией на рынках.</w:t>
      </w:r>
    </w:p>
    <w:p w14:paraId="417631E2" w14:textId="77777777" w:rsidR="00350396" w:rsidRPr="00350396" w:rsidRDefault="00350396" w:rsidP="00350396">
      <w:pPr>
        <w:keepNext/>
        <w:keepLines/>
        <w:widowControl w:val="0"/>
        <w:spacing w:after="178" w:line="274" w:lineRule="exact"/>
        <w:ind w:firstLine="0"/>
        <w:jc w:val="center"/>
        <w:outlineLvl w:val="3"/>
        <w:rPr>
          <w:rFonts w:ascii="Arial Narrow" w:eastAsia="Arial Narrow" w:hAnsi="Arial Narrow" w:cs="Arial Narrow"/>
          <w:b/>
          <w:bCs/>
        </w:rPr>
      </w:pPr>
      <w:bookmarkStart w:id="101" w:name="bookmark87"/>
      <w:r w:rsidRPr="00350396">
        <w:rPr>
          <w:rFonts w:ascii="Arial Narrow" w:eastAsia="Arial Narrow" w:hAnsi="Arial Narrow" w:cs="Arial Narrow"/>
          <w:b/>
          <w:bCs/>
          <w:color w:val="231F20"/>
        </w:rPr>
        <w:t>Практикум</w:t>
      </w:r>
      <w:bookmarkEnd w:id="101"/>
    </w:p>
    <w:p w14:paraId="6E648A2F" w14:textId="77777777" w:rsidR="00350396" w:rsidRPr="00350396" w:rsidRDefault="00350396" w:rsidP="00350396">
      <w:pPr>
        <w:widowControl w:val="0"/>
        <w:spacing w:after="109" w:line="202"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Вопросы и задания для самоконтроля</w:t>
      </w:r>
    </w:p>
    <w:p w14:paraId="22161A2C" w14:textId="77777777" w:rsidR="00350396" w:rsidRPr="00350396" w:rsidRDefault="00350396" w:rsidP="00350396">
      <w:pPr>
        <w:widowControl w:val="0"/>
        <w:numPr>
          <w:ilvl w:val="0"/>
          <w:numId w:val="112"/>
        </w:numPr>
        <w:tabs>
          <w:tab w:val="left" w:pos="593"/>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Из каких этапов состоит анализ состояния конкуренции на товарных рынках в соответствии с законодательством Российской Федерации?</w:t>
      </w:r>
    </w:p>
    <w:p w14:paraId="44F6CF71" w14:textId="77777777" w:rsidR="00350396" w:rsidRPr="00350396" w:rsidRDefault="00350396" w:rsidP="00350396">
      <w:pPr>
        <w:widowControl w:val="0"/>
        <w:numPr>
          <w:ilvl w:val="0"/>
          <w:numId w:val="112"/>
        </w:numPr>
        <w:tabs>
          <w:tab w:val="left" w:pos="593"/>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Какие коэффициенты структуры товарного рынка регулярно контро</w:t>
      </w:r>
      <w:r w:rsidRPr="00350396">
        <w:rPr>
          <w:rFonts w:ascii="Bookman Old Style" w:eastAsia="Bookman Old Style" w:hAnsi="Bookman Old Style" w:cs="Bookman Old Style"/>
          <w:color w:val="231F20"/>
          <w:sz w:val="18"/>
          <w:szCs w:val="18"/>
        </w:rPr>
        <w:softHyphen/>
        <w:t>лирует ФАС России? Каков порядок их расчета?</w:t>
      </w:r>
    </w:p>
    <w:p w14:paraId="4B810A80" w14:textId="77777777" w:rsidR="00350396" w:rsidRPr="00350396" w:rsidRDefault="00350396" w:rsidP="00350396">
      <w:pPr>
        <w:widowControl w:val="0"/>
        <w:numPr>
          <w:ilvl w:val="0"/>
          <w:numId w:val="112"/>
        </w:numPr>
        <w:tabs>
          <w:tab w:val="left" w:pos="599"/>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Какие существуют барьеры для входа на товарные рынки?</w:t>
      </w:r>
    </w:p>
    <w:p w14:paraId="307CB248" w14:textId="77777777" w:rsidR="00350396" w:rsidRPr="00350396" w:rsidRDefault="00350396" w:rsidP="00350396">
      <w:pPr>
        <w:widowControl w:val="0"/>
        <w:numPr>
          <w:ilvl w:val="0"/>
          <w:numId w:val="112"/>
        </w:numPr>
        <w:tabs>
          <w:tab w:val="left" w:pos="593"/>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Опишите процедуру выявления товара, не имеющего заменителя, или взаимозаменяемых товаров.</w:t>
      </w:r>
    </w:p>
    <w:p w14:paraId="3AD04F92" w14:textId="77777777" w:rsidR="00350396" w:rsidRPr="00350396" w:rsidRDefault="00350396" w:rsidP="00350396">
      <w:pPr>
        <w:widowControl w:val="0"/>
        <w:numPr>
          <w:ilvl w:val="0"/>
          <w:numId w:val="112"/>
        </w:numPr>
        <w:tabs>
          <w:tab w:val="left" w:pos="593"/>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Назовите случаи признания в соответствии с федеральными законами положения хозяйствующего субъекта доминирующим при условии, что доля субъекта на рынке определенного товара составляет менее 35 %.</w:t>
      </w:r>
    </w:p>
    <w:p w14:paraId="64895E97" w14:textId="77777777" w:rsidR="00350396" w:rsidRPr="00350396" w:rsidRDefault="00350396" w:rsidP="00350396">
      <w:pPr>
        <w:widowControl w:val="0"/>
        <w:numPr>
          <w:ilvl w:val="0"/>
          <w:numId w:val="112"/>
        </w:numPr>
        <w:tabs>
          <w:tab w:val="left" w:pos="593"/>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Каковы основные критерии наличия недобросовестной конкуренции хозяйствующих субъектов?</w:t>
      </w:r>
    </w:p>
    <w:p w14:paraId="04FEBCCC" w14:textId="77777777" w:rsidR="00350396" w:rsidRPr="00350396" w:rsidRDefault="00350396" w:rsidP="00350396">
      <w:pPr>
        <w:widowControl w:val="0"/>
        <w:numPr>
          <w:ilvl w:val="0"/>
          <w:numId w:val="112"/>
        </w:numPr>
        <w:tabs>
          <w:tab w:val="left" w:pos="593"/>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Какие примеры злоупотреблений хозяйствующими субъектами своим доминирующим положением на рынках энергетических ресурсов вы можете назвать?</w:t>
      </w:r>
    </w:p>
    <w:p w14:paraId="3B9D8DD7" w14:textId="77777777" w:rsidR="00350396" w:rsidRPr="00350396" w:rsidRDefault="00350396" w:rsidP="00350396">
      <w:pPr>
        <w:widowControl w:val="0"/>
        <w:numPr>
          <w:ilvl w:val="0"/>
          <w:numId w:val="112"/>
        </w:numPr>
        <w:tabs>
          <w:tab w:val="left" w:pos="590"/>
        </w:tabs>
        <w:spacing w:line="216" w:lineRule="exact"/>
        <w:ind w:firstLine="320"/>
        <w:jc w:val="left"/>
        <w:rPr>
          <w:rFonts w:ascii="Bookman Old Style" w:eastAsia="Bookman Old Style" w:hAnsi="Bookman Old Style" w:cs="Bookman Old Style"/>
          <w:sz w:val="17"/>
          <w:szCs w:val="17"/>
        </w:rPr>
      </w:pPr>
      <w:bookmarkStart w:id="102" w:name="bookmark88"/>
      <w:r w:rsidRPr="00350396">
        <w:rPr>
          <w:rFonts w:ascii="Bookman Old Style" w:eastAsia="Bookman Old Style" w:hAnsi="Bookman Old Style" w:cs="Bookman Old Style"/>
          <w:color w:val="231F20"/>
          <w:sz w:val="17"/>
          <w:szCs w:val="17"/>
        </w:rPr>
        <w:t>Какие существуют особенности контроля процедуры организации и проведения торгов со стороны субъектов естественных монополий?</w:t>
      </w:r>
      <w:bookmarkEnd w:id="102"/>
    </w:p>
    <w:p w14:paraId="26573FA2" w14:textId="77777777" w:rsidR="00350396" w:rsidRPr="00350396" w:rsidRDefault="00350396" w:rsidP="00350396">
      <w:pPr>
        <w:widowControl w:val="0"/>
        <w:numPr>
          <w:ilvl w:val="0"/>
          <w:numId w:val="112"/>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Опишите типичные нарушения государственных заказчиков при про</w:t>
      </w:r>
      <w:r w:rsidRPr="00350396">
        <w:rPr>
          <w:rFonts w:ascii="Bookman Old Style" w:eastAsia="Bookman Old Style" w:hAnsi="Bookman Old Style" w:cs="Bookman Old Style"/>
          <w:color w:val="231F20"/>
          <w:sz w:val="17"/>
          <w:szCs w:val="17"/>
        </w:rPr>
        <w:softHyphen/>
        <w:t>ведении закупочных процедур для государственных и муниципальных нужд.</w:t>
      </w:r>
    </w:p>
    <w:p w14:paraId="7C30EB1C" w14:textId="77777777" w:rsidR="00350396" w:rsidRPr="00350396" w:rsidRDefault="00350396" w:rsidP="00350396">
      <w:pPr>
        <w:widowControl w:val="0"/>
        <w:numPr>
          <w:ilvl w:val="0"/>
          <w:numId w:val="112"/>
        </w:numPr>
        <w:tabs>
          <w:tab w:val="left" w:pos="673"/>
        </w:tabs>
        <w:spacing w:after="171"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Опишите порядок обжалования решений (предписаний), постанов</w:t>
      </w:r>
      <w:r w:rsidRPr="00350396">
        <w:rPr>
          <w:rFonts w:ascii="Bookman Old Style" w:eastAsia="Bookman Old Style" w:hAnsi="Bookman Old Style" w:cs="Bookman Old Style"/>
          <w:color w:val="231F20"/>
          <w:sz w:val="17"/>
          <w:szCs w:val="17"/>
        </w:rPr>
        <w:softHyphen/>
        <w:t>лений о наложении административных штрафов ФАС России в судах.</w:t>
      </w:r>
    </w:p>
    <w:p w14:paraId="7BB89963" w14:textId="77777777" w:rsidR="00350396" w:rsidRPr="00350396" w:rsidRDefault="00350396" w:rsidP="00350396">
      <w:pPr>
        <w:widowControl w:val="0"/>
        <w:spacing w:line="202"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Задачи</w:t>
      </w:r>
    </w:p>
    <w:p w14:paraId="73E173DB" w14:textId="77777777" w:rsidR="00350396" w:rsidRPr="00350396" w:rsidRDefault="00350396" w:rsidP="00350396">
      <w:pPr>
        <w:widowControl w:val="0"/>
        <w:numPr>
          <w:ilvl w:val="0"/>
          <w:numId w:val="113"/>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Рассчитайте коэффициент рыночной концентрации по формуле (5.1), если известно, что на рынке функционируют три крупнейших хозяйствую</w:t>
      </w:r>
      <w:r w:rsidRPr="00350396">
        <w:rPr>
          <w:rFonts w:ascii="Bookman Old Style" w:eastAsia="Bookman Old Style" w:hAnsi="Bookman Old Style" w:cs="Bookman Old Style"/>
          <w:color w:val="231F20"/>
          <w:sz w:val="17"/>
          <w:szCs w:val="17"/>
        </w:rPr>
        <w:softHyphen/>
        <w:t xml:space="preserve">щих субъекта и доля каждого субъекта оценивается в следующем размере: </w:t>
      </w:r>
      <w:r w:rsidRPr="00350396">
        <w:rPr>
          <w:rFonts w:ascii="Bookman Old Style" w:eastAsia="Bookman Old Style" w:hAnsi="Bookman Old Style" w:cs="Bookman Old Style"/>
          <w:i/>
          <w:iCs/>
          <w:color w:val="231F20"/>
          <w:sz w:val="17"/>
          <w:szCs w:val="17"/>
          <w:lang w:val="en-US" w:eastAsia="en-US" w:bidi="en-US"/>
        </w:rPr>
        <w:t>D</w:t>
      </w:r>
      <w:r w:rsidRPr="00350396">
        <w:rPr>
          <w:rFonts w:ascii="Bookman Old Style" w:eastAsia="Bookman Old Style" w:hAnsi="Bookman Old Style" w:cs="Bookman Old Style"/>
          <w:i/>
          <w:iCs/>
          <w:color w:val="231F20"/>
          <w:sz w:val="17"/>
          <w:szCs w:val="17"/>
          <w:lang w:eastAsia="en-US" w:bidi="en-US"/>
        </w:rPr>
        <w:t xml:space="preserve">1 </w:t>
      </w:r>
      <w:r w:rsidRPr="00350396">
        <w:rPr>
          <w:rFonts w:ascii="Bookman Old Style" w:eastAsia="Bookman Old Style" w:hAnsi="Bookman Old Style" w:cs="Bookman Old Style"/>
          <w:i/>
          <w:iCs/>
          <w:color w:val="231F20"/>
          <w:sz w:val="17"/>
          <w:szCs w:val="17"/>
        </w:rPr>
        <w:t>=</w:t>
      </w:r>
      <w:r w:rsidRPr="00350396">
        <w:rPr>
          <w:rFonts w:ascii="Bookman Old Style" w:eastAsia="Bookman Old Style" w:hAnsi="Bookman Old Style" w:cs="Bookman Old Style"/>
          <w:color w:val="231F20"/>
          <w:sz w:val="17"/>
          <w:szCs w:val="17"/>
        </w:rPr>
        <w:t xml:space="preserve"> 0,3; </w:t>
      </w:r>
      <w:r w:rsidRPr="00350396">
        <w:rPr>
          <w:rFonts w:ascii="Bookman Old Style" w:eastAsia="Bookman Old Style" w:hAnsi="Bookman Old Style" w:cs="Bookman Old Style"/>
          <w:i/>
          <w:iCs/>
          <w:color w:val="231F20"/>
          <w:sz w:val="17"/>
          <w:szCs w:val="17"/>
          <w:lang w:val="en-US" w:eastAsia="en-US" w:bidi="en-US"/>
        </w:rPr>
        <w:t>D</w:t>
      </w:r>
      <w:r w:rsidRPr="00350396">
        <w:rPr>
          <w:rFonts w:ascii="Bookman Old Style" w:eastAsia="Bookman Old Style" w:hAnsi="Bookman Old Style" w:cs="Bookman Old Style"/>
          <w:i/>
          <w:iCs/>
          <w:color w:val="231F20"/>
          <w:sz w:val="17"/>
          <w:szCs w:val="17"/>
          <w:lang w:eastAsia="en-US" w:bidi="en-US"/>
        </w:rPr>
        <w:t xml:space="preserve">2 </w:t>
      </w:r>
      <w:r w:rsidRPr="00350396">
        <w:rPr>
          <w:rFonts w:ascii="Bookman Old Style" w:eastAsia="Bookman Old Style" w:hAnsi="Bookman Old Style" w:cs="Bookman Old Style"/>
          <w:i/>
          <w:iCs/>
          <w:color w:val="231F20"/>
          <w:sz w:val="17"/>
          <w:szCs w:val="17"/>
        </w:rPr>
        <w:t>=</w:t>
      </w:r>
      <w:r w:rsidRPr="00350396">
        <w:rPr>
          <w:rFonts w:ascii="Bookman Old Style" w:eastAsia="Bookman Old Style" w:hAnsi="Bookman Old Style" w:cs="Bookman Old Style"/>
          <w:color w:val="231F20"/>
          <w:sz w:val="17"/>
          <w:szCs w:val="17"/>
        </w:rPr>
        <w:t xml:space="preserve"> 0,2; </w:t>
      </w:r>
      <w:r w:rsidRPr="00350396">
        <w:rPr>
          <w:rFonts w:ascii="Bookman Old Style" w:eastAsia="Bookman Old Style" w:hAnsi="Bookman Old Style" w:cs="Bookman Old Style"/>
          <w:i/>
          <w:iCs/>
          <w:color w:val="231F20"/>
          <w:sz w:val="17"/>
          <w:szCs w:val="17"/>
          <w:lang w:val="en-US" w:eastAsia="en-US" w:bidi="en-US"/>
        </w:rPr>
        <w:t>D</w:t>
      </w:r>
      <w:r w:rsidRPr="00350396">
        <w:rPr>
          <w:rFonts w:ascii="Bookman Old Style" w:eastAsia="Bookman Old Style" w:hAnsi="Bookman Old Style" w:cs="Bookman Old Style"/>
          <w:i/>
          <w:iCs/>
          <w:color w:val="231F20"/>
          <w:sz w:val="17"/>
          <w:szCs w:val="17"/>
          <w:lang w:eastAsia="en-US" w:bidi="en-US"/>
        </w:rPr>
        <w:t xml:space="preserve">3 </w:t>
      </w:r>
      <w:r w:rsidRPr="00350396">
        <w:rPr>
          <w:rFonts w:ascii="Bookman Old Style" w:eastAsia="Bookman Old Style" w:hAnsi="Bookman Old Style" w:cs="Bookman Old Style"/>
          <w:i/>
          <w:iCs/>
          <w:color w:val="231F20"/>
          <w:sz w:val="17"/>
          <w:szCs w:val="17"/>
        </w:rPr>
        <w:t>=</w:t>
      </w:r>
      <w:r w:rsidRPr="00350396">
        <w:rPr>
          <w:rFonts w:ascii="Bookman Old Style" w:eastAsia="Bookman Old Style" w:hAnsi="Bookman Old Style" w:cs="Bookman Old Style"/>
          <w:color w:val="231F20"/>
          <w:sz w:val="17"/>
          <w:szCs w:val="17"/>
        </w:rPr>
        <w:t xml:space="preserve"> 0,3.</w:t>
      </w:r>
    </w:p>
    <w:p w14:paraId="2B26935E" w14:textId="77777777" w:rsidR="00350396" w:rsidRPr="00350396" w:rsidRDefault="00350396" w:rsidP="00350396">
      <w:pPr>
        <w:widowControl w:val="0"/>
        <w:numPr>
          <w:ilvl w:val="0"/>
          <w:numId w:val="113"/>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Рассчитайте индекс рыночной концентрации Герфиндаля — Гиршмана по формуле (5.2), если известно, что общее число хозяйствующих субъектов, действующих на данном товарном рынке, равно пяти.</w:t>
      </w:r>
    </w:p>
    <w:p w14:paraId="01F04BE7" w14:textId="77777777" w:rsidR="00350396" w:rsidRPr="00350396" w:rsidRDefault="00350396" w:rsidP="00350396">
      <w:pPr>
        <w:widowControl w:val="0"/>
        <w:spacing w:after="171" w:line="216" w:lineRule="exact"/>
        <w:ind w:firstLine="320"/>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 xml:space="preserve">Доли каждого субъекта на рынке: </w:t>
      </w:r>
      <w:r w:rsidRPr="00350396">
        <w:rPr>
          <w:rFonts w:ascii="Bookman Old Style" w:eastAsia="Bookman Old Style" w:hAnsi="Bookman Old Style" w:cs="Bookman Old Style"/>
          <w:color w:val="231F20"/>
          <w:sz w:val="17"/>
          <w:szCs w:val="17"/>
          <w:lang w:val="en-US" w:eastAsia="en-US" w:bidi="en-US"/>
        </w:rPr>
        <w:t>D</w:t>
      </w:r>
      <w:r w:rsidRPr="00350396">
        <w:rPr>
          <w:rFonts w:ascii="Bookman Old Style" w:eastAsia="Bookman Old Style" w:hAnsi="Bookman Old Style" w:cs="Bookman Old Style"/>
          <w:color w:val="231F20"/>
          <w:sz w:val="17"/>
          <w:szCs w:val="17"/>
          <w:lang w:eastAsia="en-US" w:bidi="en-US"/>
        </w:rPr>
        <w:t xml:space="preserve">1 </w:t>
      </w:r>
      <w:r w:rsidRPr="00350396">
        <w:rPr>
          <w:rFonts w:ascii="Bookman Old Style" w:eastAsia="Bookman Old Style" w:hAnsi="Bookman Old Style" w:cs="Bookman Old Style"/>
          <w:color w:val="231F20"/>
          <w:sz w:val="17"/>
          <w:szCs w:val="17"/>
        </w:rPr>
        <w:t xml:space="preserve">= 0,15; </w:t>
      </w:r>
      <w:r w:rsidRPr="00350396">
        <w:rPr>
          <w:rFonts w:ascii="Bookman Old Style" w:eastAsia="Bookman Old Style" w:hAnsi="Bookman Old Style" w:cs="Bookman Old Style"/>
          <w:color w:val="231F20"/>
          <w:sz w:val="17"/>
          <w:szCs w:val="17"/>
          <w:lang w:val="en-US" w:eastAsia="en-US" w:bidi="en-US"/>
        </w:rPr>
        <w:t>D</w:t>
      </w:r>
      <w:r w:rsidRPr="00350396">
        <w:rPr>
          <w:rFonts w:ascii="Bookman Old Style" w:eastAsia="Bookman Old Style" w:hAnsi="Bookman Old Style" w:cs="Bookman Old Style"/>
          <w:color w:val="231F20"/>
          <w:sz w:val="17"/>
          <w:szCs w:val="17"/>
          <w:lang w:eastAsia="en-US" w:bidi="en-US"/>
        </w:rPr>
        <w:t xml:space="preserve">2 </w:t>
      </w:r>
      <w:r w:rsidRPr="00350396">
        <w:rPr>
          <w:rFonts w:ascii="Bookman Old Style" w:eastAsia="Bookman Old Style" w:hAnsi="Bookman Old Style" w:cs="Bookman Old Style"/>
          <w:color w:val="231F20"/>
          <w:sz w:val="17"/>
          <w:szCs w:val="17"/>
        </w:rPr>
        <w:t xml:space="preserve">= 0,25; </w:t>
      </w:r>
      <w:r w:rsidRPr="00350396">
        <w:rPr>
          <w:rFonts w:ascii="Bookman Old Style" w:eastAsia="Bookman Old Style" w:hAnsi="Bookman Old Style" w:cs="Bookman Old Style"/>
          <w:color w:val="231F20"/>
          <w:sz w:val="17"/>
          <w:szCs w:val="17"/>
          <w:lang w:val="en-US" w:eastAsia="en-US" w:bidi="en-US"/>
        </w:rPr>
        <w:t>D</w:t>
      </w:r>
      <w:r w:rsidRPr="00350396">
        <w:rPr>
          <w:rFonts w:ascii="Bookman Old Style" w:eastAsia="Bookman Old Style" w:hAnsi="Bookman Old Style" w:cs="Bookman Old Style"/>
          <w:color w:val="231F20"/>
          <w:sz w:val="17"/>
          <w:szCs w:val="17"/>
          <w:lang w:eastAsia="en-US" w:bidi="en-US"/>
        </w:rPr>
        <w:t xml:space="preserve">3 </w:t>
      </w:r>
      <w:r w:rsidRPr="00350396">
        <w:rPr>
          <w:rFonts w:ascii="Bookman Old Style" w:eastAsia="Bookman Old Style" w:hAnsi="Bookman Old Style" w:cs="Bookman Old Style"/>
          <w:color w:val="231F20"/>
          <w:sz w:val="17"/>
          <w:szCs w:val="17"/>
        </w:rPr>
        <w:t xml:space="preserve">= 0,2; </w:t>
      </w:r>
      <w:r w:rsidRPr="00350396">
        <w:rPr>
          <w:rFonts w:ascii="Bookman Old Style" w:eastAsia="Bookman Old Style" w:hAnsi="Bookman Old Style" w:cs="Bookman Old Style"/>
          <w:color w:val="231F20"/>
          <w:sz w:val="17"/>
          <w:szCs w:val="17"/>
          <w:lang w:val="en-US" w:eastAsia="en-US" w:bidi="en-US"/>
        </w:rPr>
        <w:t>D</w:t>
      </w:r>
      <w:r w:rsidRPr="00350396">
        <w:rPr>
          <w:rFonts w:ascii="Bookman Old Style" w:eastAsia="Bookman Old Style" w:hAnsi="Bookman Old Style" w:cs="Bookman Old Style"/>
          <w:color w:val="231F20"/>
          <w:sz w:val="17"/>
          <w:szCs w:val="17"/>
          <w:lang w:eastAsia="en-US" w:bidi="en-US"/>
        </w:rPr>
        <w:t xml:space="preserve">4 </w:t>
      </w:r>
      <w:r w:rsidRPr="00350396">
        <w:rPr>
          <w:rFonts w:ascii="Bookman Old Style" w:eastAsia="Bookman Old Style" w:hAnsi="Bookman Old Style" w:cs="Bookman Old Style"/>
          <w:color w:val="231F20"/>
          <w:sz w:val="17"/>
          <w:szCs w:val="17"/>
        </w:rPr>
        <w:t xml:space="preserve">= 0,3; </w:t>
      </w:r>
      <w:r w:rsidRPr="00350396">
        <w:rPr>
          <w:rFonts w:ascii="Bookman Old Style" w:eastAsia="Bookman Old Style" w:hAnsi="Bookman Old Style" w:cs="Bookman Old Style"/>
          <w:color w:val="231F20"/>
          <w:sz w:val="17"/>
          <w:szCs w:val="17"/>
          <w:lang w:val="en-US" w:eastAsia="en-US" w:bidi="en-US"/>
        </w:rPr>
        <w:t>D</w:t>
      </w:r>
      <w:r w:rsidRPr="00350396">
        <w:rPr>
          <w:rFonts w:ascii="Bookman Old Style" w:eastAsia="Bookman Old Style" w:hAnsi="Bookman Old Style" w:cs="Bookman Old Style"/>
          <w:color w:val="231F20"/>
          <w:sz w:val="17"/>
          <w:szCs w:val="17"/>
          <w:lang w:eastAsia="en-US" w:bidi="en-US"/>
        </w:rPr>
        <w:t xml:space="preserve">5 </w:t>
      </w:r>
      <w:r w:rsidRPr="00350396">
        <w:rPr>
          <w:rFonts w:ascii="Bookman Old Style" w:eastAsia="Bookman Old Style" w:hAnsi="Bookman Old Style" w:cs="Bookman Old Style"/>
          <w:color w:val="231F20"/>
          <w:sz w:val="17"/>
          <w:szCs w:val="17"/>
        </w:rPr>
        <w:t>= 0,1.</w:t>
      </w:r>
    </w:p>
    <w:p w14:paraId="7A9C8CB8" w14:textId="77777777" w:rsidR="00350396" w:rsidRPr="00350396" w:rsidRDefault="00350396" w:rsidP="00350396">
      <w:pPr>
        <w:widowControl w:val="0"/>
        <w:spacing w:line="202" w:lineRule="exact"/>
        <w:ind w:firstLine="0"/>
        <w:jc w:val="center"/>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Задания</w:t>
      </w:r>
    </w:p>
    <w:p w14:paraId="62CF6AB3" w14:textId="77777777" w:rsidR="00350396" w:rsidRPr="00350396" w:rsidRDefault="00350396" w:rsidP="00350396">
      <w:pPr>
        <w:widowControl w:val="0"/>
        <w:numPr>
          <w:ilvl w:val="0"/>
          <w:numId w:val="114"/>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 xml:space="preserve">Изучите последние изменения в антимонопольном </w:t>
      </w:r>
      <w:r w:rsidRPr="00350396">
        <w:rPr>
          <w:rFonts w:ascii="Bookman Old Style" w:eastAsia="Bookman Old Style" w:hAnsi="Bookman Old Style" w:cs="Bookman Old Style"/>
          <w:color w:val="231F20"/>
          <w:sz w:val="17"/>
          <w:szCs w:val="17"/>
        </w:rPr>
        <w:lastRenderedPageBreak/>
        <w:t>законодательстве</w:t>
      </w:r>
      <w:r w:rsidRPr="00350396">
        <w:rPr>
          <w:rFonts w:ascii="Bookman Old Style" w:eastAsia="Bookman Old Style" w:hAnsi="Bookman Old Style" w:cs="Bookman Old Style"/>
          <w:color w:val="231F20"/>
          <w:sz w:val="17"/>
          <w:szCs w:val="17"/>
          <w:vertAlign w:val="superscript"/>
        </w:rPr>
        <w:footnoteReference w:id="173"/>
      </w:r>
      <w:r w:rsidRPr="00350396">
        <w:rPr>
          <w:rFonts w:ascii="Bookman Old Style" w:eastAsia="Bookman Old Style" w:hAnsi="Bookman Old Style" w:cs="Bookman Old Style"/>
          <w:color w:val="231F20"/>
          <w:sz w:val="17"/>
          <w:szCs w:val="17"/>
        </w:rPr>
        <w:t>. Проанализируйте положительные эффекты этих изменений с точки зрения бизнес-сектора и государства. Обсудите, какие риски несут в себе последние изменения в антимонопольном законодательстве для разных хозяйствую</w:t>
      </w:r>
      <w:r w:rsidRPr="00350396">
        <w:rPr>
          <w:rFonts w:ascii="Bookman Old Style" w:eastAsia="Bookman Old Style" w:hAnsi="Bookman Old Style" w:cs="Bookman Old Style"/>
          <w:color w:val="231F20"/>
          <w:sz w:val="17"/>
          <w:szCs w:val="17"/>
        </w:rPr>
        <w:softHyphen/>
        <w:t>щих субъектов.</w:t>
      </w:r>
    </w:p>
    <w:p w14:paraId="4A3D4F89" w14:textId="77777777" w:rsidR="00350396" w:rsidRPr="00350396" w:rsidRDefault="00350396" w:rsidP="00350396">
      <w:pPr>
        <w:widowControl w:val="0"/>
        <w:numPr>
          <w:ilvl w:val="0"/>
          <w:numId w:val="114"/>
        </w:numPr>
        <w:tabs>
          <w:tab w:val="left" w:pos="590"/>
        </w:tabs>
        <w:spacing w:after="414"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С помощью информационного бюллетеня практики антимонополь</w:t>
      </w:r>
      <w:r w:rsidRPr="00350396">
        <w:rPr>
          <w:rFonts w:ascii="Bookman Old Style" w:eastAsia="Bookman Old Style" w:hAnsi="Bookman Old Style" w:cs="Bookman Old Style"/>
          <w:color w:val="231F20"/>
          <w:sz w:val="17"/>
          <w:szCs w:val="17"/>
        </w:rPr>
        <w:softHyphen/>
        <w:t>ного регулирования проанализируйте наиболее часто встречающиеся на</w:t>
      </w:r>
      <w:r w:rsidRPr="00350396">
        <w:rPr>
          <w:rFonts w:ascii="Bookman Old Style" w:eastAsia="Bookman Old Style" w:hAnsi="Bookman Old Style" w:cs="Bookman Old Style"/>
          <w:color w:val="231F20"/>
          <w:sz w:val="17"/>
          <w:szCs w:val="17"/>
        </w:rPr>
        <w:softHyphen/>
        <w:t>рушения антимонопольного законодательства</w:t>
      </w:r>
      <w:r w:rsidRPr="00350396">
        <w:rPr>
          <w:rFonts w:ascii="Bookman Old Style" w:eastAsia="Bookman Old Style" w:hAnsi="Bookman Old Style" w:cs="Bookman Old Style"/>
          <w:color w:val="231F20"/>
          <w:sz w:val="17"/>
          <w:szCs w:val="17"/>
          <w:vertAlign w:val="superscript"/>
        </w:rPr>
        <w:footnoteReference w:id="174"/>
      </w:r>
      <w:r w:rsidRPr="00350396">
        <w:rPr>
          <w:rFonts w:ascii="Bookman Old Style" w:eastAsia="Bookman Old Style" w:hAnsi="Bookman Old Style" w:cs="Bookman Old Style"/>
          <w:color w:val="231F20"/>
          <w:sz w:val="17"/>
          <w:szCs w:val="17"/>
        </w:rPr>
        <w:t>.</w:t>
      </w:r>
    </w:p>
    <w:p w14:paraId="2D2113F0" w14:textId="77777777" w:rsidR="00350396" w:rsidRPr="00350396" w:rsidRDefault="00350396" w:rsidP="00350396">
      <w:pPr>
        <w:keepNext/>
        <w:keepLines/>
        <w:widowControl w:val="0"/>
        <w:spacing w:after="206" w:line="274" w:lineRule="exact"/>
        <w:ind w:firstLine="0"/>
        <w:jc w:val="center"/>
        <w:outlineLvl w:val="3"/>
        <w:rPr>
          <w:rFonts w:ascii="Arial Narrow" w:eastAsia="Arial Narrow" w:hAnsi="Arial Narrow" w:cs="Arial Narrow"/>
          <w:b/>
          <w:bCs/>
        </w:rPr>
      </w:pPr>
      <w:bookmarkStart w:id="103" w:name="bookmark89"/>
      <w:r w:rsidRPr="00350396">
        <w:rPr>
          <w:rFonts w:ascii="Arial Narrow" w:eastAsia="Arial Narrow" w:hAnsi="Arial Narrow" w:cs="Arial Narrow"/>
          <w:b/>
          <w:bCs/>
          <w:color w:val="231F20"/>
        </w:rPr>
        <w:t>Литература</w:t>
      </w:r>
      <w:bookmarkEnd w:id="103"/>
    </w:p>
    <w:p w14:paraId="69069781" w14:textId="77777777" w:rsidR="00350396" w:rsidRPr="00350396" w:rsidRDefault="00350396" w:rsidP="00350396">
      <w:pPr>
        <w:widowControl w:val="0"/>
        <w:numPr>
          <w:ilvl w:val="0"/>
          <w:numId w:val="115"/>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Федеральный закон от 26.07.2006 № 135-ФЗ «О защите конкуренции».</w:t>
      </w:r>
    </w:p>
    <w:p w14:paraId="3CEF2E58" w14:textId="77777777" w:rsidR="00350396" w:rsidRPr="00350396" w:rsidRDefault="00350396" w:rsidP="00350396">
      <w:pPr>
        <w:widowControl w:val="0"/>
        <w:numPr>
          <w:ilvl w:val="0"/>
          <w:numId w:val="115"/>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Федеральный закон от 18.07.2011 № 223-ФЗ «О закупках товаров, работ, услуг отдельными видами юридических лиц».</w:t>
      </w:r>
    </w:p>
    <w:p w14:paraId="3ED1B0D3" w14:textId="77777777" w:rsidR="00350396" w:rsidRPr="00350396" w:rsidRDefault="00350396" w:rsidP="00350396">
      <w:pPr>
        <w:widowControl w:val="0"/>
        <w:numPr>
          <w:ilvl w:val="0"/>
          <w:numId w:val="115"/>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14:paraId="0D7953BD" w14:textId="77777777" w:rsidR="00350396" w:rsidRPr="00350396" w:rsidRDefault="00350396" w:rsidP="00350396">
      <w:pPr>
        <w:widowControl w:val="0"/>
        <w:numPr>
          <w:ilvl w:val="0"/>
          <w:numId w:val="115"/>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Постановление Правительства РФ от 30.06.2004 № 331 «Об утверж</w:t>
      </w:r>
      <w:r w:rsidRPr="00350396">
        <w:rPr>
          <w:rFonts w:ascii="Bookman Old Style" w:eastAsia="Bookman Old Style" w:hAnsi="Bookman Old Style" w:cs="Bookman Old Style"/>
          <w:color w:val="231F20"/>
          <w:sz w:val="17"/>
          <w:szCs w:val="17"/>
        </w:rPr>
        <w:softHyphen/>
        <w:t>дении Положения о Федеральной антимонопольной службе».</w:t>
      </w:r>
    </w:p>
    <w:p w14:paraId="028E3F46" w14:textId="77777777" w:rsidR="00350396" w:rsidRPr="00350396" w:rsidRDefault="00350396" w:rsidP="00350396">
      <w:pPr>
        <w:widowControl w:val="0"/>
        <w:numPr>
          <w:ilvl w:val="0"/>
          <w:numId w:val="115"/>
        </w:numPr>
        <w:tabs>
          <w:tab w:val="left" w:pos="590"/>
        </w:tabs>
        <w:spacing w:line="216" w:lineRule="exact"/>
        <w:ind w:firstLine="320"/>
        <w:jc w:val="left"/>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7"/>
          <w:szCs w:val="17"/>
        </w:rPr>
        <w:t>Приказ ФАС России от 28.04.2010 № 220 «Об утверждении Порядка проведения анализа состояния конкуренции на товарном рынке».</w:t>
      </w:r>
    </w:p>
    <w:p w14:paraId="261E0A17" w14:textId="77777777" w:rsidR="00350396" w:rsidRPr="00350396" w:rsidRDefault="00350396" w:rsidP="00350396">
      <w:pPr>
        <w:widowControl w:val="0"/>
        <w:numPr>
          <w:ilvl w:val="0"/>
          <w:numId w:val="115"/>
        </w:numPr>
        <w:tabs>
          <w:tab w:val="left" w:pos="590"/>
        </w:tabs>
        <w:spacing w:line="216" w:lineRule="exact"/>
        <w:ind w:firstLine="320"/>
        <w:jc w:val="left"/>
        <w:rPr>
          <w:rFonts w:ascii="Bookman Old Style" w:eastAsia="Bookman Old Style" w:hAnsi="Bookman Old Style" w:cs="Bookman Old Style"/>
          <w:sz w:val="17"/>
          <w:szCs w:val="17"/>
        </w:rPr>
        <w:sectPr w:rsidR="00350396" w:rsidRPr="00350396">
          <w:footerReference w:type="even" r:id="rId133"/>
          <w:footerReference w:type="default" r:id="rId134"/>
          <w:footerReference w:type="first" r:id="rId135"/>
          <w:pgSz w:w="8789" w:h="13493"/>
          <w:pgMar w:top="924" w:right="1075" w:bottom="1182" w:left="1070" w:header="0" w:footer="3" w:gutter="0"/>
          <w:cols w:space="720"/>
          <w:noEndnote/>
          <w:titlePg/>
          <w:docGrid w:linePitch="360"/>
        </w:sectPr>
      </w:pPr>
      <w:r w:rsidRPr="00350396">
        <w:rPr>
          <w:rFonts w:ascii="Bookman Old Style" w:eastAsia="Bookman Old Style" w:hAnsi="Bookman Old Style" w:cs="Bookman Old Style"/>
          <w:color w:val="231F20"/>
          <w:sz w:val="17"/>
          <w:szCs w:val="17"/>
        </w:rPr>
        <w:t>Постановление Правительства РФ от 27.12.2004 № 861 «Об утверж</w:t>
      </w:r>
      <w:r w:rsidRPr="00350396">
        <w:rPr>
          <w:rFonts w:ascii="Bookman Old Style" w:eastAsia="Bookman Old Style" w:hAnsi="Bookman Old Style" w:cs="Bookman Old Style"/>
          <w:color w:val="231F20"/>
          <w:sz w:val="17"/>
          <w:szCs w:val="17"/>
        </w:rPr>
        <w:softHyphen/>
        <w:t>дении Правил недискриминационного доступа к услугам по передаче элек</w:t>
      </w:r>
      <w:r w:rsidRPr="00350396">
        <w:rPr>
          <w:rFonts w:ascii="Bookman Old Style" w:eastAsia="Bookman Old Style" w:hAnsi="Bookman Old Style" w:cs="Bookman Old Style"/>
          <w:color w:val="231F20"/>
          <w:sz w:val="17"/>
          <w:szCs w:val="17"/>
        </w:rPr>
        <w:softHyphen/>
        <w:t>трической энергии и оказания этих услуг, Правил недискриминационного доступа к услугам по оперативно-диспетчерскому управлению в электро</w:t>
      </w:r>
      <w:r w:rsidRPr="00350396">
        <w:rPr>
          <w:rFonts w:ascii="Bookman Old Style" w:eastAsia="Bookman Old Style" w:hAnsi="Bookman Old Style" w:cs="Bookman Old Style"/>
          <w:color w:val="231F20"/>
          <w:sz w:val="17"/>
          <w:szCs w:val="17"/>
        </w:rPr>
        <w:softHyphen/>
        <w:t xml:space="preserve">энергетике и оказания этих услуг, Правил недискриминационного доступа к услугам администратора торговой системы оптового рынка и оказания </w:t>
      </w:r>
    </w:p>
    <w:p w14:paraId="6975EDE5" w14:textId="77777777" w:rsidR="00350396" w:rsidRPr="00350396" w:rsidRDefault="00350396" w:rsidP="00350396">
      <w:pPr>
        <w:widowControl w:val="0"/>
        <w:tabs>
          <w:tab w:val="left" w:pos="590"/>
        </w:tabs>
        <w:spacing w:line="216" w:lineRule="exact"/>
        <w:ind w:firstLine="320"/>
        <w:rPr>
          <w:rFonts w:ascii="Bookman Old Style" w:eastAsia="Bookman Old Style" w:hAnsi="Bookman Old Style" w:cs="Bookman Old Style"/>
          <w:sz w:val="17"/>
          <w:szCs w:val="17"/>
        </w:rPr>
      </w:pPr>
      <w:r w:rsidRPr="00350396">
        <w:rPr>
          <w:rFonts w:ascii="Bookman Old Style" w:eastAsia="Bookman Old Style" w:hAnsi="Bookman Old Style" w:cs="Bookman Old Style"/>
          <w:color w:val="231F20"/>
          <w:sz w:val="18"/>
          <w:szCs w:val="18"/>
        </w:rPr>
        <w:lastRenderedPageBreak/>
        <w:t>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w:t>
      </w:r>
      <w:r w:rsidRPr="00350396">
        <w:rPr>
          <w:rFonts w:ascii="Bookman Old Style" w:eastAsia="Bookman Old Style" w:hAnsi="Bookman Old Style" w:cs="Bookman Old Style"/>
          <w:color w:val="231F20"/>
          <w:sz w:val="18"/>
          <w:szCs w:val="18"/>
        </w:rPr>
        <w:softHyphen/>
        <w:t>надлежащих сетевым организациям и иным лицам, к электрическим сетям».</w:t>
      </w:r>
    </w:p>
    <w:p w14:paraId="6C345D5B" w14:textId="77777777" w:rsidR="00350396" w:rsidRPr="00350396" w:rsidRDefault="00350396" w:rsidP="00350396">
      <w:pPr>
        <w:widowControl w:val="0"/>
        <w:numPr>
          <w:ilvl w:val="0"/>
          <w:numId w:val="115"/>
        </w:numPr>
        <w:tabs>
          <w:tab w:val="left" w:pos="584"/>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Приказ Минэкономразвития России от 03.05.2006 № 124 «Об утверж</w:t>
      </w:r>
      <w:r w:rsidRPr="00350396">
        <w:rPr>
          <w:rFonts w:ascii="Bookman Old Style" w:eastAsia="Bookman Old Style" w:hAnsi="Bookman Old Style" w:cs="Bookman Old Style"/>
          <w:color w:val="231F20"/>
          <w:sz w:val="18"/>
          <w:szCs w:val="18"/>
        </w:rPr>
        <w:softHyphen/>
        <w:t>дении Порядка согласования проведения закрытого конкурса, закрытого аукциона, возможности заключения государственного или муниципального контракта с единственным поставщиком (исполнителем, подрядчиком)».</w:t>
      </w:r>
    </w:p>
    <w:p w14:paraId="2FEE4CDE" w14:textId="77777777" w:rsidR="00350396" w:rsidRPr="00350396" w:rsidRDefault="00350396" w:rsidP="00350396">
      <w:pPr>
        <w:widowControl w:val="0"/>
        <w:numPr>
          <w:ilvl w:val="0"/>
          <w:numId w:val="115"/>
        </w:numPr>
        <w:tabs>
          <w:tab w:val="left" w:pos="584"/>
        </w:tabs>
        <w:spacing w:line="216" w:lineRule="exact"/>
        <w:ind w:firstLine="320"/>
        <w:jc w:val="left"/>
        <w:rPr>
          <w:rFonts w:ascii="Bookman Old Style" w:eastAsia="Bookman Old Style" w:hAnsi="Bookman Old Style" w:cs="Bookman Old Style"/>
          <w:sz w:val="18"/>
          <w:szCs w:val="18"/>
        </w:rPr>
      </w:pPr>
      <w:r w:rsidRPr="00350396">
        <w:rPr>
          <w:rFonts w:ascii="Bookman Old Style" w:eastAsia="Bookman Old Style" w:hAnsi="Bookman Old Style" w:cs="Bookman Old Style"/>
          <w:color w:val="231F20"/>
          <w:sz w:val="18"/>
          <w:szCs w:val="18"/>
        </w:rPr>
        <w:t>Взаимодействие государства и бизнеса : учеб. пособие / отв. ред. Е. И. Марковская. — СПб. : Изд-во СПбГЭУ, 2014.</w:t>
      </w:r>
    </w:p>
    <w:p w14:paraId="6407AE33" w14:textId="77777777" w:rsidR="00350396" w:rsidRPr="00350396" w:rsidRDefault="00350396" w:rsidP="00350396">
      <w:pPr>
        <w:widowControl w:val="0"/>
        <w:numPr>
          <w:ilvl w:val="0"/>
          <w:numId w:val="115"/>
        </w:numPr>
        <w:tabs>
          <w:tab w:val="left" w:pos="584"/>
        </w:tabs>
        <w:spacing w:line="216" w:lineRule="exact"/>
        <w:ind w:firstLine="320"/>
        <w:jc w:val="left"/>
        <w:rPr>
          <w:rFonts w:ascii="Bookman Old Style" w:eastAsia="Bookman Old Style" w:hAnsi="Bookman Old Style" w:cs="Bookman Old Style"/>
          <w:sz w:val="18"/>
          <w:szCs w:val="18"/>
        </w:rPr>
        <w:sectPr w:rsidR="00350396" w:rsidRPr="00350396">
          <w:footerReference w:type="even" r:id="rId136"/>
          <w:footerReference w:type="default" r:id="rId137"/>
          <w:footerReference w:type="first" r:id="rId138"/>
          <w:pgSz w:w="8789" w:h="13493"/>
          <w:pgMar w:top="924" w:right="1075" w:bottom="1182" w:left="1070" w:header="0" w:footer="3" w:gutter="0"/>
          <w:cols w:space="720"/>
          <w:noEndnote/>
          <w:titlePg/>
          <w:docGrid w:linePitch="360"/>
        </w:sectPr>
      </w:pPr>
      <w:r w:rsidRPr="00350396">
        <w:rPr>
          <w:rFonts w:ascii="Bookman Old Style" w:eastAsia="Bookman Old Style" w:hAnsi="Bookman Old Style" w:cs="Bookman Old Style"/>
          <w:color w:val="231F20"/>
          <w:sz w:val="18"/>
          <w:szCs w:val="18"/>
        </w:rPr>
        <w:t>Механизмы государственно-частного партнерства. Теория и практи</w:t>
      </w:r>
      <w:r w:rsidRPr="00350396">
        <w:rPr>
          <w:rFonts w:ascii="Bookman Old Style" w:eastAsia="Bookman Old Style" w:hAnsi="Bookman Old Style" w:cs="Bookman Old Style"/>
          <w:color w:val="231F20"/>
          <w:sz w:val="18"/>
          <w:szCs w:val="18"/>
        </w:rPr>
        <w:softHyphen/>
        <w:t>ка : учебник и практикум для вузов / Е. И. Марковская [и др.] ; под общ. ред. Е. И. Марковской. — М. : Издательство Юрайт, 2019. — 489 с.</w:t>
      </w:r>
    </w:p>
    <w:p w14:paraId="5B8B5034" w14:textId="77777777" w:rsidR="00350D42" w:rsidRDefault="00350D42">
      <w:pPr>
        <w:rPr>
          <w:sz w:val="2"/>
          <w:szCs w:val="2"/>
        </w:rPr>
        <w:sectPr w:rsidR="00350D42">
          <w:footerReference w:type="even" r:id="rId139"/>
          <w:footerReference w:type="default" r:id="rId140"/>
          <w:footerReference w:type="first" r:id="rId141"/>
          <w:pgSz w:w="8789" w:h="13493"/>
          <w:pgMar w:top="949" w:right="0" w:bottom="1136" w:left="0" w:header="0" w:footer="3" w:gutter="0"/>
          <w:cols w:space="720"/>
          <w:noEndnote/>
          <w:docGrid w:linePitch="360"/>
        </w:sectPr>
      </w:pPr>
    </w:p>
    <w:p w14:paraId="0A90B96B" w14:textId="77777777" w:rsidR="00350D42" w:rsidRDefault="008E6F64">
      <w:pPr>
        <w:pStyle w:val="301"/>
        <w:shd w:val="clear" w:color="auto" w:fill="auto"/>
      </w:pPr>
      <w:bookmarkStart w:id="104" w:name="bookmark90"/>
      <w:r>
        <w:rPr>
          <w:rStyle w:val="302"/>
          <w:b/>
          <w:bCs/>
        </w:rPr>
        <w:t>Глава 6</w:t>
      </w:r>
      <w:bookmarkEnd w:id="104"/>
    </w:p>
    <w:p w14:paraId="6D25E37C" w14:textId="77777777" w:rsidR="00350D42" w:rsidRDefault="008E6F64">
      <w:pPr>
        <w:pStyle w:val="301"/>
        <w:shd w:val="clear" w:color="auto" w:fill="auto"/>
      </w:pPr>
      <w:r>
        <w:rPr>
          <w:rStyle w:val="302"/>
          <w:b/>
          <w:bCs/>
        </w:rPr>
        <w:t>ЭКОНОМИЧЕСКИЕ, ПРАВОВЫЕ</w:t>
      </w:r>
      <w:r>
        <w:rPr>
          <w:rStyle w:val="302"/>
          <w:b/>
          <w:bCs/>
        </w:rPr>
        <w:br/>
        <w:t>И ОРГАНИЗАЦИОННО-ПСИХОЛОГИЧЕСКИЕ</w:t>
      </w:r>
      <w:r>
        <w:rPr>
          <w:rStyle w:val="302"/>
          <w:b/>
          <w:bCs/>
        </w:rPr>
        <w:br/>
        <w:t>АСПЕКТЫ УПРАВЛЕНИЯ СИСТЕМОЙ</w:t>
      </w:r>
      <w:r>
        <w:rPr>
          <w:rStyle w:val="302"/>
          <w:b/>
          <w:bCs/>
        </w:rPr>
        <w:br/>
        <w:t>ГОСУДАРСТВЕННЫХ ЗАКУПОК</w:t>
      </w:r>
    </w:p>
    <w:p w14:paraId="6194ECED" w14:textId="77777777" w:rsidR="00350D42" w:rsidRDefault="008E6F64">
      <w:pPr>
        <w:pStyle w:val="2c"/>
        <w:shd w:val="clear" w:color="auto" w:fill="auto"/>
        <w:spacing w:before="0" w:line="226" w:lineRule="exact"/>
        <w:ind w:firstLine="340"/>
      </w:pPr>
      <w:r>
        <w:rPr>
          <w:rStyle w:val="2d"/>
        </w:rPr>
        <w:t>В результате изучения данной главы студент должен:</w:t>
      </w:r>
    </w:p>
    <w:p w14:paraId="29523B0F" w14:textId="77777777" w:rsidR="00350D42" w:rsidRDefault="008E6F64">
      <w:pPr>
        <w:pStyle w:val="101"/>
        <w:shd w:val="clear" w:color="auto" w:fill="auto"/>
        <w:ind w:firstLine="340"/>
      </w:pPr>
      <w:r>
        <w:rPr>
          <w:rStyle w:val="102"/>
          <w:b/>
          <w:bCs/>
          <w:i/>
          <w:iCs/>
        </w:rPr>
        <w:t>знать</w:t>
      </w:r>
    </w:p>
    <w:p w14:paraId="52B064B2" w14:textId="77777777" w:rsidR="00350D42" w:rsidRDefault="008E6F64">
      <w:pPr>
        <w:pStyle w:val="2c"/>
        <w:numPr>
          <w:ilvl w:val="0"/>
          <w:numId w:val="116"/>
        </w:numPr>
        <w:shd w:val="clear" w:color="auto" w:fill="auto"/>
        <w:tabs>
          <w:tab w:val="left" w:pos="542"/>
        </w:tabs>
        <w:spacing w:before="0" w:line="226" w:lineRule="exact"/>
        <w:ind w:firstLine="340"/>
      </w:pPr>
      <w:r>
        <w:rPr>
          <w:rStyle w:val="2d"/>
        </w:rPr>
        <w:t>основные понятия, связанные с системой государственных закупок;</w:t>
      </w:r>
    </w:p>
    <w:p w14:paraId="5413EDFC" w14:textId="77777777" w:rsidR="00350D42" w:rsidRDefault="008E6F64">
      <w:pPr>
        <w:pStyle w:val="2c"/>
        <w:numPr>
          <w:ilvl w:val="0"/>
          <w:numId w:val="116"/>
        </w:numPr>
        <w:shd w:val="clear" w:color="auto" w:fill="auto"/>
        <w:tabs>
          <w:tab w:val="left" w:pos="526"/>
        </w:tabs>
        <w:spacing w:before="0" w:line="226" w:lineRule="exact"/>
        <w:ind w:firstLine="340"/>
      </w:pPr>
      <w:r>
        <w:rPr>
          <w:rStyle w:val="2d"/>
        </w:rPr>
        <w:t>правовые основы функционирования системы государственных за</w:t>
      </w:r>
      <w:r>
        <w:rPr>
          <w:rStyle w:val="2d"/>
        </w:rPr>
        <w:softHyphen/>
        <w:t>купок в России;</w:t>
      </w:r>
    </w:p>
    <w:p w14:paraId="1B9DB6EA" w14:textId="77777777" w:rsidR="00350D42" w:rsidRDefault="008E6F64">
      <w:pPr>
        <w:pStyle w:val="2c"/>
        <w:numPr>
          <w:ilvl w:val="0"/>
          <w:numId w:val="116"/>
        </w:numPr>
        <w:shd w:val="clear" w:color="auto" w:fill="auto"/>
        <w:tabs>
          <w:tab w:val="left" w:pos="526"/>
        </w:tabs>
        <w:spacing w:before="0" w:line="226" w:lineRule="exact"/>
        <w:ind w:firstLine="340"/>
      </w:pPr>
      <w:r>
        <w:rPr>
          <w:rStyle w:val="2d"/>
        </w:rPr>
        <w:t>особенности осуществления процесса государственных закупок в Рос</w:t>
      </w:r>
      <w:r>
        <w:rPr>
          <w:rStyle w:val="2d"/>
        </w:rPr>
        <w:softHyphen/>
        <w:t>сии;</w:t>
      </w:r>
    </w:p>
    <w:p w14:paraId="0C7EE4BC" w14:textId="77777777" w:rsidR="00350D42" w:rsidRDefault="008E6F64">
      <w:pPr>
        <w:pStyle w:val="101"/>
        <w:shd w:val="clear" w:color="auto" w:fill="auto"/>
        <w:ind w:firstLine="340"/>
      </w:pPr>
      <w:r>
        <w:rPr>
          <w:rStyle w:val="102"/>
          <w:b/>
          <w:bCs/>
          <w:i/>
          <w:iCs/>
        </w:rPr>
        <w:t>уметь</w:t>
      </w:r>
    </w:p>
    <w:p w14:paraId="7B19BCD6" w14:textId="77777777" w:rsidR="00350D42" w:rsidRDefault="008E6F64">
      <w:pPr>
        <w:pStyle w:val="2c"/>
        <w:numPr>
          <w:ilvl w:val="0"/>
          <w:numId w:val="116"/>
        </w:numPr>
        <w:shd w:val="clear" w:color="auto" w:fill="auto"/>
        <w:tabs>
          <w:tab w:val="left" w:pos="526"/>
        </w:tabs>
        <w:spacing w:before="0" w:line="226" w:lineRule="exact"/>
        <w:ind w:firstLine="340"/>
      </w:pPr>
      <w:r>
        <w:rPr>
          <w:rStyle w:val="2d"/>
        </w:rPr>
        <w:t>анализировать особенности применения законодательства в области государственных закупок;</w:t>
      </w:r>
    </w:p>
    <w:p w14:paraId="256E54F4" w14:textId="77777777" w:rsidR="00350D42" w:rsidRDefault="008E6F64">
      <w:pPr>
        <w:pStyle w:val="2c"/>
        <w:numPr>
          <w:ilvl w:val="0"/>
          <w:numId w:val="116"/>
        </w:numPr>
        <w:shd w:val="clear" w:color="auto" w:fill="auto"/>
        <w:tabs>
          <w:tab w:val="left" w:pos="526"/>
        </w:tabs>
        <w:spacing w:before="0" w:line="226" w:lineRule="exact"/>
        <w:ind w:firstLine="340"/>
      </w:pPr>
      <w:r>
        <w:rPr>
          <w:rStyle w:val="2d"/>
        </w:rPr>
        <w:t>рассматривать систему государственных закупок с помощью управ</w:t>
      </w:r>
      <w:r>
        <w:rPr>
          <w:rStyle w:val="2d"/>
        </w:rPr>
        <w:softHyphen/>
        <w:t>ленческих модулей;</w:t>
      </w:r>
    </w:p>
    <w:p w14:paraId="14BDEE2F" w14:textId="77777777" w:rsidR="00350D42" w:rsidRDefault="008E6F64">
      <w:pPr>
        <w:pStyle w:val="101"/>
        <w:shd w:val="clear" w:color="auto" w:fill="auto"/>
        <w:ind w:firstLine="340"/>
      </w:pPr>
      <w:r>
        <w:rPr>
          <w:rStyle w:val="102"/>
          <w:b/>
          <w:bCs/>
          <w:i/>
          <w:iCs/>
        </w:rPr>
        <w:t>владеть</w:t>
      </w:r>
    </w:p>
    <w:p w14:paraId="556736DF" w14:textId="77777777" w:rsidR="00350D42" w:rsidRDefault="008E6F64">
      <w:pPr>
        <w:pStyle w:val="2c"/>
        <w:numPr>
          <w:ilvl w:val="0"/>
          <w:numId w:val="116"/>
        </w:numPr>
        <w:shd w:val="clear" w:color="auto" w:fill="auto"/>
        <w:tabs>
          <w:tab w:val="left" w:pos="526"/>
        </w:tabs>
        <w:spacing w:before="0" w:line="226" w:lineRule="exact"/>
        <w:ind w:firstLine="340"/>
      </w:pPr>
      <w:r>
        <w:rPr>
          <w:rStyle w:val="2d"/>
        </w:rPr>
        <w:t>техникой политико-экономического анализа системы государственных закупок;</w:t>
      </w:r>
    </w:p>
    <w:p w14:paraId="73B0F2E2" w14:textId="77777777" w:rsidR="00350D42" w:rsidRDefault="008E6F64">
      <w:pPr>
        <w:pStyle w:val="2c"/>
        <w:numPr>
          <w:ilvl w:val="0"/>
          <w:numId w:val="116"/>
        </w:numPr>
        <w:shd w:val="clear" w:color="auto" w:fill="auto"/>
        <w:tabs>
          <w:tab w:val="left" w:pos="542"/>
        </w:tabs>
        <w:spacing w:before="0" w:after="412" w:line="226" w:lineRule="exact"/>
        <w:ind w:firstLine="340"/>
      </w:pPr>
      <w:r>
        <w:rPr>
          <w:rStyle w:val="2d"/>
        </w:rPr>
        <w:t>методикой анализа с помощью управленческих модулей.</w:t>
      </w:r>
    </w:p>
    <w:p w14:paraId="6662BB30" w14:textId="77777777" w:rsidR="00350D42" w:rsidRDefault="008E6F64">
      <w:pPr>
        <w:pStyle w:val="4c"/>
        <w:keepNext/>
        <w:keepLines/>
        <w:shd w:val="clear" w:color="auto" w:fill="auto"/>
        <w:spacing w:before="0" w:after="209" w:line="336" w:lineRule="exact"/>
        <w:ind w:firstLine="0"/>
        <w:jc w:val="center"/>
      </w:pPr>
      <w:bookmarkStart w:id="105" w:name="bookmark91"/>
      <w:r>
        <w:rPr>
          <w:rStyle w:val="4d"/>
          <w:b/>
          <w:bCs/>
        </w:rPr>
        <w:t>6.1. Экономические и правовые основы функционирования</w:t>
      </w:r>
      <w:r>
        <w:rPr>
          <w:rStyle w:val="4d"/>
          <w:b/>
          <w:bCs/>
        </w:rPr>
        <w:br/>
        <w:t>системы государственных закупок</w:t>
      </w:r>
      <w:bookmarkEnd w:id="105"/>
    </w:p>
    <w:p w14:paraId="74B420A3" w14:textId="77777777" w:rsidR="00350D42" w:rsidRDefault="008E6F64">
      <w:pPr>
        <w:pStyle w:val="2c"/>
        <w:shd w:val="clear" w:color="auto" w:fill="auto"/>
        <w:spacing w:before="0"/>
        <w:ind w:firstLine="340"/>
      </w:pPr>
      <w:r>
        <w:rPr>
          <w:rStyle w:val="2d"/>
        </w:rPr>
        <w:t>Государственные закупки представляют собой процесс приобре</w:t>
      </w:r>
      <w:r>
        <w:rPr>
          <w:rStyle w:val="2d"/>
        </w:rPr>
        <w:softHyphen/>
        <w:t>тения на бюджетные средства товаров, услуг и работ для удовлет</w:t>
      </w:r>
      <w:r>
        <w:rPr>
          <w:rStyle w:val="2d"/>
        </w:rPr>
        <w:softHyphen/>
        <w:t>ворения государственных нужд. Государственные закупки товаров и услуг могут включать в себя приобретение медикаментов, страхо</w:t>
      </w:r>
      <w:r>
        <w:rPr>
          <w:rStyle w:val="2d"/>
        </w:rPr>
        <w:softHyphen/>
        <w:t>вание автомобилей, ремонт помещений, строительство госучрежде</w:t>
      </w:r>
      <w:r>
        <w:rPr>
          <w:rStyle w:val="2d"/>
        </w:rPr>
        <w:softHyphen/>
        <w:t>ний. Государственные закупки охватывают практически все сферы рынка. В процессе государственных закупок покупателем выступает государство. Данный процесс законодательно регламентирован.</w:t>
      </w:r>
    </w:p>
    <w:p w14:paraId="3D550540" w14:textId="77777777" w:rsidR="00350D42" w:rsidRDefault="008E6F64">
      <w:pPr>
        <w:pStyle w:val="2c"/>
        <w:shd w:val="clear" w:color="auto" w:fill="auto"/>
        <w:spacing w:before="0"/>
        <w:ind w:firstLine="340"/>
      </w:pPr>
      <w:r>
        <w:rPr>
          <w:rStyle w:val="2d"/>
        </w:rPr>
        <w:t>Согласно законодательству, государственные закупки проводятся в виде тендеров (открытых конкурсов). Вся информация о предсто</w:t>
      </w:r>
      <w:r>
        <w:rPr>
          <w:rStyle w:val="2d"/>
        </w:rPr>
        <w:softHyphen/>
        <w:t>ящих, действующих и завершенных тендерах должна размещать</w:t>
      </w:r>
      <w:r>
        <w:rPr>
          <w:rStyle w:val="2d"/>
        </w:rPr>
        <w:softHyphen/>
        <w:t>ся на сайте государственных закупок. У каждого региона страны есть свой сайт. Все сайты устроены одинаково, это облегчает поиск для поставщиков. Информация на сайте открыта для всех, она по</w:t>
      </w:r>
      <w:r>
        <w:rPr>
          <w:rStyle w:val="2d"/>
        </w:rPr>
        <w:softHyphen/>
        <w:t xml:space="preserve">стоянно обновляется и </w:t>
      </w:r>
      <w:r>
        <w:rPr>
          <w:rStyle w:val="2d"/>
        </w:rPr>
        <w:lastRenderedPageBreak/>
        <w:t>должна быть всегда актуальной. На сайте, где проводился конкурс, организаторы обязаны опубликовать спи</w:t>
      </w:r>
      <w:r>
        <w:rPr>
          <w:rStyle w:val="2d"/>
        </w:rPr>
        <w:softHyphen/>
        <w:t>ски участников, объявить итоги и назвать победителя. Для дости</w:t>
      </w:r>
      <w:r>
        <w:rPr>
          <w:rStyle w:val="2d"/>
        </w:rPr>
        <w:softHyphen/>
        <w:t>жения прозрачности указываются суммы заключенных контрактов и сэкономленных средств.</w:t>
      </w:r>
    </w:p>
    <w:p w14:paraId="01B741CB" w14:textId="77777777" w:rsidR="00350D42" w:rsidRDefault="008E6F64">
      <w:pPr>
        <w:pStyle w:val="2c"/>
        <w:shd w:val="clear" w:color="auto" w:fill="auto"/>
        <w:spacing w:before="0" w:line="254" w:lineRule="exact"/>
        <w:ind w:firstLine="320"/>
      </w:pPr>
      <w:r>
        <w:rPr>
          <w:rStyle w:val="2d"/>
        </w:rPr>
        <w:t>Система государственных закупок в Российской Федерации по</w:t>
      </w:r>
      <w:r>
        <w:rPr>
          <w:rStyle w:val="2d"/>
        </w:rPr>
        <w:softHyphen/>
        <w:t>степенно эволюционирует, адаптируясь к изменяющимся условиям институциональной среды.</w:t>
      </w:r>
    </w:p>
    <w:p w14:paraId="6E63BE8B" w14:textId="77777777" w:rsidR="00350D42" w:rsidRDefault="008E6F64">
      <w:pPr>
        <w:pStyle w:val="2c"/>
        <w:shd w:val="clear" w:color="auto" w:fill="auto"/>
        <w:spacing w:before="0" w:line="254" w:lineRule="exact"/>
        <w:ind w:firstLine="320"/>
      </w:pPr>
      <w:r>
        <w:rPr>
          <w:rStyle w:val="2d"/>
        </w:rPr>
        <w:t>До 1990-х гг. в СССР действовала система Госснаба, которая за</w:t>
      </w:r>
      <w:r>
        <w:rPr>
          <w:rStyle w:val="2d"/>
        </w:rPr>
        <w:softHyphen/>
        <w:t>ключалась в реализации централизованной системы снабжения предприятий товарами и услугами. Далее, вплоть до 2005 г., су</w:t>
      </w:r>
      <w:r>
        <w:rPr>
          <w:rStyle w:val="2d"/>
        </w:rPr>
        <w:softHyphen/>
        <w:t>ществовала система президентских указов, регламентирующих процесс государственных закупок. Так, был принят Указ Прези</w:t>
      </w:r>
      <w:r>
        <w:rPr>
          <w:rStyle w:val="2d"/>
        </w:rPr>
        <w:softHyphen/>
        <w:t>дента РФ от 08.04.1997 № 305 «О первоочередных мерах по пре</w:t>
      </w:r>
      <w:r>
        <w:rPr>
          <w:rStyle w:val="2d"/>
        </w:rPr>
        <w:softHyphen/>
        <w:t>дотвращению коррупции и сокращению бюджетных расходов при организации закупки продукции для государственных нужд», в соответствии с которым была создана система, призванная кон</w:t>
      </w:r>
      <w:r>
        <w:rPr>
          <w:rStyle w:val="2d"/>
        </w:rPr>
        <w:softHyphen/>
        <w:t>тролировать систему государственных закупок.</w:t>
      </w:r>
    </w:p>
    <w:p w14:paraId="0391C460" w14:textId="3C667404" w:rsidR="00350D42" w:rsidRDefault="008E6F64">
      <w:pPr>
        <w:pStyle w:val="2c"/>
        <w:shd w:val="clear" w:color="auto" w:fill="auto"/>
        <w:spacing w:before="0" w:line="254" w:lineRule="exact"/>
        <w:ind w:firstLine="320"/>
      </w:pPr>
      <w:r>
        <w:rPr>
          <w:rStyle w:val="2d"/>
        </w:rPr>
        <w:t>В июле 2005 г. был принят Федеральный закон № 94-ФЗ «О раз</w:t>
      </w:r>
      <w:r>
        <w:rPr>
          <w:rStyle w:val="2d"/>
        </w:rPr>
        <w:softHyphen/>
        <w:t>мещении заказов на поставки товаров, выполнение работ, оказание услуг для государственных и муниципальных нужд» (ныне утратив</w:t>
      </w:r>
      <w:r>
        <w:rPr>
          <w:rStyle w:val="2d"/>
        </w:rPr>
        <w:softHyphen/>
        <w:t>ший силу</w:t>
      </w:r>
      <w:r w:rsidR="000E0C7E" w:rsidRPr="000E0C7E">
        <w:rPr>
          <w:rStyle w:val="2d"/>
        </w:rPr>
        <w:t xml:space="preserve"> </w:t>
      </w:r>
      <w:r w:rsidR="000E0C7E" w:rsidRPr="000E0C7E">
        <w:rPr>
          <w:rStyle w:val="2d"/>
          <w:color w:val="00B050"/>
        </w:rPr>
        <w:t>на основании Ф</w:t>
      </w:r>
      <w:r w:rsidR="00D367BF">
        <w:rPr>
          <w:rStyle w:val="2d"/>
          <w:color w:val="00B050"/>
        </w:rPr>
        <w:t xml:space="preserve">едерального </w:t>
      </w:r>
      <w:r w:rsidR="000E0C7E" w:rsidRPr="000E0C7E">
        <w:rPr>
          <w:rStyle w:val="2d"/>
          <w:color w:val="00B050"/>
        </w:rPr>
        <w:t>З</w:t>
      </w:r>
      <w:r w:rsidR="00D367BF">
        <w:rPr>
          <w:rStyle w:val="2d"/>
          <w:color w:val="00B050"/>
        </w:rPr>
        <w:t>акона</w:t>
      </w:r>
      <w:r w:rsidR="000E0C7E" w:rsidRPr="000E0C7E">
        <w:rPr>
          <w:rStyle w:val="2d"/>
          <w:color w:val="00B050"/>
        </w:rPr>
        <w:t xml:space="preserve"> от 05 апреля 2013 г. № 94</w:t>
      </w:r>
      <w:r>
        <w:rPr>
          <w:rStyle w:val="2d"/>
        </w:rPr>
        <w:t>). Закон был поддержан на всех уровнях. После его при</w:t>
      </w:r>
      <w:r>
        <w:rPr>
          <w:rStyle w:val="2d"/>
        </w:rPr>
        <w:softHyphen/>
        <w:t>нятия объем государственных закупок значительно вырос. Однако эксперты отмечали ряд проблем, связанных с правоприменитель</w:t>
      </w:r>
      <w:r>
        <w:rPr>
          <w:rStyle w:val="2d"/>
        </w:rPr>
        <w:softHyphen/>
        <w:t>ной практикой этого законодательного акта. Так, специалисты НИУ ВШЭ в рамках исследовательского проекта «Анализ функциониро</w:t>
      </w:r>
      <w:r>
        <w:rPr>
          <w:rStyle w:val="2d"/>
        </w:rPr>
        <w:softHyphen/>
        <w:t>вания системы государственных закупок и разработка предложе</w:t>
      </w:r>
      <w:r>
        <w:rPr>
          <w:rStyle w:val="2d"/>
        </w:rPr>
        <w:softHyphen/>
        <w:t>ний по ее совершенствованию», осуществленного в 2009 г., выде</w:t>
      </w:r>
      <w:r>
        <w:rPr>
          <w:rStyle w:val="2d"/>
        </w:rPr>
        <w:softHyphen/>
        <w:t>лили множество проблем, в частности:</w:t>
      </w:r>
    </w:p>
    <w:p w14:paraId="0A27543F" w14:textId="77777777" w:rsidR="00350D42" w:rsidRDefault="008E6F64">
      <w:pPr>
        <w:pStyle w:val="2c"/>
        <w:numPr>
          <w:ilvl w:val="0"/>
          <w:numId w:val="110"/>
        </w:numPr>
        <w:shd w:val="clear" w:color="auto" w:fill="auto"/>
        <w:tabs>
          <w:tab w:val="left" w:pos="636"/>
        </w:tabs>
        <w:spacing w:before="0" w:line="254" w:lineRule="exact"/>
        <w:ind w:firstLine="320"/>
      </w:pPr>
      <w:r>
        <w:rPr>
          <w:rStyle w:val="2d"/>
        </w:rPr>
        <w:t>невозможность гарантировать качество покупаемых товаров и услуг в рамках технического задания;</w:t>
      </w:r>
    </w:p>
    <w:p w14:paraId="21D79F4C" w14:textId="77777777" w:rsidR="00350D42" w:rsidRDefault="008E6F64">
      <w:pPr>
        <w:pStyle w:val="2c"/>
        <w:numPr>
          <w:ilvl w:val="0"/>
          <w:numId w:val="110"/>
        </w:numPr>
        <w:shd w:val="clear" w:color="auto" w:fill="auto"/>
        <w:tabs>
          <w:tab w:val="left" w:pos="636"/>
        </w:tabs>
        <w:spacing w:before="0" w:line="254" w:lineRule="exact"/>
        <w:ind w:firstLine="320"/>
      </w:pPr>
      <w:r>
        <w:rPr>
          <w:rStyle w:val="2d"/>
        </w:rPr>
        <w:t>отсутствие надежной базы для объективного определения на</w:t>
      </w:r>
      <w:r>
        <w:rPr>
          <w:rStyle w:val="2d"/>
        </w:rPr>
        <w:softHyphen/>
        <w:t>чальных цен контрактов;</w:t>
      </w:r>
    </w:p>
    <w:p w14:paraId="6806F91A" w14:textId="77777777" w:rsidR="00350D42" w:rsidRDefault="008E6F64">
      <w:pPr>
        <w:pStyle w:val="2c"/>
        <w:numPr>
          <w:ilvl w:val="0"/>
          <w:numId w:val="110"/>
        </w:numPr>
        <w:shd w:val="clear" w:color="auto" w:fill="auto"/>
        <w:tabs>
          <w:tab w:val="left" w:pos="636"/>
        </w:tabs>
        <w:spacing w:before="0" w:line="254" w:lineRule="exact"/>
        <w:ind w:firstLine="320"/>
      </w:pPr>
      <w:r>
        <w:rPr>
          <w:rStyle w:val="2d"/>
        </w:rPr>
        <w:t>длительность сроков проведения открытого конкурса/аук</w:t>
      </w:r>
      <w:r>
        <w:rPr>
          <w:rStyle w:val="2d"/>
        </w:rPr>
        <w:softHyphen/>
        <w:t>циона;</w:t>
      </w:r>
    </w:p>
    <w:p w14:paraId="6E8F5A1F" w14:textId="77777777" w:rsidR="00350D42" w:rsidRDefault="008E6F64">
      <w:pPr>
        <w:pStyle w:val="2c"/>
        <w:numPr>
          <w:ilvl w:val="0"/>
          <w:numId w:val="110"/>
        </w:numPr>
        <w:shd w:val="clear" w:color="auto" w:fill="auto"/>
        <w:tabs>
          <w:tab w:val="left" w:pos="671"/>
        </w:tabs>
        <w:spacing w:before="0" w:line="254" w:lineRule="exact"/>
        <w:ind w:firstLine="320"/>
      </w:pPr>
      <w:r>
        <w:rPr>
          <w:rStyle w:val="2d"/>
        </w:rPr>
        <w:t>недобросовестное поведение поставщиков и т. д.</w:t>
      </w:r>
      <w:r>
        <w:rPr>
          <w:rStyle w:val="2d"/>
          <w:vertAlign w:val="superscript"/>
        </w:rPr>
        <w:t xml:space="preserve">1 </w:t>
      </w:r>
      <w:r>
        <w:rPr>
          <w:rStyle w:val="2d"/>
          <w:vertAlign w:val="superscript"/>
        </w:rPr>
        <w:footnoteReference w:id="175"/>
      </w:r>
    </w:p>
    <w:p w14:paraId="0C8144E3" w14:textId="77777777" w:rsidR="00350D42" w:rsidRDefault="008E6F64">
      <w:pPr>
        <w:pStyle w:val="2c"/>
        <w:shd w:val="clear" w:color="auto" w:fill="auto"/>
        <w:spacing w:before="0"/>
        <w:ind w:firstLine="320"/>
      </w:pPr>
      <w:r>
        <w:rPr>
          <w:rStyle w:val="2d"/>
        </w:rPr>
        <w:t>Перечисленные выше и ряд других выявленных проблем, кото</w:t>
      </w:r>
      <w:r>
        <w:rPr>
          <w:rStyle w:val="2d"/>
        </w:rPr>
        <w:softHyphen/>
        <w:t>рые возникают у всех участников процесса государственных заку</w:t>
      </w:r>
      <w:r>
        <w:rPr>
          <w:rStyle w:val="2d"/>
        </w:rPr>
        <w:softHyphen/>
        <w:t>пок, привели к тому, что упомянутый Закон пересматривался мно</w:t>
      </w:r>
      <w:r>
        <w:rPr>
          <w:rStyle w:val="2d"/>
        </w:rPr>
        <w:softHyphen/>
        <w:t xml:space="preserve">жество раз. В итоге были приняты Федеральный закон от 18.07.2011 № 223-ФЗ «О закупках товаров, работ, услуг отдельными видами юридических лиц» и новый Закон о ФКС (от 05.04.2013 № 44-ФЗ), который вступил в силу с </w:t>
      </w:r>
      <w:r>
        <w:rPr>
          <w:rStyle w:val="2d"/>
        </w:rPr>
        <w:lastRenderedPageBreak/>
        <w:t>1 января 2014 г. и полностью заменил действовавшее ранее законодательство, регулирующее сферу госу</w:t>
      </w:r>
      <w:r>
        <w:rPr>
          <w:rStyle w:val="2d"/>
        </w:rPr>
        <w:softHyphen/>
        <w:t>дарственных закупок</w:t>
      </w:r>
      <w:r>
        <w:rPr>
          <w:rStyle w:val="2d"/>
          <w:vertAlign w:val="superscript"/>
        </w:rPr>
        <w:t>1</w:t>
      </w:r>
      <w:r>
        <w:rPr>
          <w:rStyle w:val="2d"/>
        </w:rPr>
        <w:t>.</w:t>
      </w:r>
    </w:p>
    <w:p w14:paraId="563C620D" w14:textId="77777777" w:rsidR="00350D42" w:rsidRDefault="008E6F64">
      <w:pPr>
        <w:pStyle w:val="2c"/>
        <w:shd w:val="clear" w:color="auto" w:fill="auto"/>
        <w:spacing w:before="0"/>
        <w:ind w:firstLine="320"/>
      </w:pPr>
      <w:r>
        <w:rPr>
          <w:rStyle w:val="2d"/>
        </w:rPr>
        <w:t>Закон о ФКС распространяется на закупки, осуществляемые госу</w:t>
      </w:r>
      <w:r>
        <w:rPr>
          <w:rStyle w:val="2d"/>
        </w:rPr>
        <w:softHyphen/>
        <w:t>дарственными органами, органами управления государственными внебюджетными фондами, муниципальными органами, бюджет</w:t>
      </w:r>
      <w:r>
        <w:rPr>
          <w:rStyle w:val="2d"/>
        </w:rPr>
        <w:softHyphen/>
        <w:t>ными и казенными учреждениями. В целях информационного обе</w:t>
      </w:r>
      <w:r>
        <w:rPr>
          <w:rStyle w:val="2d"/>
        </w:rPr>
        <w:softHyphen/>
        <w:t>спечения контрактной системы создана единая информационная система, которая позволяет контролировать информацию, содержа</w:t>
      </w:r>
      <w:r>
        <w:rPr>
          <w:rStyle w:val="2d"/>
        </w:rPr>
        <w:softHyphen/>
        <w:t>щуюся, например, в плане закупок, плане-графике закупок и в до</w:t>
      </w:r>
      <w:r>
        <w:rPr>
          <w:rStyle w:val="2d"/>
        </w:rPr>
        <w:softHyphen/>
        <w:t>кументации о закупках</w:t>
      </w:r>
      <w:r>
        <w:rPr>
          <w:rStyle w:val="2d"/>
          <w:vertAlign w:val="superscript"/>
        </w:rPr>
        <w:footnoteReference w:id="176"/>
      </w:r>
      <w:r>
        <w:rPr>
          <w:rStyle w:val="2d"/>
          <w:vertAlign w:val="superscript"/>
        </w:rPr>
        <w:t xml:space="preserve"> </w:t>
      </w:r>
      <w:r>
        <w:rPr>
          <w:rStyle w:val="2d"/>
          <w:vertAlign w:val="superscript"/>
        </w:rPr>
        <w:footnoteReference w:id="177"/>
      </w:r>
      <w:r>
        <w:rPr>
          <w:rStyle w:val="2d"/>
        </w:rPr>
        <w:t>.</w:t>
      </w:r>
    </w:p>
    <w:p w14:paraId="658A5F4B" w14:textId="77777777" w:rsidR="00350D42" w:rsidRDefault="008E6F64">
      <w:pPr>
        <w:pStyle w:val="2c"/>
        <w:shd w:val="clear" w:color="auto" w:fill="auto"/>
        <w:spacing w:before="0"/>
        <w:ind w:firstLine="320"/>
      </w:pPr>
      <w:r>
        <w:rPr>
          <w:rStyle w:val="2d"/>
        </w:rPr>
        <w:t>Закон о ФКС представляет собой комплексный документ, кото</w:t>
      </w:r>
      <w:r>
        <w:rPr>
          <w:rStyle w:val="2d"/>
        </w:rPr>
        <w:softHyphen/>
        <w:t>рый регламентирует весь закупочный цикл — планирование и про</w:t>
      </w:r>
      <w:r>
        <w:rPr>
          <w:rStyle w:val="2d"/>
        </w:rPr>
        <w:softHyphen/>
        <w:t>гнозирование государственных и муниципальных нужд, форми</w:t>
      </w:r>
      <w:r>
        <w:rPr>
          <w:rStyle w:val="2d"/>
        </w:rPr>
        <w:softHyphen/>
        <w:t>рование и размещение заказа, исполнение контрактов и приемку контрактных результатов; постоянно осуществляются мониторинг, контроль и аудит соблюдения устанавливаемых требований.</w:t>
      </w:r>
    </w:p>
    <w:p w14:paraId="0876A088" w14:textId="7DF0FE6E" w:rsidR="00350D42" w:rsidRDefault="008E6F64">
      <w:pPr>
        <w:pStyle w:val="2c"/>
        <w:shd w:val="clear" w:color="auto" w:fill="auto"/>
        <w:spacing w:before="0"/>
        <w:ind w:firstLine="320"/>
      </w:pPr>
      <w:r>
        <w:rPr>
          <w:rStyle w:val="2d"/>
        </w:rPr>
        <w:t>Основные отличия Закона ФКС № 44-ФЗ от Федерального зако</w:t>
      </w:r>
      <w:r>
        <w:rPr>
          <w:rStyle w:val="2d"/>
        </w:rPr>
        <w:softHyphen/>
        <w:t>на «О размещении заказов на поставки товаров, выполнение ра</w:t>
      </w:r>
      <w:r>
        <w:rPr>
          <w:rStyle w:val="2d"/>
        </w:rPr>
        <w:softHyphen/>
        <w:t>бот, оказание услуг для государственных и муниципальных нужд» (№ 94-ФЗ)</w:t>
      </w:r>
      <w:r w:rsidRPr="000E0C7E">
        <w:rPr>
          <w:rStyle w:val="2d"/>
          <w:color w:val="FF0000"/>
        </w:rPr>
        <w:t xml:space="preserve"> состоят</w:t>
      </w:r>
      <w:r>
        <w:rPr>
          <w:rStyle w:val="2d"/>
        </w:rPr>
        <w:t xml:space="preserve"> </w:t>
      </w:r>
      <w:r w:rsidR="000E0C7E" w:rsidRPr="000E0C7E">
        <w:rPr>
          <w:rStyle w:val="2d"/>
          <w:color w:val="00B050"/>
        </w:rPr>
        <w:t>состоял</w:t>
      </w:r>
      <w:r w:rsidR="000E0C7E">
        <w:rPr>
          <w:rStyle w:val="2d"/>
        </w:rPr>
        <w:t xml:space="preserve"> </w:t>
      </w:r>
      <w:r>
        <w:rPr>
          <w:rStyle w:val="2d"/>
        </w:rPr>
        <w:t>в следующем.</w:t>
      </w:r>
    </w:p>
    <w:p w14:paraId="49F9448B" w14:textId="77777777" w:rsidR="00350D42" w:rsidRDefault="008E6F64">
      <w:pPr>
        <w:pStyle w:val="2c"/>
        <w:numPr>
          <w:ilvl w:val="0"/>
          <w:numId w:val="117"/>
        </w:numPr>
        <w:shd w:val="clear" w:color="auto" w:fill="auto"/>
        <w:tabs>
          <w:tab w:val="left" w:pos="639"/>
        </w:tabs>
        <w:spacing w:before="0"/>
        <w:ind w:firstLine="320"/>
      </w:pPr>
      <w:r>
        <w:rPr>
          <w:rStyle w:val="2d"/>
        </w:rPr>
        <w:t>Законодательно закреплены система планирования и обо</w:t>
      </w:r>
      <w:r>
        <w:rPr>
          <w:rStyle w:val="2d"/>
        </w:rPr>
        <w:softHyphen/>
        <w:t>снования закупок, а также новые методы обоснования начальной (максимальной) цены контракта.</w:t>
      </w:r>
    </w:p>
    <w:p w14:paraId="7AC758BE" w14:textId="68278C18" w:rsidR="00350D42" w:rsidRDefault="008E6F64" w:rsidP="003D204C">
      <w:pPr>
        <w:pStyle w:val="2c"/>
        <w:numPr>
          <w:ilvl w:val="0"/>
          <w:numId w:val="117"/>
        </w:numPr>
        <w:shd w:val="clear" w:color="auto" w:fill="auto"/>
        <w:tabs>
          <w:tab w:val="left" w:pos="639"/>
        </w:tabs>
        <w:spacing w:before="0"/>
        <w:ind w:firstLine="320"/>
      </w:pPr>
      <w:r>
        <w:rPr>
          <w:rStyle w:val="2d"/>
        </w:rPr>
        <w:t>В дополнение к существующим способам закупок (конкурс, аукцион, запрос котировок) введены новые способы определения поставщиков: конкурс с ограниченным участием, двухэтапный кон</w:t>
      </w:r>
      <w:r>
        <w:rPr>
          <w:rStyle w:val="2d"/>
        </w:rPr>
        <w:softHyphen/>
        <w:t>курс, запрос предложений.</w:t>
      </w:r>
    </w:p>
    <w:p w14:paraId="4CA45F78" w14:textId="77777777" w:rsidR="00350D42" w:rsidRDefault="008E6F64">
      <w:pPr>
        <w:pStyle w:val="2c"/>
        <w:numPr>
          <w:ilvl w:val="0"/>
          <w:numId w:val="117"/>
        </w:numPr>
        <w:shd w:val="clear" w:color="auto" w:fill="auto"/>
        <w:tabs>
          <w:tab w:val="left" w:pos="639"/>
        </w:tabs>
        <w:spacing w:before="0"/>
        <w:ind w:firstLine="320"/>
      </w:pPr>
      <w:r>
        <w:rPr>
          <w:rStyle w:val="2d"/>
        </w:rPr>
        <w:t>Предусмотрена возможность централизации закупочной де</w:t>
      </w:r>
      <w:r>
        <w:rPr>
          <w:rStyle w:val="2d"/>
        </w:rPr>
        <w:softHyphen/>
        <w:t>ятельности. На федеральном уровне, уровне субъектов РФ, муни</w:t>
      </w:r>
      <w:r>
        <w:rPr>
          <w:rStyle w:val="2d"/>
        </w:rPr>
        <w:softHyphen/>
        <w:t>ципальном уровне возможно создание уполномоченных органов, которые будут осуществлять полномочия по определению постав</w:t>
      </w:r>
      <w:r>
        <w:rPr>
          <w:rStyle w:val="2d"/>
        </w:rPr>
        <w:softHyphen/>
        <w:t>щиков (подрядчиков, исполнителей) для заказчиков.</w:t>
      </w:r>
    </w:p>
    <w:p w14:paraId="58EF4E8B" w14:textId="77777777" w:rsidR="00350D42" w:rsidRDefault="008E6F64">
      <w:pPr>
        <w:pStyle w:val="2c"/>
        <w:numPr>
          <w:ilvl w:val="0"/>
          <w:numId w:val="117"/>
        </w:numPr>
        <w:shd w:val="clear" w:color="auto" w:fill="auto"/>
        <w:tabs>
          <w:tab w:val="left" w:pos="639"/>
        </w:tabs>
        <w:spacing w:before="0"/>
        <w:ind w:firstLine="320"/>
      </w:pPr>
      <w:r>
        <w:rPr>
          <w:rStyle w:val="2d"/>
        </w:rPr>
        <w:t>Предусмотрены антидемпинговые меры.</w:t>
      </w:r>
    </w:p>
    <w:p w14:paraId="6FA4FD11" w14:textId="77777777" w:rsidR="00350D42" w:rsidRDefault="008E6F64">
      <w:pPr>
        <w:pStyle w:val="2c"/>
        <w:numPr>
          <w:ilvl w:val="0"/>
          <w:numId w:val="117"/>
        </w:numPr>
        <w:shd w:val="clear" w:color="auto" w:fill="auto"/>
        <w:tabs>
          <w:tab w:val="left" w:pos="640"/>
        </w:tabs>
        <w:spacing w:before="0"/>
        <w:ind w:firstLine="320"/>
      </w:pPr>
      <w:bookmarkStart w:id="106" w:name="bookmark92"/>
      <w:r>
        <w:rPr>
          <w:rStyle w:val="2d"/>
        </w:rPr>
        <w:t>Введен реестр банковских гарантий — система учета банков</w:t>
      </w:r>
      <w:r>
        <w:rPr>
          <w:rStyle w:val="2d"/>
        </w:rPr>
        <w:softHyphen/>
        <w:t>ских гарантий, которая должна исключить возможность представ</w:t>
      </w:r>
      <w:r>
        <w:rPr>
          <w:rStyle w:val="2d"/>
        </w:rPr>
        <w:softHyphen/>
        <w:t>ления участником закупки поддельной банковской гарантии.</w:t>
      </w:r>
      <w:bookmarkEnd w:id="106"/>
    </w:p>
    <w:p w14:paraId="278D5576" w14:textId="77777777" w:rsidR="00350D42" w:rsidRDefault="008E6F64">
      <w:pPr>
        <w:pStyle w:val="2c"/>
        <w:numPr>
          <w:ilvl w:val="0"/>
          <w:numId w:val="117"/>
        </w:numPr>
        <w:shd w:val="clear" w:color="auto" w:fill="auto"/>
        <w:tabs>
          <w:tab w:val="left" w:pos="640"/>
        </w:tabs>
        <w:spacing w:before="0"/>
        <w:ind w:firstLine="320"/>
      </w:pPr>
      <w:r>
        <w:rPr>
          <w:rStyle w:val="2d"/>
        </w:rPr>
        <w:t>Изменение условий проведения запроса котировок.</w:t>
      </w:r>
    </w:p>
    <w:p w14:paraId="74145313" w14:textId="77777777" w:rsidR="00350D42" w:rsidRDefault="008E6F64">
      <w:pPr>
        <w:pStyle w:val="2c"/>
        <w:numPr>
          <w:ilvl w:val="0"/>
          <w:numId w:val="117"/>
        </w:numPr>
        <w:shd w:val="clear" w:color="auto" w:fill="auto"/>
        <w:tabs>
          <w:tab w:val="left" w:pos="640"/>
        </w:tabs>
        <w:spacing w:before="0"/>
        <w:ind w:firstLine="320"/>
      </w:pPr>
      <w:r>
        <w:rPr>
          <w:rStyle w:val="2d"/>
        </w:rPr>
        <w:t>Введен механизм одностороннего расторжения контракта за</w:t>
      </w:r>
      <w:r>
        <w:rPr>
          <w:rStyle w:val="2d"/>
        </w:rPr>
        <w:softHyphen/>
        <w:t>казчиком в случае нарушения существенных условий контракта ис</w:t>
      </w:r>
      <w:r>
        <w:rPr>
          <w:rStyle w:val="2d"/>
        </w:rPr>
        <w:softHyphen/>
        <w:t>полнителем.</w:t>
      </w:r>
    </w:p>
    <w:p w14:paraId="682005C0" w14:textId="77777777" w:rsidR="00093686" w:rsidRPr="001845CC" w:rsidRDefault="008E6F64" w:rsidP="001845CC">
      <w:pPr>
        <w:pStyle w:val="2c"/>
        <w:numPr>
          <w:ilvl w:val="0"/>
          <w:numId w:val="117"/>
        </w:numPr>
        <w:shd w:val="clear" w:color="auto" w:fill="auto"/>
        <w:tabs>
          <w:tab w:val="left" w:pos="640"/>
        </w:tabs>
        <w:spacing w:before="0"/>
        <w:rPr>
          <w:rStyle w:val="2d"/>
          <w:color w:val="00B050"/>
        </w:rPr>
      </w:pPr>
      <w:r>
        <w:rPr>
          <w:rStyle w:val="2d"/>
        </w:rPr>
        <w:lastRenderedPageBreak/>
        <w:t>Изменен перечень сведений, вносимых в реестр недобросо</w:t>
      </w:r>
      <w:r>
        <w:rPr>
          <w:rStyle w:val="2d"/>
        </w:rPr>
        <w:softHyphen/>
        <w:t>вестных поставщиков. В реестр вносятся не только сведения о юри</w:t>
      </w:r>
      <w:r>
        <w:rPr>
          <w:rStyle w:val="2d"/>
        </w:rPr>
        <w:softHyphen/>
        <w:t>дическом лице, уклонившемся от подписания контракта (недобро</w:t>
      </w:r>
      <w:r>
        <w:rPr>
          <w:rStyle w:val="2d"/>
        </w:rPr>
        <w:softHyphen/>
        <w:t>совестно исполнившем контракт), но и сведения об учредителях, членах коллегиальных исполнительных органов, лиц, исполняющих функции единоличного исполнительного органа таких юридиче</w:t>
      </w:r>
      <w:r>
        <w:rPr>
          <w:rStyle w:val="2d"/>
        </w:rPr>
        <w:softHyphen/>
        <w:t xml:space="preserve">ских </w:t>
      </w:r>
      <w:r w:rsidRPr="001845CC">
        <w:rPr>
          <w:rStyle w:val="2d"/>
        </w:rPr>
        <w:t>лиц.</w:t>
      </w:r>
    </w:p>
    <w:p w14:paraId="479A5111" w14:textId="198E8A0D" w:rsidR="008957BD" w:rsidRPr="001845CC" w:rsidRDefault="00201E2D" w:rsidP="001845CC">
      <w:pPr>
        <w:pStyle w:val="afa"/>
        <w:spacing w:before="0" w:beforeAutospacing="0" w:after="0" w:afterAutospacing="0" w:line="250" w:lineRule="exact"/>
        <w:ind w:firstLine="318"/>
        <w:jc w:val="both"/>
        <w:rPr>
          <w:rFonts w:ascii="Bookman Old Style" w:hAnsi="Bookman Old Style"/>
          <w:color w:val="00B050"/>
          <w:sz w:val="18"/>
          <w:szCs w:val="18"/>
        </w:rPr>
      </w:pPr>
      <w:r w:rsidRPr="001845CC">
        <w:rPr>
          <w:rStyle w:val="2d"/>
          <w:color w:val="00B050"/>
        </w:rPr>
        <w:t xml:space="preserve">Важные изменения в законах о госзакупках (№223-ФЗ) и о контрактной системе в сфере закупок (№ 44-ФЗ) </w:t>
      </w:r>
      <w:r w:rsidR="00E32807" w:rsidRPr="001845CC">
        <w:rPr>
          <w:rStyle w:val="2d"/>
          <w:color w:val="00B050"/>
        </w:rPr>
        <w:t>внесены от 02.2021 года Федеральным Законом № 360, направленным на исключение избыточных и устаревших требований, максимальную автоматизацию процедур и расширенное внедрение электронной документации</w:t>
      </w:r>
      <w:r w:rsidR="00E32807" w:rsidRPr="001845CC">
        <w:rPr>
          <w:rStyle w:val="af8"/>
          <w:rFonts w:ascii="Bookman Old Style" w:hAnsi="Bookman Old Style"/>
          <w:color w:val="00B050"/>
          <w:sz w:val="18"/>
          <w:szCs w:val="18"/>
        </w:rPr>
        <w:footnoteReference w:id="178"/>
      </w:r>
      <w:r w:rsidR="00E32807" w:rsidRPr="001845CC">
        <w:rPr>
          <w:rStyle w:val="2d"/>
          <w:color w:val="00B050"/>
        </w:rPr>
        <w:t xml:space="preserve">. </w:t>
      </w:r>
      <w:r w:rsidR="008957BD" w:rsidRPr="001845CC">
        <w:rPr>
          <w:rStyle w:val="2d"/>
          <w:color w:val="00B050"/>
        </w:rPr>
        <w:t xml:space="preserve">Отдельные </w:t>
      </w:r>
      <w:r w:rsidR="00093686" w:rsidRPr="001845CC">
        <w:rPr>
          <w:rStyle w:val="2d"/>
          <w:color w:val="00B050"/>
        </w:rPr>
        <w:t>новы</w:t>
      </w:r>
      <w:r w:rsidR="008957BD" w:rsidRPr="001845CC">
        <w:rPr>
          <w:rStyle w:val="2d"/>
          <w:color w:val="00B050"/>
        </w:rPr>
        <w:t>е</w:t>
      </w:r>
      <w:r w:rsidR="00093686" w:rsidRPr="001845CC">
        <w:rPr>
          <w:rStyle w:val="2d"/>
          <w:color w:val="00B050"/>
        </w:rPr>
        <w:t xml:space="preserve"> положения </w:t>
      </w:r>
      <w:r w:rsidR="008957BD" w:rsidRPr="001845CC">
        <w:rPr>
          <w:rStyle w:val="2d"/>
          <w:color w:val="00B050"/>
        </w:rPr>
        <w:t>З</w:t>
      </w:r>
      <w:r w:rsidR="00093686" w:rsidRPr="001845CC">
        <w:rPr>
          <w:rStyle w:val="2d"/>
          <w:color w:val="00B050"/>
        </w:rPr>
        <w:t>аконов</w:t>
      </w:r>
      <w:r w:rsidR="008957BD" w:rsidRPr="001845CC">
        <w:rPr>
          <w:rStyle w:val="2d"/>
          <w:color w:val="00B050"/>
        </w:rPr>
        <w:t xml:space="preserve"> откликаются на текущие социально-экономические и экономико-политические ситуации. </w:t>
      </w:r>
      <w:r w:rsidR="001845CC" w:rsidRPr="001845CC">
        <w:rPr>
          <w:rStyle w:val="2d"/>
          <w:color w:val="00B050"/>
        </w:rPr>
        <w:t>О</w:t>
      </w:r>
      <w:r w:rsidR="008957BD" w:rsidRPr="001845CC">
        <w:rPr>
          <w:rStyle w:val="2d"/>
          <w:color w:val="00B050"/>
        </w:rPr>
        <w:t>тмечают, что «</w:t>
      </w:r>
      <w:r w:rsidR="008957BD" w:rsidRPr="001845CC">
        <w:rPr>
          <w:rFonts w:ascii="Bookman Old Style" w:hAnsi="Bookman Old Style"/>
          <w:color w:val="00B050"/>
          <w:sz w:val="18"/>
          <w:szCs w:val="18"/>
        </w:rPr>
        <w:t xml:space="preserve">введены новые механизмы недопущения применения иностранными государствами санкций в отношении участников закупок», </w:t>
      </w:r>
      <w:r w:rsidR="000645C1" w:rsidRPr="001845CC">
        <w:rPr>
          <w:rFonts w:ascii="Bookman Old Style" w:hAnsi="Bookman Old Style"/>
          <w:color w:val="00B050"/>
          <w:sz w:val="18"/>
          <w:szCs w:val="18"/>
        </w:rPr>
        <w:t xml:space="preserve">применено понятие </w:t>
      </w:r>
      <w:r w:rsidR="008957BD" w:rsidRPr="001845CC">
        <w:rPr>
          <w:rFonts w:ascii="Bookman Old Style" w:hAnsi="Bookman Old Style"/>
          <w:color w:val="00B050"/>
          <w:sz w:val="18"/>
          <w:szCs w:val="18"/>
        </w:rPr>
        <w:t>«универсальн</w:t>
      </w:r>
      <w:r w:rsidR="000645C1" w:rsidRPr="001845CC">
        <w:rPr>
          <w:rFonts w:ascii="Bookman Old Style" w:hAnsi="Bookman Old Style"/>
          <w:color w:val="00B050"/>
          <w:sz w:val="18"/>
          <w:szCs w:val="18"/>
        </w:rPr>
        <w:t>ая</w:t>
      </w:r>
      <w:r w:rsidR="008957BD" w:rsidRPr="001845CC">
        <w:rPr>
          <w:rFonts w:ascii="Bookman Old Style" w:hAnsi="Bookman Old Style"/>
          <w:color w:val="00B050"/>
          <w:sz w:val="18"/>
          <w:szCs w:val="18"/>
        </w:rPr>
        <w:t xml:space="preserve"> стоимостн</w:t>
      </w:r>
      <w:r w:rsidR="000645C1" w:rsidRPr="001845CC">
        <w:rPr>
          <w:rFonts w:ascii="Bookman Old Style" w:hAnsi="Bookman Old Style"/>
          <w:color w:val="00B050"/>
          <w:sz w:val="18"/>
          <w:szCs w:val="18"/>
        </w:rPr>
        <w:t>ая</w:t>
      </w:r>
      <w:r w:rsidR="008957BD" w:rsidRPr="001845CC">
        <w:rPr>
          <w:rFonts w:ascii="Bookman Old Style" w:hAnsi="Bookman Old Style"/>
          <w:color w:val="00B050"/>
          <w:sz w:val="18"/>
          <w:szCs w:val="18"/>
        </w:rPr>
        <w:t xml:space="preserve"> предквалификаци</w:t>
      </w:r>
      <w:r w:rsidR="000645C1" w:rsidRPr="001845CC">
        <w:rPr>
          <w:rFonts w:ascii="Bookman Old Style" w:hAnsi="Bookman Old Style"/>
          <w:color w:val="00B050"/>
          <w:sz w:val="18"/>
          <w:szCs w:val="18"/>
        </w:rPr>
        <w:t>я</w:t>
      </w:r>
      <w:r w:rsidR="008957BD" w:rsidRPr="001845CC">
        <w:rPr>
          <w:rFonts w:ascii="Bookman Old Style" w:hAnsi="Bookman Old Style"/>
          <w:color w:val="00B050"/>
          <w:sz w:val="18"/>
          <w:szCs w:val="18"/>
        </w:rPr>
        <w:t>”</w:t>
      </w:r>
      <w:r w:rsidR="000645C1" w:rsidRPr="001845CC">
        <w:rPr>
          <w:rFonts w:ascii="Bookman Old Style" w:hAnsi="Bookman Old Style"/>
          <w:color w:val="00B050"/>
          <w:sz w:val="18"/>
          <w:szCs w:val="18"/>
        </w:rPr>
        <w:t>, которая означает, что</w:t>
      </w:r>
      <w:r w:rsidR="008957BD" w:rsidRPr="001845CC">
        <w:rPr>
          <w:rFonts w:ascii="Bookman Old Style" w:hAnsi="Bookman Old Style"/>
          <w:color w:val="00B050"/>
          <w:sz w:val="18"/>
          <w:szCs w:val="18"/>
        </w:rPr>
        <w:t xml:space="preserve">, </w:t>
      </w:r>
      <w:r w:rsidR="001845CC" w:rsidRPr="001845CC">
        <w:rPr>
          <w:rFonts w:ascii="Bookman Old Style" w:hAnsi="Bookman Old Style"/>
          <w:color w:val="00B050"/>
          <w:sz w:val="18"/>
          <w:szCs w:val="18"/>
        </w:rPr>
        <w:t>«</w:t>
      </w:r>
      <w:r w:rsidR="008957BD" w:rsidRPr="001845CC">
        <w:rPr>
          <w:rFonts w:ascii="Bookman Old Style" w:hAnsi="Bookman Old Style"/>
          <w:color w:val="00B050"/>
          <w:sz w:val="18"/>
          <w:szCs w:val="18"/>
        </w:rPr>
        <w:t>при закупках от 20 млн рублей установлено обязательное требование к участникам:</w:t>
      </w:r>
    </w:p>
    <w:p w14:paraId="0624D0FF" w14:textId="77777777" w:rsidR="008957BD" w:rsidRPr="001845CC" w:rsidRDefault="008957BD">
      <w:pPr>
        <w:numPr>
          <w:ilvl w:val="0"/>
          <w:numId w:val="168"/>
        </w:numPr>
        <w:spacing w:line="250" w:lineRule="exact"/>
        <w:ind w:left="0" w:firstLine="318"/>
        <w:rPr>
          <w:rFonts w:ascii="Bookman Old Style" w:hAnsi="Bookman Old Style" w:cs="Times New Roman"/>
          <w:color w:val="00B050"/>
          <w:sz w:val="18"/>
          <w:szCs w:val="18"/>
        </w:rPr>
      </w:pPr>
      <w:r w:rsidRPr="001845CC">
        <w:rPr>
          <w:rFonts w:ascii="Bookman Old Style" w:hAnsi="Bookman Old Style" w:cs="Times New Roman"/>
          <w:color w:val="00B050"/>
          <w:sz w:val="18"/>
          <w:szCs w:val="18"/>
        </w:rPr>
        <w:t>о наличии у них успешного опыта исполнения контракта, заключенного по </w:t>
      </w:r>
      <w:hyperlink r:id="rId142" w:history="1">
        <w:r w:rsidRPr="001845CC">
          <w:rPr>
            <w:rStyle w:val="af9"/>
            <w:rFonts w:ascii="Bookman Old Style" w:hAnsi="Bookman Old Style" w:cs="Times New Roman"/>
            <w:color w:val="00B050"/>
            <w:sz w:val="18"/>
            <w:szCs w:val="18"/>
            <w:u w:val="none"/>
            <w:bdr w:val="none" w:sz="0" w:space="0" w:color="auto" w:frame="1"/>
          </w:rPr>
          <w:t>Закону № 44-ФЗ</w:t>
        </w:r>
      </w:hyperlink>
      <w:r w:rsidRPr="001845CC">
        <w:rPr>
          <w:rFonts w:ascii="Bookman Old Style" w:hAnsi="Bookman Old Style" w:cs="Times New Roman"/>
          <w:color w:val="00B050"/>
          <w:sz w:val="18"/>
          <w:szCs w:val="18"/>
        </w:rPr>
        <w:t> или </w:t>
      </w:r>
      <w:hyperlink r:id="rId143" w:history="1">
        <w:r w:rsidRPr="001845CC">
          <w:rPr>
            <w:rStyle w:val="af9"/>
            <w:rFonts w:ascii="Bookman Old Style" w:hAnsi="Bookman Old Style" w:cs="Times New Roman"/>
            <w:color w:val="00B050"/>
            <w:sz w:val="18"/>
            <w:szCs w:val="18"/>
            <w:u w:val="none"/>
            <w:bdr w:val="none" w:sz="0" w:space="0" w:color="auto" w:frame="1"/>
          </w:rPr>
          <w:t>№ 223-ФЗ</w:t>
        </w:r>
      </w:hyperlink>
      <w:r w:rsidRPr="001845CC">
        <w:rPr>
          <w:rFonts w:ascii="Bookman Old Style" w:hAnsi="Bookman Old Style" w:cs="Times New Roman"/>
          <w:color w:val="00B050"/>
          <w:sz w:val="18"/>
          <w:szCs w:val="18"/>
        </w:rPr>
        <w:t> независимо от предмета контракта;</w:t>
      </w:r>
    </w:p>
    <w:p w14:paraId="4D72759E" w14:textId="77777777" w:rsidR="008957BD" w:rsidRPr="001845CC" w:rsidRDefault="008957BD">
      <w:pPr>
        <w:numPr>
          <w:ilvl w:val="0"/>
          <w:numId w:val="168"/>
        </w:numPr>
        <w:spacing w:line="250" w:lineRule="exact"/>
        <w:ind w:left="0" w:firstLine="318"/>
        <w:rPr>
          <w:rFonts w:ascii="Bookman Old Style" w:hAnsi="Bookman Old Style" w:cs="Times New Roman"/>
          <w:color w:val="00B050"/>
          <w:sz w:val="18"/>
          <w:szCs w:val="18"/>
        </w:rPr>
      </w:pPr>
      <w:r w:rsidRPr="001845CC">
        <w:rPr>
          <w:rFonts w:ascii="Bookman Old Style" w:hAnsi="Bookman Old Style" w:cs="Times New Roman"/>
          <w:color w:val="00B050"/>
          <w:sz w:val="18"/>
          <w:szCs w:val="18"/>
        </w:rPr>
        <w:t>объем исполненных обязательств – не менее 20% от начальной (максимальной) цены закупки.</w:t>
      </w:r>
    </w:p>
    <w:p w14:paraId="3B1703F8" w14:textId="24FC8F47" w:rsidR="008957BD" w:rsidRPr="001845CC" w:rsidRDefault="008957BD">
      <w:pPr>
        <w:pStyle w:val="afa"/>
        <w:numPr>
          <w:ilvl w:val="0"/>
          <w:numId w:val="168"/>
        </w:numPr>
        <w:spacing w:before="0" w:beforeAutospacing="0" w:after="0" w:afterAutospacing="0" w:line="250" w:lineRule="exact"/>
        <w:ind w:left="0" w:firstLine="318"/>
        <w:jc w:val="both"/>
        <w:rPr>
          <w:rFonts w:ascii="Bookman Old Style" w:hAnsi="Bookman Old Style"/>
          <w:color w:val="00B050"/>
          <w:sz w:val="18"/>
          <w:szCs w:val="18"/>
        </w:rPr>
      </w:pPr>
      <w:r w:rsidRPr="001845CC">
        <w:rPr>
          <w:rFonts w:ascii="Bookman Old Style" w:hAnsi="Bookman Old Style"/>
          <w:color w:val="00B050"/>
          <w:sz w:val="18"/>
          <w:szCs w:val="18"/>
        </w:rPr>
        <w:t>При этом во избежание необоснованного ограничения конкуренции предусмотрен шаг “1 к 5”. То есть, возможность участия в закупках, например, при начальной (максимальной) цене контракта свыше 100 млн рублей при успешном опыте исполнения контракта на 20 млн рублей, свыше 500 млн рублей – на 100 млн рублей</w:t>
      </w:r>
      <w:r w:rsidR="001845CC" w:rsidRPr="001845CC">
        <w:rPr>
          <w:rFonts w:ascii="Bookman Old Style" w:hAnsi="Bookman Old Style"/>
          <w:color w:val="00B050"/>
          <w:sz w:val="18"/>
          <w:szCs w:val="18"/>
        </w:rPr>
        <w:t>»</w:t>
      </w:r>
      <w:r w:rsidR="001845CC">
        <w:rPr>
          <w:rStyle w:val="af8"/>
          <w:rFonts w:ascii="Bookman Old Style" w:hAnsi="Bookman Old Style"/>
          <w:color w:val="00B050"/>
          <w:sz w:val="18"/>
          <w:szCs w:val="18"/>
        </w:rPr>
        <w:footnoteReference w:id="179"/>
      </w:r>
      <w:r w:rsidRPr="001845CC">
        <w:rPr>
          <w:rFonts w:ascii="Bookman Old Style" w:hAnsi="Bookman Old Style"/>
          <w:color w:val="00B050"/>
          <w:sz w:val="18"/>
          <w:szCs w:val="18"/>
        </w:rPr>
        <w:t>.</w:t>
      </w:r>
    </w:p>
    <w:p w14:paraId="4CB586C5" w14:textId="7D000533" w:rsidR="008957BD" w:rsidRPr="008957BD" w:rsidRDefault="008957BD" w:rsidP="001845CC">
      <w:pPr>
        <w:spacing w:line="360" w:lineRule="auto"/>
        <w:ind w:firstLine="0"/>
        <w:jc w:val="left"/>
        <w:rPr>
          <w:rFonts w:ascii="Bookman Old Style" w:hAnsi="Bookman Old Style" w:cs="Times New Roman"/>
          <w:color w:val="00B050"/>
          <w:sz w:val="18"/>
          <w:szCs w:val="18"/>
        </w:rPr>
      </w:pPr>
    </w:p>
    <w:p w14:paraId="5947E3CA" w14:textId="6B0000E4" w:rsidR="00201E2D" w:rsidRPr="00093686" w:rsidRDefault="00201E2D" w:rsidP="00093686">
      <w:pPr>
        <w:pStyle w:val="2c"/>
        <w:shd w:val="clear" w:color="auto" w:fill="auto"/>
        <w:tabs>
          <w:tab w:val="left" w:pos="640"/>
        </w:tabs>
        <w:spacing w:before="0"/>
        <w:rPr>
          <w:rStyle w:val="2d"/>
          <w:color w:val="00B050"/>
        </w:rPr>
      </w:pPr>
    </w:p>
    <w:p w14:paraId="749D704F" w14:textId="77777777" w:rsidR="00201E2D" w:rsidRDefault="00201E2D" w:rsidP="00201E2D">
      <w:pPr>
        <w:pStyle w:val="2c"/>
        <w:shd w:val="clear" w:color="auto" w:fill="auto"/>
        <w:tabs>
          <w:tab w:val="left" w:pos="640"/>
        </w:tabs>
        <w:spacing w:before="0" w:after="351"/>
        <w:ind w:left="320"/>
      </w:pPr>
    </w:p>
    <w:p w14:paraId="5BE04201" w14:textId="77777777" w:rsidR="00350D42" w:rsidRDefault="008E6F64">
      <w:pPr>
        <w:pStyle w:val="4c"/>
        <w:keepNext/>
        <w:keepLines/>
        <w:numPr>
          <w:ilvl w:val="0"/>
          <w:numId w:val="118"/>
        </w:numPr>
        <w:shd w:val="clear" w:color="auto" w:fill="auto"/>
        <w:tabs>
          <w:tab w:val="left" w:pos="1838"/>
        </w:tabs>
        <w:spacing w:before="0" w:after="209" w:line="336" w:lineRule="exact"/>
        <w:ind w:left="440" w:right="440" w:firstLine="900"/>
      </w:pPr>
      <w:bookmarkStart w:id="107" w:name="bookmark93"/>
      <w:r>
        <w:rPr>
          <w:rStyle w:val="4d"/>
          <w:b/>
          <w:bCs/>
        </w:rPr>
        <w:lastRenderedPageBreak/>
        <w:t>Система государственных закупок как организационно-качественная модель фрагмента общественной экономической деятельности</w:t>
      </w:r>
      <w:bookmarkEnd w:id="107"/>
    </w:p>
    <w:p w14:paraId="455116E6" w14:textId="77777777" w:rsidR="00350D42" w:rsidRDefault="008E6F64" w:rsidP="00093686">
      <w:pPr>
        <w:pStyle w:val="99pt1"/>
        <w:ind w:firstLine="318"/>
      </w:pPr>
      <w:r>
        <w:rPr>
          <w:rStyle w:val="2d"/>
        </w:rPr>
        <w:t>Деятельность по государственным закупкам осуществляют груп</w:t>
      </w:r>
      <w:r>
        <w:rPr>
          <w:rStyle w:val="2d"/>
        </w:rPr>
        <w:softHyphen/>
        <w:t>пы людей. Каждая из групп-участниц обладает своими интересами, которые задают государственным закупкам политический контекст и свойства центростремительной организационной системы. По</w:t>
      </w:r>
      <w:r>
        <w:rPr>
          <w:rStyle w:val="2d"/>
        </w:rPr>
        <w:softHyphen/>
        <w:t>нятие «государственные закупки» определяется в одной из марке</w:t>
      </w:r>
      <w:r>
        <w:rPr>
          <w:rStyle w:val="2d"/>
        </w:rPr>
        <w:softHyphen/>
        <w:t>тинговых концепций как «процесс принятия решения, посредством которого официальная организация констатирует наличие нужды в закупаемых со стороны товарах и услугах, а также выявляет, оце</w:t>
      </w:r>
      <w:r>
        <w:rPr>
          <w:rStyle w:val="2d"/>
        </w:rPr>
        <w:softHyphen/>
        <w:t>нивает и отбирает конкретные марки товаров и конкретных постав</w:t>
      </w:r>
      <w:r>
        <w:rPr>
          <w:rStyle w:val="2d"/>
        </w:rPr>
        <w:softHyphen/>
        <w:t>щиков из числа имеющихся на рынке»</w:t>
      </w:r>
      <w:r>
        <w:rPr>
          <w:rStyle w:val="2d"/>
          <w:vertAlign w:val="superscript"/>
        </w:rPr>
        <w:footnoteReference w:id="180"/>
      </w:r>
      <w:r>
        <w:rPr>
          <w:rStyle w:val="2d"/>
        </w:rPr>
        <w:t xml:space="preserve">. Для решения ряда задач по управлению системой закупок рассмотрим особенности системы государственных закупок </w:t>
      </w:r>
      <w:r>
        <w:rPr>
          <w:rStyle w:val="2f4"/>
        </w:rPr>
        <w:t>как организационно-качественной модели фрагмента общественной экономической деятельности.</w:t>
      </w:r>
    </w:p>
    <w:p w14:paraId="52E85D08" w14:textId="77777777" w:rsidR="00350D42" w:rsidRDefault="008E6F64">
      <w:pPr>
        <w:pStyle w:val="2c"/>
        <w:shd w:val="clear" w:color="auto" w:fill="auto"/>
        <w:spacing w:before="0"/>
        <w:ind w:firstLine="320"/>
      </w:pPr>
      <w:r>
        <w:rPr>
          <w:rStyle w:val="2d"/>
        </w:rPr>
        <w:t>В период 2001—2006 гг. был проведен психологический мони</w:t>
      </w:r>
      <w:r>
        <w:rPr>
          <w:rStyle w:val="2d"/>
        </w:rPr>
        <w:softHyphen/>
        <w:t>торинг организационно-управленческих проблем модулей государ</w:t>
      </w:r>
      <w:r>
        <w:rPr>
          <w:rStyle w:val="2d"/>
        </w:rPr>
        <w:softHyphen/>
        <w:t>ственных закупок в России</w:t>
      </w:r>
      <w:r>
        <w:rPr>
          <w:rStyle w:val="2d"/>
          <w:vertAlign w:val="superscript"/>
        </w:rPr>
        <w:footnoteReference w:id="181"/>
      </w:r>
      <w:r>
        <w:rPr>
          <w:rStyle w:val="2d"/>
        </w:rPr>
        <w:t>.</w:t>
      </w:r>
    </w:p>
    <w:p w14:paraId="3745CFD4" w14:textId="77777777" w:rsidR="00350D42" w:rsidRDefault="008E6F64">
      <w:pPr>
        <w:pStyle w:val="2c"/>
        <w:shd w:val="clear" w:color="auto" w:fill="auto"/>
        <w:spacing w:before="0"/>
        <w:ind w:firstLine="320"/>
      </w:pPr>
      <w:r>
        <w:rPr>
          <w:rStyle w:val="2d"/>
        </w:rPr>
        <w:t>Политико-экономическая характеристика системы государ</w:t>
      </w:r>
      <w:r>
        <w:rPr>
          <w:rStyle w:val="2d"/>
        </w:rPr>
        <w:softHyphen/>
        <w:t xml:space="preserve">ственных закупок. Государственные закупки </w:t>
      </w:r>
      <w:r w:rsidRPr="000E0C7E">
        <w:rPr>
          <w:rStyle w:val="2f4"/>
          <w:lang w:eastAsia="en-US" w:bidi="en-US"/>
        </w:rPr>
        <w:t>(</w:t>
      </w:r>
      <w:r>
        <w:rPr>
          <w:rStyle w:val="2f4"/>
          <w:lang w:val="en-US" w:eastAsia="en-US" w:bidi="en-US"/>
        </w:rPr>
        <w:t>government</w:t>
      </w:r>
      <w:r w:rsidRPr="000E0C7E">
        <w:rPr>
          <w:rStyle w:val="2f4"/>
          <w:lang w:eastAsia="en-US" w:bidi="en-US"/>
        </w:rPr>
        <w:t xml:space="preserve"> </w:t>
      </w:r>
      <w:r>
        <w:rPr>
          <w:rStyle w:val="2f4"/>
          <w:lang w:val="en-US" w:eastAsia="en-US" w:bidi="en-US"/>
        </w:rPr>
        <w:t>procure</w:t>
      </w:r>
      <w:r w:rsidRPr="000E0C7E">
        <w:rPr>
          <w:rStyle w:val="2f4"/>
          <w:lang w:eastAsia="en-US" w:bidi="en-US"/>
        </w:rPr>
        <w:softHyphen/>
      </w:r>
      <w:r>
        <w:rPr>
          <w:rStyle w:val="2f4"/>
          <w:lang w:val="en-US" w:eastAsia="en-US" w:bidi="en-US"/>
        </w:rPr>
        <w:t>ment</w:t>
      </w:r>
      <w:r w:rsidRPr="000E0C7E">
        <w:rPr>
          <w:rStyle w:val="2f4"/>
          <w:lang w:eastAsia="en-US" w:bidi="en-US"/>
        </w:rPr>
        <w:t>)</w:t>
      </w:r>
      <w:r w:rsidRPr="000E0C7E">
        <w:rPr>
          <w:rStyle w:val="2d"/>
          <w:lang w:eastAsia="en-US" w:bidi="en-US"/>
        </w:rPr>
        <w:t xml:space="preserve"> </w:t>
      </w:r>
      <w:r>
        <w:rPr>
          <w:rStyle w:val="2d"/>
        </w:rPr>
        <w:t>являются мощным инструментом политики. Они прямо свя</w:t>
      </w:r>
      <w:r>
        <w:rPr>
          <w:rStyle w:val="2d"/>
        </w:rPr>
        <w:softHyphen/>
        <w:t>заны с финансовыми ресурсами совокупного субъекта. С одной стороны, это государство и представляющие его органы, с дру</w:t>
      </w:r>
      <w:r>
        <w:rPr>
          <w:rStyle w:val="2d"/>
        </w:rPr>
        <w:softHyphen/>
        <w:t>гой — предприятия, организации, граждане — в целом налогопла</w:t>
      </w:r>
      <w:r>
        <w:rPr>
          <w:rStyle w:val="2d"/>
        </w:rPr>
        <w:softHyphen/>
        <w:t>тельщики, которые содержат государство и на средства которых в государственных закупках решаются задачи текущего обеспече</w:t>
      </w:r>
      <w:r>
        <w:rPr>
          <w:rStyle w:val="2d"/>
        </w:rPr>
        <w:softHyphen/>
        <w:t>ния деятельности органов государственной власти федерального, регионального, муниципального уровня. Объем государственных закупок в странах с рыночной экономикой составляет 10—15 % ВНП, в России — 6—8 % и имеет тенденцию к росту</w:t>
      </w:r>
      <w:r>
        <w:rPr>
          <w:rStyle w:val="2d"/>
          <w:vertAlign w:val="superscript"/>
        </w:rPr>
        <w:footnoteReference w:id="182"/>
      </w:r>
      <w:r>
        <w:rPr>
          <w:rStyle w:val="2d"/>
        </w:rPr>
        <w:t>.</w:t>
      </w:r>
    </w:p>
    <w:p w14:paraId="0C42BC47" w14:textId="77777777" w:rsidR="00350D42" w:rsidRDefault="008E6F64">
      <w:pPr>
        <w:pStyle w:val="2c"/>
        <w:shd w:val="clear" w:color="auto" w:fill="auto"/>
        <w:spacing w:before="0"/>
        <w:ind w:firstLine="320"/>
      </w:pPr>
      <w:r>
        <w:rPr>
          <w:rStyle w:val="2d"/>
        </w:rPr>
        <w:t xml:space="preserve">Посредством </w:t>
      </w:r>
      <w:r>
        <w:rPr>
          <w:rStyle w:val="2f4"/>
        </w:rPr>
        <w:t>механизма государственных закупок</w:t>
      </w:r>
      <w:r>
        <w:rPr>
          <w:rStyle w:val="2d"/>
        </w:rPr>
        <w:t xml:space="preserve"> производятся следующие экономические и социально-политические эффекты.</w:t>
      </w:r>
    </w:p>
    <w:p w14:paraId="773DB579" w14:textId="77777777" w:rsidR="00350D42" w:rsidRDefault="008E6F64">
      <w:pPr>
        <w:pStyle w:val="2c"/>
        <w:numPr>
          <w:ilvl w:val="0"/>
          <w:numId w:val="119"/>
        </w:numPr>
        <w:shd w:val="clear" w:color="auto" w:fill="auto"/>
        <w:tabs>
          <w:tab w:val="left" w:pos="640"/>
        </w:tabs>
        <w:spacing w:before="0"/>
        <w:ind w:firstLine="320"/>
      </w:pPr>
      <w:r>
        <w:rPr>
          <w:rStyle w:val="2d"/>
        </w:rPr>
        <w:t>Обеспечивается развитие рынков и конкурентной среды.</w:t>
      </w:r>
    </w:p>
    <w:p w14:paraId="1567E051" w14:textId="77777777" w:rsidR="00350D42" w:rsidRDefault="008E6F64">
      <w:pPr>
        <w:pStyle w:val="2c"/>
        <w:numPr>
          <w:ilvl w:val="0"/>
          <w:numId w:val="119"/>
        </w:numPr>
        <w:shd w:val="clear" w:color="auto" w:fill="auto"/>
        <w:tabs>
          <w:tab w:val="left" w:pos="640"/>
        </w:tabs>
        <w:spacing w:before="0"/>
        <w:ind w:firstLine="320"/>
      </w:pPr>
      <w:r>
        <w:rPr>
          <w:rStyle w:val="2d"/>
        </w:rPr>
        <w:lastRenderedPageBreak/>
        <w:t>Поддерживаются регионы и группы населения (трудоизбы</w:t>
      </w:r>
      <w:r>
        <w:rPr>
          <w:rStyle w:val="2d"/>
        </w:rPr>
        <w:softHyphen/>
        <w:t>точные или трудонедостаточные, национальные меньшинства и на</w:t>
      </w:r>
      <w:r>
        <w:rPr>
          <w:rStyle w:val="2d"/>
        </w:rPr>
        <w:softHyphen/>
        <w:t>родные промыслы, предприятия инвалидов и ветеранов войны).</w:t>
      </w:r>
    </w:p>
    <w:p w14:paraId="4D15328E" w14:textId="77777777" w:rsidR="00350D42" w:rsidRDefault="008E6F64">
      <w:pPr>
        <w:pStyle w:val="2c"/>
        <w:numPr>
          <w:ilvl w:val="0"/>
          <w:numId w:val="119"/>
        </w:numPr>
        <w:shd w:val="clear" w:color="auto" w:fill="auto"/>
        <w:tabs>
          <w:tab w:val="left" w:pos="640"/>
        </w:tabs>
        <w:spacing w:before="0"/>
        <w:ind w:firstLine="320"/>
      </w:pPr>
      <w:r>
        <w:rPr>
          <w:rStyle w:val="2d"/>
        </w:rPr>
        <w:t>Поддерживаются национальные производители, малый биз</w:t>
      </w:r>
      <w:r>
        <w:rPr>
          <w:rStyle w:val="2d"/>
        </w:rPr>
        <w:softHyphen/>
        <w:t>нес, отдельные секторы экономики.</w:t>
      </w:r>
    </w:p>
    <w:p w14:paraId="41415517" w14:textId="77777777" w:rsidR="00350D42" w:rsidRDefault="008E6F64">
      <w:pPr>
        <w:pStyle w:val="2c"/>
        <w:numPr>
          <w:ilvl w:val="0"/>
          <w:numId w:val="119"/>
        </w:numPr>
        <w:shd w:val="clear" w:color="auto" w:fill="auto"/>
        <w:tabs>
          <w:tab w:val="left" w:pos="640"/>
        </w:tabs>
        <w:spacing w:before="0"/>
        <w:ind w:firstLine="320"/>
      </w:pPr>
      <w:r>
        <w:rPr>
          <w:rStyle w:val="2d"/>
        </w:rPr>
        <w:t>В процессе федеральных, региональных, муниципальных за</w:t>
      </w:r>
      <w:r>
        <w:rPr>
          <w:rStyle w:val="2d"/>
        </w:rPr>
        <w:softHyphen/>
        <w:t>казов устанавливаются особые правила и требования в социальной, экологической и прочих видах деятельности заинтересованным участникам этого процесса. Следовательно, системе государствен</w:t>
      </w:r>
      <w:r>
        <w:rPr>
          <w:rStyle w:val="2d"/>
        </w:rPr>
        <w:softHyphen/>
        <w:t>ных закупок свойственна функция институционализации.</w:t>
      </w:r>
    </w:p>
    <w:p w14:paraId="026A3597" w14:textId="77777777" w:rsidR="00350D42" w:rsidRDefault="008E6F64">
      <w:pPr>
        <w:pStyle w:val="2c"/>
        <w:numPr>
          <w:ilvl w:val="0"/>
          <w:numId w:val="119"/>
        </w:numPr>
        <w:shd w:val="clear" w:color="auto" w:fill="auto"/>
        <w:tabs>
          <w:tab w:val="left" w:pos="640"/>
        </w:tabs>
        <w:spacing w:before="0"/>
        <w:ind w:firstLine="320"/>
      </w:pPr>
      <w:r>
        <w:rPr>
          <w:rStyle w:val="2d"/>
        </w:rPr>
        <w:t>Государственные заказы являются фактором преференции субсидированию национальной промышленности, обеспечивая ее вместе с этим конкурентными преимуществами на мировом рынке.</w:t>
      </w:r>
    </w:p>
    <w:p w14:paraId="3F969A5A" w14:textId="77777777" w:rsidR="00350D42" w:rsidRDefault="008E6F64">
      <w:pPr>
        <w:pStyle w:val="2c"/>
        <w:numPr>
          <w:ilvl w:val="0"/>
          <w:numId w:val="119"/>
        </w:numPr>
        <w:shd w:val="clear" w:color="auto" w:fill="auto"/>
        <w:tabs>
          <w:tab w:val="left" w:pos="640"/>
        </w:tabs>
        <w:spacing w:before="0"/>
        <w:ind w:firstLine="320"/>
      </w:pPr>
      <w:r>
        <w:rPr>
          <w:rStyle w:val="2d"/>
        </w:rPr>
        <w:t>Внутренний рынок государственных закупок привлекает предприятия, потому что государственный заказ обеспечивает ста</w:t>
      </w:r>
      <w:r>
        <w:rPr>
          <w:rStyle w:val="2d"/>
        </w:rPr>
        <w:softHyphen/>
        <w:t>бильность производства и финансирования, престижность и состо</w:t>
      </w:r>
      <w:r>
        <w:rPr>
          <w:rStyle w:val="2d"/>
        </w:rPr>
        <w:softHyphen/>
        <w:t>ятельность.</w:t>
      </w:r>
    </w:p>
    <w:p w14:paraId="0FAC46E4" w14:textId="77777777" w:rsidR="00350D42" w:rsidRDefault="008E6F64">
      <w:pPr>
        <w:pStyle w:val="2c"/>
        <w:numPr>
          <w:ilvl w:val="0"/>
          <w:numId w:val="119"/>
        </w:numPr>
        <w:shd w:val="clear" w:color="auto" w:fill="auto"/>
        <w:tabs>
          <w:tab w:val="left" w:pos="640"/>
        </w:tabs>
        <w:spacing w:before="0"/>
        <w:ind w:firstLine="320"/>
      </w:pPr>
      <w:r>
        <w:rPr>
          <w:rStyle w:val="2d"/>
        </w:rPr>
        <w:t>Посредством равных для всех правил в государственных за</w:t>
      </w:r>
      <w:r>
        <w:rPr>
          <w:rStyle w:val="2d"/>
        </w:rPr>
        <w:softHyphen/>
        <w:t>купках возможно соревноваться с другими производителями.</w:t>
      </w:r>
    </w:p>
    <w:p w14:paraId="5F285B4A" w14:textId="77777777" w:rsidR="00350D42" w:rsidRDefault="008E6F64">
      <w:pPr>
        <w:pStyle w:val="2c"/>
        <w:shd w:val="clear" w:color="auto" w:fill="auto"/>
        <w:spacing w:before="0"/>
        <w:ind w:firstLine="320"/>
      </w:pPr>
      <w:r>
        <w:rPr>
          <w:rStyle w:val="2d"/>
        </w:rPr>
        <w:t>Система государственных закупок в идеале должна удовлетво</w:t>
      </w:r>
      <w:r>
        <w:rPr>
          <w:rStyle w:val="2d"/>
        </w:rPr>
        <w:softHyphen/>
        <w:t>рять следующим принципам, содержащимся также в Соглашении для функционирования в рамках ВТО.</w:t>
      </w:r>
    </w:p>
    <w:p w14:paraId="2A430425" w14:textId="77777777" w:rsidR="00350D42" w:rsidRDefault="008E6F64">
      <w:pPr>
        <w:pStyle w:val="2c"/>
        <w:numPr>
          <w:ilvl w:val="0"/>
          <w:numId w:val="120"/>
        </w:numPr>
        <w:shd w:val="clear" w:color="auto" w:fill="auto"/>
        <w:tabs>
          <w:tab w:val="left" w:pos="640"/>
        </w:tabs>
        <w:spacing w:before="0"/>
        <w:ind w:firstLine="320"/>
      </w:pPr>
      <w:r>
        <w:rPr>
          <w:rStyle w:val="2d"/>
        </w:rPr>
        <w:t>Эффективно расходовать бюджетные средства.</w:t>
      </w:r>
    </w:p>
    <w:p w14:paraId="6802C63F" w14:textId="77777777" w:rsidR="00350D42" w:rsidRDefault="008E6F64">
      <w:pPr>
        <w:pStyle w:val="2c"/>
        <w:numPr>
          <w:ilvl w:val="0"/>
          <w:numId w:val="120"/>
        </w:numPr>
        <w:shd w:val="clear" w:color="auto" w:fill="auto"/>
        <w:tabs>
          <w:tab w:val="left" w:pos="640"/>
        </w:tabs>
        <w:spacing w:before="0"/>
        <w:ind w:firstLine="320"/>
      </w:pPr>
      <w:r>
        <w:rPr>
          <w:rStyle w:val="2d"/>
        </w:rPr>
        <w:t>Достигать паритета цена/качество.</w:t>
      </w:r>
    </w:p>
    <w:p w14:paraId="4D7C51AD" w14:textId="77777777" w:rsidR="00350D42" w:rsidRDefault="008E6F64">
      <w:pPr>
        <w:pStyle w:val="2c"/>
        <w:numPr>
          <w:ilvl w:val="0"/>
          <w:numId w:val="120"/>
        </w:numPr>
        <w:shd w:val="clear" w:color="auto" w:fill="auto"/>
        <w:tabs>
          <w:tab w:val="left" w:pos="640"/>
        </w:tabs>
        <w:spacing w:before="0"/>
        <w:ind w:firstLine="320"/>
      </w:pPr>
      <w:r>
        <w:rPr>
          <w:rStyle w:val="2d"/>
        </w:rPr>
        <w:t>Целенаправленно реализовывать задачи закупок.</w:t>
      </w:r>
    </w:p>
    <w:p w14:paraId="35563E2D" w14:textId="77777777" w:rsidR="00350D42" w:rsidRDefault="008E6F64">
      <w:pPr>
        <w:pStyle w:val="2c"/>
        <w:numPr>
          <w:ilvl w:val="0"/>
          <w:numId w:val="120"/>
        </w:numPr>
        <w:shd w:val="clear" w:color="auto" w:fill="auto"/>
        <w:tabs>
          <w:tab w:val="left" w:pos="640"/>
        </w:tabs>
        <w:spacing w:before="0"/>
        <w:ind w:firstLine="320"/>
      </w:pPr>
      <w:r>
        <w:rPr>
          <w:rStyle w:val="2d"/>
        </w:rPr>
        <w:t>Обеспечивать информационную «прозрачность» процесса за</w:t>
      </w:r>
      <w:r>
        <w:rPr>
          <w:rStyle w:val="2d"/>
        </w:rPr>
        <w:softHyphen/>
        <w:t>купок.</w:t>
      </w:r>
    </w:p>
    <w:p w14:paraId="489C2681" w14:textId="77777777" w:rsidR="00350D42" w:rsidRDefault="008E6F64">
      <w:pPr>
        <w:pStyle w:val="2c"/>
        <w:numPr>
          <w:ilvl w:val="0"/>
          <w:numId w:val="120"/>
        </w:numPr>
        <w:shd w:val="clear" w:color="auto" w:fill="auto"/>
        <w:tabs>
          <w:tab w:val="left" w:pos="626"/>
        </w:tabs>
        <w:spacing w:before="0"/>
        <w:ind w:firstLine="320"/>
      </w:pPr>
      <w:r>
        <w:rPr>
          <w:rStyle w:val="2d"/>
        </w:rPr>
        <w:t>Проводиться по справедливым правилам конкурсов и аукци</w:t>
      </w:r>
      <w:r>
        <w:rPr>
          <w:rStyle w:val="2d"/>
        </w:rPr>
        <w:softHyphen/>
        <w:t>онов для всех заинтересованных в государственных заказах.</w:t>
      </w:r>
    </w:p>
    <w:p w14:paraId="297DFAC2" w14:textId="77777777" w:rsidR="00350D42" w:rsidRDefault="008E6F64">
      <w:pPr>
        <w:pStyle w:val="2c"/>
        <w:numPr>
          <w:ilvl w:val="0"/>
          <w:numId w:val="120"/>
        </w:numPr>
        <w:shd w:val="clear" w:color="auto" w:fill="auto"/>
        <w:tabs>
          <w:tab w:val="left" w:pos="626"/>
        </w:tabs>
        <w:spacing w:before="0"/>
        <w:ind w:firstLine="320"/>
      </w:pPr>
      <w:r>
        <w:rPr>
          <w:rStyle w:val="2d"/>
        </w:rPr>
        <w:t>Исполнять вмененную ответственность за принятые решения в процессах и результатах государственных закупок.</w:t>
      </w:r>
    </w:p>
    <w:p w14:paraId="17F92420" w14:textId="77777777" w:rsidR="002767DC" w:rsidRDefault="008E6F64">
      <w:pPr>
        <w:pStyle w:val="2c"/>
        <w:shd w:val="clear" w:color="auto" w:fill="auto"/>
        <w:spacing w:before="0"/>
        <w:ind w:firstLine="320"/>
        <w:rPr>
          <w:rStyle w:val="2d"/>
        </w:rPr>
      </w:pPr>
      <w:r>
        <w:rPr>
          <w:rStyle w:val="2d"/>
        </w:rPr>
        <w:t>Бывший полномочный представитель Президента РФ в Северо</w:t>
      </w:r>
      <w:r>
        <w:rPr>
          <w:rStyle w:val="2d"/>
        </w:rPr>
        <w:softHyphen/>
        <w:t>Западном федеральном округе В. Черкесов отмечал, что в 2001 г. си</w:t>
      </w:r>
      <w:r>
        <w:rPr>
          <w:rStyle w:val="2d"/>
        </w:rPr>
        <w:softHyphen/>
        <w:t>стема закупок имела децентрализованный характер. Более 100 феде</w:t>
      </w:r>
      <w:r>
        <w:rPr>
          <w:rStyle w:val="2d"/>
        </w:rPr>
        <w:softHyphen/>
        <w:t>ральных органов власти и прочих получателей бюджетных средств осуществляли закупки самостоятельно, минуя конкурсы, обращаясь к посредническим фирмам. Это приводило к удорожанию продук</w:t>
      </w:r>
      <w:r>
        <w:rPr>
          <w:rStyle w:val="2d"/>
        </w:rPr>
        <w:softHyphen/>
        <w:t>ции, расточительной трате финансовых ресурсов государства. Фор</w:t>
      </w:r>
      <w:r>
        <w:rPr>
          <w:rStyle w:val="2d"/>
        </w:rPr>
        <w:softHyphen/>
        <w:t>мы оптовых скидок, торговых кредитов и др. не использовались. Выбор поставщиков производился чаще всего в интересах чинов</w:t>
      </w:r>
    </w:p>
    <w:p w14:paraId="61099A6C" w14:textId="703E1003" w:rsidR="00350D42" w:rsidRDefault="008E6F64">
      <w:pPr>
        <w:pStyle w:val="2c"/>
        <w:shd w:val="clear" w:color="auto" w:fill="auto"/>
        <w:spacing w:before="0"/>
        <w:ind w:firstLine="320"/>
      </w:pPr>
      <w:r>
        <w:rPr>
          <w:rStyle w:val="2d"/>
        </w:rPr>
        <w:t>ников</w:t>
      </w:r>
      <w:r>
        <w:rPr>
          <w:rStyle w:val="2d"/>
          <w:vertAlign w:val="superscript"/>
        </w:rPr>
        <w:footnoteReference w:id="183"/>
      </w:r>
      <w:r>
        <w:rPr>
          <w:rStyle w:val="2d"/>
        </w:rPr>
        <w:t>.</w:t>
      </w:r>
    </w:p>
    <w:p w14:paraId="4876190B" w14:textId="77777777" w:rsidR="00350D42" w:rsidRDefault="008E6F64">
      <w:pPr>
        <w:pStyle w:val="2c"/>
        <w:shd w:val="clear" w:color="auto" w:fill="auto"/>
        <w:spacing w:before="0"/>
        <w:ind w:firstLine="320"/>
      </w:pPr>
      <w:r>
        <w:rPr>
          <w:rStyle w:val="2d"/>
        </w:rPr>
        <w:lastRenderedPageBreak/>
        <w:t>В 2002 г. по подсчетам Минэкономразвития России 80 % заку</w:t>
      </w:r>
      <w:r>
        <w:rPr>
          <w:rStyle w:val="2d"/>
        </w:rPr>
        <w:softHyphen/>
        <w:t>пок федеральных ведомств проводились без конкурсов</w:t>
      </w:r>
      <w:r>
        <w:rPr>
          <w:rStyle w:val="2d"/>
          <w:vertAlign w:val="superscript"/>
        </w:rPr>
        <w:footnoteReference w:id="184"/>
      </w:r>
      <w:r>
        <w:rPr>
          <w:rStyle w:val="2d"/>
        </w:rPr>
        <w:t xml:space="preserve">. В 2003 г. вступила в действие государственная система электронных торгов на сайтах «Российские государственные закупки» </w:t>
      </w:r>
      <w:r w:rsidRPr="000E0C7E">
        <w:rPr>
          <w:rStyle w:val="2d"/>
          <w:lang w:eastAsia="en-US" w:bidi="en-US"/>
        </w:rPr>
        <w:t>(</w:t>
      </w:r>
      <w:r>
        <w:rPr>
          <w:rStyle w:val="2d"/>
          <w:lang w:val="en-US" w:eastAsia="en-US" w:bidi="en-US"/>
        </w:rPr>
        <w:t>htpp</w:t>
      </w:r>
      <w:r w:rsidRPr="000E0C7E">
        <w:rPr>
          <w:rStyle w:val="2d"/>
          <w:lang w:eastAsia="en-US" w:bidi="en-US"/>
        </w:rPr>
        <w:t>://</w:t>
      </w:r>
      <w:r>
        <w:rPr>
          <w:rStyle w:val="2d"/>
          <w:lang w:val="en-US" w:eastAsia="en-US" w:bidi="en-US"/>
        </w:rPr>
        <w:t>www</w:t>
      </w:r>
      <w:r w:rsidRPr="000E0C7E">
        <w:rPr>
          <w:rStyle w:val="2d"/>
          <w:lang w:eastAsia="en-US" w:bidi="en-US"/>
        </w:rPr>
        <w:t xml:space="preserve">. </w:t>
      </w:r>
      <w:r>
        <w:rPr>
          <w:rStyle w:val="2d"/>
          <w:lang w:val="en-US" w:eastAsia="en-US" w:bidi="en-US"/>
        </w:rPr>
        <w:t>goszakupki</w:t>
      </w:r>
      <w:r w:rsidRPr="000E0C7E">
        <w:rPr>
          <w:rStyle w:val="2d"/>
          <w:lang w:eastAsia="en-US" w:bidi="en-US"/>
        </w:rPr>
        <w:t>.</w:t>
      </w:r>
      <w:r>
        <w:rPr>
          <w:rStyle w:val="2d"/>
          <w:lang w:val="en-US" w:eastAsia="en-US" w:bidi="en-US"/>
        </w:rPr>
        <w:t>ru</w:t>
      </w:r>
      <w:r w:rsidRPr="000E0C7E">
        <w:rPr>
          <w:rStyle w:val="2d"/>
          <w:lang w:eastAsia="en-US" w:bidi="en-US"/>
        </w:rPr>
        <w:t xml:space="preserve">). </w:t>
      </w:r>
      <w:r>
        <w:rPr>
          <w:rStyle w:val="2d"/>
        </w:rPr>
        <w:t>В Санкт-Петербурге государственные закупки со</w:t>
      </w:r>
      <w:r>
        <w:rPr>
          <w:rStyle w:val="2d"/>
        </w:rPr>
        <w:softHyphen/>
        <w:t>ставляли половину городского бюджета. Предполагали, что после внедрения Автоматизированной информационной системы госу</w:t>
      </w:r>
      <w:r>
        <w:rPr>
          <w:rStyle w:val="2d"/>
        </w:rPr>
        <w:softHyphen/>
        <w:t>дарственного заказа, упорядочивания документооборота и опера</w:t>
      </w:r>
      <w:r>
        <w:rPr>
          <w:rStyle w:val="2d"/>
        </w:rPr>
        <w:softHyphen/>
        <w:t>тивной информации сэкономят 300 млн руб.</w:t>
      </w:r>
    </w:p>
    <w:p w14:paraId="75ABA5D7" w14:textId="77777777" w:rsidR="00350D42" w:rsidRDefault="008E6F64">
      <w:pPr>
        <w:pStyle w:val="2c"/>
        <w:shd w:val="clear" w:color="auto" w:fill="auto"/>
        <w:spacing w:before="0"/>
        <w:ind w:firstLine="320"/>
      </w:pPr>
      <w:r>
        <w:rPr>
          <w:rStyle w:val="2d"/>
        </w:rPr>
        <w:t>В 2006 г. общий объем закупок государственными органами всех уровней в России соответствовал сумме 1,9 трлн руб. Потери феде</w:t>
      </w:r>
      <w:r>
        <w:rPr>
          <w:rStyle w:val="2d"/>
        </w:rPr>
        <w:softHyphen/>
        <w:t>рального, регионального и муниципальных бюджетов в этой систе</w:t>
      </w:r>
      <w:r>
        <w:rPr>
          <w:rStyle w:val="2d"/>
        </w:rPr>
        <w:softHyphen/>
        <w:t>ме составили 4 % расходной части консолидированного бюджета, или «утечку» 303 млрд руб. Средние цены, которые власти и госу</w:t>
      </w:r>
      <w:r>
        <w:rPr>
          <w:rStyle w:val="2d"/>
        </w:rPr>
        <w:softHyphen/>
        <w:t>дарственные органы заплатили на аукционах за ряд товаров (топли</w:t>
      </w:r>
      <w:r>
        <w:rPr>
          <w:rStyle w:val="2d"/>
        </w:rPr>
        <w:softHyphen/>
        <w:t>во и лекарство, медицинское оборудование и мебель, канцелярские принадлежности и т. д.), превышали рыночные цены на 16—20 %. На фоне всех ведомств критерию «прозрачности» соответствова</w:t>
      </w:r>
      <w:r>
        <w:rPr>
          <w:rStyle w:val="2d"/>
        </w:rPr>
        <w:softHyphen/>
        <w:t>ли закупки, проведенные Роспромом и Росимуществом. Низкое соответствие этому критерию обнаруживали закупки целого ряда государственных министерств и агентств. По регионам выше оце</w:t>
      </w:r>
      <w:r>
        <w:rPr>
          <w:rStyle w:val="2d"/>
        </w:rPr>
        <w:softHyphen/>
        <w:t>нивались работа систем госзакупок в Москве, Санкт-Петербурге, Татарстане, а ниже — в 50 остальных регионах</w:t>
      </w:r>
      <w:r>
        <w:rPr>
          <w:rStyle w:val="2d"/>
          <w:vertAlign w:val="superscript"/>
        </w:rPr>
        <w:footnoteReference w:id="185"/>
      </w:r>
      <w:r>
        <w:rPr>
          <w:rStyle w:val="2d"/>
        </w:rPr>
        <w:t>.</w:t>
      </w:r>
    </w:p>
    <w:p w14:paraId="55062A0E" w14:textId="77777777" w:rsidR="00350D42" w:rsidRDefault="008E6F64">
      <w:pPr>
        <w:pStyle w:val="2c"/>
        <w:shd w:val="clear" w:color="auto" w:fill="auto"/>
        <w:spacing w:before="0"/>
        <w:ind w:firstLine="320"/>
      </w:pPr>
      <w:r>
        <w:rPr>
          <w:rStyle w:val="2d"/>
        </w:rPr>
        <w:t>Эксперты Счетной палаты РФ отмечали, что свыше 70 % круп</w:t>
      </w:r>
      <w:r>
        <w:rPr>
          <w:rStyle w:val="2d"/>
        </w:rPr>
        <w:softHyphen/>
        <w:t>ных госконтрактов, сделанных в период с июля 2011 г. по декабрь 2012 г. на общую сумму 1,5 трлн руб., были заключены с наруше</w:t>
      </w:r>
      <w:r>
        <w:rPr>
          <w:rStyle w:val="2d"/>
        </w:rPr>
        <w:softHyphen/>
        <w:t>нием конкуренции. Например, большая часть контрактов размеща</w:t>
      </w:r>
      <w:r>
        <w:rPr>
          <w:rStyle w:val="2d"/>
        </w:rPr>
        <w:softHyphen/>
        <w:t>ется посредством заключения договора с единственным поставщи</w:t>
      </w:r>
      <w:r>
        <w:rPr>
          <w:rStyle w:val="2d"/>
        </w:rPr>
        <w:softHyphen/>
        <w:t>ком. В этот период было заключено 458 особо крупных контрактов. При этом стоимость некоторых из них превысила 44 млрд руб.</w:t>
      </w:r>
      <w:r>
        <w:rPr>
          <w:rStyle w:val="2d"/>
          <w:vertAlign w:val="superscript"/>
        </w:rPr>
        <w:footnoteReference w:id="186"/>
      </w:r>
    </w:p>
    <w:p w14:paraId="68884C27" w14:textId="22B0A584" w:rsidR="00350D42" w:rsidRPr="0081474F" w:rsidRDefault="008E6F64">
      <w:pPr>
        <w:pStyle w:val="2c"/>
        <w:shd w:val="clear" w:color="auto" w:fill="auto"/>
        <w:spacing w:before="0"/>
        <w:ind w:firstLine="340"/>
        <w:rPr>
          <w:color w:val="00B050"/>
        </w:rPr>
      </w:pPr>
      <w:r>
        <w:rPr>
          <w:rStyle w:val="2d"/>
        </w:rPr>
        <w:t>В связи с принятием в члены ВТО 22 августа 2012 г. для Рос</w:t>
      </w:r>
      <w:r>
        <w:rPr>
          <w:rStyle w:val="2d"/>
        </w:rPr>
        <w:softHyphen/>
        <w:t>сийской Федерации стало актуальным участие в трансграничной электронной торговле. Одним из регуляторов электронной торгов</w:t>
      </w:r>
      <w:r>
        <w:rPr>
          <w:rStyle w:val="2d"/>
        </w:rPr>
        <w:softHyphen/>
        <w:t xml:space="preserve">ли в рамках международных контактов является Соглашение ВТО по правительственным закупкам </w:t>
      </w:r>
      <w:r w:rsidRPr="000E0C7E">
        <w:rPr>
          <w:rStyle w:val="2f4"/>
          <w:lang w:eastAsia="en-US" w:bidi="en-US"/>
        </w:rPr>
        <w:t>(</w:t>
      </w:r>
      <w:r>
        <w:rPr>
          <w:rStyle w:val="2f4"/>
          <w:lang w:val="en-US" w:eastAsia="en-US" w:bidi="en-US"/>
        </w:rPr>
        <w:t>GPA</w:t>
      </w:r>
      <w:r w:rsidRPr="000E0C7E">
        <w:rPr>
          <w:rStyle w:val="2f4"/>
          <w:lang w:eastAsia="en-US" w:bidi="en-US"/>
        </w:rPr>
        <w:t xml:space="preserve">, </w:t>
      </w:r>
      <w:r>
        <w:rPr>
          <w:rStyle w:val="2f4"/>
          <w:lang w:val="en-US" w:eastAsia="en-US" w:bidi="en-US"/>
        </w:rPr>
        <w:t>Agreement</w:t>
      </w:r>
      <w:r w:rsidRPr="000E0C7E">
        <w:rPr>
          <w:rStyle w:val="2f4"/>
          <w:lang w:eastAsia="en-US" w:bidi="en-US"/>
        </w:rPr>
        <w:t xml:space="preserve"> </w:t>
      </w:r>
      <w:r>
        <w:rPr>
          <w:rStyle w:val="2f4"/>
          <w:lang w:val="en-US" w:eastAsia="en-US" w:bidi="en-US"/>
        </w:rPr>
        <w:t>on</w:t>
      </w:r>
      <w:r w:rsidRPr="000E0C7E">
        <w:rPr>
          <w:rStyle w:val="2f4"/>
          <w:lang w:eastAsia="en-US" w:bidi="en-US"/>
        </w:rPr>
        <w:t xml:space="preserve"> </w:t>
      </w:r>
      <w:r>
        <w:rPr>
          <w:rStyle w:val="2f4"/>
          <w:lang w:val="en-US" w:eastAsia="en-US" w:bidi="en-US"/>
        </w:rPr>
        <w:t>Government</w:t>
      </w:r>
      <w:r w:rsidRPr="000E0C7E">
        <w:rPr>
          <w:rStyle w:val="2f4"/>
          <w:lang w:eastAsia="en-US" w:bidi="en-US"/>
        </w:rPr>
        <w:t xml:space="preserve"> </w:t>
      </w:r>
      <w:r>
        <w:rPr>
          <w:rStyle w:val="2f4"/>
          <w:lang w:val="en-US" w:eastAsia="en-US" w:bidi="en-US"/>
        </w:rPr>
        <w:t>Procurement</w:t>
      </w:r>
      <w:r w:rsidRPr="000E0C7E">
        <w:rPr>
          <w:rStyle w:val="2f4"/>
          <w:lang w:eastAsia="en-US" w:bidi="en-US"/>
        </w:rPr>
        <w:t>)</w:t>
      </w:r>
      <w:r>
        <w:rPr>
          <w:rStyle w:val="2f4"/>
          <w:vertAlign w:val="superscript"/>
          <w:lang w:val="en-US" w:eastAsia="en-US" w:bidi="en-US"/>
        </w:rPr>
        <w:footnoteReference w:id="187"/>
      </w:r>
      <w:r w:rsidRPr="000E0C7E">
        <w:rPr>
          <w:rStyle w:val="2f4"/>
          <w:lang w:eastAsia="en-US" w:bidi="en-US"/>
        </w:rPr>
        <w:t>.</w:t>
      </w:r>
      <w:r w:rsidR="002767DC">
        <w:rPr>
          <w:rStyle w:val="2f4"/>
          <w:lang w:eastAsia="en-US" w:bidi="en-US"/>
        </w:rPr>
        <w:t xml:space="preserve"> </w:t>
      </w:r>
      <w:r w:rsidR="002767DC" w:rsidRPr="0081474F">
        <w:rPr>
          <w:rStyle w:val="2f4"/>
          <w:i w:val="0"/>
          <w:iCs w:val="0"/>
          <w:color w:val="00B050"/>
          <w:lang w:eastAsia="en-US" w:bidi="en-US"/>
        </w:rPr>
        <w:t xml:space="preserve">В условиях политико- и социально-экономических изменений в мире национальные режимы межгосударственных закупок регламентируются, прежде всего, основными Федеральными Законами о госзакупках </w:t>
      </w:r>
      <w:r w:rsidR="0081474F">
        <w:rPr>
          <w:rStyle w:val="2f4"/>
          <w:i w:val="0"/>
          <w:iCs w:val="0"/>
          <w:color w:val="00B050"/>
          <w:lang w:eastAsia="en-US" w:bidi="en-US"/>
        </w:rPr>
        <w:t xml:space="preserve">№ 223 </w:t>
      </w:r>
      <w:r w:rsidR="002767DC" w:rsidRPr="0081474F">
        <w:rPr>
          <w:rStyle w:val="2f4"/>
          <w:i w:val="0"/>
          <w:iCs w:val="0"/>
          <w:color w:val="00B050"/>
          <w:lang w:eastAsia="en-US" w:bidi="en-US"/>
        </w:rPr>
        <w:t xml:space="preserve">и контрактной системе </w:t>
      </w:r>
      <w:r w:rsidR="0081474F">
        <w:rPr>
          <w:rStyle w:val="2f4"/>
          <w:i w:val="0"/>
          <w:iCs w:val="0"/>
          <w:color w:val="00B050"/>
          <w:lang w:eastAsia="en-US" w:bidi="en-US"/>
        </w:rPr>
        <w:t xml:space="preserve">в сфере закупок </w:t>
      </w:r>
      <w:r w:rsidR="002767DC" w:rsidRPr="0081474F">
        <w:rPr>
          <w:rStyle w:val="2f4"/>
          <w:i w:val="0"/>
          <w:iCs w:val="0"/>
          <w:color w:val="00B050"/>
          <w:lang w:eastAsia="en-US" w:bidi="en-US"/>
        </w:rPr>
        <w:t xml:space="preserve"> № 44</w:t>
      </w:r>
      <w:r w:rsidR="0081474F" w:rsidRPr="0081474F">
        <w:rPr>
          <w:rStyle w:val="2f4"/>
          <w:i w:val="0"/>
          <w:iCs w:val="0"/>
          <w:color w:val="00B050"/>
          <w:lang w:eastAsia="en-US" w:bidi="en-US"/>
        </w:rPr>
        <w:t xml:space="preserve">, и </w:t>
      </w:r>
      <w:r w:rsidR="0081474F" w:rsidRPr="0081474F">
        <w:rPr>
          <w:rStyle w:val="2f4"/>
          <w:i w:val="0"/>
          <w:iCs w:val="0"/>
          <w:color w:val="00B050"/>
          <w:lang w:eastAsia="en-US" w:bidi="en-US"/>
        </w:rPr>
        <w:lastRenderedPageBreak/>
        <w:t>так же соответствующими постановлениями</w:t>
      </w:r>
      <w:r w:rsidR="002767DC" w:rsidRPr="0081474F">
        <w:rPr>
          <w:rStyle w:val="2f4"/>
          <w:i w:val="0"/>
          <w:iCs w:val="0"/>
          <w:color w:val="00B050"/>
          <w:lang w:eastAsia="en-US" w:bidi="en-US"/>
        </w:rPr>
        <w:t xml:space="preserve"> </w:t>
      </w:r>
      <w:r w:rsidR="0081474F" w:rsidRPr="0081474F">
        <w:rPr>
          <w:rStyle w:val="2f4"/>
          <w:i w:val="0"/>
          <w:iCs w:val="0"/>
          <w:color w:val="00B050"/>
          <w:lang w:eastAsia="en-US" w:bidi="en-US"/>
        </w:rPr>
        <w:t>Правительства Р</w:t>
      </w:r>
      <w:r w:rsidR="0081474F">
        <w:rPr>
          <w:rStyle w:val="2f4"/>
          <w:i w:val="0"/>
          <w:iCs w:val="0"/>
          <w:color w:val="00B050"/>
          <w:lang w:eastAsia="en-US" w:bidi="en-US"/>
        </w:rPr>
        <w:t xml:space="preserve">оссийской </w:t>
      </w:r>
      <w:r w:rsidR="0081474F" w:rsidRPr="0081474F">
        <w:rPr>
          <w:rStyle w:val="2f4"/>
          <w:i w:val="0"/>
          <w:iCs w:val="0"/>
          <w:color w:val="00B050"/>
          <w:lang w:eastAsia="en-US" w:bidi="en-US"/>
        </w:rPr>
        <w:t>Ф</w:t>
      </w:r>
      <w:r w:rsidR="0081474F">
        <w:rPr>
          <w:rStyle w:val="2f4"/>
          <w:i w:val="0"/>
          <w:iCs w:val="0"/>
          <w:color w:val="00B050"/>
          <w:lang w:eastAsia="en-US" w:bidi="en-US"/>
        </w:rPr>
        <w:t>едерации</w:t>
      </w:r>
      <w:r w:rsidR="0081474F" w:rsidRPr="0081474F">
        <w:rPr>
          <w:rStyle w:val="2f4"/>
          <w:i w:val="0"/>
          <w:iCs w:val="0"/>
          <w:color w:val="00B050"/>
          <w:lang w:eastAsia="en-US" w:bidi="en-US"/>
        </w:rPr>
        <w:t>.</w:t>
      </w:r>
    </w:p>
    <w:p w14:paraId="4FDE51AE" w14:textId="77777777" w:rsidR="00350D42" w:rsidRDefault="008E6F64">
      <w:pPr>
        <w:pStyle w:val="2c"/>
        <w:shd w:val="clear" w:color="auto" w:fill="auto"/>
        <w:spacing w:before="0"/>
        <w:ind w:firstLine="340"/>
      </w:pPr>
      <w:r>
        <w:rPr>
          <w:rStyle w:val="2d"/>
        </w:rPr>
        <w:t>Управленческие модули, ассоциированный субъект, комму</w:t>
      </w:r>
      <w:r>
        <w:rPr>
          <w:rStyle w:val="2d"/>
        </w:rPr>
        <w:softHyphen/>
        <w:t>никации и критерии отбора в организационно-качественной модели государственных закупок. Основанием построения авто</w:t>
      </w:r>
      <w:r>
        <w:rPr>
          <w:rStyle w:val="2d"/>
        </w:rPr>
        <w:softHyphen/>
        <w:t>рами организационно-качественной модели общественной эконо</w:t>
      </w:r>
      <w:r>
        <w:rPr>
          <w:rStyle w:val="2d"/>
        </w:rPr>
        <w:softHyphen/>
        <w:t>мической деятельности России явились представления экономи- стов-классиков о коллективных действиях в экономике государства (М. Вебер, Дж. Бьюкенен и др.)</w:t>
      </w:r>
      <w:r>
        <w:rPr>
          <w:rStyle w:val="2d"/>
          <w:vertAlign w:val="superscript"/>
        </w:rPr>
        <w:footnoteReference w:id="188"/>
      </w:r>
      <w:r>
        <w:rPr>
          <w:rStyle w:val="2d"/>
        </w:rPr>
        <w:t xml:space="preserve"> и концепция управленческих моду</w:t>
      </w:r>
      <w:r>
        <w:rPr>
          <w:rStyle w:val="2d"/>
        </w:rPr>
        <w:softHyphen/>
        <w:t>лей организации</w:t>
      </w:r>
      <w:r>
        <w:rPr>
          <w:rStyle w:val="2d"/>
          <w:vertAlign w:val="superscript"/>
        </w:rPr>
        <w:footnoteReference w:id="189"/>
      </w:r>
      <w:r>
        <w:rPr>
          <w:rStyle w:val="2d"/>
        </w:rPr>
        <w:t>.</w:t>
      </w:r>
    </w:p>
    <w:p w14:paraId="1EF04E10" w14:textId="77777777" w:rsidR="00350D42" w:rsidRDefault="008E6F64">
      <w:pPr>
        <w:pStyle w:val="2c"/>
        <w:shd w:val="clear" w:color="auto" w:fill="auto"/>
        <w:spacing w:before="0"/>
        <w:ind w:firstLine="340"/>
      </w:pPr>
      <w:r>
        <w:rPr>
          <w:rStyle w:val="2d"/>
        </w:rPr>
        <w:t>Различают следующие модули управленческой системы:</w:t>
      </w:r>
    </w:p>
    <w:p w14:paraId="03EF8B17" w14:textId="77777777" w:rsidR="00350D42" w:rsidRDefault="008E6F64">
      <w:pPr>
        <w:pStyle w:val="2c"/>
        <w:numPr>
          <w:ilvl w:val="0"/>
          <w:numId w:val="116"/>
        </w:numPr>
        <w:shd w:val="clear" w:color="auto" w:fill="auto"/>
        <w:tabs>
          <w:tab w:val="left" w:pos="629"/>
        </w:tabs>
        <w:spacing w:before="0"/>
        <w:ind w:firstLine="340"/>
      </w:pPr>
      <w:r>
        <w:rPr>
          <w:rStyle w:val="2d"/>
        </w:rPr>
        <w:t>маркетинговый (научно-технологический) модуль — науч</w:t>
      </w:r>
      <w:r>
        <w:rPr>
          <w:rStyle w:val="2d"/>
        </w:rPr>
        <w:softHyphen/>
        <w:t>ные исследования о внешней среде, особенностях услуг и т. д.;</w:t>
      </w:r>
    </w:p>
    <w:p w14:paraId="17B7AB94" w14:textId="77777777" w:rsidR="00350D42" w:rsidRDefault="008E6F64">
      <w:pPr>
        <w:pStyle w:val="2c"/>
        <w:numPr>
          <w:ilvl w:val="0"/>
          <w:numId w:val="116"/>
        </w:numPr>
        <w:shd w:val="clear" w:color="auto" w:fill="auto"/>
        <w:tabs>
          <w:tab w:val="left" w:pos="629"/>
        </w:tabs>
        <w:spacing w:before="0"/>
        <w:ind w:firstLine="340"/>
      </w:pPr>
      <w:r>
        <w:rPr>
          <w:rStyle w:val="2d"/>
        </w:rPr>
        <w:t>материально-технический модуль включает сведения о зе</w:t>
      </w:r>
      <w:r>
        <w:rPr>
          <w:rStyle w:val="2d"/>
        </w:rPr>
        <w:softHyphen/>
        <w:t>мельных площадях, оснащении, снабжении, аренде и т. п. В него входят управление технологиями производства в сопряжении с про</w:t>
      </w:r>
      <w:r>
        <w:rPr>
          <w:rStyle w:val="2d"/>
        </w:rPr>
        <w:softHyphen/>
        <w:t>филем отрасли и располагаемыми материально-производственны</w:t>
      </w:r>
      <w:r>
        <w:rPr>
          <w:rStyle w:val="2d"/>
        </w:rPr>
        <w:softHyphen/>
        <w:t>ми ресурсами. Этот модуль зависит от технологии производства, профиля отрасли, располагаемых материально-производственных ресурсов;</w:t>
      </w:r>
    </w:p>
    <w:p w14:paraId="7C3E0568" w14:textId="77777777" w:rsidR="00350D42" w:rsidRDefault="008E6F64">
      <w:pPr>
        <w:pStyle w:val="2c"/>
        <w:numPr>
          <w:ilvl w:val="0"/>
          <w:numId w:val="116"/>
        </w:numPr>
        <w:shd w:val="clear" w:color="auto" w:fill="auto"/>
        <w:tabs>
          <w:tab w:val="left" w:pos="629"/>
        </w:tabs>
        <w:spacing w:before="0"/>
        <w:ind w:firstLine="340"/>
      </w:pPr>
      <w:r>
        <w:rPr>
          <w:rStyle w:val="2d"/>
        </w:rPr>
        <w:t>кадровый модуль подразумевает политику организации в области трудовых ресурсов, заботу о планировании новых рабо</w:t>
      </w:r>
      <w:r>
        <w:rPr>
          <w:rStyle w:val="2d"/>
        </w:rPr>
        <w:softHyphen/>
        <w:t>чих мест, обучении, переподготовке, повышении квалификации персонала;</w:t>
      </w:r>
    </w:p>
    <w:p w14:paraId="72627345" w14:textId="77777777" w:rsidR="00350D42" w:rsidRDefault="008E6F64">
      <w:pPr>
        <w:pStyle w:val="2c"/>
        <w:numPr>
          <w:ilvl w:val="0"/>
          <w:numId w:val="116"/>
        </w:numPr>
        <w:shd w:val="clear" w:color="auto" w:fill="auto"/>
        <w:tabs>
          <w:tab w:val="left" w:pos="629"/>
        </w:tabs>
        <w:spacing w:before="0"/>
        <w:ind w:firstLine="340"/>
      </w:pPr>
      <w:r>
        <w:rPr>
          <w:rStyle w:val="2d"/>
        </w:rPr>
        <w:t>социально-психологический модуль связан с управленчески</w:t>
      </w:r>
      <w:r>
        <w:rPr>
          <w:rStyle w:val="2d"/>
        </w:rPr>
        <w:softHyphen/>
        <w:t>ми решениями по проблемам ценностей, психологического клима</w:t>
      </w:r>
      <w:r>
        <w:rPr>
          <w:rStyle w:val="2d"/>
        </w:rPr>
        <w:softHyphen/>
        <w:t>та, формальных и неформальных отношений, характеров, личност</w:t>
      </w:r>
      <w:r>
        <w:rPr>
          <w:rStyle w:val="2d"/>
        </w:rPr>
        <w:softHyphen/>
        <w:t>ных особенностей и состояний, а также отношением людей к труду и его условиям, к дисциплине, к руководству, стилю работы и др.;</w:t>
      </w:r>
    </w:p>
    <w:p w14:paraId="45ED0E16" w14:textId="77777777" w:rsidR="00350D42" w:rsidRDefault="008E6F64">
      <w:pPr>
        <w:pStyle w:val="2c"/>
        <w:numPr>
          <w:ilvl w:val="0"/>
          <w:numId w:val="116"/>
        </w:numPr>
        <w:shd w:val="clear" w:color="auto" w:fill="auto"/>
        <w:tabs>
          <w:tab w:val="left" w:pos="629"/>
        </w:tabs>
        <w:spacing w:before="0"/>
        <w:ind w:firstLine="340"/>
      </w:pPr>
      <w:r>
        <w:rPr>
          <w:rStyle w:val="2d"/>
        </w:rPr>
        <w:t>информационно-аналитический модуль направлен на управ</w:t>
      </w:r>
      <w:r>
        <w:rPr>
          <w:rStyle w:val="2d"/>
        </w:rPr>
        <w:softHyphen/>
        <w:t>ление каналами приема, передачи, хранения информации в органи</w:t>
      </w:r>
      <w:r>
        <w:rPr>
          <w:rStyle w:val="2d"/>
        </w:rPr>
        <w:softHyphen/>
        <w:t>зации;</w:t>
      </w:r>
    </w:p>
    <w:p w14:paraId="32422AC0" w14:textId="77777777" w:rsidR="00350D42" w:rsidRDefault="008E6F64">
      <w:pPr>
        <w:pStyle w:val="2c"/>
        <w:numPr>
          <w:ilvl w:val="0"/>
          <w:numId w:val="116"/>
        </w:numPr>
        <w:shd w:val="clear" w:color="auto" w:fill="auto"/>
        <w:tabs>
          <w:tab w:val="left" w:pos="629"/>
        </w:tabs>
        <w:spacing w:before="0"/>
        <w:ind w:firstLine="340"/>
      </w:pPr>
      <w:r>
        <w:rPr>
          <w:rStyle w:val="2d"/>
        </w:rPr>
        <w:t>функционально-коммуникативный модуль создает необходи</w:t>
      </w:r>
      <w:r>
        <w:rPr>
          <w:rStyle w:val="2d"/>
        </w:rPr>
        <w:softHyphen/>
        <w:t>мость управления связями между внутренней и внешней средами организации;</w:t>
      </w:r>
    </w:p>
    <w:p w14:paraId="2F6EC98A" w14:textId="77777777" w:rsidR="00350D42" w:rsidRDefault="008E6F64">
      <w:pPr>
        <w:pStyle w:val="2c"/>
        <w:numPr>
          <w:ilvl w:val="0"/>
          <w:numId w:val="116"/>
        </w:numPr>
        <w:shd w:val="clear" w:color="auto" w:fill="auto"/>
        <w:tabs>
          <w:tab w:val="left" w:pos="629"/>
        </w:tabs>
        <w:spacing w:before="0"/>
        <w:ind w:firstLine="340"/>
      </w:pPr>
      <w:r>
        <w:rPr>
          <w:rStyle w:val="2d"/>
        </w:rPr>
        <w:lastRenderedPageBreak/>
        <w:t>структурно-должностной модуль охватывает функциональное поле деятельности: объем, функции рабочих операций в минутах, часах, рабочее место, нормы, проектные расчеты;</w:t>
      </w:r>
    </w:p>
    <w:p w14:paraId="4836790A" w14:textId="77777777" w:rsidR="00350D42" w:rsidRDefault="008E6F64">
      <w:pPr>
        <w:pStyle w:val="2c"/>
        <w:numPr>
          <w:ilvl w:val="0"/>
          <w:numId w:val="116"/>
        </w:numPr>
        <w:shd w:val="clear" w:color="auto" w:fill="auto"/>
        <w:tabs>
          <w:tab w:val="left" w:pos="629"/>
        </w:tabs>
        <w:spacing w:before="0"/>
        <w:ind w:firstLine="340"/>
      </w:pPr>
      <w:r>
        <w:rPr>
          <w:rStyle w:val="2d"/>
        </w:rPr>
        <w:t>финансовый модуль включает структуру финансов, себестои</w:t>
      </w:r>
      <w:r>
        <w:rPr>
          <w:rStyle w:val="2d"/>
        </w:rPr>
        <w:softHyphen/>
        <w:t>мость, экономические показатели организации и пр.;</w:t>
      </w:r>
    </w:p>
    <w:p w14:paraId="6CCE6087" w14:textId="77777777" w:rsidR="00350D42" w:rsidRDefault="008E6F64">
      <w:pPr>
        <w:pStyle w:val="2c"/>
        <w:numPr>
          <w:ilvl w:val="0"/>
          <w:numId w:val="116"/>
        </w:numPr>
        <w:shd w:val="clear" w:color="auto" w:fill="auto"/>
        <w:tabs>
          <w:tab w:val="left" w:pos="629"/>
        </w:tabs>
        <w:spacing w:before="0"/>
        <w:ind w:firstLine="340"/>
      </w:pPr>
      <w:r>
        <w:rPr>
          <w:rStyle w:val="2d"/>
        </w:rPr>
        <w:t>стратегический модуль характеризует стиль и характер рабо</w:t>
      </w:r>
      <w:r>
        <w:rPr>
          <w:rStyle w:val="2d"/>
        </w:rPr>
        <w:softHyphen/>
        <w:t>ты с целями, общую идеологию и перспективы организации.</w:t>
      </w:r>
    </w:p>
    <w:p w14:paraId="445A0A76" w14:textId="77777777" w:rsidR="00350D42" w:rsidRDefault="008E6F64">
      <w:pPr>
        <w:pStyle w:val="2c"/>
        <w:shd w:val="clear" w:color="auto" w:fill="auto"/>
        <w:spacing w:before="0"/>
        <w:ind w:firstLine="340"/>
      </w:pPr>
      <w:r>
        <w:rPr>
          <w:rStyle w:val="2d"/>
        </w:rPr>
        <w:t>В социально-психологической классификации по критерию «уро</w:t>
      </w:r>
      <w:r>
        <w:rPr>
          <w:rStyle w:val="2d"/>
        </w:rPr>
        <w:softHyphen/>
        <w:t>вень развития деятельности» организацию государственных закупок образует ассоциированный субъект, или группы организованных производственных сообществ, у каждой из которых есть свои инте</w:t>
      </w:r>
      <w:r>
        <w:rPr>
          <w:rStyle w:val="2d"/>
        </w:rPr>
        <w:softHyphen/>
        <w:t>ресы и стремления. Поэтому в анализе психического состояния субъ</w:t>
      </w:r>
      <w:r>
        <w:rPr>
          <w:rStyle w:val="2d"/>
        </w:rPr>
        <w:softHyphen/>
        <w:t>екта государственных закупок важно рассматривать мотивы, цели групп-участников, средства лоббирования ими своих интересов.</w:t>
      </w:r>
    </w:p>
    <w:p w14:paraId="4D502E9A" w14:textId="77777777" w:rsidR="00350D42" w:rsidRDefault="008E6F64">
      <w:pPr>
        <w:pStyle w:val="2c"/>
        <w:shd w:val="clear" w:color="auto" w:fill="auto"/>
        <w:spacing w:before="0"/>
        <w:ind w:firstLine="340"/>
      </w:pPr>
      <w:r>
        <w:rPr>
          <w:rStyle w:val="2d"/>
        </w:rPr>
        <w:t>Как в любой организации, в системе государственных закупок существуют проблемы человеческих коммуникаций. Во-первых, вследствие того что государственные закупки затрагивают раз</w:t>
      </w:r>
      <w:r>
        <w:rPr>
          <w:rStyle w:val="2d"/>
        </w:rPr>
        <w:softHyphen/>
        <w:t>личные интересы отдельных экономических субъектов, возникают психолого-экономические и психолого-политические проблемы. Во-вторых, в этом процессе принято рассматривать участие таких субъектов, как государство в лице чиновника (покупатель), и пред</w:t>
      </w:r>
      <w:r>
        <w:rPr>
          <w:rStyle w:val="2d"/>
        </w:rPr>
        <w:softHyphen/>
        <w:t>принимательский сектор (продавец). Выделяют также поставщика и заказчика</w:t>
      </w:r>
      <w:r>
        <w:rPr>
          <w:rStyle w:val="2d"/>
          <w:vertAlign w:val="superscript"/>
        </w:rPr>
        <w:t>1</w:t>
      </w:r>
      <w:r>
        <w:rPr>
          <w:rStyle w:val="2d"/>
        </w:rPr>
        <w:t>. Однако с учетом психолого-экономических проблем в этой схеме следует рассматривать как равноправных субъектов производителя, потребителя и специалиста. Политический и пу</w:t>
      </w:r>
      <w:r>
        <w:rPr>
          <w:rStyle w:val="2d"/>
        </w:rPr>
        <w:softHyphen/>
        <w:t>бличный характер закупок указывает, что не последнюю роль в этом процессе играют такие субъекты, как «депутат», «муниципал». Об</w:t>
      </w:r>
      <w:r>
        <w:rPr>
          <w:rStyle w:val="2d"/>
        </w:rPr>
        <w:softHyphen/>
        <w:t>щими объектами являются товар, услуга, деньги</w:t>
      </w:r>
      <w:r>
        <w:rPr>
          <w:rStyle w:val="2d"/>
          <w:vertAlign w:val="superscript"/>
        </w:rPr>
        <w:t>2</w:t>
      </w:r>
      <w:r>
        <w:rPr>
          <w:rStyle w:val="2d"/>
        </w:rPr>
        <w:t xml:space="preserve">. </w:t>
      </w:r>
      <w:r>
        <w:rPr>
          <w:rStyle w:val="2d"/>
          <w:vertAlign w:val="superscript"/>
        </w:rPr>
        <w:footnoteReference w:id="190"/>
      </w:r>
      <w:r>
        <w:rPr>
          <w:rStyle w:val="2d"/>
          <w:vertAlign w:val="superscript"/>
        </w:rPr>
        <w:t xml:space="preserve"> </w:t>
      </w:r>
      <w:r>
        <w:rPr>
          <w:rStyle w:val="2d"/>
          <w:vertAlign w:val="superscript"/>
        </w:rPr>
        <w:footnoteReference w:id="191"/>
      </w:r>
    </w:p>
    <w:p w14:paraId="1818ACB4" w14:textId="77777777" w:rsidR="00350D42" w:rsidRDefault="008E6F64">
      <w:pPr>
        <w:pStyle w:val="2c"/>
        <w:shd w:val="clear" w:color="auto" w:fill="auto"/>
        <w:spacing w:before="0"/>
        <w:ind w:firstLine="320"/>
      </w:pPr>
      <w:r>
        <w:rPr>
          <w:rStyle w:val="2d"/>
        </w:rPr>
        <w:t>Как отмечает В. М. Соколинский, функционально зависимые от государственного сектора экономики и государственной соб</w:t>
      </w:r>
      <w:r>
        <w:rPr>
          <w:rStyle w:val="2d"/>
        </w:rPr>
        <w:softHyphen/>
        <w:t>ственности группы иногда пребывают в состоянии, когда возника</w:t>
      </w:r>
      <w:r>
        <w:rPr>
          <w:rStyle w:val="2d"/>
        </w:rPr>
        <w:softHyphen/>
        <w:t>ет чувство обделенности, недовольство объемом благ и расходов на них</w:t>
      </w:r>
      <w:r>
        <w:rPr>
          <w:rStyle w:val="2d"/>
          <w:vertAlign w:val="superscript"/>
        </w:rPr>
        <w:t>1</w:t>
      </w:r>
      <w:r>
        <w:rPr>
          <w:rStyle w:val="2d"/>
        </w:rPr>
        <w:t>. Подобные состояния возникают из-за того, что не удовлет</w:t>
      </w:r>
      <w:r>
        <w:rPr>
          <w:rStyle w:val="2d"/>
        </w:rPr>
        <w:softHyphen/>
        <w:t>воряются потребности людей, работающих в этом секторе.</w:t>
      </w:r>
    </w:p>
    <w:p w14:paraId="05A6384E" w14:textId="77777777" w:rsidR="00350D42" w:rsidRDefault="008E6F64">
      <w:pPr>
        <w:pStyle w:val="2c"/>
        <w:shd w:val="clear" w:color="auto" w:fill="auto"/>
        <w:spacing w:before="0"/>
        <w:ind w:firstLine="320"/>
      </w:pPr>
      <w:r>
        <w:rPr>
          <w:rStyle w:val="2d"/>
        </w:rPr>
        <w:t>Для того чтобы удержать относительное равновесие интересов, система государственных закупок существует на принципах кон</w:t>
      </w:r>
      <w:r>
        <w:rPr>
          <w:rStyle w:val="2d"/>
        </w:rPr>
        <w:softHyphen/>
        <w:t>курса и аукциона, в которых важно соблюдать регламенты, опре</w:t>
      </w:r>
      <w:r>
        <w:rPr>
          <w:rStyle w:val="2d"/>
        </w:rPr>
        <w:softHyphen/>
        <w:t>деляющие действия участников. Особенность процесса состоит в «правилах игры» нерыночного характера. «Человеческое лицо» государства представлено наемными специалистами, чиновниками, представителями администрации, правительства; «волей» избира</w:t>
      </w:r>
      <w:r>
        <w:rPr>
          <w:rStyle w:val="2d"/>
        </w:rPr>
        <w:softHyphen/>
        <w:t xml:space="preserve">телей в лице депутатов; </w:t>
      </w:r>
      <w:r>
        <w:rPr>
          <w:rStyle w:val="2d"/>
        </w:rPr>
        <w:lastRenderedPageBreak/>
        <w:t>представителями органов самоуправления, муниципальных образований. Мировая тенденция уравнивания групповых «воль» обеспечивается демократизацией процедур. Они усиливают автономию и свободу, но вместе с тем увеличивают ко</w:t>
      </w:r>
      <w:r>
        <w:rPr>
          <w:rStyle w:val="2d"/>
        </w:rPr>
        <w:softHyphen/>
        <w:t>личество институтов контроля: комиссий, комитетов и пр. Одновре</w:t>
      </w:r>
      <w:r>
        <w:rPr>
          <w:rStyle w:val="2d"/>
        </w:rPr>
        <w:softHyphen/>
        <w:t>менно усиливаются бюрократия и государство.</w:t>
      </w:r>
    </w:p>
    <w:p w14:paraId="54CAC3AE" w14:textId="77777777" w:rsidR="00350D42" w:rsidRDefault="008E6F64">
      <w:pPr>
        <w:pStyle w:val="2c"/>
        <w:shd w:val="clear" w:color="auto" w:fill="auto"/>
        <w:spacing w:before="0"/>
        <w:ind w:firstLine="320"/>
      </w:pPr>
      <w:r>
        <w:rPr>
          <w:rStyle w:val="2d"/>
        </w:rPr>
        <w:t>Индивидуально-групповые интересы участников коммуника</w:t>
      </w:r>
      <w:r>
        <w:rPr>
          <w:rStyle w:val="2d"/>
        </w:rPr>
        <w:softHyphen/>
        <w:t>тивного процесса государственных закупок различаются и состоят в следующем.</w:t>
      </w:r>
    </w:p>
    <w:p w14:paraId="01C1BEA9" w14:textId="77777777" w:rsidR="00350D42" w:rsidRDefault="008E6F64">
      <w:pPr>
        <w:pStyle w:val="2c"/>
        <w:shd w:val="clear" w:color="auto" w:fill="auto"/>
        <w:spacing w:before="0"/>
        <w:ind w:firstLine="320"/>
      </w:pPr>
      <w:r>
        <w:rPr>
          <w:rStyle w:val="2d"/>
        </w:rPr>
        <w:t>По мнению экономистов-классиков, представители государства заинтересованы в увеличении налоговой базы, так как от ее размера зависят их доходы. Отдельные слои депутатов заинтересованы в уве</w:t>
      </w:r>
      <w:r>
        <w:rPr>
          <w:rStyle w:val="2d"/>
        </w:rPr>
        <w:softHyphen/>
        <w:t>личении количества процедур утверждения проектов, так возрастает вероятность все большего объема вознаграждений от тех, чьи ин</w:t>
      </w:r>
      <w:r>
        <w:rPr>
          <w:rStyle w:val="2d"/>
        </w:rPr>
        <w:softHyphen/>
        <w:t>тересы они лоббируют. Универсальная выгода производителей со</w:t>
      </w:r>
      <w:r>
        <w:rPr>
          <w:rStyle w:val="2d"/>
        </w:rPr>
        <w:softHyphen/>
        <w:t>стоит в том, чтобы издержки были меньше доходов. Это побуждает их подчас к сбыту государству не столь качественной продукции, а цены «выжимают» из потребителя. «Муниципалы» как предста</w:t>
      </w:r>
      <w:r>
        <w:rPr>
          <w:rStyle w:val="2d"/>
        </w:rPr>
        <w:softHyphen/>
        <w:t>вители воли граждан к самоуправлению требуют к себе внимания и уважения. Современный потребитель, по утверждению маркетоло</w:t>
      </w:r>
      <w:r>
        <w:rPr>
          <w:rStyle w:val="2d"/>
        </w:rPr>
        <w:softHyphen/>
        <w:t>гов, ориентирован на качество. Различные интересы являются пси</w:t>
      </w:r>
      <w:r>
        <w:rPr>
          <w:rStyle w:val="2d"/>
        </w:rPr>
        <w:softHyphen/>
        <w:t>хологическим контекстом предметной темы переговоров (о товарах, услугах, деньгах, условиях) в процессе конкурсного отбора, в форме которого реализуют задачи системы государственных закупок.</w:t>
      </w:r>
    </w:p>
    <w:p w14:paraId="00BC01B6" w14:textId="77777777" w:rsidR="00350D42" w:rsidRDefault="008E6F64">
      <w:pPr>
        <w:pStyle w:val="2c"/>
        <w:shd w:val="clear" w:color="auto" w:fill="auto"/>
        <w:spacing w:before="0"/>
        <w:ind w:firstLine="320"/>
      </w:pPr>
      <w:r>
        <w:rPr>
          <w:rStyle w:val="2d"/>
        </w:rPr>
        <w:t>В ходе изучения торгов в процессе государственных закупок пси</w:t>
      </w:r>
      <w:r>
        <w:rPr>
          <w:rStyle w:val="2d"/>
        </w:rPr>
        <w:softHyphen/>
        <w:t>хологи совместно со специалистами-экспертами, повседневно ра</w:t>
      </w:r>
      <w:r>
        <w:rPr>
          <w:rStyle w:val="2d"/>
        </w:rPr>
        <w:softHyphen/>
        <w:t>ботающими в системе закупок, выработали следующие критерии для конкурсного отбора поставщика</w:t>
      </w:r>
      <w:r>
        <w:rPr>
          <w:rStyle w:val="2d"/>
          <w:vertAlign w:val="superscript"/>
        </w:rPr>
        <w:t>2</w:t>
      </w:r>
      <w:r>
        <w:rPr>
          <w:rStyle w:val="2d"/>
        </w:rPr>
        <w:t xml:space="preserve">: </w:t>
      </w:r>
      <w:r>
        <w:rPr>
          <w:rStyle w:val="2d"/>
          <w:vertAlign w:val="superscript"/>
        </w:rPr>
        <w:footnoteReference w:id="192"/>
      </w:r>
      <w:r>
        <w:rPr>
          <w:rStyle w:val="2d"/>
          <w:vertAlign w:val="superscript"/>
        </w:rPr>
        <w:t xml:space="preserve"> </w:t>
      </w:r>
      <w:r>
        <w:rPr>
          <w:rStyle w:val="2d"/>
          <w:vertAlign w:val="superscript"/>
        </w:rPr>
        <w:footnoteReference w:id="193"/>
      </w:r>
    </w:p>
    <w:p w14:paraId="479A4BF5" w14:textId="77777777" w:rsidR="00350D42" w:rsidRDefault="008E6F64">
      <w:pPr>
        <w:pStyle w:val="2c"/>
        <w:numPr>
          <w:ilvl w:val="0"/>
          <w:numId w:val="121"/>
        </w:numPr>
        <w:shd w:val="clear" w:color="auto" w:fill="auto"/>
        <w:tabs>
          <w:tab w:val="left" w:pos="648"/>
        </w:tabs>
        <w:spacing w:before="0"/>
        <w:ind w:firstLine="320"/>
      </w:pPr>
      <w:r>
        <w:rPr>
          <w:rStyle w:val="2d"/>
        </w:rPr>
        <w:t>техническая база предприятия;</w:t>
      </w:r>
    </w:p>
    <w:p w14:paraId="0560C042" w14:textId="77777777" w:rsidR="00350D42" w:rsidRDefault="008E6F64">
      <w:pPr>
        <w:pStyle w:val="2c"/>
        <w:numPr>
          <w:ilvl w:val="0"/>
          <w:numId w:val="121"/>
        </w:numPr>
        <w:shd w:val="clear" w:color="auto" w:fill="auto"/>
        <w:tabs>
          <w:tab w:val="left" w:pos="648"/>
        </w:tabs>
        <w:spacing w:before="0"/>
        <w:ind w:firstLine="320"/>
      </w:pPr>
      <w:r>
        <w:rPr>
          <w:rStyle w:val="2d"/>
        </w:rPr>
        <w:t>цена и качество продукции;</w:t>
      </w:r>
    </w:p>
    <w:p w14:paraId="6BBC4491" w14:textId="77777777" w:rsidR="00350D42" w:rsidRDefault="008E6F64">
      <w:pPr>
        <w:pStyle w:val="2c"/>
        <w:numPr>
          <w:ilvl w:val="0"/>
          <w:numId w:val="121"/>
        </w:numPr>
        <w:shd w:val="clear" w:color="auto" w:fill="auto"/>
        <w:tabs>
          <w:tab w:val="left" w:pos="648"/>
        </w:tabs>
        <w:spacing w:before="0"/>
        <w:ind w:firstLine="320"/>
      </w:pPr>
      <w:r>
        <w:rPr>
          <w:rStyle w:val="2d"/>
        </w:rPr>
        <w:t>репутация производителя, о которой известно из отзывов по</w:t>
      </w:r>
      <w:r>
        <w:rPr>
          <w:rStyle w:val="2d"/>
        </w:rPr>
        <w:softHyphen/>
        <w:t>требителя и партнеров;</w:t>
      </w:r>
    </w:p>
    <w:p w14:paraId="309F6F67" w14:textId="77777777" w:rsidR="00350D42" w:rsidRDefault="008E6F64">
      <w:pPr>
        <w:pStyle w:val="2c"/>
        <w:numPr>
          <w:ilvl w:val="0"/>
          <w:numId w:val="121"/>
        </w:numPr>
        <w:shd w:val="clear" w:color="auto" w:fill="auto"/>
        <w:tabs>
          <w:tab w:val="left" w:pos="648"/>
        </w:tabs>
        <w:spacing w:before="0"/>
        <w:ind w:firstLine="320"/>
      </w:pPr>
      <w:r>
        <w:rPr>
          <w:rStyle w:val="2d"/>
        </w:rPr>
        <w:t>время работы в регионе (опыт);</w:t>
      </w:r>
    </w:p>
    <w:p w14:paraId="6F819EA7" w14:textId="77777777" w:rsidR="00350D42" w:rsidRDefault="008E6F64">
      <w:pPr>
        <w:pStyle w:val="2c"/>
        <w:numPr>
          <w:ilvl w:val="0"/>
          <w:numId w:val="121"/>
        </w:numPr>
        <w:shd w:val="clear" w:color="auto" w:fill="auto"/>
        <w:tabs>
          <w:tab w:val="left" w:pos="648"/>
        </w:tabs>
        <w:spacing w:before="0"/>
        <w:ind w:firstLine="320"/>
      </w:pPr>
      <w:r>
        <w:rPr>
          <w:rStyle w:val="2d"/>
        </w:rPr>
        <w:t>квалификация персонала;</w:t>
      </w:r>
    </w:p>
    <w:p w14:paraId="5AB05D82" w14:textId="77777777" w:rsidR="00350D42" w:rsidRDefault="008E6F64">
      <w:pPr>
        <w:pStyle w:val="2c"/>
        <w:numPr>
          <w:ilvl w:val="0"/>
          <w:numId w:val="121"/>
        </w:numPr>
        <w:shd w:val="clear" w:color="auto" w:fill="auto"/>
        <w:tabs>
          <w:tab w:val="left" w:pos="648"/>
        </w:tabs>
        <w:spacing w:before="0"/>
        <w:ind w:firstLine="320"/>
      </w:pPr>
      <w:r>
        <w:rPr>
          <w:rStyle w:val="2d"/>
        </w:rPr>
        <w:t>мощности для выполнения дополнительных внеплановых размещений заказов;</w:t>
      </w:r>
    </w:p>
    <w:p w14:paraId="3B003359" w14:textId="77777777" w:rsidR="00350D42" w:rsidRDefault="008E6F64">
      <w:pPr>
        <w:pStyle w:val="2c"/>
        <w:numPr>
          <w:ilvl w:val="0"/>
          <w:numId w:val="121"/>
        </w:numPr>
        <w:shd w:val="clear" w:color="auto" w:fill="auto"/>
        <w:tabs>
          <w:tab w:val="left" w:pos="648"/>
        </w:tabs>
        <w:spacing w:before="0"/>
        <w:ind w:firstLine="320"/>
      </w:pPr>
      <w:r>
        <w:rPr>
          <w:rStyle w:val="2d"/>
        </w:rPr>
        <w:t>оперативность исполнения;</w:t>
      </w:r>
    </w:p>
    <w:p w14:paraId="11BE9F1F" w14:textId="77777777" w:rsidR="00350D42" w:rsidRDefault="008E6F64">
      <w:pPr>
        <w:pStyle w:val="2c"/>
        <w:numPr>
          <w:ilvl w:val="0"/>
          <w:numId w:val="121"/>
        </w:numPr>
        <w:shd w:val="clear" w:color="auto" w:fill="auto"/>
        <w:tabs>
          <w:tab w:val="left" w:pos="648"/>
        </w:tabs>
        <w:spacing w:before="0"/>
        <w:ind w:firstLine="320"/>
      </w:pPr>
      <w:r>
        <w:rPr>
          <w:rStyle w:val="2d"/>
        </w:rPr>
        <w:t>обязательность сроков выполнения заказов;</w:t>
      </w:r>
    </w:p>
    <w:p w14:paraId="58EB2E2B" w14:textId="77777777" w:rsidR="00350D42" w:rsidRDefault="008E6F64">
      <w:pPr>
        <w:pStyle w:val="2c"/>
        <w:numPr>
          <w:ilvl w:val="0"/>
          <w:numId w:val="121"/>
        </w:numPr>
        <w:shd w:val="clear" w:color="auto" w:fill="auto"/>
        <w:tabs>
          <w:tab w:val="left" w:pos="648"/>
        </w:tabs>
        <w:spacing w:before="0"/>
        <w:ind w:firstLine="320"/>
      </w:pPr>
      <w:r>
        <w:rPr>
          <w:rStyle w:val="2d"/>
        </w:rPr>
        <w:t>социальная целесообразность, полезность товара, продукции;</w:t>
      </w:r>
    </w:p>
    <w:p w14:paraId="51571384" w14:textId="77777777" w:rsidR="00350D42" w:rsidRDefault="008E6F64">
      <w:pPr>
        <w:pStyle w:val="2c"/>
        <w:numPr>
          <w:ilvl w:val="0"/>
          <w:numId w:val="121"/>
        </w:numPr>
        <w:shd w:val="clear" w:color="auto" w:fill="auto"/>
        <w:tabs>
          <w:tab w:val="left" w:pos="711"/>
        </w:tabs>
        <w:spacing w:before="0"/>
        <w:ind w:firstLine="320"/>
      </w:pPr>
      <w:r>
        <w:rPr>
          <w:rStyle w:val="2d"/>
        </w:rPr>
        <w:t>обратная связь потребителей, поставщиков и конкурсных ко</w:t>
      </w:r>
      <w:r>
        <w:rPr>
          <w:rStyle w:val="2d"/>
        </w:rPr>
        <w:softHyphen/>
        <w:t>миссий.</w:t>
      </w:r>
    </w:p>
    <w:p w14:paraId="14949E60" w14:textId="77777777" w:rsidR="00350D42" w:rsidRDefault="008E6F64">
      <w:pPr>
        <w:pStyle w:val="2c"/>
        <w:shd w:val="clear" w:color="auto" w:fill="auto"/>
        <w:spacing w:before="0"/>
        <w:ind w:firstLine="320"/>
      </w:pPr>
      <w:r>
        <w:rPr>
          <w:rStyle w:val="2d"/>
        </w:rPr>
        <w:lastRenderedPageBreak/>
        <w:t>Эти критерии обеспечивают организационно-экономическое ка</w:t>
      </w:r>
      <w:r>
        <w:rPr>
          <w:rStyle w:val="2d"/>
        </w:rPr>
        <w:softHyphen/>
        <w:t>чество и эффективность деятельности в системе государственных закупок.</w:t>
      </w:r>
    </w:p>
    <w:p w14:paraId="248C802D" w14:textId="77777777" w:rsidR="00350D42" w:rsidRDefault="008E6F64">
      <w:pPr>
        <w:pStyle w:val="2c"/>
        <w:shd w:val="clear" w:color="auto" w:fill="auto"/>
        <w:spacing w:before="0"/>
        <w:ind w:firstLine="320"/>
      </w:pPr>
      <w:r>
        <w:rPr>
          <w:rStyle w:val="2d"/>
        </w:rPr>
        <w:t>Психологический мониторинг системы государственных закупок. Психолого-экономические проблемы в управленческих модулях системы государственных закупок были исследованы на выборке экспертов (129 чел.), работающих в системе закупок в Санкт-Петербурге, Ленинградской и Псковской областей</w:t>
      </w:r>
      <w:r>
        <w:rPr>
          <w:rStyle w:val="2d"/>
          <w:vertAlign w:val="superscript"/>
        </w:rPr>
        <w:t>1</w:t>
      </w:r>
      <w:r>
        <w:rPr>
          <w:rStyle w:val="2d"/>
        </w:rPr>
        <w:t>.</w:t>
      </w:r>
    </w:p>
    <w:p w14:paraId="3D1DF3C6" w14:textId="77777777" w:rsidR="00350D42" w:rsidRDefault="008E6F64">
      <w:pPr>
        <w:pStyle w:val="2c"/>
        <w:shd w:val="clear" w:color="auto" w:fill="auto"/>
        <w:spacing w:before="0"/>
        <w:ind w:firstLine="320"/>
      </w:pPr>
      <w:r>
        <w:rPr>
          <w:rStyle w:val="2d"/>
        </w:rPr>
        <w:t>Основным методом в исследовании состояния управленческих модулей государственных закупок стал специально разработан</w:t>
      </w:r>
      <w:r>
        <w:rPr>
          <w:rStyle w:val="2d"/>
        </w:rPr>
        <w:softHyphen/>
        <w:t xml:space="preserve">ный авторами </w:t>
      </w:r>
      <w:r>
        <w:rPr>
          <w:rStyle w:val="2f4"/>
        </w:rPr>
        <w:t>«Опросный лист эксперта по оценке выраженности проблем коммуникаций в системе организации государственных закупок»</w:t>
      </w:r>
      <w:r>
        <w:rPr>
          <w:rStyle w:val="2d"/>
        </w:rPr>
        <w:t xml:space="preserve"> (см. ниже)</w:t>
      </w:r>
      <w:r>
        <w:rPr>
          <w:rStyle w:val="2d"/>
          <w:vertAlign w:val="superscript"/>
        </w:rPr>
        <w:footnoteReference w:id="194"/>
      </w:r>
      <w:r>
        <w:rPr>
          <w:rStyle w:val="2d"/>
          <w:vertAlign w:val="superscript"/>
        </w:rPr>
        <w:t xml:space="preserve"> 2 </w:t>
      </w:r>
      <w:r>
        <w:rPr>
          <w:rStyle w:val="2d"/>
          <w:vertAlign w:val="superscript"/>
        </w:rPr>
        <w:footnoteReference w:id="195"/>
      </w:r>
      <w:r>
        <w:rPr>
          <w:rStyle w:val="2d"/>
        </w:rPr>
        <w:t>. Пунктами-суждениями служили часто встре</w:t>
      </w:r>
      <w:r>
        <w:rPr>
          <w:rStyle w:val="2d"/>
        </w:rPr>
        <w:softHyphen/>
        <w:t>чающиеся проблемы, предварительно отмеченные участниками, проанализированные и сгруппированные авторами по темам управ</w:t>
      </w:r>
      <w:r>
        <w:rPr>
          <w:rStyle w:val="2d"/>
        </w:rPr>
        <w:softHyphen/>
        <w:t>ленческих модулей.</w:t>
      </w:r>
    </w:p>
    <w:p w14:paraId="411DB9F6" w14:textId="77777777" w:rsidR="00350D42" w:rsidRDefault="008E6F64">
      <w:pPr>
        <w:pStyle w:val="2c"/>
        <w:shd w:val="clear" w:color="auto" w:fill="auto"/>
        <w:spacing w:before="0"/>
        <w:ind w:firstLine="320"/>
      </w:pPr>
      <w:r>
        <w:rPr>
          <w:rStyle w:val="2d"/>
        </w:rPr>
        <w:t>Массив проблем, подвергнутых содержательному анализу, по</w:t>
      </w:r>
      <w:r>
        <w:rPr>
          <w:rStyle w:val="2d"/>
        </w:rPr>
        <w:softHyphen/>
        <w:t>лучен в ходе опроса экономистов, менеджеров, бухгалтеров, ин</w:t>
      </w:r>
      <w:r>
        <w:rPr>
          <w:rStyle w:val="2d"/>
        </w:rPr>
        <w:softHyphen/>
        <w:t>женеров, главных специалистов, повышающих квалификацию на систематическом семинаре по управлению государственными закупками. Опрос проводился в форме модифицированной анке</w:t>
      </w:r>
      <w:r>
        <w:rPr>
          <w:rStyle w:val="2d"/>
        </w:rPr>
        <w:softHyphen/>
        <w:t>ты «Пространство проблемы»</w:t>
      </w:r>
      <w:r>
        <w:rPr>
          <w:rStyle w:val="2d"/>
          <w:vertAlign w:val="superscript"/>
        </w:rPr>
        <w:t>1</w:t>
      </w:r>
      <w:r>
        <w:rPr>
          <w:rStyle w:val="2d"/>
        </w:rPr>
        <w:t>. По результатам опроса разработан вышеуказанный лист эксперта. Суждения опросного листа соответ</w:t>
      </w:r>
      <w:r>
        <w:rPr>
          <w:rStyle w:val="2d"/>
        </w:rPr>
        <w:softHyphen/>
        <w:t>ствовали определенному управленческому модулю:</w:t>
      </w:r>
    </w:p>
    <w:p w14:paraId="2C73F3B3" w14:textId="77777777" w:rsidR="00350D42" w:rsidRDefault="008E6F64">
      <w:pPr>
        <w:pStyle w:val="2c"/>
        <w:numPr>
          <w:ilvl w:val="0"/>
          <w:numId w:val="116"/>
        </w:numPr>
        <w:shd w:val="clear" w:color="auto" w:fill="auto"/>
        <w:tabs>
          <w:tab w:val="left" w:pos="656"/>
        </w:tabs>
        <w:spacing w:before="0"/>
        <w:ind w:firstLine="340"/>
      </w:pPr>
      <w:r>
        <w:rPr>
          <w:rStyle w:val="2d"/>
        </w:rPr>
        <w:t>маркетинговый (научно-технологический) модуль (3 пун</w:t>
      </w:r>
      <w:r>
        <w:rPr>
          <w:rStyle w:val="2d"/>
        </w:rPr>
        <w:softHyphen/>
        <w:t>кта);</w:t>
      </w:r>
    </w:p>
    <w:p w14:paraId="7758F1FD" w14:textId="77777777" w:rsidR="00350D42" w:rsidRDefault="008E6F64">
      <w:pPr>
        <w:pStyle w:val="2c"/>
        <w:numPr>
          <w:ilvl w:val="0"/>
          <w:numId w:val="116"/>
        </w:numPr>
        <w:shd w:val="clear" w:color="auto" w:fill="auto"/>
        <w:tabs>
          <w:tab w:val="left" w:pos="656"/>
        </w:tabs>
        <w:spacing w:before="0"/>
        <w:ind w:firstLine="340"/>
      </w:pPr>
      <w:r>
        <w:rPr>
          <w:rStyle w:val="2d"/>
        </w:rPr>
        <w:t>материально-технический модуль (3 пункта);</w:t>
      </w:r>
    </w:p>
    <w:p w14:paraId="2A48808E" w14:textId="77777777" w:rsidR="00350D42" w:rsidRDefault="008E6F64">
      <w:pPr>
        <w:pStyle w:val="2c"/>
        <w:numPr>
          <w:ilvl w:val="0"/>
          <w:numId w:val="116"/>
        </w:numPr>
        <w:shd w:val="clear" w:color="auto" w:fill="auto"/>
        <w:tabs>
          <w:tab w:val="left" w:pos="656"/>
        </w:tabs>
        <w:spacing w:before="0"/>
        <w:ind w:firstLine="340"/>
      </w:pPr>
      <w:r>
        <w:rPr>
          <w:rStyle w:val="2d"/>
        </w:rPr>
        <w:t>кадровый модуль (13 пунктов);</w:t>
      </w:r>
    </w:p>
    <w:p w14:paraId="3A7894FD" w14:textId="77777777" w:rsidR="00350D42" w:rsidRDefault="008E6F64">
      <w:pPr>
        <w:pStyle w:val="2c"/>
        <w:numPr>
          <w:ilvl w:val="0"/>
          <w:numId w:val="116"/>
        </w:numPr>
        <w:shd w:val="clear" w:color="auto" w:fill="auto"/>
        <w:tabs>
          <w:tab w:val="left" w:pos="656"/>
        </w:tabs>
        <w:spacing w:before="0"/>
        <w:ind w:firstLine="340"/>
      </w:pPr>
      <w:r>
        <w:rPr>
          <w:rStyle w:val="2d"/>
        </w:rPr>
        <w:t>социально-психологический модуль (43 пункта);</w:t>
      </w:r>
    </w:p>
    <w:p w14:paraId="3EF879BD" w14:textId="77777777" w:rsidR="00350D42" w:rsidRDefault="008E6F64">
      <w:pPr>
        <w:pStyle w:val="2c"/>
        <w:numPr>
          <w:ilvl w:val="0"/>
          <w:numId w:val="116"/>
        </w:numPr>
        <w:shd w:val="clear" w:color="auto" w:fill="auto"/>
        <w:tabs>
          <w:tab w:val="left" w:pos="656"/>
        </w:tabs>
        <w:spacing w:before="0"/>
        <w:ind w:firstLine="340"/>
      </w:pPr>
      <w:r>
        <w:rPr>
          <w:rStyle w:val="2d"/>
        </w:rPr>
        <w:t>информационно-аналитический (5 пунктов);</w:t>
      </w:r>
    </w:p>
    <w:p w14:paraId="5D631A9B" w14:textId="77777777" w:rsidR="00350D42" w:rsidRDefault="008E6F64">
      <w:pPr>
        <w:pStyle w:val="2c"/>
        <w:numPr>
          <w:ilvl w:val="0"/>
          <w:numId w:val="116"/>
        </w:numPr>
        <w:shd w:val="clear" w:color="auto" w:fill="auto"/>
        <w:tabs>
          <w:tab w:val="left" w:pos="656"/>
        </w:tabs>
        <w:spacing w:before="0"/>
        <w:ind w:firstLine="340"/>
      </w:pPr>
      <w:r>
        <w:rPr>
          <w:rStyle w:val="2d"/>
        </w:rPr>
        <w:t>функционально-коммуникативный модуль (20 пунктов);</w:t>
      </w:r>
    </w:p>
    <w:p w14:paraId="3E008912" w14:textId="77777777" w:rsidR="00350D42" w:rsidRDefault="008E6F64">
      <w:pPr>
        <w:pStyle w:val="2c"/>
        <w:numPr>
          <w:ilvl w:val="0"/>
          <w:numId w:val="116"/>
        </w:numPr>
        <w:shd w:val="clear" w:color="auto" w:fill="auto"/>
        <w:tabs>
          <w:tab w:val="left" w:pos="656"/>
        </w:tabs>
        <w:spacing w:before="0"/>
        <w:ind w:firstLine="340"/>
      </w:pPr>
      <w:r>
        <w:rPr>
          <w:rStyle w:val="2d"/>
        </w:rPr>
        <w:t>структурно-должностной модуль (10 пунктов);</w:t>
      </w:r>
    </w:p>
    <w:p w14:paraId="35974C6F" w14:textId="77777777" w:rsidR="00350D42" w:rsidRDefault="008E6F64">
      <w:pPr>
        <w:pStyle w:val="2c"/>
        <w:numPr>
          <w:ilvl w:val="0"/>
          <w:numId w:val="116"/>
        </w:numPr>
        <w:shd w:val="clear" w:color="auto" w:fill="auto"/>
        <w:tabs>
          <w:tab w:val="left" w:pos="656"/>
        </w:tabs>
        <w:spacing w:before="0"/>
        <w:ind w:firstLine="340"/>
      </w:pPr>
      <w:r>
        <w:rPr>
          <w:rStyle w:val="2d"/>
        </w:rPr>
        <w:t>финансовый модуль включает (4 пункта).</w:t>
      </w:r>
    </w:p>
    <w:p w14:paraId="085C1073" w14:textId="77777777" w:rsidR="00350D42" w:rsidRDefault="008E6F64">
      <w:pPr>
        <w:pStyle w:val="2c"/>
        <w:shd w:val="clear" w:color="auto" w:fill="auto"/>
        <w:spacing w:before="0"/>
        <w:ind w:firstLine="340"/>
      </w:pPr>
      <w:r>
        <w:rPr>
          <w:rStyle w:val="2d"/>
        </w:rPr>
        <w:t>Стратегический модуль характеризует стиль и характер работы</w:t>
      </w:r>
    </w:p>
    <w:p w14:paraId="4EEFC240" w14:textId="77777777" w:rsidR="00350D42" w:rsidRDefault="008E6F64">
      <w:pPr>
        <w:pStyle w:val="2c"/>
        <w:shd w:val="clear" w:color="auto" w:fill="auto"/>
        <w:spacing w:before="0"/>
      </w:pPr>
      <w:r>
        <w:rPr>
          <w:rStyle w:val="2d"/>
        </w:rPr>
        <w:t>с целями, общую идеологию и перспективы организации (5 пун</w:t>
      </w:r>
      <w:r>
        <w:rPr>
          <w:rStyle w:val="2d"/>
        </w:rPr>
        <w:softHyphen/>
        <w:t>ктов). Качественный анализ результатов обработки данных (отве</w:t>
      </w:r>
      <w:r>
        <w:rPr>
          <w:rStyle w:val="2d"/>
        </w:rPr>
        <w:softHyphen/>
        <w:t>ты экспертов, подсчеты описательной и аналитической математи</w:t>
      </w:r>
      <w:r>
        <w:rPr>
          <w:rStyle w:val="2d"/>
        </w:rPr>
        <w:softHyphen/>
        <w:t>ческих статистик) о состоянии системы закупок позволили выявить тенденции изменения проблем управленческих модулей государ</w:t>
      </w:r>
      <w:r>
        <w:rPr>
          <w:rStyle w:val="2d"/>
        </w:rPr>
        <w:softHyphen/>
        <w:t>ственных закупок на протяжении 2001—2006 гг.</w:t>
      </w:r>
      <w:r>
        <w:rPr>
          <w:rStyle w:val="2d"/>
          <w:vertAlign w:val="superscript"/>
        </w:rPr>
        <w:t>2</w:t>
      </w:r>
    </w:p>
    <w:p w14:paraId="5EFBED1C" w14:textId="77777777" w:rsidR="00350D42" w:rsidRDefault="008E6F64">
      <w:pPr>
        <w:pStyle w:val="2c"/>
        <w:shd w:val="clear" w:color="auto" w:fill="auto"/>
        <w:spacing w:before="0"/>
        <w:ind w:firstLine="340"/>
      </w:pPr>
      <w:r>
        <w:rPr>
          <w:rStyle w:val="2d"/>
        </w:rPr>
        <w:lastRenderedPageBreak/>
        <w:t>В изучаемой методами наблюдения, анкетирования и эксперт</w:t>
      </w:r>
      <w:r>
        <w:rPr>
          <w:rStyle w:val="2d"/>
        </w:rPr>
        <w:softHyphen/>
        <w:t>ных оценок государственных закупок в 2001 г. прежде всего обна</w:t>
      </w:r>
      <w:r>
        <w:rPr>
          <w:rStyle w:val="2d"/>
        </w:rPr>
        <w:softHyphen/>
        <w:t>ружились проблемы кадрового модуля. К нему относятся такие зна</w:t>
      </w:r>
      <w:r>
        <w:rPr>
          <w:rStyle w:val="2d"/>
        </w:rPr>
        <w:softHyphen/>
        <w:t xml:space="preserve">чимые элементы, как возраст сотрудников (уровень статистической значимости </w:t>
      </w:r>
      <w:r>
        <w:rPr>
          <w:rStyle w:val="2f4"/>
        </w:rPr>
        <w:t>(р)</w:t>
      </w:r>
      <w:r>
        <w:rPr>
          <w:rStyle w:val="2d"/>
        </w:rPr>
        <w:t xml:space="preserve"> — от 0,000 до 0,002), нехватка кадров (р = 0,043); бумажная волокита (р = 0,005); совмещение должностей и профес</w:t>
      </w:r>
      <w:r>
        <w:rPr>
          <w:rStyle w:val="2d"/>
        </w:rPr>
        <w:softHyphen/>
        <w:t>сий (р = 0,039); узость интересов (р = 0,055). Возможное объясне</w:t>
      </w:r>
      <w:r>
        <w:rPr>
          <w:rStyle w:val="2d"/>
        </w:rPr>
        <w:softHyphen/>
        <w:t>ние состоит в том, что в 2001 г. возникли противоречия в стилях работы сотрудников различных возрастных групп. Среди них были те, которые получили профессиональное образование согласно со</w:t>
      </w:r>
      <w:r>
        <w:rPr>
          <w:rStyle w:val="2d"/>
        </w:rPr>
        <w:softHyphen/>
        <w:t>временным требованиям, принявшие новые ценности, и те, кото</w:t>
      </w:r>
      <w:r>
        <w:rPr>
          <w:rStyle w:val="2d"/>
        </w:rPr>
        <w:softHyphen/>
        <w:t>рые на такие ценности не переориентировались.</w:t>
      </w:r>
    </w:p>
    <w:p w14:paraId="01C43F8A" w14:textId="77777777" w:rsidR="00350D42" w:rsidRDefault="008E6F64">
      <w:pPr>
        <w:pStyle w:val="2c"/>
        <w:shd w:val="clear" w:color="auto" w:fill="auto"/>
        <w:spacing w:before="0"/>
        <w:ind w:firstLine="340"/>
      </w:pPr>
      <w:r>
        <w:rPr>
          <w:rStyle w:val="2d"/>
        </w:rPr>
        <w:t>На втором месте оказались проблемы социально-психологическо</w:t>
      </w:r>
      <w:r>
        <w:rPr>
          <w:rStyle w:val="2d"/>
        </w:rPr>
        <w:softHyphen/>
        <w:t>го модуля, связанные с признаками производственной атмосферы: завышенные требования руководства (р = 0,016), недостаток вре</w:t>
      </w:r>
      <w:r>
        <w:rPr>
          <w:rStyle w:val="2d"/>
        </w:rPr>
        <w:softHyphen/>
        <w:t>мени для отдыха (р = 0,036), старые привычки в работе (р = 0,006). Возможно, таким проблемам сопутствовали привычка работать в авральном режиме, излишняя авторитарность в обращении с со</w:t>
      </w:r>
      <w:r>
        <w:rPr>
          <w:rStyle w:val="2d"/>
        </w:rPr>
        <w:softHyphen/>
        <w:t>трудниками. Вместе с тем система государственных закупок носит общественно-публичный характер, поэтому требует особого внима</w:t>
      </w:r>
      <w:r>
        <w:rPr>
          <w:rStyle w:val="2d"/>
        </w:rPr>
        <w:softHyphen/>
        <w:t xml:space="preserve">ния к мотивации работников в целях поддержания благоприятного психологического рабочего климата. </w:t>
      </w:r>
      <w:r>
        <w:rPr>
          <w:rStyle w:val="2d"/>
          <w:vertAlign w:val="superscript"/>
        </w:rPr>
        <w:footnoteReference w:id="196"/>
      </w:r>
      <w:r>
        <w:rPr>
          <w:rStyle w:val="2d"/>
          <w:vertAlign w:val="superscript"/>
        </w:rPr>
        <w:t xml:space="preserve"> </w:t>
      </w:r>
      <w:r>
        <w:rPr>
          <w:rStyle w:val="2d"/>
          <w:vertAlign w:val="superscript"/>
        </w:rPr>
        <w:footnoteReference w:id="197"/>
      </w:r>
    </w:p>
    <w:p w14:paraId="60C647FB" w14:textId="77777777" w:rsidR="00350D42" w:rsidRDefault="008E6F64">
      <w:pPr>
        <w:pStyle w:val="2c"/>
        <w:shd w:val="clear" w:color="auto" w:fill="auto"/>
        <w:spacing w:before="0"/>
        <w:ind w:firstLine="320"/>
      </w:pPr>
      <w:r>
        <w:rPr>
          <w:rStyle w:val="2d"/>
        </w:rPr>
        <w:t>На третье место выдвинулись проблемы структурно-должностно</w:t>
      </w:r>
      <w:r>
        <w:rPr>
          <w:rStyle w:val="2d"/>
        </w:rPr>
        <w:softHyphen/>
        <w:t xml:space="preserve">го модуля, такие как неудобный режим работы </w:t>
      </w:r>
      <w:r>
        <w:rPr>
          <w:rStyle w:val="2f4"/>
        </w:rPr>
        <w:t>(р =</w:t>
      </w:r>
      <w:r>
        <w:rPr>
          <w:rStyle w:val="2d"/>
        </w:rPr>
        <w:t xml:space="preserve"> 0,020) и автори</w:t>
      </w:r>
      <w:r>
        <w:rPr>
          <w:rStyle w:val="2d"/>
        </w:rPr>
        <w:softHyphen/>
        <w:t>тарный, единоличный стиль управления (р = 0,026), на четвертое — материально-технического модуля по инженерно-эргономическому признаку: плохая организация рабочих мест работников (р = 0,051). Пятой обозначалась проблема нарушения сроков финансирования (р = 0,054).</w:t>
      </w:r>
    </w:p>
    <w:p w14:paraId="31C44087" w14:textId="77777777" w:rsidR="00350D42" w:rsidRDefault="008E6F64">
      <w:pPr>
        <w:pStyle w:val="2c"/>
        <w:shd w:val="clear" w:color="auto" w:fill="auto"/>
        <w:spacing w:before="0"/>
        <w:ind w:firstLine="320"/>
      </w:pPr>
      <w:r>
        <w:rPr>
          <w:rStyle w:val="2d"/>
        </w:rPr>
        <w:t>К 2005 г. произошли изменения в финансовом, информацион</w:t>
      </w:r>
      <w:r>
        <w:rPr>
          <w:rStyle w:val="2d"/>
        </w:rPr>
        <w:softHyphen/>
        <w:t>ном, социально-психологическом управленческих модулях систе</w:t>
      </w:r>
      <w:r>
        <w:rPr>
          <w:rStyle w:val="2d"/>
        </w:rPr>
        <w:softHyphen/>
        <w:t xml:space="preserve">мы государственных закупок. Снизился накал проблем, связанных с нарушением сроков, слабых объемов финансирования проектов (критерий Манна — Уитни, </w:t>
      </w:r>
      <w:r>
        <w:rPr>
          <w:rStyle w:val="2f4"/>
        </w:rPr>
        <w:t>р =</w:t>
      </w:r>
      <w:r>
        <w:rPr>
          <w:rStyle w:val="2d"/>
        </w:rPr>
        <w:t xml:space="preserve"> 0,029). Реже стали случаи искаже</w:t>
      </w:r>
      <w:r>
        <w:rPr>
          <w:rStyle w:val="2d"/>
        </w:rPr>
        <w:softHyphen/>
        <w:t>ния информации по проектам (р = 0,040). Совершенствовалось за</w:t>
      </w:r>
      <w:r>
        <w:rPr>
          <w:rStyle w:val="2d"/>
        </w:rPr>
        <w:softHyphen/>
        <w:t>конодательство по закупкам (р = 0,037). Вместе с тем обострились внутриличностные проблемы людей в рамках социально-психоло</w:t>
      </w:r>
      <w:r>
        <w:rPr>
          <w:rStyle w:val="2d"/>
        </w:rPr>
        <w:softHyphen/>
        <w:t>гического модуля. Это проявилось в усилении проблем, связанных с застенчивостью (р = 0,043), низкой самооценкой (р = 0,013), не</w:t>
      </w:r>
      <w:r>
        <w:rPr>
          <w:rStyle w:val="2d"/>
        </w:rPr>
        <w:softHyphen/>
        <w:t>уверенностью в себе сотрудников (</w:t>
      </w:r>
      <w:r>
        <w:rPr>
          <w:rStyle w:val="2f4"/>
        </w:rPr>
        <w:t>р</w:t>
      </w:r>
      <w:r>
        <w:rPr>
          <w:rStyle w:val="2d"/>
        </w:rPr>
        <w:t xml:space="preserve"> = 0,043).</w:t>
      </w:r>
    </w:p>
    <w:p w14:paraId="50EC4B71" w14:textId="77777777" w:rsidR="00350D42" w:rsidRDefault="008E6F64">
      <w:pPr>
        <w:pStyle w:val="2c"/>
        <w:shd w:val="clear" w:color="auto" w:fill="auto"/>
        <w:spacing w:before="0" w:after="119"/>
        <w:ind w:firstLine="320"/>
      </w:pPr>
      <w:r>
        <w:rPr>
          <w:rStyle w:val="2d"/>
        </w:rPr>
        <w:t xml:space="preserve">Таким образом, мы наблюдали, что относительное выравнивание формально-экономических (например, сроков финансирования) и </w:t>
      </w:r>
      <w:r>
        <w:rPr>
          <w:rStyle w:val="2d"/>
        </w:rPr>
        <w:lastRenderedPageBreak/>
        <w:t xml:space="preserve">информационных показателей </w:t>
      </w:r>
      <w:r>
        <w:rPr>
          <w:rStyle w:val="2f4"/>
        </w:rPr>
        <w:t>управленческих модулей системы государственных закупок как фрагмента экономической деятельно</w:t>
      </w:r>
      <w:r>
        <w:rPr>
          <w:rStyle w:val="2f4"/>
        </w:rPr>
        <w:softHyphen/>
        <w:t>сти государства</w:t>
      </w:r>
      <w:r>
        <w:rPr>
          <w:rStyle w:val="2d"/>
        </w:rPr>
        <w:t xml:space="preserve"> в период 2001—2006 гг. сопровождалось личност</w:t>
      </w:r>
      <w:r>
        <w:rPr>
          <w:rStyle w:val="2d"/>
        </w:rPr>
        <w:softHyphen/>
        <w:t>ными «издержками», усилением в состоянии людей застенчивости, неуверенности, низкой самооценки. Это говорит о том, что изме</w:t>
      </w:r>
      <w:r>
        <w:rPr>
          <w:rStyle w:val="2d"/>
        </w:rPr>
        <w:softHyphen/>
        <w:t>нения в экономической системе оплачиваются ценой психического напряжения человека.</w:t>
      </w:r>
    </w:p>
    <w:p w14:paraId="14170412" w14:textId="77777777" w:rsidR="00350D42" w:rsidRDefault="008E6F64">
      <w:pPr>
        <w:pStyle w:val="111"/>
        <w:shd w:val="clear" w:color="auto" w:fill="auto"/>
        <w:spacing w:before="0" w:after="81" w:line="226" w:lineRule="exact"/>
      </w:pPr>
      <w:r>
        <w:rPr>
          <w:rStyle w:val="113"/>
          <w:b/>
          <w:bCs/>
        </w:rPr>
        <w:t>Опросник эксперта по оценке выраженности</w:t>
      </w:r>
      <w:r>
        <w:rPr>
          <w:rStyle w:val="113"/>
          <w:b/>
          <w:bCs/>
        </w:rPr>
        <w:br/>
        <w:t>проблем коммуникаций в системе организации</w:t>
      </w:r>
      <w:r>
        <w:rPr>
          <w:rStyle w:val="113"/>
          <w:b/>
          <w:bCs/>
        </w:rPr>
        <w:br/>
        <w:t>государственных закупок</w:t>
      </w:r>
      <w:r>
        <w:rPr>
          <w:rStyle w:val="113"/>
          <w:b/>
          <w:bCs/>
          <w:vertAlign w:val="superscript"/>
        </w:rPr>
        <w:t>1</w:t>
      </w:r>
    </w:p>
    <w:p w14:paraId="5203EE18" w14:textId="77777777" w:rsidR="00350D42" w:rsidRDefault="008E6F64">
      <w:pPr>
        <w:pStyle w:val="2c"/>
        <w:shd w:val="clear" w:color="auto" w:fill="auto"/>
        <w:spacing w:before="0"/>
        <w:ind w:firstLine="320"/>
      </w:pPr>
      <w:r>
        <w:rPr>
          <w:rStyle w:val="2d"/>
        </w:rPr>
        <w:t>Уважаемый коллега! С позиции эксперта оцените, пожалуй</w:t>
      </w:r>
      <w:r>
        <w:rPr>
          <w:rStyle w:val="2d"/>
        </w:rPr>
        <w:softHyphen/>
        <w:t>ста, по 10-балльной шкале, в какой степени, по Вашему мнению, перечисленные ниже факторы, составляющие тот или иной модуль управленческой системы, затрудняют работу в системе государ</w:t>
      </w:r>
      <w:r>
        <w:rPr>
          <w:rStyle w:val="2d"/>
        </w:rPr>
        <w:softHyphen/>
        <w:t>ственных закупок (10 баллов — высшая степень неблагоприятного воздействия фактора, 1 — незначительная степень). Ответы запи</w:t>
      </w:r>
      <w:r>
        <w:rPr>
          <w:rStyle w:val="2d"/>
        </w:rPr>
        <w:softHyphen/>
        <w:t xml:space="preserve">шите на отдельном листе, проставляя номер пункта фактора и Вашу </w:t>
      </w:r>
      <w:r>
        <w:rPr>
          <w:rStyle w:val="2d"/>
          <w:vertAlign w:val="superscript"/>
        </w:rPr>
        <w:footnoteReference w:id="198"/>
      </w:r>
      <w:r>
        <w:rPr>
          <w:rStyle w:val="2d"/>
        </w:rPr>
        <w:t xml:space="preserve"> оценку. В пункте «другое» впишите, если считаете нужным, иной фактор.</w:t>
      </w:r>
    </w:p>
    <w:p w14:paraId="7BD1FA76" w14:textId="77777777" w:rsidR="00350D42" w:rsidRDefault="008E6F64">
      <w:pPr>
        <w:pStyle w:val="2c"/>
        <w:numPr>
          <w:ilvl w:val="0"/>
          <w:numId w:val="122"/>
        </w:numPr>
        <w:shd w:val="clear" w:color="auto" w:fill="auto"/>
        <w:tabs>
          <w:tab w:val="left" w:pos="731"/>
        </w:tabs>
        <w:spacing w:before="0"/>
        <w:ind w:firstLine="320"/>
      </w:pPr>
      <w:r>
        <w:rPr>
          <w:rStyle w:val="2d"/>
        </w:rPr>
        <w:t>Маркетинговый модуль.</w:t>
      </w:r>
    </w:p>
    <w:p w14:paraId="418288B6" w14:textId="77777777" w:rsidR="00350D42" w:rsidRDefault="008E6F64">
      <w:pPr>
        <w:pStyle w:val="2c"/>
        <w:numPr>
          <w:ilvl w:val="1"/>
          <w:numId w:val="122"/>
        </w:numPr>
        <w:shd w:val="clear" w:color="auto" w:fill="auto"/>
        <w:tabs>
          <w:tab w:val="left" w:pos="805"/>
        </w:tabs>
        <w:spacing w:before="0"/>
        <w:ind w:firstLine="320"/>
      </w:pPr>
      <w:r>
        <w:rPr>
          <w:rStyle w:val="2d"/>
        </w:rPr>
        <w:t>Неэффективное взаимодействие с партнерами (отсутствие информации о поставщиках, заказах и др.).</w:t>
      </w:r>
    </w:p>
    <w:p w14:paraId="47C39418" w14:textId="77777777" w:rsidR="00350D42" w:rsidRDefault="008E6F64">
      <w:pPr>
        <w:pStyle w:val="2c"/>
        <w:numPr>
          <w:ilvl w:val="1"/>
          <w:numId w:val="122"/>
        </w:numPr>
        <w:shd w:val="clear" w:color="auto" w:fill="auto"/>
        <w:tabs>
          <w:tab w:val="left" w:pos="810"/>
        </w:tabs>
        <w:spacing w:before="0"/>
        <w:ind w:firstLine="320"/>
      </w:pPr>
      <w:r>
        <w:rPr>
          <w:rStyle w:val="2d"/>
        </w:rPr>
        <w:t>Недостаток информации о товарах, работах, услугах, научно</w:t>
      </w:r>
      <w:r>
        <w:rPr>
          <w:rStyle w:val="2d"/>
        </w:rPr>
        <w:softHyphen/>
        <w:t>технических исследованиях в определенной области.</w:t>
      </w:r>
    </w:p>
    <w:p w14:paraId="35153EBA" w14:textId="77777777" w:rsidR="00350D42" w:rsidRDefault="008E6F64">
      <w:pPr>
        <w:pStyle w:val="2c"/>
        <w:numPr>
          <w:ilvl w:val="1"/>
          <w:numId w:val="122"/>
        </w:numPr>
        <w:shd w:val="clear" w:color="auto" w:fill="auto"/>
        <w:tabs>
          <w:tab w:val="left" w:pos="824"/>
        </w:tabs>
        <w:spacing w:before="0"/>
        <w:ind w:firstLine="320"/>
      </w:pPr>
      <w:r>
        <w:rPr>
          <w:rStyle w:val="2d"/>
        </w:rPr>
        <w:t>Плохая организация маркетинговой службы (отсутствие программы, единомышленников, цели, проектов, графика).</w:t>
      </w:r>
    </w:p>
    <w:p w14:paraId="0B142F87" w14:textId="77777777" w:rsidR="00350D42" w:rsidRDefault="008E6F64">
      <w:pPr>
        <w:pStyle w:val="2c"/>
        <w:numPr>
          <w:ilvl w:val="1"/>
          <w:numId w:val="122"/>
        </w:numPr>
        <w:shd w:val="clear" w:color="auto" w:fill="auto"/>
        <w:tabs>
          <w:tab w:val="left" w:pos="846"/>
        </w:tabs>
        <w:spacing w:before="0"/>
        <w:ind w:firstLine="320"/>
      </w:pPr>
      <w:r>
        <w:rPr>
          <w:rStyle w:val="2d"/>
        </w:rPr>
        <w:t>Другое.</w:t>
      </w:r>
    </w:p>
    <w:p w14:paraId="20700C3C" w14:textId="77777777" w:rsidR="00350D42" w:rsidRDefault="008E6F64">
      <w:pPr>
        <w:pStyle w:val="2c"/>
        <w:numPr>
          <w:ilvl w:val="0"/>
          <w:numId w:val="122"/>
        </w:numPr>
        <w:shd w:val="clear" w:color="auto" w:fill="auto"/>
        <w:tabs>
          <w:tab w:val="left" w:pos="731"/>
        </w:tabs>
        <w:spacing w:before="0"/>
        <w:ind w:firstLine="320"/>
      </w:pPr>
      <w:r>
        <w:rPr>
          <w:rStyle w:val="2d"/>
        </w:rPr>
        <w:t>Материально-технический модуль.</w:t>
      </w:r>
    </w:p>
    <w:p w14:paraId="05922A80" w14:textId="77777777" w:rsidR="00350D42" w:rsidRDefault="008E6F64">
      <w:pPr>
        <w:pStyle w:val="2c"/>
        <w:numPr>
          <w:ilvl w:val="1"/>
          <w:numId w:val="122"/>
        </w:numPr>
        <w:shd w:val="clear" w:color="auto" w:fill="auto"/>
        <w:tabs>
          <w:tab w:val="left" w:pos="842"/>
        </w:tabs>
        <w:spacing w:before="0"/>
        <w:ind w:firstLine="320"/>
      </w:pPr>
      <w:r>
        <w:rPr>
          <w:rStyle w:val="2d"/>
        </w:rPr>
        <w:t>Отсутствие программного обеспечения.</w:t>
      </w:r>
    </w:p>
    <w:p w14:paraId="537515AA" w14:textId="77777777" w:rsidR="00350D42" w:rsidRDefault="008E6F64">
      <w:pPr>
        <w:pStyle w:val="2c"/>
        <w:numPr>
          <w:ilvl w:val="1"/>
          <w:numId w:val="122"/>
        </w:numPr>
        <w:shd w:val="clear" w:color="auto" w:fill="auto"/>
        <w:tabs>
          <w:tab w:val="left" w:pos="851"/>
        </w:tabs>
        <w:spacing w:before="0"/>
        <w:ind w:firstLine="320"/>
      </w:pPr>
      <w:r>
        <w:rPr>
          <w:rStyle w:val="2d"/>
        </w:rPr>
        <w:t>Плохая организация рабочих мест.</w:t>
      </w:r>
    </w:p>
    <w:p w14:paraId="4DCCF831" w14:textId="77777777" w:rsidR="00350D42" w:rsidRDefault="008E6F64">
      <w:pPr>
        <w:pStyle w:val="2c"/>
        <w:numPr>
          <w:ilvl w:val="1"/>
          <w:numId w:val="122"/>
        </w:numPr>
        <w:shd w:val="clear" w:color="auto" w:fill="auto"/>
        <w:tabs>
          <w:tab w:val="left" w:pos="851"/>
        </w:tabs>
        <w:spacing w:before="0"/>
        <w:ind w:firstLine="320"/>
      </w:pPr>
      <w:r>
        <w:rPr>
          <w:rStyle w:val="2d"/>
        </w:rPr>
        <w:t>Низкая техническая оснащенность.</w:t>
      </w:r>
    </w:p>
    <w:p w14:paraId="4B5A5D0C" w14:textId="77777777" w:rsidR="00350D42" w:rsidRDefault="008E6F64">
      <w:pPr>
        <w:pStyle w:val="2c"/>
        <w:numPr>
          <w:ilvl w:val="1"/>
          <w:numId w:val="122"/>
        </w:numPr>
        <w:shd w:val="clear" w:color="auto" w:fill="auto"/>
        <w:tabs>
          <w:tab w:val="left" w:pos="851"/>
        </w:tabs>
        <w:spacing w:before="0"/>
        <w:ind w:firstLine="320"/>
      </w:pPr>
      <w:r>
        <w:rPr>
          <w:rStyle w:val="2d"/>
        </w:rPr>
        <w:t>Другое.</w:t>
      </w:r>
    </w:p>
    <w:p w14:paraId="64B068C1" w14:textId="77777777" w:rsidR="00350D42" w:rsidRDefault="008E6F64">
      <w:pPr>
        <w:pStyle w:val="2c"/>
        <w:numPr>
          <w:ilvl w:val="0"/>
          <w:numId w:val="122"/>
        </w:numPr>
        <w:shd w:val="clear" w:color="auto" w:fill="auto"/>
        <w:tabs>
          <w:tab w:val="left" w:pos="731"/>
        </w:tabs>
        <w:spacing w:before="0"/>
        <w:ind w:firstLine="320"/>
      </w:pPr>
      <w:r>
        <w:rPr>
          <w:rStyle w:val="2d"/>
        </w:rPr>
        <w:t>Кадровый модуль.</w:t>
      </w:r>
    </w:p>
    <w:p w14:paraId="5EAF9452" w14:textId="77777777" w:rsidR="00350D42" w:rsidRDefault="008E6F64">
      <w:pPr>
        <w:pStyle w:val="2c"/>
        <w:numPr>
          <w:ilvl w:val="1"/>
          <w:numId w:val="122"/>
        </w:numPr>
        <w:shd w:val="clear" w:color="auto" w:fill="auto"/>
        <w:tabs>
          <w:tab w:val="left" w:pos="837"/>
        </w:tabs>
        <w:spacing w:before="0"/>
        <w:ind w:firstLine="320"/>
      </w:pPr>
      <w:r>
        <w:rPr>
          <w:rStyle w:val="2d"/>
        </w:rPr>
        <w:t>Отсутствие опыта проведения конкурсов.</w:t>
      </w:r>
    </w:p>
    <w:p w14:paraId="10D9F053" w14:textId="77777777" w:rsidR="00350D42" w:rsidRDefault="008E6F64">
      <w:pPr>
        <w:pStyle w:val="2c"/>
        <w:numPr>
          <w:ilvl w:val="1"/>
          <w:numId w:val="122"/>
        </w:numPr>
        <w:shd w:val="clear" w:color="auto" w:fill="auto"/>
        <w:tabs>
          <w:tab w:val="left" w:pos="846"/>
        </w:tabs>
        <w:spacing w:before="0"/>
        <w:ind w:firstLine="320"/>
      </w:pPr>
      <w:r>
        <w:rPr>
          <w:rStyle w:val="2d"/>
        </w:rPr>
        <w:t>Отсутствие знаний.</w:t>
      </w:r>
    </w:p>
    <w:p w14:paraId="13E54E29" w14:textId="77777777" w:rsidR="00350D42" w:rsidRDefault="008E6F64">
      <w:pPr>
        <w:pStyle w:val="2c"/>
        <w:numPr>
          <w:ilvl w:val="1"/>
          <w:numId w:val="122"/>
        </w:numPr>
        <w:shd w:val="clear" w:color="auto" w:fill="auto"/>
        <w:tabs>
          <w:tab w:val="left" w:pos="846"/>
        </w:tabs>
        <w:spacing w:before="0"/>
        <w:ind w:firstLine="320"/>
      </w:pPr>
      <w:r>
        <w:rPr>
          <w:rStyle w:val="2d"/>
        </w:rPr>
        <w:t>Узость интересов.</w:t>
      </w:r>
    </w:p>
    <w:p w14:paraId="5EF44299" w14:textId="77777777" w:rsidR="00350D42" w:rsidRDefault="008E6F64">
      <w:pPr>
        <w:pStyle w:val="2c"/>
        <w:numPr>
          <w:ilvl w:val="1"/>
          <w:numId w:val="122"/>
        </w:numPr>
        <w:shd w:val="clear" w:color="auto" w:fill="auto"/>
        <w:tabs>
          <w:tab w:val="left" w:pos="846"/>
        </w:tabs>
        <w:spacing w:before="0"/>
        <w:ind w:firstLine="320"/>
      </w:pPr>
      <w:r>
        <w:rPr>
          <w:rStyle w:val="2d"/>
        </w:rPr>
        <w:t>Молодой возраст.</w:t>
      </w:r>
    </w:p>
    <w:p w14:paraId="5BABE144" w14:textId="77777777" w:rsidR="00350D42" w:rsidRDefault="008E6F64">
      <w:pPr>
        <w:pStyle w:val="2c"/>
        <w:numPr>
          <w:ilvl w:val="1"/>
          <w:numId w:val="122"/>
        </w:numPr>
        <w:shd w:val="clear" w:color="auto" w:fill="auto"/>
        <w:tabs>
          <w:tab w:val="left" w:pos="846"/>
        </w:tabs>
        <w:spacing w:before="0"/>
        <w:ind w:firstLine="320"/>
      </w:pPr>
      <w:r>
        <w:rPr>
          <w:rStyle w:val="2d"/>
        </w:rPr>
        <w:t>«Солидный» возраст.</w:t>
      </w:r>
    </w:p>
    <w:p w14:paraId="6BEDC6F1" w14:textId="77777777" w:rsidR="00350D42" w:rsidRDefault="008E6F64">
      <w:pPr>
        <w:pStyle w:val="2c"/>
        <w:numPr>
          <w:ilvl w:val="1"/>
          <w:numId w:val="122"/>
        </w:numPr>
        <w:shd w:val="clear" w:color="auto" w:fill="auto"/>
        <w:tabs>
          <w:tab w:val="left" w:pos="819"/>
        </w:tabs>
        <w:spacing w:before="0"/>
        <w:ind w:firstLine="320"/>
      </w:pPr>
      <w:r>
        <w:rPr>
          <w:rStyle w:val="2d"/>
        </w:rPr>
        <w:t>Несовпадение способностей и функциональных обязанно</w:t>
      </w:r>
      <w:r>
        <w:rPr>
          <w:rStyle w:val="2d"/>
        </w:rPr>
        <w:softHyphen/>
        <w:t>стей.</w:t>
      </w:r>
    </w:p>
    <w:p w14:paraId="1BF5F235" w14:textId="77777777" w:rsidR="00350D42" w:rsidRDefault="008E6F64">
      <w:pPr>
        <w:pStyle w:val="2c"/>
        <w:numPr>
          <w:ilvl w:val="1"/>
          <w:numId w:val="122"/>
        </w:numPr>
        <w:shd w:val="clear" w:color="auto" w:fill="auto"/>
        <w:tabs>
          <w:tab w:val="left" w:pos="856"/>
        </w:tabs>
        <w:spacing w:before="0"/>
        <w:ind w:firstLine="320"/>
      </w:pPr>
      <w:r>
        <w:rPr>
          <w:rStyle w:val="2d"/>
        </w:rPr>
        <w:lastRenderedPageBreak/>
        <w:t>Нехватка кадров.</w:t>
      </w:r>
    </w:p>
    <w:p w14:paraId="45598909" w14:textId="77777777" w:rsidR="00350D42" w:rsidRDefault="008E6F64">
      <w:pPr>
        <w:pStyle w:val="2c"/>
        <w:numPr>
          <w:ilvl w:val="1"/>
          <w:numId w:val="122"/>
        </w:numPr>
        <w:shd w:val="clear" w:color="auto" w:fill="auto"/>
        <w:tabs>
          <w:tab w:val="left" w:pos="856"/>
        </w:tabs>
        <w:spacing w:before="0"/>
        <w:ind w:firstLine="320"/>
      </w:pPr>
      <w:r>
        <w:rPr>
          <w:rStyle w:val="2d"/>
        </w:rPr>
        <w:t>«Перетряска» кадров.</w:t>
      </w:r>
    </w:p>
    <w:p w14:paraId="16EAF770" w14:textId="77777777" w:rsidR="00350D42" w:rsidRDefault="008E6F64">
      <w:pPr>
        <w:pStyle w:val="2c"/>
        <w:numPr>
          <w:ilvl w:val="1"/>
          <w:numId w:val="122"/>
        </w:numPr>
        <w:shd w:val="clear" w:color="auto" w:fill="auto"/>
        <w:tabs>
          <w:tab w:val="left" w:pos="856"/>
        </w:tabs>
        <w:spacing w:before="0"/>
        <w:ind w:firstLine="320"/>
      </w:pPr>
      <w:r>
        <w:rPr>
          <w:rStyle w:val="2d"/>
        </w:rPr>
        <w:t>Совмещение должностей или профессий.</w:t>
      </w:r>
    </w:p>
    <w:p w14:paraId="4F233D02" w14:textId="77777777" w:rsidR="00350D42" w:rsidRDefault="008E6F64">
      <w:pPr>
        <w:pStyle w:val="2c"/>
        <w:numPr>
          <w:ilvl w:val="1"/>
          <w:numId w:val="122"/>
        </w:numPr>
        <w:shd w:val="clear" w:color="auto" w:fill="auto"/>
        <w:tabs>
          <w:tab w:val="left" w:pos="952"/>
        </w:tabs>
        <w:spacing w:before="0"/>
        <w:ind w:firstLine="320"/>
      </w:pPr>
      <w:r>
        <w:rPr>
          <w:rStyle w:val="2d"/>
        </w:rPr>
        <w:t>Низкие зарплаты.</w:t>
      </w:r>
    </w:p>
    <w:p w14:paraId="15E84DD8" w14:textId="77777777" w:rsidR="00350D42" w:rsidRDefault="008E6F64">
      <w:pPr>
        <w:pStyle w:val="2c"/>
        <w:numPr>
          <w:ilvl w:val="1"/>
          <w:numId w:val="122"/>
        </w:numPr>
        <w:shd w:val="clear" w:color="auto" w:fill="auto"/>
        <w:tabs>
          <w:tab w:val="left" w:pos="952"/>
        </w:tabs>
        <w:spacing w:before="0"/>
        <w:ind w:firstLine="320"/>
      </w:pPr>
      <w:r>
        <w:rPr>
          <w:rStyle w:val="2d"/>
        </w:rPr>
        <w:t>Текучка кадров.</w:t>
      </w:r>
    </w:p>
    <w:p w14:paraId="0BFF2253" w14:textId="77777777" w:rsidR="00350D42" w:rsidRDefault="008E6F64">
      <w:pPr>
        <w:pStyle w:val="2c"/>
        <w:numPr>
          <w:ilvl w:val="1"/>
          <w:numId w:val="122"/>
        </w:numPr>
        <w:shd w:val="clear" w:color="auto" w:fill="auto"/>
        <w:tabs>
          <w:tab w:val="left" w:pos="962"/>
        </w:tabs>
        <w:spacing w:before="0"/>
        <w:ind w:firstLine="320"/>
      </w:pPr>
      <w:r>
        <w:rPr>
          <w:rStyle w:val="2d"/>
        </w:rPr>
        <w:t>Бумажная волокита.</w:t>
      </w:r>
    </w:p>
    <w:p w14:paraId="55D48F3C" w14:textId="77777777" w:rsidR="00350D42" w:rsidRDefault="008E6F64">
      <w:pPr>
        <w:pStyle w:val="2c"/>
        <w:numPr>
          <w:ilvl w:val="1"/>
          <w:numId w:val="122"/>
        </w:numPr>
        <w:shd w:val="clear" w:color="auto" w:fill="auto"/>
        <w:tabs>
          <w:tab w:val="left" w:pos="962"/>
        </w:tabs>
        <w:spacing w:before="0"/>
        <w:ind w:firstLine="320"/>
      </w:pPr>
      <w:r>
        <w:rPr>
          <w:rStyle w:val="2d"/>
        </w:rPr>
        <w:t>Отсутствие взаимозаменяемости.</w:t>
      </w:r>
    </w:p>
    <w:p w14:paraId="5687DCC4" w14:textId="77777777" w:rsidR="00350D42" w:rsidRDefault="008E6F64">
      <w:pPr>
        <w:pStyle w:val="2c"/>
        <w:numPr>
          <w:ilvl w:val="1"/>
          <w:numId w:val="122"/>
        </w:numPr>
        <w:shd w:val="clear" w:color="auto" w:fill="auto"/>
        <w:tabs>
          <w:tab w:val="left" w:pos="962"/>
        </w:tabs>
        <w:spacing w:before="0"/>
        <w:ind w:firstLine="320"/>
      </w:pPr>
      <w:r>
        <w:rPr>
          <w:rStyle w:val="2d"/>
        </w:rPr>
        <w:t>Другое.</w:t>
      </w:r>
    </w:p>
    <w:p w14:paraId="352D4197" w14:textId="77777777" w:rsidR="00350D42" w:rsidRDefault="008E6F64">
      <w:pPr>
        <w:pStyle w:val="2c"/>
        <w:numPr>
          <w:ilvl w:val="0"/>
          <w:numId w:val="122"/>
        </w:numPr>
        <w:shd w:val="clear" w:color="auto" w:fill="auto"/>
        <w:tabs>
          <w:tab w:val="left" w:pos="731"/>
        </w:tabs>
        <w:spacing w:before="0"/>
        <w:ind w:firstLine="320"/>
      </w:pPr>
      <w:r>
        <w:rPr>
          <w:rStyle w:val="2d"/>
        </w:rPr>
        <w:t>Финансовый модуль.</w:t>
      </w:r>
    </w:p>
    <w:p w14:paraId="243A1766" w14:textId="77777777" w:rsidR="00350D42" w:rsidRDefault="008E6F64">
      <w:pPr>
        <w:pStyle w:val="2c"/>
        <w:numPr>
          <w:ilvl w:val="1"/>
          <w:numId w:val="122"/>
        </w:numPr>
        <w:shd w:val="clear" w:color="auto" w:fill="auto"/>
        <w:tabs>
          <w:tab w:val="left" w:pos="842"/>
        </w:tabs>
        <w:spacing w:before="0"/>
        <w:ind w:firstLine="320"/>
      </w:pPr>
      <w:r>
        <w:rPr>
          <w:rStyle w:val="2d"/>
        </w:rPr>
        <w:t>Недостаточное материальное стимулирование сотрудников.</w:t>
      </w:r>
    </w:p>
    <w:p w14:paraId="63A059DA" w14:textId="77777777" w:rsidR="00350D42" w:rsidRDefault="008E6F64">
      <w:pPr>
        <w:pStyle w:val="2c"/>
        <w:numPr>
          <w:ilvl w:val="1"/>
          <w:numId w:val="122"/>
        </w:numPr>
        <w:shd w:val="clear" w:color="auto" w:fill="auto"/>
        <w:tabs>
          <w:tab w:val="left" w:pos="814"/>
        </w:tabs>
        <w:spacing w:before="0"/>
        <w:ind w:firstLine="320"/>
      </w:pPr>
      <w:r>
        <w:rPr>
          <w:rStyle w:val="2d"/>
        </w:rPr>
        <w:t>Недостаточное финансирование материально-технической базы.</w:t>
      </w:r>
    </w:p>
    <w:p w14:paraId="19A3EA12" w14:textId="77777777" w:rsidR="00350D42" w:rsidRDefault="008E6F64">
      <w:pPr>
        <w:pStyle w:val="2c"/>
        <w:numPr>
          <w:ilvl w:val="1"/>
          <w:numId w:val="122"/>
        </w:numPr>
        <w:shd w:val="clear" w:color="auto" w:fill="auto"/>
        <w:tabs>
          <w:tab w:val="left" w:pos="856"/>
        </w:tabs>
        <w:spacing w:before="0"/>
        <w:ind w:firstLine="320"/>
      </w:pPr>
      <w:r>
        <w:rPr>
          <w:rStyle w:val="2d"/>
        </w:rPr>
        <w:t>Нарушение сроков финансирования проектов.</w:t>
      </w:r>
    </w:p>
    <w:p w14:paraId="40578144" w14:textId="77777777" w:rsidR="00350D42" w:rsidRDefault="008E6F64">
      <w:pPr>
        <w:pStyle w:val="2c"/>
        <w:numPr>
          <w:ilvl w:val="1"/>
          <w:numId w:val="122"/>
        </w:numPr>
        <w:shd w:val="clear" w:color="auto" w:fill="auto"/>
        <w:tabs>
          <w:tab w:val="left" w:pos="856"/>
        </w:tabs>
        <w:spacing w:before="0"/>
        <w:ind w:firstLine="320"/>
      </w:pPr>
      <w:r>
        <w:rPr>
          <w:rStyle w:val="2d"/>
        </w:rPr>
        <w:t>Слабое финансовое планирование проектов.</w:t>
      </w:r>
    </w:p>
    <w:p w14:paraId="7806E78A" w14:textId="77777777" w:rsidR="00350D42" w:rsidRDefault="008E6F64">
      <w:pPr>
        <w:pStyle w:val="2c"/>
        <w:numPr>
          <w:ilvl w:val="1"/>
          <w:numId w:val="122"/>
        </w:numPr>
        <w:shd w:val="clear" w:color="auto" w:fill="auto"/>
        <w:tabs>
          <w:tab w:val="left" w:pos="856"/>
        </w:tabs>
        <w:spacing w:before="0"/>
        <w:ind w:firstLine="320"/>
      </w:pPr>
      <w:r>
        <w:rPr>
          <w:rStyle w:val="2d"/>
        </w:rPr>
        <w:t>Другое.</w:t>
      </w:r>
    </w:p>
    <w:p w14:paraId="3BED912B" w14:textId="77777777" w:rsidR="00350D42" w:rsidRDefault="008E6F64">
      <w:pPr>
        <w:pStyle w:val="2c"/>
        <w:numPr>
          <w:ilvl w:val="0"/>
          <w:numId w:val="122"/>
        </w:numPr>
        <w:shd w:val="clear" w:color="auto" w:fill="auto"/>
        <w:tabs>
          <w:tab w:val="left" w:pos="731"/>
        </w:tabs>
        <w:spacing w:before="0"/>
        <w:ind w:firstLine="320"/>
      </w:pPr>
      <w:r>
        <w:rPr>
          <w:rStyle w:val="2d"/>
        </w:rPr>
        <w:t>Информационно-аналитический модуль.</w:t>
      </w:r>
    </w:p>
    <w:p w14:paraId="23E6F82A" w14:textId="77777777" w:rsidR="00350D42" w:rsidRDefault="008E6F64">
      <w:pPr>
        <w:pStyle w:val="2c"/>
        <w:numPr>
          <w:ilvl w:val="1"/>
          <w:numId w:val="122"/>
        </w:numPr>
        <w:shd w:val="clear" w:color="auto" w:fill="auto"/>
        <w:tabs>
          <w:tab w:val="left" w:pos="837"/>
        </w:tabs>
        <w:spacing w:before="0"/>
        <w:ind w:firstLine="320"/>
      </w:pPr>
      <w:r>
        <w:rPr>
          <w:rStyle w:val="2d"/>
        </w:rPr>
        <w:t>Неполнота (отсутствие, искажение) информации по проекту.</w:t>
      </w:r>
    </w:p>
    <w:p w14:paraId="6ECB190E" w14:textId="77777777" w:rsidR="00350D42" w:rsidRDefault="008E6F64">
      <w:pPr>
        <w:pStyle w:val="2c"/>
        <w:numPr>
          <w:ilvl w:val="1"/>
          <w:numId w:val="122"/>
        </w:numPr>
        <w:shd w:val="clear" w:color="auto" w:fill="auto"/>
        <w:tabs>
          <w:tab w:val="left" w:pos="846"/>
        </w:tabs>
        <w:spacing w:before="0"/>
        <w:ind w:firstLine="320"/>
      </w:pPr>
      <w:r>
        <w:rPr>
          <w:rStyle w:val="2d"/>
        </w:rPr>
        <w:t>Избыток информации, не связанной с основным проектом.</w:t>
      </w:r>
    </w:p>
    <w:p w14:paraId="008D17F7" w14:textId="77777777" w:rsidR="00350D42" w:rsidRDefault="008E6F64">
      <w:pPr>
        <w:pStyle w:val="2c"/>
        <w:numPr>
          <w:ilvl w:val="1"/>
          <w:numId w:val="122"/>
        </w:numPr>
        <w:shd w:val="clear" w:color="auto" w:fill="auto"/>
        <w:tabs>
          <w:tab w:val="left" w:pos="846"/>
        </w:tabs>
        <w:spacing w:before="0"/>
        <w:ind w:firstLine="320"/>
      </w:pPr>
      <w:r>
        <w:rPr>
          <w:rStyle w:val="2d"/>
        </w:rPr>
        <w:t>Несовершенство законодательства.</w:t>
      </w:r>
    </w:p>
    <w:p w14:paraId="3FDD052B" w14:textId="77777777" w:rsidR="00350D42" w:rsidRDefault="008E6F64">
      <w:pPr>
        <w:pStyle w:val="2c"/>
        <w:numPr>
          <w:ilvl w:val="1"/>
          <w:numId w:val="122"/>
        </w:numPr>
        <w:shd w:val="clear" w:color="auto" w:fill="auto"/>
        <w:tabs>
          <w:tab w:val="left" w:pos="846"/>
        </w:tabs>
        <w:spacing w:before="0"/>
        <w:ind w:firstLine="320"/>
      </w:pPr>
      <w:r>
        <w:rPr>
          <w:rStyle w:val="2d"/>
        </w:rPr>
        <w:t>Несвоевременное поступление информации.</w:t>
      </w:r>
    </w:p>
    <w:p w14:paraId="1D1C236F" w14:textId="77777777" w:rsidR="00350D42" w:rsidRDefault="008E6F64">
      <w:pPr>
        <w:pStyle w:val="2c"/>
        <w:numPr>
          <w:ilvl w:val="1"/>
          <w:numId w:val="122"/>
        </w:numPr>
        <w:shd w:val="clear" w:color="auto" w:fill="auto"/>
        <w:tabs>
          <w:tab w:val="left" w:pos="846"/>
        </w:tabs>
        <w:spacing w:before="0"/>
        <w:ind w:firstLine="320"/>
      </w:pPr>
      <w:r>
        <w:rPr>
          <w:rStyle w:val="2d"/>
        </w:rPr>
        <w:t>Дублирование информации.</w:t>
      </w:r>
    </w:p>
    <w:p w14:paraId="5B880BF9" w14:textId="77777777" w:rsidR="00350D42" w:rsidRDefault="008E6F64">
      <w:pPr>
        <w:pStyle w:val="2c"/>
        <w:numPr>
          <w:ilvl w:val="1"/>
          <w:numId w:val="122"/>
        </w:numPr>
        <w:shd w:val="clear" w:color="auto" w:fill="auto"/>
        <w:tabs>
          <w:tab w:val="left" w:pos="846"/>
        </w:tabs>
        <w:spacing w:before="0"/>
        <w:ind w:firstLine="320"/>
      </w:pPr>
      <w:r>
        <w:rPr>
          <w:rStyle w:val="2d"/>
        </w:rPr>
        <w:t>Другое.</w:t>
      </w:r>
    </w:p>
    <w:p w14:paraId="0D404792" w14:textId="77777777" w:rsidR="00350D42" w:rsidRDefault="008E6F64">
      <w:pPr>
        <w:pStyle w:val="2c"/>
        <w:numPr>
          <w:ilvl w:val="0"/>
          <w:numId w:val="122"/>
        </w:numPr>
        <w:shd w:val="clear" w:color="auto" w:fill="auto"/>
        <w:tabs>
          <w:tab w:val="left" w:pos="791"/>
        </w:tabs>
        <w:spacing w:before="0" w:line="254" w:lineRule="exact"/>
        <w:ind w:firstLine="320"/>
        <w:jc w:val="left"/>
      </w:pPr>
      <w:r>
        <w:rPr>
          <w:rStyle w:val="2d"/>
        </w:rPr>
        <w:t>Стратегический модуль.</w:t>
      </w:r>
    </w:p>
    <w:p w14:paraId="76066608" w14:textId="77777777" w:rsidR="00350D42" w:rsidRDefault="008E6F64">
      <w:pPr>
        <w:pStyle w:val="2c"/>
        <w:numPr>
          <w:ilvl w:val="1"/>
          <w:numId w:val="122"/>
        </w:numPr>
        <w:shd w:val="clear" w:color="auto" w:fill="auto"/>
        <w:tabs>
          <w:tab w:val="left" w:pos="837"/>
        </w:tabs>
        <w:spacing w:before="0" w:line="254" w:lineRule="exact"/>
        <w:ind w:firstLine="320"/>
        <w:jc w:val="left"/>
      </w:pPr>
      <w:r>
        <w:rPr>
          <w:rStyle w:val="2d"/>
        </w:rPr>
        <w:t>Низкое качество управления.</w:t>
      </w:r>
    </w:p>
    <w:p w14:paraId="6E85315F" w14:textId="77777777" w:rsidR="00350D42" w:rsidRDefault="008E6F64">
      <w:pPr>
        <w:pStyle w:val="2c"/>
        <w:numPr>
          <w:ilvl w:val="1"/>
          <w:numId w:val="122"/>
        </w:numPr>
        <w:shd w:val="clear" w:color="auto" w:fill="auto"/>
        <w:tabs>
          <w:tab w:val="left" w:pos="846"/>
        </w:tabs>
        <w:spacing w:before="0" w:line="254" w:lineRule="exact"/>
        <w:ind w:firstLine="320"/>
        <w:jc w:val="left"/>
      </w:pPr>
      <w:r>
        <w:rPr>
          <w:rStyle w:val="2d"/>
        </w:rPr>
        <w:t>Слабое планирование проекта на стадии реализации.</w:t>
      </w:r>
    </w:p>
    <w:p w14:paraId="06C3FC15" w14:textId="77777777" w:rsidR="00350D42" w:rsidRDefault="008E6F64">
      <w:pPr>
        <w:pStyle w:val="2c"/>
        <w:numPr>
          <w:ilvl w:val="1"/>
          <w:numId w:val="122"/>
        </w:numPr>
        <w:shd w:val="clear" w:color="auto" w:fill="auto"/>
        <w:tabs>
          <w:tab w:val="left" w:pos="824"/>
        </w:tabs>
        <w:spacing w:before="0" w:line="254" w:lineRule="exact"/>
        <w:ind w:firstLine="320"/>
        <w:jc w:val="left"/>
      </w:pPr>
      <w:r>
        <w:rPr>
          <w:rStyle w:val="2d"/>
        </w:rPr>
        <w:t>Отсутствие четко поставленных целей, задач, стратегии в це</w:t>
      </w:r>
      <w:r>
        <w:rPr>
          <w:rStyle w:val="2d"/>
        </w:rPr>
        <w:softHyphen/>
        <w:t>лом.</w:t>
      </w:r>
    </w:p>
    <w:p w14:paraId="27AA5AC4" w14:textId="77777777" w:rsidR="00350D42" w:rsidRDefault="008E6F64">
      <w:pPr>
        <w:pStyle w:val="2c"/>
        <w:numPr>
          <w:ilvl w:val="1"/>
          <w:numId w:val="122"/>
        </w:numPr>
        <w:shd w:val="clear" w:color="auto" w:fill="auto"/>
        <w:tabs>
          <w:tab w:val="left" w:pos="846"/>
        </w:tabs>
        <w:spacing w:before="0" w:line="254" w:lineRule="exact"/>
        <w:ind w:firstLine="320"/>
        <w:jc w:val="left"/>
      </w:pPr>
      <w:r>
        <w:rPr>
          <w:rStyle w:val="2d"/>
        </w:rPr>
        <w:t>Невыполнение целевых контрактов.</w:t>
      </w:r>
    </w:p>
    <w:p w14:paraId="4D68E054" w14:textId="77777777" w:rsidR="00350D42" w:rsidRDefault="008E6F64">
      <w:pPr>
        <w:pStyle w:val="2c"/>
        <w:numPr>
          <w:ilvl w:val="1"/>
          <w:numId w:val="122"/>
        </w:numPr>
        <w:shd w:val="clear" w:color="auto" w:fill="auto"/>
        <w:tabs>
          <w:tab w:val="left" w:pos="846"/>
        </w:tabs>
        <w:spacing w:before="0" w:line="254" w:lineRule="exact"/>
        <w:ind w:firstLine="320"/>
        <w:jc w:val="left"/>
      </w:pPr>
      <w:r>
        <w:rPr>
          <w:rStyle w:val="2d"/>
        </w:rPr>
        <w:t>Недостаток общей идеологии и общей организации работ.</w:t>
      </w:r>
    </w:p>
    <w:p w14:paraId="4B72C929" w14:textId="77777777" w:rsidR="00350D42" w:rsidRDefault="008E6F64">
      <w:pPr>
        <w:pStyle w:val="2c"/>
        <w:numPr>
          <w:ilvl w:val="1"/>
          <w:numId w:val="122"/>
        </w:numPr>
        <w:shd w:val="clear" w:color="auto" w:fill="auto"/>
        <w:tabs>
          <w:tab w:val="left" w:pos="846"/>
        </w:tabs>
        <w:spacing w:before="0" w:line="254" w:lineRule="exact"/>
        <w:ind w:firstLine="320"/>
        <w:jc w:val="left"/>
      </w:pPr>
      <w:r>
        <w:rPr>
          <w:rStyle w:val="2d"/>
        </w:rPr>
        <w:t>Другое.</w:t>
      </w:r>
    </w:p>
    <w:p w14:paraId="0D9C1126" w14:textId="77777777" w:rsidR="00350D42" w:rsidRDefault="008E6F64">
      <w:pPr>
        <w:pStyle w:val="2c"/>
        <w:numPr>
          <w:ilvl w:val="0"/>
          <w:numId w:val="122"/>
        </w:numPr>
        <w:shd w:val="clear" w:color="auto" w:fill="auto"/>
        <w:tabs>
          <w:tab w:val="left" w:pos="791"/>
        </w:tabs>
        <w:spacing w:before="0" w:line="254" w:lineRule="exact"/>
        <w:ind w:firstLine="320"/>
        <w:jc w:val="left"/>
      </w:pPr>
      <w:r>
        <w:rPr>
          <w:rStyle w:val="2d"/>
        </w:rPr>
        <w:t>Структурно-должностной модуль.</w:t>
      </w:r>
    </w:p>
    <w:p w14:paraId="374A9DD2" w14:textId="77777777" w:rsidR="00350D42" w:rsidRDefault="008E6F64">
      <w:pPr>
        <w:pStyle w:val="2c"/>
        <w:numPr>
          <w:ilvl w:val="1"/>
          <w:numId w:val="122"/>
        </w:numPr>
        <w:shd w:val="clear" w:color="auto" w:fill="auto"/>
        <w:tabs>
          <w:tab w:val="left" w:pos="822"/>
        </w:tabs>
        <w:spacing w:before="0" w:line="254" w:lineRule="exact"/>
        <w:ind w:firstLine="320"/>
        <w:jc w:val="left"/>
      </w:pPr>
      <w:r>
        <w:rPr>
          <w:rStyle w:val="2d"/>
        </w:rPr>
        <w:t>Неудобный режим работы.</w:t>
      </w:r>
    </w:p>
    <w:p w14:paraId="449551E9" w14:textId="77777777" w:rsidR="00350D42" w:rsidRDefault="008E6F64">
      <w:pPr>
        <w:pStyle w:val="2c"/>
        <w:numPr>
          <w:ilvl w:val="1"/>
          <w:numId w:val="122"/>
        </w:numPr>
        <w:shd w:val="clear" w:color="auto" w:fill="auto"/>
        <w:tabs>
          <w:tab w:val="left" w:pos="832"/>
        </w:tabs>
        <w:spacing w:before="0" w:line="254" w:lineRule="exact"/>
        <w:ind w:firstLine="320"/>
        <w:jc w:val="left"/>
      </w:pPr>
      <w:r>
        <w:rPr>
          <w:rStyle w:val="2d"/>
        </w:rPr>
        <w:t>Неукомплектованность кадров.</w:t>
      </w:r>
    </w:p>
    <w:p w14:paraId="2F744292" w14:textId="77777777" w:rsidR="00350D42" w:rsidRDefault="008E6F64">
      <w:pPr>
        <w:pStyle w:val="2c"/>
        <w:numPr>
          <w:ilvl w:val="1"/>
          <w:numId w:val="122"/>
        </w:numPr>
        <w:shd w:val="clear" w:color="auto" w:fill="auto"/>
        <w:tabs>
          <w:tab w:val="left" w:pos="832"/>
        </w:tabs>
        <w:spacing w:before="0" w:line="254" w:lineRule="exact"/>
        <w:ind w:firstLine="320"/>
        <w:jc w:val="left"/>
      </w:pPr>
      <w:r>
        <w:rPr>
          <w:rStyle w:val="2d"/>
        </w:rPr>
        <w:t>Авторитарный стиль управления.</w:t>
      </w:r>
    </w:p>
    <w:p w14:paraId="1A2A963C" w14:textId="77777777" w:rsidR="00350D42" w:rsidRDefault="008E6F64">
      <w:pPr>
        <w:pStyle w:val="2c"/>
        <w:numPr>
          <w:ilvl w:val="1"/>
          <w:numId w:val="122"/>
        </w:numPr>
        <w:shd w:val="clear" w:color="auto" w:fill="auto"/>
        <w:tabs>
          <w:tab w:val="left" w:pos="832"/>
        </w:tabs>
        <w:spacing w:before="0" w:line="254" w:lineRule="exact"/>
        <w:ind w:firstLine="320"/>
        <w:jc w:val="left"/>
      </w:pPr>
      <w:r>
        <w:rPr>
          <w:rStyle w:val="2d"/>
        </w:rPr>
        <w:t>Бюрократизация процессов, процедур.</w:t>
      </w:r>
    </w:p>
    <w:p w14:paraId="6ED2424D" w14:textId="77777777" w:rsidR="00350D42" w:rsidRDefault="008E6F64">
      <w:pPr>
        <w:pStyle w:val="2c"/>
        <w:numPr>
          <w:ilvl w:val="1"/>
          <w:numId w:val="122"/>
        </w:numPr>
        <w:shd w:val="clear" w:color="auto" w:fill="auto"/>
        <w:tabs>
          <w:tab w:val="left" w:pos="832"/>
        </w:tabs>
        <w:spacing w:before="0" w:line="254" w:lineRule="exact"/>
        <w:ind w:firstLine="320"/>
        <w:jc w:val="left"/>
      </w:pPr>
      <w:r>
        <w:rPr>
          <w:rStyle w:val="2d"/>
        </w:rPr>
        <w:t>Отсутствие четкости в распределении обязанностей.</w:t>
      </w:r>
    </w:p>
    <w:p w14:paraId="13468141" w14:textId="77777777" w:rsidR="00350D42" w:rsidRDefault="008E6F64">
      <w:pPr>
        <w:pStyle w:val="2c"/>
        <w:numPr>
          <w:ilvl w:val="1"/>
          <w:numId w:val="122"/>
        </w:numPr>
        <w:shd w:val="clear" w:color="auto" w:fill="auto"/>
        <w:tabs>
          <w:tab w:val="left" w:pos="832"/>
        </w:tabs>
        <w:spacing w:before="0" w:line="254" w:lineRule="exact"/>
        <w:ind w:firstLine="320"/>
        <w:jc w:val="left"/>
      </w:pPr>
      <w:r>
        <w:rPr>
          <w:rStyle w:val="2d"/>
        </w:rPr>
        <w:t>Недостаточная квалификация руководства.</w:t>
      </w:r>
    </w:p>
    <w:p w14:paraId="12D96911" w14:textId="77777777" w:rsidR="00350D42" w:rsidRDefault="008E6F64">
      <w:pPr>
        <w:pStyle w:val="2c"/>
        <w:numPr>
          <w:ilvl w:val="1"/>
          <w:numId w:val="122"/>
        </w:numPr>
        <w:shd w:val="clear" w:color="auto" w:fill="auto"/>
        <w:tabs>
          <w:tab w:val="left" w:pos="832"/>
        </w:tabs>
        <w:spacing w:before="0" w:line="254" w:lineRule="exact"/>
        <w:ind w:firstLine="320"/>
        <w:jc w:val="left"/>
      </w:pPr>
      <w:r>
        <w:rPr>
          <w:rStyle w:val="2d"/>
        </w:rPr>
        <w:t>Невыполнение предписанных обязанностей.</w:t>
      </w:r>
    </w:p>
    <w:p w14:paraId="39A06B79" w14:textId="77777777" w:rsidR="00350D42" w:rsidRDefault="008E6F64">
      <w:pPr>
        <w:pStyle w:val="2c"/>
        <w:numPr>
          <w:ilvl w:val="1"/>
          <w:numId w:val="122"/>
        </w:numPr>
        <w:shd w:val="clear" w:color="auto" w:fill="auto"/>
        <w:tabs>
          <w:tab w:val="left" w:pos="832"/>
        </w:tabs>
        <w:spacing w:before="0" w:line="254" w:lineRule="exact"/>
        <w:ind w:firstLine="320"/>
        <w:jc w:val="left"/>
      </w:pPr>
      <w:r>
        <w:rPr>
          <w:rStyle w:val="2d"/>
        </w:rPr>
        <w:t>Промедление в принятии решений.</w:t>
      </w:r>
    </w:p>
    <w:p w14:paraId="5A47C092" w14:textId="77777777" w:rsidR="00350D42" w:rsidRDefault="008E6F64">
      <w:pPr>
        <w:pStyle w:val="2c"/>
        <w:numPr>
          <w:ilvl w:val="1"/>
          <w:numId w:val="122"/>
        </w:numPr>
        <w:shd w:val="clear" w:color="auto" w:fill="auto"/>
        <w:tabs>
          <w:tab w:val="left" w:pos="810"/>
        </w:tabs>
        <w:spacing w:before="0" w:line="254" w:lineRule="exact"/>
        <w:ind w:firstLine="320"/>
        <w:jc w:val="left"/>
      </w:pPr>
      <w:r>
        <w:rPr>
          <w:rStyle w:val="2d"/>
        </w:rPr>
        <w:t>Отсутствие инструкций, стандартов, регламентов проведе</w:t>
      </w:r>
      <w:r>
        <w:rPr>
          <w:rStyle w:val="2d"/>
        </w:rPr>
        <w:softHyphen/>
        <w:t>ния торгов.</w:t>
      </w:r>
    </w:p>
    <w:p w14:paraId="0DB3830C" w14:textId="77777777" w:rsidR="00350D42" w:rsidRDefault="008E6F64">
      <w:pPr>
        <w:pStyle w:val="2c"/>
        <w:numPr>
          <w:ilvl w:val="1"/>
          <w:numId w:val="122"/>
        </w:numPr>
        <w:shd w:val="clear" w:color="auto" w:fill="auto"/>
        <w:tabs>
          <w:tab w:val="left" w:pos="938"/>
        </w:tabs>
        <w:spacing w:before="0" w:line="254" w:lineRule="exact"/>
        <w:ind w:firstLine="320"/>
        <w:jc w:val="left"/>
      </w:pPr>
      <w:r>
        <w:rPr>
          <w:rStyle w:val="2d"/>
        </w:rPr>
        <w:t>Боязнь личной ответственности при принятии решений.</w:t>
      </w:r>
    </w:p>
    <w:p w14:paraId="3AB72D50" w14:textId="77777777" w:rsidR="00350D42" w:rsidRDefault="008E6F64">
      <w:pPr>
        <w:pStyle w:val="2c"/>
        <w:numPr>
          <w:ilvl w:val="1"/>
          <w:numId w:val="122"/>
        </w:numPr>
        <w:shd w:val="clear" w:color="auto" w:fill="auto"/>
        <w:tabs>
          <w:tab w:val="left" w:pos="938"/>
        </w:tabs>
        <w:spacing w:before="0" w:line="254" w:lineRule="exact"/>
        <w:ind w:firstLine="320"/>
        <w:jc w:val="left"/>
      </w:pPr>
      <w:r>
        <w:rPr>
          <w:rStyle w:val="2d"/>
        </w:rPr>
        <w:t>Другое.</w:t>
      </w:r>
    </w:p>
    <w:p w14:paraId="20523A9E" w14:textId="77777777" w:rsidR="00350D42" w:rsidRDefault="008E6F64">
      <w:pPr>
        <w:pStyle w:val="2c"/>
        <w:numPr>
          <w:ilvl w:val="0"/>
          <w:numId w:val="122"/>
        </w:numPr>
        <w:shd w:val="clear" w:color="auto" w:fill="auto"/>
        <w:tabs>
          <w:tab w:val="left" w:pos="791"/>
        </w:tabs>
        <w:spacing w:before="0" w:line="254" w:lineRule="exact"/>
        <w:ind w:firstLine="320"/>
        <w:jc w:val="left"/>
      </w:pPr>
      <w:r>
        <w:rPr>
          <w:rStyle w:val="2d"/>
        </w:rPr>
        <w:t>Социально-психологический модуль.</w:t>
      </w:r>
    </w:p>
    <w:p w14:paraId="0D9F901A" w14:textId="77777777" w:rsidR="00350D42" w:rsidRDefault="008E6F64">
      <w:pPr>
        <w:pStyle w:val="2c"/>
        <w:numPr>
          <w:ilvl w:val="1"/>
          <w:numId w:val="122"/>
        </w:numPr>
        <w:shd w:val="clear" w:color="auto" w:fill="auto"/>
        <w:tabs>
          <w:tab w:val="left" w:pos="837"/>
        </w:tabs>
        <w:spacing w:before="0" w:line="254" w:lineRule="exact"/>
        <w:ind w:firstLine="320"/>
        <w:jc w:val="left"/>
      </w:pPr>
      <w:r>
        <w:rPr>
          <w:rStyle w:val="2d"/>
        </w:rPr>
        <w:t>Характер сотрудника:</w:t>
      </w:r>
    </w:p>
    <w:p w14:paraId="3D67DA9C" w14:textId="77777777" w:rsidR="00350D42" w:rsidRDefault="008E6F64">
      <w:pPr>
        <w:pStyle w:val="2c"/>
        <w:numPr>
          <w:ilvl w:val="2"/>
          <w:numId w:val="122"/>
        </w:numPr>
        <w:shd w:val="clear" w:color="auto" w:fill="auto"/>
        <w:tabs>
          <w:tab w:val="left" w:pos="1005"/>
        </w:tabs>
        <w:spacing w:before="0" w:line="254" w:lineRule="exact"/>
        <w:ind w:firstLine="320"/>
        <w:jc w:val="left"/>
      </w:pPr>
      <w:r>
        <w:rPr>
          <w:rStyle w:val="2d"/>
        </w:rPr>
        <w:lastRenderedPageBreak/>
        <w:t>застенчивость (стеснительность, скромность);</w:t>
      </w:r>
    </w:p>
    <w:p w14:paraId="543A701B" w14:textId="77777777" w:rsidR="00350D42" w:rsidRDefault="008E6F64">
      <w:pPr>
        <w:pStyle w:val="2c"/>
        <w:numPr>
          <w:ilvl w:val="2"/>
          <w:numId w:val="122"/>
        </w:numPr>
        <w:shd w:val="clear" w:color="auto" w:fill="auto"/>
        <w:tabs>
          <w:tab w:val="left" w:pos="1014"/>
        </w:tabs>
        <w:spacing w:before="0" w:line="254" w:lineRule="exact"/>
        <w:ind w:firstLine="320"/>
        <w:jc w:val="left"/>
      </w:pPr>
      <w:r>
        <w:rPr>
          <w:rStyle w:val="2d"/>
        </w:rPr>
        <w:t>низкая самооценка;</w:t>
      </w:r>
    </w:p>
    <w:p w14:paraId="60EBA90D" w14:textId="77777777" w:rsidR="00350D42" w:rsidRDefault="008E6F64">
      <w:pPr>
        <w:pStyle w:val="2c"/>
        <w:numPr>
          <w:ilvl w:val="2"/>
          <w:numId w:val="122"/>
        </w:numPr>
        <w:shd w:val="clear" w:color="auto" w:fill="auto"/>
        <w:tabs>
          <w:tab w:val="left" w:pos="1014"/>
        </w:tabs>
        <w:spacing w:before="0" w:line="254" w:lineRule="exact"/>
        <w:ind w:firstLine="320"/>
        <w:jc w:val="left"/>
      </w:pPr>
      <w:r>
        <w:rPr>
          <w:rStyle w:val="2d"/>
        </w:rPr>
        <w:t>неуверенность в себе;</w:t>
      </w:r>
    </w:p>
    <w:p w14:paraId="4BC1517B" w14:textId="77777777" w:rsidR="00350D42" w:rsidRDefault="008E6F64">
      <w:pPr>
        <w:pStyle w:val="2c"/>
        <w:numPr>
          <w:ilvl w:val="2"/>
          <w:numId w:val="122"/>
        </w:numPr>
        <w:shd w:val="clear" w:color="auto" w:fill="auto"/>
        <w:tabs>
          <w:tab w:val="left" w:pos="987"/>
        </w:tabs>
        <w:spacing w:before="0" w:line="254" w:lineRule="exact"/>
        <w:ind w:firstLine="320"/>
        <w:jc w:val="left"/>
      </w:pPr>
      <w:r>
        <w:rPr>
          <w:rStyle w:val="2d"/>
        </w:rPr>
        <w:t>необщительность (в том числе отсутствие навыков делово</w:t>
      </w:r>
      <w:r>
        <w:rPr>
          <w:rStyle w:val="2d"/>
        </w:rPr>
        <w:softHyphen/>
        <w:t>го общения);</w:t>
      </w:r>
    </w:p>
    <w:p w14:paraId="525FBBE4" w14:textId="77777777" w:rsidR="00350D42" w:rsidRDefault="008E6F64">
      <w:pPr>
        <w:pStyle w:val="2c"/>
        <w:numPr>
          <w:ilvl w:val="2"/>
          <w:numId w:val="122"/>
        </w:numPr>
        <w:shd w:val="clear" w:color="auto" w:fill="auto"/>
        <w:tabs>
          <w:tab w:val="left" w:pos="1008"/>
        </w:tabs>
        <w:spacing w:before="0" w:line="254" w:lineRule="exact"/>
        <w:ind w:firstLine="320"/>
        <w:jc w:val="left"/>
      </w:pPr>
      <w:r>
        <w:rPr>
          <w:rStyle w:val="2d"/>
        </w:rPr>
        <w:t>неумение противостоять давлению начальства, коллег и т. д.;</w:t>
      </w:r>
    </w:p>
    <w:p w14:paraId="3DB7FC5C" w14:textId="77777777" w:rsidR="00350D42" w:rsidRDefault="008E6F64">
      <w:pPr>
        <w:pStyle w:val="2c"/>
        <w:numPr>
          <w:ilvl w:val="2"/>
          <w:numId w:val="122"/>
        </w:numPr>
        <w:shd w:val="clear" w:color="auto" w:fill="auto"/>
        <w:tabs>
          <w:tab w:val="left" w:pos="1038"/>
        </w:tabs>
        <w:spacing w:before="0" w:line="254" w:lineRule="exact"/>
        <w:ind w:firstLine="320"/>
        <w:jc w:val="left"/>
      </w:pPr>
      <w:r>
        <w:rPr>
          <w:rStyle w:val="2d"/>
        </w:rPr>
        <w:t>личная некомпетентность.</w:t>
      </w:r>
    </w:p>
    <w:p w14:paraId="565929CA" w14:textId="77777777" w:rsidR="00350D42" w:rsidRDefault="008E6F64">
      <w:pPr>
        <w:pStyle w:val="2c"/>
        <w:shd w:val="clear" w:color="auto" w:fill="auto"/>
        <w:spacing w:before="0" w:line="254" w:lineRule="exact"/>
        <w:ind w:firstLine="320"/>
        <w:jc w:val="left"/>
      </w:pPr>
      <w:r>
        <w:rPr>
          <w:rStyle w:val="2d"/>
        </w:rPr>
        <w:t>8.2. Состояния и отношения:</w:t>
      </w:r>
    </w:p>
    <w:p w14:paraId="35A51874" w14:textId="77777777" w:rsidR="00350D42" w:rsidRDefault="008E6F64">
      <w:pPr>
        <w:pStyle w:val="2c"/>
        <w:numPr>
          <w:ilvl w:val="0"/>
          <w:numId w:val="123"/>
        </w:numPr>
        <w:shd w:val="clear" w:color="auto" w:fill="auto"/>
        <w:tabs>
          <w:tab w:val="left" w:pos="1014"/>
        </w:tabs>
        <w:spacing w:before="0" w:line="254" w:lineRule="exact"/>
        <w:ind w:firstLine="320"/>
        <w:jc w:val="left"/>
      </w:pPr>
      <w:r>
        <w:rPr>
          <w:rStyle w:val="2d"/>
        </w:rPr>
        <w:t>апатия к работе;</w:t>
      </w:r>
    </w:p>
    <w:p w14:paraId="19A7ED77" w14:textId="77777777" w:rsidR="00350D42" w:rsidRDefault="008E6F64">
      <w:pPr>
        <w:pStyle w:val="2c"/>
        <w:numPr>
          <w:ilvl w:val="0"/>
          <w:numId w:val="123"/>
        </w:numPr>
        <w:shd w:val="clear" w:color="auto" w:fill="auto"/>
        <w:tabs>
          <w:tab w:val="left" w:pos="1024"/>
        </w:tabs>
        <w:spacing w:before="0" w:line="254" w:lineRule="exact"/>
        <w:ind w:firstLine="320"/>
        <w:jc w:val="left"/>
      </w:pPr>
      <w:r>
        <w:rPr>
          <w:rStyle w:val="2d"/>
        </w:rPr>
        <w:t>лень;</w:t>
      </w:r>
    </w:p>
    <w:p w14:paraId="5A4DA11B" w14:textId="77777777" w:rsidR="00350D42" w:rsidRDefault="008E6F64">
      <w:pPr>
        <w:pStyle w:val="2c"/>
        <w:numPr>
          <w:ilvl w:val="0"/>
          <w:numId w:val="123"/>
        </w:numPr>
        <w:shd w:val="clear" w:color="auto" w:fill="auto"/>
        <w:tabs>
          <w:tab w:val="left" w:pos="1024"/>
        </w:tabs>
        <w:spacing w:before="0" w:line="254" w:lineRule="exact"/>
        <w:ind w:firstLine="320"/>
        <w:jc w:val="left"/>
      </w:pPr>
      <w:r>
        <w:rPr>
          <w:rStyle w:val="2d"/>
        </w:rPr>
        <w:t>изменчивость настроения;</w:t>
      </w:r>
    </w:p>
    <w:p w14:paraId="6F2A6F75" w14:textId="77777777" w:rsidR="00350D42" w:rsidRDefault="008E6F64">
      <w:pPr>
        <w:pStyle w:val="2c"/>
        <w:numPr>
          <w:ilvl w:val="0"/>
          <w:numId w:val="123"/>
        </w:numPr>
        <w:shd w:val="clear" w:color="auto" w:fill="auto"/>
        <w:tabs>
          <w:tab w:val="left" w:pos="1024"/>
        </w:tabs>
        <w:spacing w:before="0" w:line="254" w:lineRule="exact"/>
        <w:ind w:firstLine="320"/>
        <w:jc w:val="left"/>
      </w:pPr>
      <w:r>
        <w:rPr>
          <w:rStyle w:val="2d"/>
        </w:rPr>
        <w:t>невнимательность;</w:t>
      </w:r>
    </w:p>
    <w:p w14:paraId="4A02D5DD" w14:textId="77777777" w:rsidR="00350D42" w:rsidRDefault="008E6F64">
      <w:pPr>
        <w:pStyle w:val="2c"/>
        <w:numPr>
          <w:ilvl w:val="0"/>
          <w:numId w:val="123"/>
        </w:numPr>
        <w:shd w:val="clear" w:color="auto" w:fill="auto"/>
        <w:tabs>
          <w:tab w:val="left" w:pos="1024"/>
        </w:tabs>
        <w:spacing w:before="0" w:line="254" w:lineRule="exact"/>
        <w:ind w:firstLine="320"/>
        <w:jc w:val="left"/>
      </w:pPr>
      <w:r>
        <w:rPr>
          <w:rStyle w:val="2d"/>
        </w:rPr>
        <w:t>неисполнительность;</w:t>
      </w:r>
    </w:p>
    <w:p w14:paraId="69D34A96" w14:textId="77777777" w:rsidR="00350D42" w:rsidRDefault="008E6F64">
      <w:pPr>
        <w:pStyle w:val="2c"/>
        <w:numPr>
          <w:ilvl w:val="0"/>
          <w:numId w:val="123"/>
        </w:numPr>
        <w:shd w:val="clear" w:color="auto" w:fill="auto"/>
        <w:tabs>
          <w:tab w:val="left" w:pos="1024"/>
        </w:tabs>
        <w:spacing w:before="0" w:line="254" w:lineRule="exact"/>
        <w:ind w:firstLine="320"/>
        <w:jc w:val="left"/>
      </w:pPr>
      <w:r>
        <w:rPr>
          <w:rStyle w:val="2d"/>
        </w:rPr>
        <w:t>безынициативность;</w:t>
      </w:r>
    </w:p>
    <w:p w14:paraId="69E14B62" w14:textId="77777777" w:rsidR="00350D42" w:rsidRDefault="008E6F64">
      <w:pPr>
        <w:pStyle w:val="2c"/>
        <w:numPr>
          <w:ilvl w:val="0"/>
          <w:numId w:val="123"/>
        </w:numPr>
        <w:shd w:val="clear" w:color="auto" w:fill="auto"/>
        <w:tabs>
          <w:tab w:val="left" w:pos="1024"/>
        </w:tabs>
        <w:spacing w:before="0" w:line="254" w:lineRule="exact"/>
        <w:ind w:firstLine="320"/>
        <w:jc w:val="left"/>
      </w:pPr>
      <w:r>
        <w:rPr>
          <w:rStyle w:val="2d"/>
        </w:rPr>
        <w:t>безответственность;</w:t>
      </w:r>
    </w:p>
    <w:p w14:paraId="0315E837" w14:textId="77777777" w:rsidR="00350D42" w:rsidRDefault="008E6F64">
      <w:pPr>
        <w:pStyle w:val="2c"/>
        <w:numPr>
          <w:ilvl w:val="0"/>
          <w:numId w:val="123"/>
        </w:numPr>
        <w:shd w:val="clear" w:color="auto" w:fill="auto"/>
        <w:tabs>
          <w:tab w:val="left" w:pos="1024"/>
        </w:tabs>
        <w:spacing w:before="0" w:line="254" w:lineRule="exact"/>
        <w:ind w:firstLine="320"/>
        <w:jc w:val="left"/>
      </w:pPr>
      <w:r>
        <w:rPr>
          <w:rStyle w:val="2d"/>
        </w:rPr>
        <w:t>несобранность (недостаточная мобилизованность);</w:t>
      </w:r>
    </w:p>
    <w:p w14:paraId="7A7A31E3" w14:textId="77777777" w:rsidR="00350D42" w:rsidRDefault="008E6F64">
      <w:pPr>
        <w:pStyle w:val="2c"/>
        <w:numPr>
          <w:ilvl w:val="0"/>
          <w:numId w:val="123"/>
        </w:numPr>
        <w:shd w:val="clear" w:color="auto" w:fill="auto"/>
        <w:tabs>
          <w:tab w:val="left" w:pos="1024"/>
        </w:tabs>
        <w:spacing w:before="0" w:line="254" w:lineRule="exact"/>
        <w:ind w:firstLine="320"/>
        <w:jc w:val="left"/>
      </w:pPr>
      <w:r>
        <w:rPr>
          <w:rStyle w:val="2d"/>
        </w:rPr>
        <w:t>зависть;</w:t>
      </w:r>
    </w:p>
    <w:p w14:paraId="3CD8BC3E" w14:textId="77777777" w:rsidR="00350D42" w:rsidRDefault="008E6F64">
      <w:pPr>
        <w:pStyle w:val="2c"/>
        <w:numPr>
          <w:ilvl w:val="0"/>
          <w:numId w:val="123"/>
        </w:numPr>
        <w:shd w:val="clear" w:color="auto" w:fill="auto"/>
        <w:tabs>
          <w:tab w:val="left" w:pos="1130"/>
        </w:tabs>
        <w:spacing w:before="0" w:line="254" w:lineRule="exact"/>
        <w:ind w:firstLine="320"/>
        <w:jc w:val="left"/>
      </w:pPr>
      <w:r>
        <w:rPr>
          <w:rStyle w:val="2d"/>
        </w:rPr>
        <w:t>отсутствие интереса;</w:t>
      </w:r>
    </w:p>
    <w:p w14:paraId="61BA5AC8" w14:textId="77777777" w:rsidR="00350D42" w:rsidRDefault="008E6F64">
      <w:pPr>
        <w:pStyle w:val="2c"/>
        <w:numPr>
          <w:ilvl w:val="0"/>
          <w:numId w:val="123"/>
        </w:numPr>
        <w:shd w:val="clear" w:color="auto" w:fill="auto"/>
        <w:tabs>
          <w:tab w:val="left" w:pos="1130"/>
        </w:tabs>
        <w:spacing w:before="0" w:line="254" w:lineRule="exact"/>
        <w:ind w:firstLine="320"/>
        <w:jc w:val="left"/>
      </w:pPr>
      <w:r>
        <w:rPr>
          <w:rStyle w:val="2d"/>
        </w:rPr>
        <w:t>честолюбие;</w:t>
      </w:r>
    </w:p>
    <w:p w14:paraId="453996B4" w14:textId="77777777" w:rsidR="00350D42" w:rsidRDefault="008E6F64">
      <w:pPr>
        <w:pStyle w:val="2c"/>
        <w:numPr>
          <w:ilvl w:val="0"/>
          <w:numId w:val="123"/>
        </w:numPr>
        <w:shd w:val="clear" w:color="auto" w:fill="auto"/>
        <w:tabs>
          <w:tab w:val="left" w:pos="1134"/>
        </w:tabs>
        <w:spacing w:before="0" w:line="254" w:lineRule="exact"/>
        <w:ind w:firstLine="320"/>
        <w:jc w:val="left"/>
      </w:pPr>
      <w:r>
        <w:rPr>
          <w:rStyle w:val="2d"/>
        </w:rPr>
        <w:t>другое.</w:t>
      </w:r>
    </w:p>
    <w:p w14:paraId="4D574E62" w14:textId="77777777" w:rsidR="00350D42" w:rsidRDefault="008E6F64">
      <w:pPr>
        <w:pStyle w:val="2c"/>
        <w:numPr>
          <w:ilvl w:val="0"/>
          <w:numId w:val="124"/>
        </w:numPr>
        <w:shd w:val="clear" w:color="auto" w:fill="auto"/>
        <w:tabs>
          <w:tab w:val="left" w:pos="846"/>
        </w:tabs>
        <w:spacing w:before="0" w:line="245" w:lineRule="exact"/>
        <w:ind w:firstLine="320"/>
        <w:jc w:val="left"/>
      </w:pPr>
      <w:r>
        <w:rPr>
          <w:rStyle w:val="2d"/>
        </w:rPr>
        <w:t>Рабочая атмосфера:</w:t>
      </w:r>
    </w:p>
    <w:p w14:paraId="2966DB06" w14:textId="77777777" w:rsidR="00350D42" w:rsidRDefault="008E6F64">
      <w:pPr>
        <w:pStyle w:val="2c"/>
        <w:numPr>
          <w:ilvl w:val="0"/>
          <w:numId w:val="125"/>
        </w:numPr>
        <w:shd w:val="clear" w:color="auto" w:fill="auto"/>
        <w:tabs>
          <w:tab w:val="left" w:pos="1014"/>
        </w:tabs>
        <w:spacing w:before="0" w:line="245" w:lineRule="exact"/>
        <w:ind w:firstLine="320"/>
        <w:jc w:val="left"/>
      </w:pPr>
      <w:r>
        <w:rPr>
          <w:rStyle w:val="2d"/>
        </w:rPr>
        <w:t>невозможность проявить себя, реализовать, инициативу;</w:t>
      </w:r>
    </w:p>
    <w:p w14:paraId="69ED2B5A" w14:textId="77777777" w:rsidR="00350D42" w:rsidRDefault="008E6F64">
      <w:pPr>
        <w:pStyle w:val="2c"/>
        <w:numPr>
          <w:ilvl w:val="0"/>
          <w:numId w:val="125"/>
        </w:numPr>
        <w:shd w:val="clear" w:color="auto" w:fill="auto"/>
        <w:tabs>
          <w:tab w:val="left" w:pos="1024"/>
        </w:tabs>
        <w:spacing w:before="0" w:line="245" w:lineRule="exact"/>
        <w:ind w:firstLine="320"/>
        <w:jc w:val="left"/>
      </w:pPr>
      <w:r>
        <w:rPr>
          <w:rStyle w:val="2d"/>
        </w:rPr>
        <w:t>смутное понимание целей;</w:t>
      </w:r>
    </w:p>
    <w:p w14:paraId="4AA5020C" w14:textId="77777777" w:rsidR="00350D42" w:rsidRDefault="008E6F64">
      <w:pPr>
        <w:pStyle w:val="2c"/>
        <w:numPr>
          <w:ilvl w:val="0"/>
          <w:numId w:val="125"/>
        </w:numPr>
        <w:shd w:val="clear" w:color="auto" w:fill="auto"/>
        <w:tabs>
          <w:tab w:val="left" w:pos="1024"/>
        </w:tabs>
        <w:spacing w:before="0" w:line="245" w:lineRule="exact"/>
        <w:ind w:firstLine="320"/>
        <w:jc w:val="left"/>
      </w:pPr>
      <w:r>
        <w:rPr>
          <w:rStyle w:val="2d"/>
        </w:rPr>
        <w:t>нестабильность в нормах и законах;</w:t>
      </w:r>
    </w:p>
    <w:p w14:paraId="374C64D8" w14:textId="77777777" w:rsidR="00350D42" w:rsidRDefault="008E6F64">
      <w:pPr>
        <w:pStyle w:val="2c"/>
        <w:numPr>
          <w:ilvl w:val="0"/>
          <w:numId w:val="125"/>
        </w:numPr>
        <w:shd w:val="clear" w:color="auto" w:fill="auto"/>
        <w:tabs>
          <w:tab w:val="left" w:pos="1024"/>
        </w:tabs>
        <w:spacing w:before="0" w:line="245" w:lineRule="exact"/>
        <w:ind w:firstLine="320"/>
        <w:jc w:val="left"/>
      </w:pPr>
      <w:r>
        <w:rPr>
          <w:rStyle w:val="2d"/>
        </w:rPr>
        <w:t>конфликты в деловых ситуациях;</w:t>
      </w:r>
    </w:p>
    <w:p w14:paraId="08C58E2F" w14:textId="77777777" w:rsidR="00350D42" w:rsidRDefault="008E6F64">
      <w:pPr>
        <w:pStyle w:val="2c"/>
        <w:numPr>
          <w:ilvl w:val="0"/>
          <w:numId w:val="125"/>
        </w:numPr>
        <w:shd w:val="clear" w:color="auto" w:fill="auto"/>
        <w:tabs>
          <w:tab w:val="left" w:pos="1024"/>
        </w:tabs>
        <w:spacing w:before="0" w:line="245" w:lineRule="exact"/>
        <w:ind w:firstLine="320"/>
        <w:jc w:val="left"/>
      </w:pPr>
      <w:r>
        <w:rPr>
          <w:rStyle w:val="2d"/>
        </w:rPr>
        <w:t>пассивность руководства;</w:t>
      </w:r>
    </w:p>
    <w:p w14:paraId="1DEC6124" w14:textId="77777777" w:rsidR="00350D42" w:rsidRDefault="008E6F64">
      <w:pPr>
        <w:pStyle w:val="2c"/>
        <w:numPr>
          <w:ilvl w:val="0"/>
          <w:numId w:val="125"/>
        </w:numPr>
        <w:shd w:val="clear" w:color="auto" w:fill="auto"/>
        <w:tabs>
          <w:tab w:val="left" w:pos="1024"/>
        </w:tabs>
        <w:spacing w:before="0" w:line="245" w:lineRule="exact"/>
        <w:ind w:firstLine="320"/>
        <w:jc w:val="left"/>
      </w:pPr>
      <w:r>
        <w:rPr>
          <w:rStyle w:val="2d"/>
        </w:rPr>
        <w:t>семейные проблемы;</w:t>
      </w:r>
    </w:p>
    <w:p w14:paraId="1057612C" w14:textId="77777777" w:rsidR="00350D42" w:rsidRDefault="008E6F64">
      <w:pPr>
        <w:pStyle w:val="2c"/>
        <w:numPr>
          <w:ilvl w:val="0"/>
          <w:numId w:val="125"/>
        </w:numPr>
        <w:shd w:val="clear" w:color="auto" w:fill="auto"/>
        <w:tabs>
          <w:tab w:val="left" w:pos="1024"/>
        </w:tabs>
        <w:spacing w:before="0" w:line="245" w:lineRule="exact"/>
        <w:ind w:firstLine="320"/>
        <w:jc w:val="left"/>
      </w:pPr>
      <w:r>
        <w:rPr>
          <w:rStyle w:val="2d"/>
        </w:rPr>
        <w:t>ограничения свободы принятия решений;</w:t>
      </w:r>
    </w:p>
    <w:p w14:paraId="03378637" w14:textId="77777777" w:rsidR="00350D42" w:rsidRDefault="008E6F64">
      <w:pPr>
        <w:pStyle w:val="2c"/>
        <w:numPr>
          <w:ilvl w:val="0"/>
          <w:numId w:val="125"/>
        </w:numPr>
        <w:shd w:val="clear" w:color="auto" w:fill="auto"/>
        <w:tabs>
          <w:tab w:val="left" w:pos="1024"/>
        </w:tabs>
        <w:spacing w:before="0" w:line="245" w:lineRule="exact"/>
        <w:ind w:firstLine="320"/>
        <w:jc w:val="left"/>
      </w:pPr>
      <w:r>
        <w:rPr>
          <w:rStyle w:val="2d"/>
        </w:rPr>
        <w:t>авторитарность руководства;</w:t>
      </w:r>
    </w:p>
    <w:p w14:paraId="0424AC6C" w14:textId="77777777" w:rsidR="00350D42" w:rsidRDefault="008E6F64">
      <w:pPr>
        <w:pStyle w:val="2c"/>
        <w:numPr>
          <w:ilvl w:val="0"/>
          <w:numId w:val="125"/>
        </w:numPr>
        <w:shd w:val="clear" w:color="auto" w:fill="auto"/>
        <w:tabs>
          <w:tab w:val="left" w:pos="1024"/>
        </w:tabs>
        <w:spacing w:before="0" w:line="245" w:lineRule="exact"/>
        <w:ind w:firstLine="320"/>
        <w:jc w:val="left"/>
      </w:pPr>
      <w:r>
        <w:rPr>
          <w:rStyle w:val="2d"/>
        </w:rPr>
        <w:t>завышенные требования руководства;</w:t>
      </w:r>
    </w:p>
    <w:p w14:paraId="0DF766CF" w14:textId="77777777" w:rsidR="00350D42" w:rsidRDefault="008E6F64">
      <w:pPr>
        <w:pStyle w:val="2c"/>
        <w:numPr>
          <w:ilvl w:val="0"/>
          <w:numId w:val="125"/>
        </w:numPr>
        <w:shd w:val="clear" w:color="auto" w:fill="auto"/>
        <w:tabs>
          <w:tab w:val="left" w:pos="1130"/>
        </w:tabs>
        <w:spacing w:before="0" w:line="245" w:lineRule="exact"/>
        <w:ind w:firstLine="320"/>
        <w:jc w:val="left"/>
      </w:pPr>
      <w:r>
        <w:rPr>
          <w:rStyle w:val="2d"/>
        </w:rPr>
        <w:t>безразличие к подчиненным;</w:t>
      </w:r>
    </w:p>
    <w:p w14:paraId="672FC6D0" w14:textId="77777777" w:rsidR="00350D42" w:rsidRDefault="008E6F64">
      <w:pPr>
        <w:pStyle w:val="2c"/>
        <w:numPr>
          <w:ilvl w:val="0"/>
          <w:numId w:val="125"/>
        </w:numPr>
        <w:shd w:val="clear" w:color="auto" w:fill="auto"/>
        <w:tabs>
          <w:tab w:val="left" w:pos="1130"/>
        </w:tabs>
        <w:spacing w:before="0" w:line="245" w:lineRule="exact"/>
        <w:ind w:firstLine="320"/>
        <w:jc w:val="left"/>
      </w:pPr>
      <w:r>
        <w:rPr>
          <w:rStyle w:val="2d"/>
        </w:rPr>
        <w:t>некомпетентность руководства;</w:t>
      </w:r>
    </w:p>
    <w:p w14:paraId="2EEB104A" w14:textId="77777777" w:rsidR="00350D42" w:rsidRDefault="008E6F64">
      <w:pPr>
        <w:pStyle w:val="2c"/>
        <w:numPr>
          <w:ilvl w:val="0"/>
          <w:numId w:val="125"/>
        </w:numPr>
        <w:shd w:val="clear" w:color="auto" w:fill="auto"/>
        <w:tabs>
          <w:tab w:val="left" w:pos="1134"/>
        </w:tabs>
        <w:spacing w:before="0" w:line="245" w:lineRule="exact"/>
        <w:ind w:firstLine="320"/>
        <w:jc w:val="left"/>
      </w:pPr>
      <w:r>
        <w:rPr>
          <w:rStyle w:val="2d"/>
        </w:rPr>
        <w:t>приоритет личных выгод перед общественными;</w:t>
      </w:r>
    </w:p>
    <w:p w14:paraId="0ADCA647" w14:textId="77777777" w:rsidR="00350D42" w:rsidRDefault="008E6F64">
      <w:pPr>
        <w:pStyle w:val="2c"/>
        <w:numPr>
          <w:ilvl w:val="0"/>
          <w:numId w:val="125"/>
        </w:numPr>
        <w:shd w:val="clear" w:color="auto" w:fill="auto"/>
        <w:tabs>
          <w:tab w:val="left" w:pos="1134"/>
        </w:tabs>
        <w:spacing w:before="0" w:line="245" w:lineRule="exact"/>
        <w:ind w:firstLine="320"/>
        <w:jc w:val="left"/>
      </w:pPr>
      <w:r>
        <w:rPr>
          <w:rStyle w:val="2d"/>
        </w:rPr>
        <w:t>недоверие со стороны руководства;</w:t>
      </w:r>
    </w:p>
    <w:p w14:paraId="4DE39888" w14:textId="77777777" w:rsidR="00350D42" w:rsidRDefault="008E6F64">
      <w:pPr>
        <w:pStyle w:val="2c"/>
        <w:numPr>
          <w:ilvl w:val="0"/>
          <w:numId w:val="125"/>
        </w:numPr>
        <w:shd w:val="clear" w:color="auto" w:fill="auto"/>
        <w:tabs>
          <w:tab w:val="left" w:pos="1134"/>
        </w:tabs>
        <w:spacing w:before="0" w:line="245" w:lineRule="exact"/>
        <w:ind w:firstLine="320"/>
        <w:jc w:val="left"/>
      </w:pPr>
      <w:r>
        <w:rPr>
          <w:rStyle w:val="2d"/>
        </w:rPr>
        <w:t>недоверие к руководству;</w:t>
      </w:r>
    </w:p>
    <w:p w14:paraId="2F5F6FBA" w14:textId="77777777" w:rsidR="00350D42" w:rsidRDefault="008E6F64">
      <w:pPr>
        <w:pStyle w:val="2c"/>
        <w:numPr>
          <w:ilvl w:val="0"/>
          <w:numId w:val="125"/>
        </w:numPr>
        <w:shd w:val="clear" w:color="auto" w:fill="auto"/>
        <w:tabs>
          <w:tab w:val="left" w:pos="1134"/>
        </w:tabs>
        <w:spacing w:before="0" w:line="245" w:lineRule="exact"/>
        <w:ind w:firstLine="320"/>
        <w:jc w:val="left"/>
      </w:pPr>
      <w:r>
        <w:rPr>
          <w:rStyle w:val="2d"/>
        </w:rPr>
        <w:t>слабая организация труда;</w:t>
      </w:r>
    </w:p>
    <w:p w14:paraId="7B4DEFA2" w14:textId="77777777" w:rsidR="00350D42" w:rsidRDefault="008E6F64">
      <w:pPr>
        <w:pStyle w:val="2c"/>
        <w:numPr>
          <w:ilvl w:val="0"/>
          <w:numId w:val="125"/>
        </w:numPr>
        <w:shd w:val="clear" w:color="auto" w:fill="auto"/>
        <w:tabs>
          <w:tab w:val="left" w:pos="1134"/>
        </w:tabs>
        <w:spacing w:before="0" w:line="245" w:lineRule="exact"/>
        <w:ind w:firstLine="320"/>
        <w:jc w:val="left"/>
      </w:pPr>
      <w:r>
        <w:rPr>
          <w:rStyle w:val="2d"/>
        </w:rPr>
        <w:t>дисбаланс между трудом и отдыхом;</w:t>
      </w:r>
    </w:p>
    <w:p w14:paraId="77EF1B79" w14:textId="77777777" w:rsidR="00350D42" w:rsidRDefault="008E6F64">
      <w:pPr>
        <w:pStyle w:val="2c"/>
        <w:numPr>
          <w:ilvl w:val="0"/>
          <w:numId w:val="125"/>
        </w:numPr>
        <w:shd w:val="clear" w:color="auto" w:fill="auto"/>
        <w:tabs>
          <w:tab w:val="left" w:pos="1134"/>
        </w:tabs>
        <w:spacing w:before="0" w:line="245" w:lineRule="exact"/>
        <w:ind w:firstLine="320"/>
        <w:jc w:val="left"/>
      </w:pPr>
      <w:r>
        <w:rPr>
          <w:rStyle w:val="2d"/>
        </w:rPr>
        <w:t>недостаток времени для отдыха;</w:t>
      </w:r>
    </w:p>
    <w:p w14:paraId="2AFDFA74" w14:textId="77777777" w:rsidR="00350D42" w:rsidRDefault="008E6F64">
      <w:pPr>
        <w:pStyle w:val="2c"/>
        <w:numPr>
          <w:ilvl w:val="0"/>
          <w:numId w:val="125"/>
        </w:numPr>
        <w:shd w:val="clear" w:color="auto" w:fill="auto"/>
        <w:tabs>
          <w:tab w:val="left" w:pos="1134"/>
        </w:tabs>
        <w:spacing w:before="0" w:line="245" w:lineRule="exact"/>
        <w:ind w:firstLine="320"/>
        <w:jc w:val="left"/>
      </w:pPr>
      <w:r>
        <w:rPr>
          <w:rStyle w:val="2d"/>
        </w:rPr>
        <w:t>старые привычки в работе, работа «по старинке»;</w:t>
      </w:r>
    </w:p>
    <w:p w14:paraId="6C7DF39A" w14:textId="77777777" w:rsidR="00350D42" w:rsidRDefault="008E6F64">
      <w:pPr>
        <w:pStyle w:val="2c"/>
        <w:numPr>
          <w:ilvl w:val="0"/>
          <w:numId w:val="125"/>
        </w:numPr>
        <w:shd w:val="clear" w:color="auto" w:fill="auto"/>
        <w:tabs>
          <w:tab w:val="left" w:pos="1134"/>
        </w:tabs>
        <w:spacing w:before="0" w:line="245" w:lineRule="exact"/>
        <w:ind w:firstLine="320"/>
        <w:jc w:val="left"/>
      </w:pPr>
      <w:r>
        <w:rPr>
          <w:rStyle w:val="2d"/>
        </w:rPr>
        <w:t>неправильное распределение работ;</w:t>
      </w:r>
    </w:p>
    <w:p w14:paraId="36F75561" w14:textId="77777777" w:rsidR="00350D42" w:rsidRDefault="008E6F64">
      <w:pPr>
        <w:pStyle w:val="2c"/>
        <w:numPr>
          <w:ilvl w:val="0"/>
          <w:numId w:val="125"/>
        </w:numPr>
        <w:shd w:val="clear" w:color="auto" w:fill="auto"/>
        <w:tabs>
          <w:tab w:val="left" w:pos="1139"/>
        </w:tabs>
        <w:spacing w:before="0" w:line="245" w:lineRule="exact"/>
        <w:ind w:firstLine="320"/>
        <w:jc w:val="left"/>
      </w:pPr>
      <w:r>
        <w:rPr>
          <w:rStyle w:val="2d"/>
        </w:rPr>
        <w:t>разрыв связей между поколениями;</w:t>
      </w:r>
    </w:p>
    <w:p w14:paraId="49933C96" w14:textId="77777777" w:rsidR="00350D42" w:rsidRDefault="008E6F64">
      <w:pPr>
        <w:pStyle w:val="2c"/>
        <w:numPr>
          <w:ilvl w:val="0"/>
          <w:numId w:val="125"/>
        </w:numPr>
        <w:shd w:val="clear" w:color="auto" w:fill="auto"/>
        <w:tabs>
          <w:tab w:val="left" w:pos="1139"/>
        </w:tabs>
        <w:spacing w:before="0" w:line="245" w:lineRule="exact"/>
        <w:ind w:firstLine="320"/>
        <w:jc w:val="left"/>
      </w:pPr>
      <w:r>
        <w:rPr>
          <w:rStyle w:val="2d"/>
        </w:rPr>
        <w:t>коррупция;</w:t>
      </w:r>
    </w:p>
    <w:p w14:paraId="308811DF" w14:textId="77777777" w:rsidR="00350D42" w:rsidRDefault="008E6F64">
      <w:pPr>
        <w:pStyle w:val="2c"/>
        <w:numPr>
          <w:ilvl w:val="0"/>
          <w:numId w:val="125"/>
        </w:numPr>
        <w:shd w:val="clear" w:color="auto" w:fill="auto"/>
        <w:tabs>
          <w:tab w:val="left" w:pos="1139"/>
        </w:tabs>
        <w:spacing w:before="0" w:line="245" w:lineRule="exact"/>
        <w:ind w:firstLine="320"/>
        <w:jc w:val="left"/>
      </w:pPr>
      <w:r>
        <w:rPr>
          <w:rStyle w:val="2d"/>
        </w:rPr>
        <w:t>разобщенность интересов;</w:t>
      </w:r>
    </w:p>
    <w:p w14:paraId="6F226782" w14:textId="77777777" w:rsidR="00350D42" w:rsidRDefault="008E6F64">
      <w:pPr>
        <w:pStyle w:val="2c"/>
        <w:numPr>
          <w:ilvl w:val="0"/>
          <w:numId w:val="125"/>
        </w:numPr>
        <w:shd w:val="clear" w:color="auto" w:fill="auto"/>
        <w:tabs>
          <w:tab w:val="left" w:pos="1139"/>
        </w:tabs>
        <w:spacing w:before="0" w:line="245" w:lineRule="exact"/>
        <w:ind w:firstLine="320"/>
        <w:jc w:val="left"/>
      </w:pPr>
      <w:r>
        <w:rPr>
          <w:rStyle w:val="2d"/>
        </w:rPr>
        <w:t>отсутствие взаимопонимания;</w:t>
      </w:r>
    </w:p>
    <w:p w14:paraId="15E9DBB8" w14:textId="77777777" w:rsidR="00350D42" w:rsidRDefault="008E6F64">
      <w:pPr>
        <w:pStyle w:val="2c"/>
        <w:numPr>
          <w:ilvl w:val="0"/>
          <w:numId w:val="125"/>
        </w:numPr>
        <w:shd w:val="clear" w:color="auto" w:fill="auto"/>
        <w:tabs>
          <w:tab w:val="left" w:pos="1139"/>
        </w:tabs>
        <w:spacing w:before="0" w:line="245" w:lineRule="exact"/>
        <w:ind w:firstLine="320"/>
        <w:jc w:val="left"/>
      </w:pPr>
      <w:r>
        <w:rPr>
          <w:rStyle w:val="2d"/>
        </w:rPr>
        <w:lastRenderedPageBreak/>
        <w:t>нестабильность экономических процессов;</w:t>
      </w:r>
    </w:p>
    <w:p w14:paraId="479ECE20" w14:textId="77777777" w:rsidR="00350D42" w:rsidRDefault="008E6F64">
      <w:pPr>
        <w:pStyle w:val="2c"/>
        <w:numPr>
          <w:ilvl w:val="0"/>
          <w:numId w:val="125"/>
        </w:numPr>
        <w:shd w:val="clear" w:color="auto" w:fill="auto"/>
        <w:tabs>
          <w:tab w:val="left" w:pos="1139"/>
        </w:tabs>
        <w:spacing w:before="0" w:line="245" w:lineRule="exact"/>
        <w:ind w:firstLine="320"/>
        <w:jc w:val="left"/>
      </w:pPr>
      <w:r>
        <w:rPr>
          <w:rStyle w:val="2d"/>
        </w:rPr>
        <w:t>недобросовестная конкуренция (сговор партнеров и др.);</w:t>
      </w:r>
    </w:p>
    <w:p w14:paraId="325688E1" w14:textId="77777777" w:rsidR="00350D42" w:rsidRDefault="008E6F64">
      <w:pPr>
        <w:pStyle w:val="2c"/>
        <w:numPr>
          <w:ilvl w:val="0"/>
          <w:numId w:val="125"/>
        </w:numPr>
        <w:shd w:val="clear" w:color="auto" w:fill="auto"/>
        <w:tabs>
          <w:tab w:val="left" w:pos="1139"/>
        </w:tabs>
        <w:spacing w:before="0" w:line="245" w:lineRule="exact"/>
        <w:ind w:firstLine="320"/>
        <w:jc w:val="left"/>
      </w:pPr>
      <w:r>
        <w:rPr>
          <w:rStyle w:val="2d"/>
        </w:rPr>
        <w:t>сложность процесса закупок в целом;</w:t>
      </w:r>
    </w:p>
    <w:p w14:paraId="3CCDDEC1" w14:textId="77777777" w:rsidR="00350D42" w:rsidRDefault="008E6F64">
      <w:pPr>
        <w:pStyle w:val="2c"/>
        <w:numPr>
          <w:ilvl w:val="0"/>
          <w:numId w:val="125"/>
        </w:numPr>
        <w:shd w:val="clear" w:color="auto" w:fill="auto"/>
        <w:tabs>
          <w:tab w:val="left" w:pos="1139"/>
        </w:tabs>
        <w:spacing w:before="0" w:line="245" w:lineRule="exact"/>
        <w:ind w:firstLine="320"/>
        <w:jc w:val="left"/>
      </w:pPr>
      <w:r>
        <w:rPr>
          <w:rStyle w:val="2d"/>
        </w:rPr>
        <w:t>другое.</w:t>
      </w:r>
    </w:p>
    <w:p w14:paraId="40E762BD" w14:textId="77777777" w:rsidR="00350D42" w:rsidRDefault="008E6F64">
      <w:pPr>
        <w:pStyle w:val="2c"/>
        <w:numPr>
          <w:ilvl w:val="0"/>
          <w:numId w:val="122"/>
        </w:numPr>
        <w:shd w:val="clear" w:color="auto" w:fill="auto"/>
        <w:tabs>
          <w:tab w:val="left" w:pos="700"/>
        </w:tabs>
        <w:spacing w:before="0" w:line="245" w:lineRule="exact"/>
        <w:ind w:firstLine="320"/>
        <w:jc w:val="left"/>
      </w:pPr>
      <w:r>
        <w:rPr>
          <w:rStyle w:val="2d"/>
        </w:rPr>
        <w:t>Функционально-коммуникативный модуль.</w:t>
      </w:r>
    </w:p>
    <w:p w14:paraId="07C3B139" w14:textId="77777777" w:rsidR="00350D42" w:rsidRDefault="008E6F64">
      <w:pPr>
        <w:pStyle w:val="2c"/>
        <w:numPr>
          <w:ilvl w:val="1"/>
          <w:numId w:val="122"/>
        </w:numPr>
        <w:shd w:val="clear" w:color="auto" w:fill="auto"/>
        <w:tabs>
          <w:tab w:val="left" w:pos="810"/>
        </w:tabs>
        <w:spacing w:before="0" w:line="245" w:lineRule="exact"/>
        <w:ind w:firstLine="320"/>
        <w:jc w:val="left"/>
      </w:pPr>
      <w:r>
        <w:rPr>
          <w:rStyle w:val="2d"/>
        </w:rPr>
        <w:t>Короткие сроки, отпускаемые на проведение всех операций и конкурса по закупкам.</w:t>
      </w:r>
    </w:p>
    <w:p w14:paraId="797292E6" w14:textId="77777777" w:rsidR="00350D42" w:rsidRDefault="008E6F64">
      <w:pPr>
        <w:pStyle w:val="2c"/>
        <w:numPr>
          <w:ilvl w:val="1"/>
          <w:numId w:val="122"/>
        </w:numPr>
        <w:shd w:val="clear" w:color="auto" w:fill="auto"/>
        <w:tabs>
          <w:tab w:val="left" w:pos="810"/>
        </w:tabs>
        <w:spacing w:before="0" w:line="245" w:lineRule="exact"/>
        <w:ind w:firstLine="320"/>
        <w:jc w:val="left"/>
      </w:pPr>
      <w:r>
        <w:rPr>
          <w:rStyle w:val="2d"/>
        </w:rPr>
        <w:t>Отсутствие контактов между руководителями разных блоков системы закупок.</w:t>
      </w:r>
    </w:p>
    <w:p w14:paraId="3B7A6E6D" w14:textId="77777777" w:rsidR="00350D42" w:rsidRDefault="008E6F64">
      <w:pPr>
        <w:pStyle w:val="2c"/>
        <w:numPr>
          <w:ilvl w:val="1"/>
          <w:numId w:val="122"/>
        </w:numPr>
        <w:shd w:val="clear" w:color="auto" w:fill="auto"/>
        <w:tabs>
          <w:tab w:val="left" w:pos="846"/>
        </w:tabs>
        <w:spacing w:before="0" w:line="245" w:lineRule="exact"/>
        <w:ind w:firstLine="320"/>
        <w:jc w:val="left"/>
      </w:pPr>
      <w:r>
        <w:rPr>
          <w:rStyle w:val="2d"/>
        </w:rPr>
        <w:t>Удаленность места работы от дома.</w:t>
      </w:r>
    </w:p>
    <w:p w14:paraId="62EB2296" w14:textId="77777777" w:rsidR="00350D42" w:rsidRDefault="008E6F64">
      <w:pPr>
        <w:pStyle w:val="2c"/>
        <w:numPr>
          <w:ilvl w:val="1"/>
          <w:numId w:val="122"/>
        </w:numPr>
        <w:shd w:val="clear" w:color="auto" w:fill="auto"/>
        <w:tabs>
          <w:tab w:val="left" w:pos="846"/>
        </w:tabs>
        <w:spacing w:before="0" w:line="245" w:lineRule="exact"/>
        <w:ind w:firstLine="320"/>
        <w:jc w:val="left"/>
      </w:pPr>
      <w:r>
        <w:rPr>
          <w:rStyle w:val="2d"/>
        </w:rPr>
        <w:t>Недостаточность связей с другими учреждениями.</w:t>
      </w:r>
    </w:p>
    <w:p w14:paraId="719AD045" w14:textId="77777777" w:rsidR="00350D42" w:rsidRDefault="008E6F64">
      <w:pPr>
        <w:pStyle w:val="2c"/>
        <w:numPr>
          <w:ilvl w:val="1"/>
          <w:numId w:val="122"/>
        </w:numPr>
        <w:shd w:val="clear" w:color="auto" w:fill="auto"/>
        <w:tabs>
          <w:tab w:val="left" w:pos="846"/>
        </w:tabs>
        <w:spacing w:before="0" w:line="245" w:lineRule="exact"/>
        <w:ind w:firstLine="320"/>
        <w:jc w:val="left"/>
      </w:pPr>
      <w:r>
        <w:rPr>
          <w:rStyle w:val="2d"/>
        </w:rPr>
        <w:t>Ограничения в выборе поставщиков.</w:t>
      </w:r>
    </w:p>
    <w:p w14:paraId="5B34E9F7" w14:textId="77777777" w:rsidR="00350D42" w:rsidRDefault="008E6F64">
      <w:pPr>
        <w:pStyle w:val="2c"/>
        <w:numPr>
          <w:ilvl w:val="1"/>
          <w:numId w:val="122"/>
        </w:numPr>
        <w:shd w:val="clear" w:color="auto" w:fill="auto"/>
        <w:tabs>
          <w:tab w:val="left" w:pos="814"/>
        </w:tabs>
        <w:spacing w:before="0" w:line="245" w:lineRule="exact"/>
        <w:ind w:firstLine="320"/>
        <w:jc w:val="left"/>
      </w:pPr>
      <w:r>
        <w:rPr>
          <w:rStyle w:val="2d"/>
        </w:rPr>
        <w:t>Увеличение сроков поставок по сравнению с ранее оговорен</w:t>
      </w:r>
      <w:r>
        <w:rPr>
          <w:rStyle w:val="2d"/>
        </w:rPr>
        <w:softHyphen/>
        <w:t>ными.</w:t>
      </w:r>
    </w:p>
    <w:p w14:paraId="18008F29" w14:textId="77777777" w:rsidR="00350D42" w:rsidRDefault="008E6F64">
      <w:pPr>
        <w:pStyle w:val="2c"/>
        <w:numPr>
          <w:ilvl w:val="1"/>
          <w:numId w:val="122"/>
        </w:numPr>
        <w:shd w:val="clear" w:color="auto" w:fill="auto"/>
        <w:tabs>
          <w:tab w:val="left" w:pos="814"/>
        </w:tabs>
        <w:spacing w:before="0" w:line="245" w:lineRule="exact"/>
        <w:ind w:firstLine="320"/>
        <w:jc w:val="left"/>
      </w:pPr>
      <w:r>
        <w:rPr>
          <w:rStyle w:val="2d"/>
        </w:rPr>
        <w:t>Несовпадение сроков принятия решений и реального выпол</w:t>
      </w:r>
      <w:r>
        <w:rPr>
          <w:rStyle w:val="2d"/>
        </w:rPr>
        <w:softHyphen/>
        <w:t>нения договоренностей.</w:t>
      </w:r>
    </w:p>
    <w:p w14:paraId="6880D6FB" w14:textId="77777777" w:rsidR="00350D42" w:rsidRDefault="008E6F64">
      <w:pPr>
        <w:pStyle w:val="2c"/>
        <w:numPr>
          <w:ilvl w:val="1"/>
          <w:numId w:val="122"/>
        </w:numPr>
        <w:shd w:val="clear" w:color="auto" w:fill="auto"/>
        <w:tabs>
          <w:tab w:val="left" w:pos="846"/>
        </w:tabs>
        <w:spacing w:before="0" w:line="245" w:lineRule="exact"/>
        <w:ind w:firstLine="320"/>
        <w:jc w:val="left"/>
      </w:pPr>
      <w:r>
        <w:rPr>
          <w:rStyle w:val="2d"/>
        </w:rPr>
        <w:t>Низкий уровень квалификации посредников.</w:t>
      </w:r>
    </w:p>
    <w:p w14:paraId="31C45924" w14:textId="77777777" w:rsidR="00350D42" w:rsidRDefault="008E6F64">
      <w:pPr>
        <w:pStyle w:val="2c"/>
        <w:numPr>
          <w:ilvl w:val="1"/>
          <w:numId w:val="122"/>
        </w:numPr>
        <w:shd w:val="clear" w:color="auto" w:fill="auto"/>
        <w:tabs>
          <w:tab w:val="left" w:pos="810"/>
        </w:tabs>
        <w:spacing w:before="0" w:line="245" w:lineRule="exact"/>
        <w:ind w:firstLine="320"/>
        <w:jc w:val="left"/>
      </w:pPr>
      <w:r>
        <w:rPr>
          <w:rStyle w:val="2d"/>
        </w:rPr>
        <w:t>Отсутствие заинтересованности участников друг в друге (ад</w:t>
      </w:r>
      <w:r>
        <w:rPr>
          <w:rStyle w:val="2d"/>
        </w:rPr>
        <w:softHyphen/>
        <w:t>министрации, конкурсной комиссии и др.).</w:t>
      </w:r>
    </w:p>
    <w:p w14:paraId="549C7A84" w14:textId="77777777" w:rsidR="00350D42" w:rsidRDefault="008E6F64">
      <w:pPr>
        <w:pStyle w:val="2c"/>
        <w:numPr>
          <w:ilvl w:val="1"/>
          <w:numId w:val="122"/>
        </w:numPr>
        <w:shd w:val="clear" w:color="auto" w:fill="auto"/>
        <w:tabs>
          <w:tab w:val="left" w:pos="955"/>
        </w:tabs>
        <w:spacing w:before="0" w:line="245" w:lineRule="exact"/>
        <w:ind w:firstLine="320"/>
        <w:jc w:val="left"/>
      </w:pPr>
      <w:r>
        <w:rPr>
          <w:rStyle w:val="2d"/>
        </w:rPr>
        <w:t>Заорганизованность.</w:t>
      </w:r>
    </w:p>
    <w:p w14:paraId="1214FBE3" w14:textId="77777777" w:rsidR="00350D42" w:rsidRDefault="008E6F64">
      <w:pPr>
        <w:pStyle w:val="2c"/>
        <w:numPr>
          <w:ilvl w:val="1"/>
          <w:numId w:val="122"/>
        </w:numPr>
        <w:shd w:val="clear" w:color="auto" w:fill="auto"/>
        <w:tabs>
          <w:tab w:val="left" w:pos="955"/>
        </w:tabs>
        <w:spacing w:before="0" w:line="245" w:lineRule="exact"/>
        <w:ind w:firstLine="320"/>
        <w:jc w:val="left"/>
      </w:pPr>
      <w:r>
        <w:rPr>
          <w:rStyle w:val="2d"/>
        </w:rPr>
        <w:t>Суетливость.</w:t>
      </w:r>
    </w:p>
    <w:p w14:paraId="4A0FF673" w14:textId="77777777" w:rsidR="00350D42" w:rsidRDefault="008E6F64">
      <w:pPr>
        <w:pStyle w:val="2c"/>
        <w:numPr>
          <w:ilvl w:val="1"/>
          <w:numId w:val="122"/>
        </w:numPr>
        <w:shd w:val="clear" w:color="auto" w:fill="auto"/>
        <w:tabs>
          <w:tab w:val="left" w:pos="962"/>
        </w:tabs>
        <w:spacing w:before="0" w:line="245" w:lineRule="exact"/>
        <w:ind w:firstLine="320"/>
        <w:jc w:val="left"/>
      </w:pPr>
      <w:r>
        <w:rPr>
          <w:rStyle w:val="2d"/>
        </w:rPr>
        <w:t>Неумение поставить задачу.</w:t>
      </w:r>
    </w:p>
    <w:p w14:paraId="616E8273" w14:textId="77777777" w:rsidR="00350D42" w:rsidRDefault="008E6F64">
      <w:pPr>
        <w:pStyle w:val="2c"/>
        <w:numPr>
          <w:ilvl w:val="1"/>
          <w:numId w:val="122"/>
        </w:numPr>
        <w:shd w:val="clear" w:color="auto" w:fill="auto"/>
        <w:tabs>
          <w:tab w:val="left" w:pos="924"/>
        </w:tabs>
        <w:spacing w:before="0"/>
        <w:ind w:firstLine="320"/>
      </w:pPr>
      <w:bookmarkStart w:id="108" w:name="bookmark94"/>
      <w:r>
        <w:rPr>
          <w:rStyle w:val="2d"/>
        </w:rPr>
        <w:t>Слабый контроль коммуникаций.</w:t>
      </w:r>
      <w:bookmarkEnd w:id="108"/>
    </w:p>
    <w:p w14:paraId="678F6C76" w14:textId="77777777" w:rsidR="00350D42" w:rsidRDefault="008E6F64">
      <w:pPr>
        <w:pStyle w:val="2c"/>
        <w:numPr>
          <w:ilvl w:val="1"/>
          <w:numId w:val="122"/>
        </w:numPr>
        <w:shd w:val="clear" w:color="auto" w:fill="auto"/>
        <w:tabs>
          <w:tab w:val="left" w:pos="897"/>
        </w:tabs>
        <w:spacing w:before="0"/>
        <w:ind w:firstLine="320"/>
      </w:pPr>
      <w:r>
        <w:rPr>
          <w:rStyle w:val="2d"/>
        </w:rPr>
        <w:t>Отсутствие алгоритма организационно-деловых коммуни</w:t>
      </w:r>
      <w:r>
        <w:rPr>
          <w:rStyle w:val="2d"/>
        </w:rPr>
        <w:softHyphen/>
        <w:t>каций.</w:t>
      </w:r>
    </w:p>
    <w:p w14:paraId="0440E049" w14:textId="77777777" w:rsidR="00350D42" w:rsidRDefault="008E6F64">
      <w:pPr>
        <w:pStyle w:val="2c"/>
        <w:numPr>
          <w:ilvl w:val="1"/>
          <w:numId w:val="122"/>
        </w:numPr>
        <w:shd w:val="clear" w:color="auto" w:fill="auto"/>
        <w:tabs>
          <w:tab w:val="left" w:pos="929"/>
        </w:tabs>
        <w:spacing w:before="0"/>
        <w:ind w:firstLine="320"/>
      </w:pPr>
      <w:r>
        <w:rPr>
          <w:rStyle w:val="2d"/>
        </w:rPr>
        <w:t>Преобладание вертикали управления над горизонталью.</w:t>
      </w:r>
    </w:p>
    <w:p w14:paraId="47E8F5D5" w14:textId="77777777" w:rsidR="00350D42" w:rsidRDefault="008E6F64">
      <w:pPr>
        <w:pStyle w:val="2c"/>
        <w:numPr>
          <w:ilvl w:val="1"/>
          <w:numId w:val="122"/>
        </w:numPr>
        <w:shd w:val="clear" w:color="auto" w:fill="auto"/>
        <w:tabs>
          <w:tab w:val="left" w:pos="929"/>
        </w:tabs>
        <w:spacing w:before="0"/>
        <w:ind w:firstLine="320"/>
      </w:pPr>
      <w:r>
        <w:rPr>
          <w:rStyle w:val="2d"/>
        </w:rPr>
        <w:t>Отсутствие иерархии и координации между отделами.</w:t>
      </w:r>
    </w:p>
    <w:p w14:paraId="4F2BD7C0" w14:textId="77777777" w:rsidR="00350D42" w:rsidRDefault="008E6F64">
      <w:pPr>
        <w:pStyle w:val="2c"/>
        <w:numPr>
          <w:ilvl w:val="1"/>
          <w:numId w:val="122"/>
        </w:numPr>
        <w:shd w:val="clear" w:color="auto" w:fill="auto"/>
        <w:tabs>
          <w:tab w:val="left" w:pos="902"/>
        </w:tabs>
        <w:spacing w:before="0"/>
        <w:ind w:firstLine="320"/>
      </w:pPr>
      <w:r>
        <w:rPr>
          <w:rStyle w:val="2d"/>
        </w:rPr>
        <w:t>Пассивность в установлении контактов, связей между от</w:t>
      </w:r>
      <w:r>
        <w:rPr>
          <w:rStyle w:val="2d"/>
        </w:rPr>
        <w:softHyphen/>
        <w:t>делами и учреждениями.</w:t>
      </w:r>
    </w:p>
    <w:p w14:paraId="6000C5C0" w14:textId="77777777" w:rsidR="00350D42" w:rsidRDefault="008E6F64">
      <w:pPr>
        <w:pStyle w:val="2c"/>
        <w:numPr>
          <w:ilvl w:val="1"/>
          <w:numId w:val="122"/>
        </w:numPr>
        <w:shd w:val="clear" w:color="auto" w:fill="auto"/>
        <w:tabs>
          <w:tab w:val="left" w:pos="897"/>
        </w:tabs>
        <w:spacing w:before="0"/>
        <w:ind w:firstLine="320"/>
      </w:pPr>
      <w:r>
        <w:rPr>
          <w:rStyle w:val="2d"/>
        </w:rPr>
        <w:t>Отсутствие заинтересованности в установлении контактов и связей между отделами и учреждениями.</w:t>
      </w:r>
    </w:p>
    <w:p w14:paraId="18AF5143" w14:textId="77777777" w:rsidR="00350D42" w:rsidRDefault="008E6F64">
      <w:pPr>
        <w:pStyle w:val="2c"/>
        <w:numPr>
          <w:ilvl w:val="1"/>
          <w:numId w:val="122"/>
        </w:numPr>
        <w:shd w:val="clear" w:color="auto" w:fill="auto"/>
        <w:tabs>
          <w:tab w:val="left" w:pos="897"/>
        </w:tabs>
        <w:spacing w:before="0"/>
        <w:ind w:firstLine="320"/>
      </w:pPr>
      <w:r>
        <w:rPr>
          <w:rStyle w:val="2d"/>
        </w:rPr>
        <w:t>Отсутствие консультативной помощи в вопросах проведе</w:t>
      </w:r>
      <w:r>
        <w:rPr>
          <w:rStyle w:val="2d"/>
        </w:rPr>
        <w:softHyphen/>
        <w:t>ния торгов по закупкам.</w:t>
      </w:r>
    </w:p>
    <w:p w14:paraId="18CD2A25" w14:textId="77777777" w:rsidR="00350D42" w:rsidRDefault="008E6F64">
      <w:pPr>
        <w:pStyle w:val="2c"/>
        <w:numPr>
          <w:ilvl w:val="1"/>
          <w:numId w:val="122"/>
        </w:numPr>
        <w:shd w:val="clear" w:color="auto" w:fill="auto"/>
        <w:tabs>
          <w:tab w:val="left" w:pos="934"/>
        </w:tabs>
        <w:spacing w:before="0"/>
        <w:ind w:firstLine="320"/>
      </w:pPr>
      <w:r>
        <w:rPr>
          <w:rStyle w:val="2d"/>
        </w:rPr>
        <w:t>Неэффективность системы закупок в целом.</w:t>
      </w:r>
    </w:p>
    <w:p w14:paraId="11D686C4" w14:textId="77777777" w:rsidR="00350D42" w:rsidRDefault="008E6F64">
      <w:pPr>
        <w:pStyle w:val="2c"/>
        <w:numPr>
          <w:ilvl w:val="1"/>
          <w:numId w:val="122"/>
        </w:numPr>
        <w:shd w:val="clear" w:color="auto" w:fill="auto"/>
        <w:tabs>
          <w:tab w:val="left" w:pos="934"/>
        </w:tabs>
        <w:spacing w:before="0"/>
        <w:ind w:firstLine="320"/>
      </w:pPr>
      <w:r>
        <w:rPr>
          <w:rStyle w:val="2d"/>
        </w:rPr>
        <w:t>Другое.</w:t>
      </w:r>
    </w:p>
    <w:p w14:paraId="6DFCBEF4" w14:textId="77777777" w:rsidR="00350D42" w:rsidRDefault="008E6F64">
      <w:pPr>
        <w:pStyle w:val="2c"/>
        <w:shd w:val="clear" w:color="auto" w:fill="auto"/>
        <w:spacing w:before="0"/>
        <w:ind w:firstLine="320"/>
      </w:pPr>
      <w:r>
        <w:rPr>
          <w:rStyle w:val="2d"/>
        </w:rPr>
        <w:t>Укажите, пожалуйста, Ваши: пол; возраст; образование; долж</w:t>
      </w:r>
      <w:r>
        <w:rPr>
          <w:rStyle w:val="2d"/>
        </w:rPr>
        <w:softHyphen/>
        <w:t>ность; место работы; функцию в системе государственных закупок.</w:t>
      </w:r>
    </w:p>
    <w:p w14:paraId="143687DC" w14:textId="77777777" w:rsidR="00350D42" w:rsidRDefault="008E6F64">
      <w:pPr>
        <w:pStyle w:val="2c"/>
        <w:shd w:val="clear" w:color="auto" w:fill="auto"/>
        <w:spacing w:before="0" w:after="401"/>
        <w:ind w:firstLine="320"/>
      </w:pPr>
      <w:r>
        <w:rPr>
          <w:rStyle w:val="2d"/>
        </w:rPr>
        <w:t>Спасибо за участие!</w:t>
      </w:r>
    </w:p>
    <w:p w14:paraId="0B06C816" w14:textId="77777777" w:rsidR="00350D42" w:rsidRDefault="008E6F64">
      <w:pPr>
        <w:pStyle w:val="4c"/>
        <w:keepNext/>
        <w:keepLines/>
        <w:shd w:val="clear" w:color="auto" w:fill="auto"/>
        <w:spacing w:before="0" w:after="140" w:line="274" w:lineRule="exact"/>
        <w:ind w:firstLine="0"/>
        <w:jc w:val="center"/>
      </w:pPr>
      <w:bookmarkStart w:id="109" w:name="bookmark95"/>
      <w:r>
        <w:rPr>
          <w:rStyle w:val="4d"/>
          <w:b/>
          <w:bCs/>
        </w:rPr>
        <w:t>Выводы</w:t>
      </w:r>
      <w:bookmarkEnd w:id="109"/>
    </w:p>
    <w:p w14:paraId="1E369A35" w14:textId="77777777" w:rsidR="00350D42" w:rsidRDefault="008E6F64">
      <w:pPr>
        <w:pStyle w:val="2c"/>
        <w:shd w:val="clear" w:color="auto" w:fill="auto"/>
        <w:spacing w:before="0"/>
        <w:ind w:firstLine="320"/>
      </w:pPr>
      <w:r>
        <w:rPr>
          <w:rStyle w:val="2d"/>
        </w:rPr>
        <w:t>Государственные закупки представляют собой процесс приобре</w:t>
      </w:r>
      <w:r>
        <w:rPr>
          <w:rStyle w:val="2d"/>
        </w:rPr>
        <w:softHyphen/>
        <w:t>тения на бюджетные средства товаров, услуг и работ для удовлет</w:t>
      </w:r>
      <w:r>
        <w:rPr>
          <w:rStyle w:val="2d"/>
        </w:rPr>
        <w:softHyphen/>
        <w:t xml:space="preserve">ворения государственных нужд. Государственные закупки товаров и </w:t>
      </w:r>
      <w:r>
        <w:rPr>
          <w:rStyle w:val="2d"/>
        </w:rPr>
        <w:lastRenderedPageBreak/>
        <w:t>услуг могут включать в себя приобретение медикаментов, страхо</w:t>
      </w:r>
      <w:r>
        <w:rPr>
          <w:rStyle w:val="2d"/>
        </w:rPr>
        <w:softHyphen/>
        <w:t>вание автомобилей, ремонт помещений, строительство госучреж</w:t>
      </w:r>
      <w:r>
        <w:rPr>
          <w:rStyle w:val="2d"/>
        </w:rPr>
        <w:softHyphen/>
        <w:t>дений.</w:t>
      </w:r>
    </w:p>
    <w:p w14:paraId="2FC6AF28" w14:textId="1E50B55F" w:rsidR="00350D42" w:rsidRDefault="008E6F64">
      <w:pPr>
        <w:pStyle w:val="2c"/>
        <w:shd w:val="clear" w:color="auto" w:fill="auto"/>
        <w:spacing w:before="0"/>
        <w:ind w:firstLine="320"/>
        <w:rPr>
          <w:rStyle w:val="2d"/>
        </w:rPr>
      </w:pPr>
      <w:r>
        <w:rPr>
          <w:rStyle w:val="2d"/>
        </w:rPr>
        <w:t>Государственные закупки охватывают практически все сферы рынка. В процессе государственных закупок покупателем выступает государство. Данный процесс регламентирован законодательством.</w:t>
      </w:r>
    </w:p>
    <w:p w14:paraId="194ACC30" w14:textId="04366C3C" w:rsidR="00E24F26" w:rsidRDefault="00E24F26">
      <w:pPr>
        <w:pStyle w:val="2c"/>
        <w:shd w:val="clear" w:color="auto" w:fill="auto"/>
        <w:spacing w:before="0"/>
        <w:ind w:firstLine="320"/>
      </w:pPr>
      <w:r>
        <w:rPr>
          <w:rStyle w:val="2d"/>
        </w:rPr>
        <w:t xml:space="preserve">Основными </w:t>
      </w:r>
      <w:r w:rsidR="005160EB">
        <w:rPr>
          <w:rStyle w:val="2d"/>
        </w:rPr>
        <w:t xml:space="preserve">регламентирующими госзакупки в РФ документами являются </w:t>
      </w:r>
      <w:r>
        <w:rPr>
          <w:rStyle w:val="2d"/>
        </w:rPr>
        <w:t>Федеральный закон от 18.07.2011 № 223-ФЗ «О закупках товаров, работ, услуг отдельными видами юридических лиц» и</w:t>
      </w:r>
      <w:r w:rsidR="005160EB" w:rsidRPr="005160EB">
        <w:rPr>
          <w:rStyle w:val="2d"/>
          <w:color w:val="00B050"/>
        </w:rPr>
        <w:t xml:space="preserve"> </w:t>
      </w:r>
      <w:r w:rsidR="005160EB" w:rsidRPr="0017170D">
        <w:rPr>
          <w:rStyle w:val="2d"/>
          <w:color w:val="00B050"/>
        </w:rPr>
        <w:t>Федеральный Закон № 44 «О контрактной системе в сфере закупок товаров, работ, услуг для обеспечения государственных и муниципальных нужд»</w:t>
      </w:r>
      <w:r w:rsidR="005160EB">
        <w:rPr>
          <w:rStyle w:val="2d"/>
          <w:color w:val="00B050"/>
        </w:rPr>
        <w:t>, которые редактируются в связи с изменениями общественно-экономической ситуацией.</w:t>
      </w:r>
    </w:p>
    <w:p w14:paraId="743A6B71" w14:textId="5DD9B940" w:rsidR="00350D42" w:rsidRPr="005160EB" w:rsidRDefault="008E6F64">
      <w:pPr>
        <w:pStyle w:val="2c"/>
        <w:shd w:val="clear" w:color="auto" w:fill="auto"/>
        <w:spacing w:before="0"/>
        <w:ind w:firstLine="320"/>
        <w:rPr>
          <w:rStyle w:val="2d"/>
          <w:color w:val="FF0000"/>
        </w:rPr>
      </w:pPr>
      <w:r w:rsidRPr="005160EB">
        <w:rPr>
          <w:rStyle w:val="2d"/>
          <w:color w:val="FF0000"/>
        </w:rPr>
        <w:t>В 2013 г. принят Закон о ФКС</w:t>
      </w:r>
      <w:r w:rsidR="0017170D" w:rsidRPr="005160EB">
        <w:rPr>
          <w:rStyle w:val="2d"/>
          <w:color w:val="FF0000"/>
        </w:rPr>
        <w:t xml:space="preserve"> </w:t>
      </w:r>
      <w:r w:rsidRPr="005160EB">
        <w:rPr>
          <w:rStyle w:val="2d"/>
          <w:color w:val="FF0000"/>
        </w:rPr>
        <w:t>который с 1 января 2014 г., полно</w:t>
      </w:r>
      <w:r w:rsidRPr="005160EB">
        <w:rPr>
          <w:rStyle w:val="2d"/>
          <w:color w:val="FF0000"/>
        </w:rPr>
        <w:softHyphen/>
        <w:t>стью заменил действующее законодательство, регулирующее сферу государственных закупок.</w:t>
      </w:r>
      <w:r w:rsidR="00E24F26" w:rsidRPr="005160EB">
        <w:rPr>
          <w:rStyle w:val="2d"/>
          <w:color w:val="FF0000"/>
        </w:rPr>
        <w:t xml:space="preserve"> </w:t>
      </w:r>
    </w:p>
    <w:p w14:paraId="2CD26EEF" w14:textId="34C232B5" w:rsidR="0017170D" w:rsidRPr="00345A2C" w:rsidRDefault="0017170D">
      <w:pPr>
        <w:pStyle w:val="2c"/>
        <w:shd w:val="clear" w:color="auto" w:fill="auto"/>
        <w:spacing w:before="0"/>
        <w:ind w:firstLine="320"/>
        <w:rPr>
          <w:color w:val="00B050"/>
        </w:rPr>
      </w:pPr>
      <w:r w:rsidRPr="00345A2C">
        <w:rPr>
          <w:rStyle w:val="2d"/>
          <w:color w:val="00B050"/>
        </w:rPr>
        <w:t>Закупки по государственным и муниципальным нуждам являются фрагментом общественной экономической деятельности, которая подвержена воздействи</w:t>
      </w:r>
      <w:r w:rsidR="00345A2C" w:rsidRPr="00345A2C">
        <w:rPr>
          <w:rStyle w:val="2d"/>
          <w:color w:val="00B050"/>
        </w:rPr>
        <w:t>ям</w:t>
      </w:r>
      <w:r w:rsidRPr="00345A2C">
        <w:rPr>
          <w:rStyle w:val="2d"/>
          <w:color w:val="00B050"/>
        </w:rPr>
        <w:t xml:space="preserve"> </w:t>
      </w:r>
      <w:r w:rsidR="00345A2C" w:rsidRPr="00345A2C">
        <w:rPr>
          <w:rStyle w:val="2d"/>
          <w:color w:val="00B050"/>
        </w:rPr>
        <w:t>политико- и социально-экономическим факторам</w:t>
      </w:r>
      <w:r w:rsidR="005160EB">
        <w:rPr>
          <w:rStyle w:val="2d"/>
          <w:color w:val="00B050"/>
        </w:rPr>
        <w:t>,</w:t>
      </w:r>
      <w:r w:rsidR="00345A2C" w:rsidRPr="00345A2C">
        <w:rPr>
          <w:rStyle w:val="2d"/>
          <w:color w:val="00B050"/>
        </w:rPr>
        <w:t xml:space="preserve"> и изменяется в </w:t>
      </w:r>
      <w:r w:rsidR="005160EB">
        <w:rPr>
          <w:rStyle w:val="2d"/>
          <w:color w:val="00B050"/>
        </w:rPr>
        <w:t>сопряжении</w:t>
      </w:r>
      <w:r w:rsidR="00345A2C" w:rsidRPr="00345A2C">
        <w:rPr>
          <w:rStyle w:val="2d"/>
          <w:color w:val="00B050"/>
        </w:rPr>
        <w:t xml:space="preserve"> с </w:t>
      </w:r>
      <w:r w:rsidR="005160EB">
        <w:rPr>
          <w:rStyle w:val="2d"/>
          <w:color w:val="00B050"/>
        </w:rPr>
        <w:t xml:space="preserve">хозяйственными </w:t>
      </w:r>
      <w:r w:rsidR="00345A2C" w:rsidRPr="00345A2C">
        <w:rPr>
          <w:rStyle w:val="2d"/>
          <w:color w:val="00B050"/>
        </w:rPr>
        <w:t xml:space="preserve">мировыми </w:t>
      </w:r>
      <w:r w:rsidR="005160EB">
        <w:rPr>
          <w:rStyle w:val="2d"/>
          <w:color w:val="00B050"/>
        </w:rPr>
        <w:t xml:space="preserve">и </w:t>
      </w:r>
      <w:r w:rsidR="00345A2C" w:rsidRPr="00345A2C">
        <w:rPr>
          <w:rStyle w:val="2d"/>
          <w:color w:val="00B050"/>
        </w:rPr>
        <w:t>событиями</w:t>
      </w:r>
      <w:r w:rsidR="005160EB">
        <w:rPr>
          <w:rStyle w:val="2d"/>
          <w:color w:val="00B050"/>
        </w:rPr>
        <w:t xml:space="preserve"> внутри страны</w:t>
      </w:r>
      <w:r w:rsidR="00345A2C" w:rsidRPr="00345A2C">
        <w:rPr>
          <w:rStyle w:val="2d"/>
          <w:color w:val="00B050"/>
        </w:rPr>
        <w:t>.</w:t>
      </w:r>
      <w:r w:rsidRPr="00345A2C">
        <w:rPr>
          <w:rStyle w:val="2d"/>
          <w:color w:val="00B050"/>
        </w:rPr>
        <w:t xml:space="preserve"> </w:t>
      </w:r>
    </w:p>
    <w:p w14:paraId="0038CD0F" w14:textId="77777777" w:rsidR="00350D42" w:rsidRDefault="008E6F64">
      <w:pPr>
        <w:pStyle w:val="2c"/>
        <w:shd w:val="clear" w:color="auto" w:fill="auto"/>
        <w:spacing w:before="0" w:after="401"/>
        <w:ind w:firstLine="320"/>
      </w:pPr>
      <w:r>
        <w:rPr>
          <w:rStyle w:val="2d"/>
        </w:rPr>
        <w:t>Систему государственных закупок на основе концепции управ</w:t>
      </w:r>
      <w:r>
        <w:rPr>
          <w:rStyle w:val="2d"/>
        </w:rPr>
        <w:softHyphen/>
        <w:t>ленческих модулей можно представить в виде системы взаимосвя</w:t>
      </w:r>
      <w:r>
        <w:rPr>
          <w:rStyle w:val="2d"/>
        </w:rPr>
        <w:softHyphen/>
        <w:t>занных модулей.</w:t>
      </w:r>
    </w:p>
    <w:p w14:paraId="1E1F676F" w14:textId="77777777" w:rsidR="00350D42" w:rsidRDefault="008E6F64">
      <w:pPr>
        <w:pStyle w:val="4c"/>
        <w:keepNext/>
        <w:keepLines/>
        <w:shd w:val="clear" w:color="auto" w:fill="auto"/>
        <w:spacing w:before="0" w:after="178" w:line="274" w:lineRule="exact"/>
        <w:ind w:firstLine="0"/>
        <w:jc w:val="center"/>
      </w:pPr>
      <w:bookmarkStart w:id="110" w:name="bookmark96"/>
      <w:r>
        <w:rPr>
          <w:rStyle w:val="4d"/>
          <w:b/>
          <w:bCs/>
        </w:rPr>
        <w:t>Практикум</w:t>
      </w:r>
      <w:bookmarkEnd w:id="110"/>
    </w:p>
    <w:p w14:paraId="35CFBC88" w14:textId="77777777" w:rsidR="00350D42" w:rsidRDefault="008E6F64">
      <w:pPr>
        <w:pStyle w:val="2c"/>
        <w:shd w:val="clear" w:color="auto" w:fill="auto"/>
        <w:spacing w:before="0" w:after="109" w:line="202" w:lineRule="exact"/>
        <w:jc w:val="center"/>
      </w:pPr>
      <w:r>
        <w:rPr>
          <w:rStyle w:val="2d"/>
        </w:rPr>
        <w:t>Вопросы и задания для самоконтроля</w:t>
      </w:r>
    </w:p>
    <w:p w14:paraId="7D807FE6" w14:textId="77777777" w:rsidR="00350D42" w:rsidRDefault="008E6F64">
      <w:pPr>
        <w:pStyle w:val="2c"/>
        <w:numPr>
          <w:ilvl w:val="0"/>
          <w:numId w:val="126"/>
        </w:numPr>
        <w:shd w:val="clear" w:color="auto" w:fill="auto"/>
        <w:tabs>
          <w:tab w:val="left" w:pos="607"/>
        </w:tabs>
        <w:spacing w:before="0" w:line="216" w:lineRule="exact"/>
        <w:ind w:firstLine="320"/>
      </w:pPr>
      <w:r>
        <w:rPr>
          <w:rStyle w:val="2d"/>
        </w:rPr>
        <w:t>Определите понятие «государственные закупки».</w:t>
      </w:r>
    </w:p>
    <w:p w14:paraId="45B79A3C" w14:textId="77777777" w:rsidR="00350D42" w:rsidRDefault="008E6F64">
      <w:pPr>
        <w:pStyle w:val="2c"/>
        <w:numPr>
          <w:ilvl w:val="0"/>
          <w:numId w:val="126"/>
        </w:numPr>
        <w:shd w:val="clear" w:color="auto" w:fill="auto"/>
        <w:tabs>
          <w:tab w:val="left" w:pos="627"/>
        </w:tabs>
        <w:spacing w:before="0" w:line="216" w:lineRule="exact"/>
        <w:ind w:firstLine="320"/>
      </w:pPr>
      <w:r>
        <w:rPr>
          <w:rStyle w:val="2d"/>
        </w:rPr>
        <w:t>Какие законодательные акты регулируют государственные закупки?</w:t>
      </w:r>
    </w:p>
    <w:p w14:paraId="2FA4B70E" w14:textId="77777777" w:rsidR="00350D42" w:rsidRDefault="008E6F64">
      <w:pPr>
        <w:pStyle w:val="2c"/>
        <w:numPr>
          <w:ilvl w:val="0"/>
          <w:numId w:val="126"/>
        </w:numPr>
        <w:shd w:val="clear" w:color="auto" w:fill="auto"/>
        <w:tabs>
          <w:tab w:val="left" w:pos="627"/>
        </w:tabs>
        <w:spacing w:before="0" w:line="216" w:lineRule="exact"/>
        <w:ind w:firstLine="320"/>
      </w:pPr>
      <w:r>
        <w:rPr>
          <w:rStyle w:val="2d"/>
        </w:rPr>
        <w:t>Как изменялись формы проведения государственных закупок?</w:t>
      </w:r>
    </w:p>
    <w:p w14:paraId="5D0F63F5" w14:textId="77777777" w:rsidR="00350D42" w:rsidRDefault="008E6F64">
      <w:pPr>
        <w:pStyle w:val="2c"/>
        <w:numPr>
          <w:ilvl w:val="0"/>
          <w:numId w:val="126"/>
        </w:numPr>
        <w:shd w:val="clear" w:color="auto" w:fill="auto"/>
        <w:tabs>
          <w:tab w:val="left" w:pos="603"/>
        </w:tabs>
        <w:spacing w:before="0" w:line="216" w:lineRule="exact"/>
        <w:ind w:firstLine="320"/>
      </w:pPr>
      <w:r>
        <w:rPr>
          <w:rStyle w:val="2d"/>
        </w:rPr>
        <w:t>Назовите политико-экономические характеристики системы государ</w:t>
      </w:r>
      <w:r>
        <w:rPr>
          <w:rStyle w:val="2d"/>
        </w:rPr>
        <w:softHyphen/>
        <w:t>ственных закупок.</w:t>
      </w:r>
    </w:p>
    <w:p w14:paraId="327A9FF9" w14:textId="26F1A644" w:rsidR="00350D42" w:rsidRPr="00DB7CE1" w:rsidRDefault="008E6F64">
      <w:pPr>
        <w:pStyle w:val="2c"/>
        <w:numPr>
          <w:ilvl w:val="0"/>
          <w:numId w:val="126"/>
        </w:numPr>
        <w:shd w:val="clear" w:color="auto" w:fill="auto"/>
        <w:tabs>
          <w:tab w:val="left" w:pos="603"/>
        </w:tabs>
        <w:spacing w:before="0" w:line="216" w:lineRule="exact"/>
        <w:ind w:firstLine="320"/>
        <w:rPr>
          <w:color w:val="00B050"/>
        </w:rPr>
      </w:pPr>
      <w:r>
        <w:rPr>
          <w:rStyle w:val="2d"/>
        </w:rPr>
        <w:t xml:space="preserve">В чем состоит отличие </w:t>
      </w:r>
      <w:r w:rsidRPr="005160EB">
        <w:rPr>
          <w:rStyle w:val="2d"/>
          <w:color w:val="FF0000"/>
        </w:rPr>
        <w:t>Закона о ФКС</w:t>
      </w:r>
      <w:r>
        <w:rPr>
          <w:rStyle w:val="2d"/>
        </w:rPr>
        <w:t xml:space="preserve"> </w:t>
      </w:r>
      <w:r w:rsidR="005160EB" w:rsidRPr="0017170D">
        <w:rPr>
          <w:rStyle w:val="2d"/>
          <w:color w:val="00B050"/>
        </w:rPr>
        <w:t>Федеральный Закон № 44 «О контрактной системе в сфере закупок товаров, работ, услуг для обеспечения государственных и муниципальных нужд»</w:t>
      </w:r>
      <w:r w:rsidR="005160EB">
        <w:rPr>
          <w:rStyle w:val="2d"/>
          <w:color w:val="00B050"/>
        </w:rPr>
        <w:t xml:space="preserve"> </w:t>
      </w:r>
      <w:r>
        <w:rPr>
          <w:rStyle w:val="2d"/>
        </w:rPr>
        <w:t>от предыдущих законов, регла</w:t>
      </w:r>
      <w:r>
        <w:rPr>
          <w:rStyle w:val="2d"/>
        </w:rPr>
        <w:softHyphen/>
        <w:t>ментирующих размещение государственных заказов?</w:t>
      </w:r>
      <w:r w:rsidR="005160EB">
        <w:rPr>
          <w:rStyle w:val="2d"/>
        </w:rPr>
        <w:t xml:space="preserve"> </w:t>
      </w:r>
      <w:r w:rsidR="005160EB" w:rsidRPr="00DB7CE1">
        <w:rPr>
          <w:rStyle w:val="2d"/>
          <w:color w:val="00B050"/>
        </w:rPr>
        <w:t>Приведите примеры нововведений в Законы о закупках и ко</w:t>
      </w:r>
      <w:r w:rsidR="00DB7CE1" w:rsidRPr="00DB7CE1">
        <w:rPr>
          <w:rStyle w:val="2d"/>
          <w:color w:val="00B050"/>
        </w:rPr>
        <w:t>н</w:t>
      </w:r>
      <w:r w:rsidR="005160EB" w:rsidRPr="00DB7CE1">
        <w:rPr>
          <w:rStyle w:val="2d"/>
          <w:color w:val="00B050"/>
        </w:rPr>
        <w:t>трактной системе в сфере за</w:t>
      </w:r>
      <w:r w:rsidR="00DB7CE1" w:rsidRPr="00DB7CE1">
        <w:rPr>
          <w:rStyle w:val="2d"/>
          <w:color w:val="00B050"/>
        </w:rPr>
        <w:t>к</w:t>
      </w:r>
      <w:r w:rsidR="005160EB" w:rsidRPr="00DB7CE1">
        <w:rPr>
          <w:rStyle w:val="2d"/>
          <w:color w:val="00B050"/>
        </w:rPr>
        <w:t xml:space="preserve">упок </w:t>
      </w:r>
      <w:r w:rsidR="00DB7CE1" w:rsidRPr="00DB7CE1">
        <w:rPr>
          <w:rStyle w:val="2d"/>
          <w:color w:val="00B050"/>
        </w:rPr>
        <w:t>в 2021-2022 гг.</w:t>
      </w:r>
    </w:p>
    <w:p w14:paraId="2557D180" w14:textId="77777777" w:rsidR="00350D42" w:rsidRDefault="008E6F64">
      <w:pPr>
        <w:pStyle w:val="2c"/>
        <w:numPr>
          <w:ilvl w:val="0"/>
          <w:numId w:val="126"/>
        </w:numPr>
        <w:shd w:val="clear" w:color="auto" w:fill="auto"/>
        <w:tabs>
          <w:tab w:val="left" w:pos="588"/>
        </w:tabs>
        <w:spacing w:before="0" w:line="216" w:lineRule="exact"/>
        <w:ind w:firstLine="320"/>
      </w:pPr>
      <w:r>
        <w:rPr>
          <w:rStyle w:val="2d"/>
        </w:rPr>
        <w:t>Какие выделяют элементы системы государственных закупок, рас</w:t>
      </w:r>
      <w:r>
        <w:rPr>
          <w:rStyle w:val="2d"/>
        </w:rPr>
        <w:softHyphen/>
        <w:t>сматривая деятельность по закупкам как модель фрагмента общественной экономической деятельности?</w:t>
      </w:r>
    </w:p>
    <w:p w14:paraId="350CDE43" w14:textId="77777777" w:rsidR="00350D42" w:rsidRDefault="008E6F64">
      <w:pPr>
        <w:pStyle w:val="2c"/>
        <w:numPr>
          <w:ilvl w:val="0"/>
          <w:numId w:val="126"/>
        </w:numPr>
        <w:shd w:val="clear" w:color="auto" w:fill="auto"/>
        <w:tabs>
          <w:tab w:val="left" w:pos="588"/>
        </w:tabs>
        <w:spacing w:before="0" w:line="216" w:lineRule="exact"/>
        <w:ind w:firstLine="320"/>
      </w:pPr>
      <w:r>
        <w:rPr>
          <w:rStyle w:val="2d"/>
        </w:rPr>
        <w:t>В каких модулях управленческой системы государственных закупок произошли изменения в период 2001—2006 гг.?</w:t>
      </w:r>
    </w:p>
    <w:p w14:paraId="49B7841C" w14:textId="77777777" w:rsidR="00350D42" w:rsidRDefault="008E6F64">
      <w:pPr>
        <w:pStyle w:val="2c"/>
        <w:numPr>
          <w:ilvl w:val="0"/>
          <w:numId w:val="126"/>
        </w:numPr>
        <w:shd w:val="clear" w:color="auto" w:fill="auto"/>
        <w:tabs>
          <w:tab w:val="left" w:pos="588"/>
        </w:tabs>
        <w:spacing w:before="0" w:after="191" w:line="216" w:lineRule="exact"/>
        <w:ind w:firstLine="320"/>
      </w:pPr>
      <w:r>
        <w:rPr>
          <w:rStyle w:val="2d"/>
        </w:rPr>
        <w:t>Какими методами проводят мониторинг состояния модулей управ</w:t>
      </w:r>
      <w:r>
        <w:rPr>
          <w:rStyle w:val="2d"/>
        </w:rPr>
        <w:softHyphen/>
        <w:t>ленческой системы государственных закупок?</w:t>
      </w:r>
    </w:p>
    <w:p w14:paraId="205402DC" w14:textId="77777777" w:rsidR="00350D42" w:rsidRDefault="008E6F64">
      <w:pPr>
        <w:pStyle w:val="2c"/>
        <w:shd w:val="clear" w:color="auto" w:fill="auto"/>
        <w:spacing w:before="0" w:line="202" w:lineRule="exact"/>
        <w:jc w:val="center"/>
      </w:pPr>
      <w:r>
        <w:rPr>
          <w:rStyle w:val="2d"/>
        </w:rPr>
        <w:lastRenderedPageBreak/>
        <w:t>Задания</w:t>
      </w:r>
    </w:p>
    <w:p w14:paraId="51FE7FD9" w14:textId="77777777" w:rsidR="00350D42" w:rsidRDefault="008E6F64">
      <w:pPr>
        <w:pStyle w:val="2c"/>
        <w:numPr>
          <w:ilvl w:val="0"/>
          <w:numId w:val="127"/>
        </w:numPr>
        <w:shd w:val="clear" w:color="auto" w:fill="auto"/>
        <w:tabs>
          <w:tab w:val="left" w:pos="588"/>
        </w:tabs>
        <w:spacing w:before="0" w:line="216" w:lineRule="exact"/>
        <w:ind w:firstLine="320"/>
      </w:pPr>
      <w:r>
        <w:rPr>
          <w:rStyle w:val="2d"/>
        </w:rPr>
        <w:t>Проанализируйте итоги функционирования нового законодательства в области госзакупок, используя проанализированные законодательные акты, экспертные оценки, а также следующие материалы:</w:t>
      </w:r>
    </w:p>
    <w:p w14:paraId="2B7B7E13" w14:textId="77777777" w:rsidR="00350D42" w:rsidRPr="00A4534D" w:rsidRDefault="008E6F64">
      <w:pPr>
        <w:pStyle w:val="2c"/>
        <w:numPr>
          <w:ilvl w:val="0"/>
          <w:numId w:val="110"/>
        </w:numPr>
        <w:shd w:val="clear" w:color="auto" w:fill="auto"/>
        <w:tabs>
          <w:tab w:val="left" w:pos="610"/>
        </w:tabs>
        <w:spacing w:before="0" w:line="216" w:lineRule="exact"/>
        <w:ind w:firstLine="320"/>
        <w:rPr>
          <w:color w:val="FF0000"/>
          <w:sz w:val="16"/>
          <w:szCs w:val="16"/>
        </w:rPr>
      </w:pPr>
      <w:r w:rsidRPr="00A4534D">
        <w:rPr>
          <w:rStyle w:val="2d"/>
          <w:color w:val="FF0000"/>
          <w:sz w:val="16"/>
          <w:szCs w:val="16"/>
        </w:rPr>
        <w:t xml:space="preserve">Новые правила госзакупок итоги года </w:t>
      </w:r>
      <w:r w:rsidRPr="00A4534D">
        <w:rPr>
          <w:rStyle w:val="2d"/>
          <w:color w:val="FF0000"/>
          <w:sz w:val="16"/>
          <w:szCs w:val="16"/>
          <w:lang w:eastAsia="en-US" w:bidi="en-US"/>
        </w:rPr>
        <w:t>(</w:t>
      </w:r>
      <w:hyperlink r:id="rId144" w:history="1">
        <w:r w:rsidRPr="00A4534D">
          <w:rPr>
            <w:rStyle w:val="2d"/>
            <w:color w:val="FF0000"/>
            <w:sz w:val="16"/>
            <w:szCs w:val="16"/>
            <w:lang w:val="en-US" w:eastAsia="en-US" w:bidi="en-US"/>
          </w:rPr>
          <w:t>http</w:t>
        </w:r>
        <w:r w:rsidRPr="00A4534D">
          <w:rPr>
            <w:rStyle w:val="2d"/>
            <w:color w:val="FF0000"/>
            <w:sz w:val="16"/>
            <w:szCs w:val="16"/>
            <w:lang w:eastAsia="en-US" w:bidi="en-US"/>
          </w:rPr>
          <w:t>://</w:t>
        </w:r>
        <w:r w:rsidRPr="00A4534D">
          <w:rPr>
            <w:rStyle w:val="2d"/>
            <w:color w:val="FF0000"/>
            <w:sz w:val="16"/>
            <w:szCs w:val="16"/>
            <w:lang w:val="en-US" w:eastAsia="en-US" w:bidi="en-US"/>
          </w:rPr>
          <w:t>goszakupki</w:t>
        </w:r>
        <w:r w:rsidRPr="00A4534D">
          <w:rPr>
            <w:rStyle w:val="2d"/>
            <w:color w:val="FF0000"/>
            <w:sz w:val="16"/>
            <w:szCs w:val="16"/>
            <w:lang w:eastAsia="en-US" w:bidi="en-US"/>
          </w:rPr>
          <w:t>.</w:t>
        </w:r>
        <w:r w:rsidRPr="00A4534D">
          <w:rPr>
            <w:rStyle w:val="2d"/>
            <w:color w:val="FF0000"/>
            <w:sz w:val="16"/>
            <w:szCs w:val="16"/>
            <w:lang w:val="en-US" w:eastAsia="en-US" w:bidi="en-US"/>
          </w:rPr>
          <w:t>open</w:t>
        </w:r>
        <w:r w:rsidRPr="00A4534D">
          <w:rPr>
            <w:rStyle w:val="2d"/>
            <w:color w:val="FF0000"/>
            <w:sz w:val="16"/>
            <w:szCs w:val="16"/>
            <w:lang w:eastAsia="en-US" w:bidi="en-US"/>
          </w:rPr>
          <w:t>.</w:t>
        </w:r>
        <w:r w:rsidRPr="00A4534D">
          <w:rPr>
            <w:rStyle w:val="2d"/>
            <w:color w:val="FF0000"/>
            <w:sz w:val="16"/>
            <w:szCs w:val="16"/>
            <w:lang w:val="en-US" w:eastAsia="en-US" w:bidi="en-US"/>
          </w:rPr>
          <w:t>gov</w:t>
        </w:r>
      </w:hyperlink>
      <w:r w:rsidRPr="00A4534D">
        <w:rPr>
          <w:rStyle w:val="2d"/>
          <w:color w:val="FF0000"/>
          <w:sz w:val="16"/>
          <w:szCs w:val="16"/>
          <w:lang w:eastAsia="en-US" w:bidi="en-US"/>
        </w:rPr>
        <w:t xml:space="preserve">. </w:t>
      </w:r>
      <w:r w:rsidRPr="00A4534D">
        <w:rPr>
          <w:rStyle w:val="2d"/>
          <w:color w:val="FF0000"/>
          <w:sz w:val="16"/>
          <w:szCs w:val="16"/>
          <w:lang w:val="en-US" w:eastAsia="en-US" w:bidi="en-US"/>
        </w:rPr>
        <w:t>ru</w:t>
      </w:r>
      <w:r w:rsidRPr="00A4534D">
        <w:rPr>
          <w:rStyle w:val="2d"/>
          <w:color w:val="FF0000"/>
          <w:sz w:val="16"/>
          <w:szCs w:val="16"/>
          <w:lang w:eastAsia="en-US" w:bidi="en-US"/>
        </w:rPr>
        <w:t>/</w:t>
      </w:r>
      <w:r w:rsidRPr="00A4534D">
        <w:rPr>
          <w:rStyle w:val="2d"/>
          <w:color w:val="FF0000"/>
          <w:sz w:val="16"/>
          <w:szCs w:val="16"/>
          <w:lang w:val="en-US" w:eastAsia="en-US" w:bidi="en-US"/>
        </w:rPr>
        <w:t>events</w:t>
      </w:r>
      <w:r w:rsidRPr="00A4534D">
        <w:rPr>
          <w:rStyle w:val="2d"/>
          <w:color w:val="FF0000"/>
          <w:sz w:val="16"/>
          <w:szCs w:val="16"/>
          <w:lang w:eastAsia="en-US" w:bidi="en-US"/>
        </w:rPr>
        <w:t>/5512215/);</w:t>
      </w:r>
    </w:p>
    <w:p w14:paraId="3BA07B5D" w14:textId="5D9634C1" w:rsidR="00350D42" w:rsidRPr="00A4534D" w:rsidRDefault="008E6F64">
      <w:pPr>
        <w:pStyle w:val="2c"/>
        <w:numPr>
          <w:ilvl w:val="0"/>
          <w:numId w:val="110"/>
        </w:numPr>
        <w:shd w:val="clear" w:color="auto" w:fill="auto"/>
        <w:tabs>
          <w:tab w:val="left" w:pos="610"/>
        </w:tabs>
        <w:spacing w:before="0" w:line="216" w:lineRule="exact"/>
        <w:ind w:firstLine="320"/>
        <w:rPr>
          <w:rStyle w:val="2d"/>
          <w:color w:val="FF0000"/>
          <w:sz w:val="16"/>
          <w:szCs w:val="16"/>
        </w:rPr>
      </w:pPr>
      <w:r w:rsidRPr="00A4534D">
        <w:rPr>
          <w:rStyle w:val="2d"/>
          <w:color w:val="FF0000"/>
          <w:sz w:val="16"/>
          <w:szCs w:val="16"/>
        </w:rPr>
        <w:t xml:space="preserve">Новая система госзакупок заработает до 2016 года </w:t>
      </w:r>
      <w:r w:rsidRPr="00A4534D">
        <w:rPr>
          <w:rStyle w:val="2d"/>
          <w:color w:val="FF0000"/>
          <w:sz w:val="16"/>
          <w:szCs w:val="16"/>
          <w:lang w:eastAsia="en-US" w:bidi="en-US"/>
        </w:rPr>
        <w:t>(</w:t>
      </w:r>
      <w:hyperlink r:id="rId145" w:history="1">
        <w:r w:rsidRPr="00A4534D">
          <w:rPr>
            <w:rStyle w:val="2d"/>
            <w:color w:val="FF0000"/>
            <w:sz w:val="16"/>
            <w:szCs w:val="16"/>
            <w:lang w:val="en-US" w:eastAsia="en-US" w:bidi="en-US"/>
          </w:rPr>
          <w:t>http</w:t>
        </w:r>
        <w:r w:rsidRPr="00A4534D">
          <w:rPr>
            <w:rStyle w:val="2d"/>
            <w:color w:val="FF0000"/>
            <w:sz w:val="16"/>
            <w:szCs w:val="16"/>
            <w:lang w:eastAsia="en-US" w:bidi="en-US"/>
          </w:rPr>
          <w:t>://</w:t>
        </w:r>
        <w:r w:rsidRPr="00A4534D">
          <w:rPr>
            <w:rStyle w:val="2d"/>
            <w:color w:val="FF0000"/>
            <w:sz w:val="16"/>
            <w:szCs w:val="16"/>
            <w:lang w:val="en-US" w:eastAsia="en-US" w:bidi="en-US"/>
          </w:rPr>
          <w:t>www</w:t>
        </w:r>
      </w:hyperlink>
      <w:r w:rsidRPr="00A4534D">
        <w:rPr>
          <w:rStyle w:val="2d"/>
          <w:color w:val="FF0000"/>
          <w:sz w:val="16"/>
          <w:szCs w:val="16"/>
          <w:lang w:eastAsia="en-US" w:bidi="en-US"/>
        </w:rPr>
        <w:t xml:space="preserve">. </w:t>
      </w:r>
      <w:r w:rsidRPr="00A4534D">
        <w:rPr>
          <w:rStyle w:val="2d"/>
          <w:color w:val="FF0000"/>
          <w:sz w:val="16"/>
          <w:szCs w:val="16"/>
          <w:lang w:val="en-US" w:eastAsia="en-US" w:bidi="en-US"/>
        </w:rPr>
        <w:t>pravcons</w:t>
      </w:r>
      <w:r w:rsidRPr="00A4534D">
        <w:rPr>
          <w:rStyle w:val="2d"/>
          <w:color w:val="FF0000"/>
          <w:sz w:val="16"/>
          <w:szCs w:val="16"/>
          <w:lang w:eastAsia="en-US" w:bidi="en-US"/>
        </w:rPr>
        <w:t>.</w:t>
      </w:r>
      <w:r w:rsidRPr="00A4534D">
        <w:rPr>
          <w:rStyle w:val="2d"/>
          <w:color w:val="FF0000"/>
          <w:sz w:val="16"/>
          <w:szCs w:val="16"/>
          <w:lang w:val="en-US" w:eastAsia="en-US" w:bidi="en-US"/>
        </w:rPr>
        <w:t>ru</w:t>
      </w:r>
      <w:r w:rsidRPr="00A4534D">
        <w:rPr>
          <w:rStyle w:val="2d"/>
          <w:color w:val="FF0000"/>
          <w:sz w:val="16"/>
          <w:szCs w:val="16"/>
          <w:lang w:eastAsia="en-US" w:bidi="en-US"/>
        </w:rPr>
        <w:t>/</w:t>
      </w:r>
      <w:r w:rsidRPr="00A4534D">
        <w:rPr>
          <w:rStyle w:val="2d"/>
          <w:color w:val="FF0000"/>
          <w:sz w:val="16"/>
          <w:szCs w:val="16"/>
          <w:lang w:val="en-US" w:eastAsia="en-US" w:bidi="en-US"/>
        </w:rPr>
        <w:t>articles</w:t>
      </w:r>
      <w:r w:rsidRPr="00A4534D">
        <w:rPr>
          <w:rStyle w:val="2d"/>
          <w:color w:val="FF0000"/>
          <w:sz w:val="16"/>
          <w:szCs w:val="16"/>
          <w:lang w:eastAsia="en-US" w:bidi="en-US"/>
        </w:rPr>
        <w:t>/</w:t>
      </w:r>
      <w:r w:rsidRPr="00A4534D">
        <w:rPr>
          <w:rStyle w:val="2d"/>
          <w:color w:val="FF0000"/>
          <w:sz w:val="16"/>
          <w:szCs w:val="16"/>
          <w:lang w:val="en-US" w:eastAsia="en-US" w:bidi="en-US"/>
        </w:rPr>
        <w:t>publ</w:t>
      </w:r>
      <w:r w:rsidRPr="00A4534D">
        <w:rPr>
          <w:rStyle w:val="2d"/>
          <w:color w:val="FF0000"/>
          <w:sz w:val="16"/>
          <w:szCs w:val="16"/>
          <w:lang w:eastAsia="en-US" w:bidi="en-US"/>
        </w:rPr>
        <w:t>/</w:t>
      </w:r>
      <w:r w:rsidRPr="00A4534D">
        <w:rPr>
          <w:rStyle w:val="2d"/>
          <w:color w:val="FF0000"/>
          <w:sz w:val="16"/>
          <w:szCs w:val="16"/>
          <w:lang w:val="en-US" w:eastAsia="en-US" w:bidi="en-US"/>
        </w:rPr>
        <w:t>novaya</w:t>
      </w:r>
      <w:r w:rsidRPr="00A4534D">
        <w:rPr>
          <w:rStyle w:val="2d"/>
          <w:color w:val="FF0000"/>
          <w:sz w:val="16"/>
          <w:szCs w:val="16"/>
          <w:lang w:eastAsia="en-US" w:bidi="en-US"/>
        </w:rPr>
        <w:t>-</w:t>
      </w:r>
      <w:r w:rsidRPr="00A4534D">
        <w:rPr>
          <w:rStyle w:val="2d"/>
          <w:color w:val="FF0000"/>
          <w:sz w:val="16"/>
          <w:szCs w:val="16"/>
          <w:lang w:val="en-US" w:eastAsia="en-US" w:bidi="en-US"/>
        </w:rPr>
        <w:t>sistema</w:t>
      </w:r>
      <w:r w:rsidRPr="00A4534D">
        <w:rPr>
          <w:rStyle w:val="2d"/>
          <w:color w:val="FF0000"/>
          <w:sz w:val="16"/>
          <w:szCs w:val="16"/>
          <w:lang w:eastAsia="en-US" w:bidi="en-US"/>
        </w:rPr>
        <w:t>-</w:t>
      </w:r>
      <w:r w:rsidRPr="00A4534D">
        <w:rPr>
          <w:rStyle w:val="2d"/>
          <w:color w:val="FF0000"/>
          <w:sz w:val="16"/>
          <w:szCs w:val="16"/>
          <w:lang w:val="en-US" w:eastAsia="en-US" w:bidi="en-US"/>
        </w:rPr>
        <w:t>goszakupok</w:t>
      </w:r>
      <w:r w:rsidRPr="00A4534D">
        <w:rPr>
          <w:rStyle w:val="2d"/>
          <w:color w:val="FF0000"/>
          <w:sz w:val="16"/>
          <w:szCs w:val="16"/>
          <w:lang w:eastAsia="en-US" w:bidi="en-US"/>
        </w:rPr>
        <w:t>-</w:t>
      </w:r>
      <w:r w:rsidRPr="00A4534D">
        <w:rPr>
          <w:rStyle w:val="2d"/>
          <w:color w:val="FF0000"/>
          <w:sz w:val="16"/>
          <w:szCs w:val="16"/>
          <w:lang w:val="en-US" w:eastAsia="en-US" w:bidi="en-US"/>
        </w:rPr>
        <w:t>zarabotaet</w:t>
      </w:r>
      <w:r w:rsidRPr="00A4534D">
        <w:rPr>
          <w:rStyle w:val="2d"/>
          <w:color w:val="FF0000"/>
          <w:sz w:val="16"/>
          <w:szCs w:val="16"/>
          <w:lang w:eastAsia="en-US" w:bidi="en-US"/>
        </w:rPr>
        <w:t>-</w:t>
      </w:r>
      <w:r w:rsidRPr="00A4534D">
        <w:rPr>
          <w:rStyle w:val="2d"/>
          <w:color w:val="FF0000"/>
          <w:sz w:val="16"/>
          <w:szCs w:val="16"/>
          <w:lang w:val="en-US" w:eastAsia="en-US" w:bidi="en-US"/>
        </w:rPr>
        <w:t>do</w:t>
      </w:r>
      <w:r w:rsidRPr="00A4534D">
        <w:rPr>
          <w:rStyle w:val="2d"/>
          <w:color w:val="FF0000"/>
          <w:sz w:val="16"/>
          <w:szCs w:val="16"/>
          <w:lang w:eastAsia="en-US" w:bidi="en-US"/>
        </w:rPr>
        <w:t xml:space="preserve">-2016- </w:t>
      </w:r>
      <w:r w:rsidRPr="00A4534D">
        <w:rPr>
          <w:rStyle w:val="2d"/>
          <w:color w:val="FF0000"/>
          <w:sz w:val="16"/>
          <w:szCs w:val="16"/>
          <w:lang w:val="en-US" w:eastAsia="en-US" w:bidi="en-US"/>
        </w:rPr>
        <w:t>goda</w:t>
      </w:r>
      <w:r w:rsidRPr="00A4534D">
        <w:rPr>
          <w:rStyle w:val="2d"/>
          <w:color w:val="FF0000"/>
          <w:sz w:val="16"/>
          <w:szCs w:val="16"/>
          <w:lang w:eastAsia="en-US" w:bidi="en-US"/>
        </w:rPr>
        <w:t>/).</w:t>
      </w:r>
    </w:p>
    <w:p w14:paraId="6672BF14" w14:textId="52BEC7E0" w:rsidR="00DB7CE1" w:rsidRPr="00DB7CE1" w:rsidRDefault="00DB7CE1">
      <w:pPr>
        <w:pStyle w:val="2c"/>
        <w:numPr>
          <w:ilvl w:val="0"/>
          <w:numId w:val="110"/>
        </w:numPr>
        <w:shd w:val="clear" w:color="auto" w:fill="auto"/>
        <w:tabs>
          <w:tab w:val="left" w:pos="610"/>
        </w:tabs>
        <w:spacing w:before="0" w:line="216" w:lineRule="exact"/>
        <w:ind w:firstLine="320"/>
        <w:rPr>
          <w:rStyle w:val="af9"/>
          <w:color w:val="FF0000"/>
          <w:u w:val="none"/>
        </w:rPr>
      </w:pPr>
      <w:r w:rsidRPr="00093686">
        <w:rPr>
          <w:color w:val="00B050"/>
        </w:rPr>
        <w:t xml:space="preserve">Таблица основных изменений правил осуществления закупок по 44-ФЗ и 223-ФЗ в условиях действия санкций и ограничительных мер. – [Электронный ресурс]. </w:t>
      </w:r>
      <w:r>
        <w:rPr>
          <w:color w:val="00B050"/>
        </w:rPr>
        <w:t>–</w:t>
      </w:r>
      <w:r w:rsidRPr="00093686">
        <w:rPr>
          <w:color w:val="00B050"/>
        </w:rPr>
        <w:t xml:space="preserve"> </w:t>
      </w:r>
      <w:r>
        <w:rPr>
          <w:color w:val="00B050"/>
        </w:rPr>
        <w:t xml:space="preserve">Доступ: </w:t>
      </w:r>
      <w:hyperlink r:id="rId146" w:history="1">
        <w:r w:rsidRPr="0074785A">
          <w:rPr>
            <w:rStyle w:val="af9"/>
            <w:lang w:val="en-US"/>
          </w:rPr>
          <w:t>https</w:t>
        </w:r>
        <w:r w:rsidRPr="0074785A">
          <w:rPr>
            <w:rStyle w:val="af9"/>
          </w:rPr>
          <w:t>://</w:t>
        </w:r>
        <w:r w:rsidRPr="0074785A">
          <w:rPr>
            <w:rStyle w:val="af9"/>
            <w:lang w:val="en-US"/>
          </w:rPr>
          <w:t>www</w:t>
        </w:r>
        <w:r w:rsidRPr="0074785A">
          <w:rPr>
            <w:rStyle w:val="af9"/>
          </w:rPr>
          <w:t>.</w:t>
        </w:r>
        <w:r w:rsidRPr="0074785A">
          <w:rPr>
            <w:rStyle w:val="af9"/>
            <w:lang w:val="en-US"/>
          </w:rPr>
          <w:t>fcaudit</w:t>
        </w:r>
        <w:r w:rsidRPr="0074785A">
          <w:rPr>
            <w:rStyle w:val="af9"/>
          </w:rPr>
          <w:t>.</w:t>
        </w:r>
        <w:r w:rsidRPr="0074785A">
          <w:rPr>
            <w:rStyle w:val="af9"/>
            <w:lang w:val="en-US"/>
          </w:rPr>
          <w:t>ru</w:t>
        </w:r>
        <w:r w:rsidRPr="0074785A">
          <w:rPr>
            <w:rStyle w:val="af9"/>
          </w:rPr>
          <w:t>/</w:t>
        </w:r>
        <w:r w:rsidRPr="0074785A">
          <w:rPr>
            <w:rStyle w:val="af9"/>
            <w:lang w:val="en-US"/>
          </w:rPr>
          <w:t>blog</w:t>
        </w:r>
        <w:r w:rsidRPr="0074785A">
          <w:rPr>
            <w:rStyle w:val="af9"/>
          </w:rPr>
          <w:t>/</w:t>
        </w:r>
        <w:r w:rsidRPr="0074785A">
          <w:rPr>
            <w:rStyle w:val="af9"/>
            <w:lang w:val="en-US"/>
          </w:rPr>
          <w:t>tablitsa</w:t>
        </w:r>
        <w:r w:rsidRPr="0074785A">
          <w:rPr>
            <w:rStyle w:val="af9"/>
          </w:rPr>
          <w:t>-</w:t>
        </w:r>
        <w:r w:rsidRPr="0074785A">
          <w:rPr>
            <w:rStyle w:val="af9"/>
            <w:lang w:val="en-US"/>
          </w:rPr>
          <w:t>osnovnykh</w:t>
        </w:r>
        <w:r w:rsidRPr="0074785A">
          <w:rPr>
            <w:rStyle w:val="af9"/>
          </w:rPr>
          <w:t>-</w:t>
        </w:r>
        <w:r w:rsidRPr="0074785A">
          <w:rPr>
            <w:rStyle w:val="af9"/>
            <w:lang w:val="en-US"/>
          </w:rPr>
          <w:t>izmeneniy</w:t>
        </w:r>
        <w:r w:rsidRPr="0074785A">
          <w:rPr>
            <w:rStyle w:val="af9"/>
          </w:rPr>
          <w:t>-</w:t>
        </w:r>
        <w:r w:rsidRPr="0074785A">
          <w:rPr>
            <w:rStyle w:val="af9"/>
            <w:lang w:val="en-US"/>
          </w:rPr>
          <w:t>pravil</w:t>
        </w:r>
        <w:r w:rsidRPr="0074785A">
          <w:rPr>
            <w:rStyle w:val="af9"/>
          </w:rPr>
          <w:t>-</w:t>
        </w:r>
        <w:r w:rsidRPr="0074785A">
          <w:rPr>
            <w:rStyle w:val="af9"/>
            <w:lang w:val="en-US"/>
          </w:rPr>
          <w:t>osushchestvleniya</w:t>
        </w:r>
        <w:r w:rsidRPr="0074785A">
          <w:rPr>
            <w:rStyle w:val="af9"/>
          </w:rPr>
          <w:t>-</w:t>
        </w:r>
        <w:r w:rsidRPr="0074785A">
          <w:rPr>
            <w:rStyle w:val="af9"/>
            <w:lang w:val="en-US"/>
          </w:rPr>
          <w:t>zakupok</w:t>
        </w:r>
        <w:r w:rsidRPr="0074785A">
          <w:rPr>
            <w:rStyle w:val="af9"/>
          </w:rPr>
          <w:t>/</w:t>
        </w:r>
      </w:hyperlink>
      <w:r>
        <w:rPr>
          <w:rStyle w:val="af9"/>
          <w:color w:val="00B050"/>
          <w:u w:val="none"/>
        </w:rPr>
        <w:t>.</w:t>
      </w:r>
    </w:p>
    <w:p w14:paraId="67A78724" w14:textId="0D6AACD4" w:rsidR="00DB7CE1" w:rsidRPr="005D6809" w:rsidRDefault="00DB7CE1" w:rsidP="00FE5E1E">
      <w:pPr>
        <w:pStyle w:val="header-singleitem"/>
        <w:numPr>
          <w:ilvl w:val="0"/>
          <w:numId w:val="110"/>
        </w:numPr>
        <w:spacing w:before="0" w:beforeAutospacing="0" w:after="0" w:afterAutospacing="0" w:line="197" w:lineRule="exact"/>
        <w:ind w:firstLine="318"/>
        <w:jc w:val="both"/>
        <w:rPr>
          <w:rFonts w:ascii="Bookman Old Style" w:hAnsi="Bookman Old Style"/>
          <w:color w:val="00B050"/>
          <w:sz w:val="18"/>
          <w:szCs w:val="18"/>
        </w:rPr>
      </w:pPr>
      <w:r w:rsidRPr="005D6809">
        <w:rPr>
          <w:rFonts w:ascii="Bookman Old Style" w:hAnsi="Bookman Old Style"/>
          <w:color w:val="00B050"/>
          <w:sz w:val="18"/>
          <w:szCs w:val="18"/>
        </w:rPr>
        <w:t>Бельковиц-Краснов В. Приняты масштабные изменения в законы о госзакупках и контрактной системе. – [Электронный ресурс]. – Доступ: https://buhguru.com/news/izmeneniya-2021-v-zakony-o-goszakupkah-i-kontraktnoj-sisteme.html</w:t>
      </w:r>
      <w:r>
        <w:rPr>
          <w:rFonts w:ascii="Bookman Old Style" w:hAnsi="Bookman Old Style"/>
          <w:color w:val="00B050"/>
          <w:sz w:val="18"/>
          <w:szCs w:val="18"/>
        </w:rPr>
        <w:t>.</w:t>
      </w:r>
    </w:p>
    <w:p w14:paraId="16A97E2C" w14:textId="77777777" w:rsidR="00350D42" w:rsidRDefault="008E6F64" w:rsidP="00FE5E1E">
      <w:pPr>
        <w:pStyle w:val="2c"/>
        <w:shd w:val="clear" w:color="auto" w:fill="auto"/>
        <w:spacing w:before="0" w:line="216" w:lineRule="exact"/>
        <w:ind w:firstLine="320"/>
      </w:pPr>
      <w:r>
        <w:rPr>
          <w:rStyle w:val="2d"/>
        </w:rPr>
        <w:t>Результаты анализа обсудите. Обсуждение проводится в форме Экспертно</w:t>
      </w:r>
      <w:r>
        <w:rPr>
          <w:rStyle w:val="2d"/>
        </w:rPr>
        <w:softHyphen/>
        <w:t>го совета по проблемам функционирования системы государственных заку</w:t>
      </w:r>
      <w:r>
        <w:rPr>
          <w:rStyle w:val="2d"/>
        </w:rPr>
        <w:softHyphen/>
        <w:t>пок в Российской Федерации. Участники Экспертного совета: представители государства (покупатели и заказчики), представители бизнес-сектора (про</w:t>
      </w:r>
      <w:r>
        <w:rPr>
          <w:rStyle w:val="2d"/>
        </w:rPr>
        <w:softHyphen/>
        <w:t>давцы и производители), специалисты системы государственных закупок, представители общества (контролирующие органы, потребители). Оцените положительные и отрицательные стороны нового законодательства с точки зрения вашей роли на Экспертном совете. Выделите основные проблемы. Предложите решения этих проблем.</w:t>
      </w:r>
    </w:p>
    <w:p w14:paraId="4326BF3E" w14:textId="77777777" w:rsidR="00DB7CE1" w:rsidRPr="00DB7CE1" w:rsidRDefault="008E6F64" w:rsidP="00FE5E1E">
      <w:pPr>
        <w:pStyle w:val="2c"/>
        <w:numPr>
          <w:ilvl w:val="0"/>
          <w:numId w:val="127"/>
        </w:numPr>
        <w:shd w:val="clear" w:color="auto" w:fill="auto"/>
        <w:tabs>
          <w:tab w:val="left" w:pos="588"/>
        </w:tabs>
        <w:spacing w:before="0" w:line="240" w:lineRule="auto"/>
        <w:ind w:firstLine="0"/>
        <w:rPr>
          <w:rStyle w:val="2d"/>
          <w:color w:val="000000"/>
        </w:rPr>
      </w:pPr>
      <w:r>
        <w:rPr>
          <w:rStyle w:val="2d"/>
        </w:rPr>
        <w:t>Проанализируйте старое и новое законодательство в области госу</w:t>
      </w:r>
      <w:r>
        <w:rPr>
          <w:rStyle w:val="2d"/>
        </w:rPr>
        <w:softHyphen/>
        <w:t>дарственных закупок с точки зрения государства, предприятий, контроли</w:t>
      </w:r>
      <w:r>
        <w:rPr>
          <w:rStyle w:val="2d"/>
        </w:rPr>
        <w:softHyphen/>
        <w:t>рующих органов. Результаты сравнительного анализа оформите в форме таблиц (табл. 6.1 и 6.2).</w:t>
      </w:r>
    </w:p>
    <w:p w14:paraId="38866318" w14:textId="1DD81DB4" w:rsidR="00DB7CE1" w:rsidRDefault="00DB7CE1" w:rsidP="00FE5E1E">
      <w:pPr>
        <w:pStyle w:val="2c"/>
        <w:shd w:val="clear" w:color="auto" w:fill="auto"/>
        <w:tabs>
          <w:tab w:val="left" w:pos="588"/>
        </w:tabs>
        <w:spacing w:before="0" w:line="216" w:lineRule="exact"/>
        <w:ind w:firstLine="0"/>
        <w:jc w:val="right"/>
        <w:rPr>
          <w:rStyle w:val="2f7"/>
        </w:rPr>
      </w:pPr>
      <w:r w:rsidRPr="00DB7CE1">
        <w:rPr>
          <w:rStyle w:val="2f7"/>
        </w:rPr>
        <w:t>Таблица 6.1.</w:t>
      </w:r>
    </w:p>
    <w:p w14:paraId="7A8ADF14" w14:textId="77777777" w:rsidR="00A4534D" w:rsidRPr="00B05627" w:rsidRDefault="00A4534D" w:rsidP="00A4534D">
      <w:pPr>
        <w:pStyle w:val="2c"/>
        <w:shd w:val="clear" w:color="auto" w:fill="auto"/>
        <w:tabs>
          <w:tab w:val="left" w:pos="588"/>
        </w:tabs>
        <w:spacing w:before="0" w:line="216" w:lineRule="exact"/>
        <w:ind w:firstLine="0"/>
        <w:jc w:val="center"/>
        <w:rPr>
          <w:b/>
          <w:bCs/>
        </w:rPr>
      </w:pPr>
      <w:r w:rsidRPr="00B05627">
        <w:rPr>
          <w:b/>
          <w:bCs/>
        </w:rPr>
        <w:t>Анализ старого законодательства</w:t>
      </w:r>
    </w:p>
    <w:p w14:paraId="06F83160" w14:textId="77777777" w:rsidR="00A4534D" w:rsidRPr="00A4534D" w:rsidRDefault="00A4534D" w:rsidP="00FE5E1E">
      <w:pPr>
        <w:pStyle w:val="2c"/>
        <w:shd w:val="clear" w:color="auto" w:fill="auto"/>
        <w:tabs>
          <w:tab w:val="left" w:pos="588"/>
        </w:tabs>
        <w:spacing w:before="0" w:line="216" w:lineRule="exact"/>
        <w:ind w:firstLine="0"/>
        <w:jc w:val="right"/>
        <w:rPr>
          <w:rStyle w:val="2f7"/>
          <w:i w:val="0"/>
          <w:iCs w:val="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1003"/>
        <w:gridCol w:w="1090"/>
        <w:gridCol w:w="2098"/>
      </w:tblGrid>
      <w:tr w:rsidR="00A4534D" w14:paraId="5410E0CC" w14:textId="77777777" w:rsidTr="00FE5E1E">
        <w:trPr>
          <w:trHeight w:hRule="exact" w:val="581"/>
          <w:jc w:val="center"/>
        </w:trPr>
        <w:tc>
          <w:tcPr>
            <w:tcW w:w="2390" w:type="dxa"/>
            <w:tcBorders>
              <w:top w:val="single" w:sz="4" w:space="0" w:color="auto"/>
              <w:left w:val="single" w:sz="4" w:space="0" w:color="auto"/>
            </w:tcBorders>
            <w:shd w:val="clear" w:color="auto" w:fill="FFFFFF"/>
            <w:vAlign w:val="center"/>
          </w:tcPr>
          <w:p w14:paraId="5BAA5225" w14:textId="77777777" w:rsidR="00A4534D" w:rsidRPr="00B05627" w:rsidRDefault="00A4534D" w:rsidP="00A4534D">
            <w:pPr>
              <w:pStyle w:val="2c"/>
              <w:framePr w:w="6581" w:h="2008" w:hRule="exact" w:wrap="notBeside" w:vAnchor="text" w:hAnchor="page" w:x="1258" w:y="398"/>
              <w:shd w:val="clear" w:color="auto" w:fill="auto"/>
              <w:spacing w:before="0" w:line="240" w:lineRule="auto"/>
              <w:ind w:firstLine="0"/>
              <w:jc w:val="center"/>
              <w:rPr>
                <w:b/>
                <w:bCs/>
              </w:rPr>
            </w:pPr>
            <w:r w:rsidRPr="00B05627">
              <w:rPr>
                <w:rStyle w:val="275pt"/>
                <w:b w:val="0"/>
                <w:bCs w:val="0"/>
              </w:rPr>
              <w:t>Субъект</w:t>
            </w:r>
          </w:p>
        </w:tc>
        <w:tc>
          <w:tcPr>
            <w:tcW w:w="1003" w:type="dxa"/>
            <w:tcBorders>
              <w:top w:val="single" w:sz="4" w:space="0" w:color="auto"/>
              <w:left w:val="single" w:sz="4" w:space="0" w:color="auto"/>
            </w:tcBorders>
            <w:shd w:val="clear" w:color="auto" w:fill="FFFFFF"/>
            <w:vAlign w:val="center"/>
          </w:tcPr>
          <w:p w14:paraId="301E4A2E" w14:textId="77777777" w:rsidR="00A4534D" w:rsidRPr="00B05627" w:rsidRDefault="00A4534D" w:rsidP="00A4534D">
            <w:pPr>
              <w:pStyle w:val="2c"/>
              <w:framePr w:w="6581" w:h="2008" w:hRule="exact" w:wrap="notBeside" w:vAnchor="text" w:hAnchor="page" w:x="1258" w:y="398"/>
              <w:shd w:val="clear" w:color="auto" w:fill="auto"/>
              <w:spacing w:before="0" w:line="240" w:lineRule="auto"/>
              <w:ind w:firstLine="0"/>
              <w:jc w:val="center"/>
              <w:rPr>
                <w:b/>
                <w:bCs/>
              </w:rPr>
            </w:pPr>
            <w:r w:rsidRPr="00B05627">
              <w:rPr>
                <w:rStyle w:val="275pt"/>
                <w:b w:val="0"/>
                <w:bCs w:val="0"/>
              </w:rPr>
              <w:t>Плюсы</w:t>
            </w:r>
          </w:p>
        </w:tc>
        <w:tc>
          <w:tcPr>
            <w:tcW w:w="1090" w:type="dxa"/>
            <w:tcBorders>
              <w:top w:val="single" w:sz="4" w:space="0" w:color="auto"/>
              <w:left w:val="single" w:sz="4" w:space="0" w:color="auto"/>
            </w:tcBorders>
            <w:shd w:val="clear" w:color="auto" w:fill="FFFFFF"/>
            <w:vAlign w:val="center"/>
          </w:tcPr>
          <w:p w14:paraId="1510A067" w14:textId="77777777" w:rsidR="00A4534D" w:rsidRPr="00B05627" w:rsidRDefault="00A4534D" w:rsidP="00A4534D">
            <w:pPr>
              <w:pStyle w:val="2c"/>
              <w:framePr w:w="6581" w:h="2008" w:hRule="exact" w:wrap="notBeside" w:vAnchor="text" w:hAnchor="page" w:x="1258" w:y="398"/>
              <w:shd w:val="clear" w:color="auto" w:fill="auto"/>
              <w:spacing w:before="0" w:line="240" w:lineRule="auto"/>
              <w:ind w:firstLine="0"/>
              <w:jc w:val="center"/>
              <w:rPr>
                <w:b/>
                <w:bCs/>
              </w:rPr>
            </w:pPr>
            <w:r w:rsidRPr="00B05627">
              <w:rPr>
                <w:rStyle w:val="275pt"/>
                <w:b w:val="0"/>
                <w:bCs w:val="0"/>
              </w:rPr>
              <w:t>Минусы</w:t>
            </w:r>
          </w:p>
        </w:tc>
        <w:tc>
          <w:tcPr>
            <w:tcW w:w="2098" w:type="dxa"/>
            <w:tcBorders>
              <w:top w:val="single" w:sz="4" w:space="0" w:color="auto"/>
              <w:left w:val="single" w:sz="4" w:space="0" w:color="auto"/>
              <w:right w:val="single" w:sz="4" w:space="0" w:color="auto"/>
            </w:tcBorders>
            <w:shd w:val="clear" w:color="auto" w:fill="FFFFFF"/>
            <w:vAlign w:val="center"/>
          </w:tcPr>
          <w:p w14:paraId="39E65327" w14:textId="77777777" w:rsidR="00A4534D" w:rsidRPr="00B05627" w:rsidRDefault="00A4534D" w:rsidP="00A4534D">
            <w:pPr>
              <w:pStyle w:val="2c"/>
              <w:framePr w:w="6581" w:h="2008" w:hRule="exact" w:wrap="notBeside" w:vAnchor="text" w:hAnchor="page" w:x="1258" w:y="398"/>
              <w:shd w:val="clear" w:color="auto" w:fill="auto"/>
              <w:spacing w:before="0" w:line="240" w:lineRule="auto"/>
              <w:ind w:firstLine="0"/>
              <w:jc w:val="center"/>
              <w:rPr>
                <w:b/>
                <w:bCs/>
              </w:rPr>
            </w:pPr>
            <w:r w:rsidRPr="00B05627">
              <w:rPr>
                <w:rStyle w:val="275pt"/>
                <w:b w:val="0"/>
                <w:bCs w:val="0"/>
              </w:rPr>
              <w:t>Возможные пути решения проблем</w:t>
            </w:r>
          </w:p>
        </w:tc>
      </w:tr>
      <w:tr w:rsidR="00A4534D" w14:paraId="7B398233" w14:textId="77777777">
        <w:trPr>
          <w:trHeight w:hRule="exact" w:val="355"/>
          <w:jc w:val="center"/>
        </w:trPr>
        <w:tc>
          <w:tcPr>
            <w:tcW w:w="2390" w:type="dxa"/>
            <w:tcBorders>
              <w:top w:val="single" w:sz="4" w:space="0" w:color="auto"/>
              <w:left w:val="single" w:sz="4" w:space="0" w:color="auto"/>
            </w:tcBorders>
            <w:shd w:val="clear" w:color="auto" w:fill="FFFFFF"/>
            <w:vAlign w:val="center"/>
          </w:tcPr>
          <w:p w14:paraId="268CE5F3" w14:textId="77777777" w:rsidR="00A4534D" w:rsidRDefault="00A4534D" w:rsidP="00A4534D">
            <w:pPr>
              <w:pStyle w:val="2c"/>
              <w:framePr w:w="6581" w:h="2008" w:hRule="exact" w:wrap="notBeside" w:vAnchor="text" w:hAnchor="page" w:x="1258" w:y="398"/>
              <w:shd w:val="clear" w:color="auto" w:fill="auto"/>
              <w:spacing w:before="0" w:line="168" w:lineRule="exact"/>
              <w:jc w:val="left"/>
            </w:pPr>
            <w:r>
              <w:rPr>
                <w:rStyle w:val="275pt0"/>
              </w:rPr>
              <w:t>Государство</w:t>
            </w:r>
          </w:p>
        </w:tc>
        <w:tc>
          <w:tcPr>
            <w:tcW w:w="1003" w:type="dxa"/>
            <w:tcBorders>
              <w:top w:val="single" w:sz="4" w:space="0" w:color="auto"/>
              <w:left w:val="single" w:sz="4" w:space="0" w:color="auto"/>
            </w:tcBorders>
            <w:shd w:val="clear" w:color="auto" w:fill="FFFFFF"/>
          </w:tcPr>
          <w:p w14:paraId="065E6E14" w14:textId="77777777" w:rsidR="00A4534D" w:rsidRDefault="00A4534D" w:rsidP="00A4534D">
            <w:pPr>
              <w:framePr w:w="6581" w:h="2008" w:hRule="exact" w:wrap="notBeside" w:vAnchor="text" w:hAnchor="page" w:x="1258" w:y="398"/>
              <w:rPr>
                <w:sz w:val="10"/>
                <w:szCs w:val="10"/>
              </w:rPr>
            </w:pPr>
          </w:p>
        </w:tc>
        <w:tc>
          <w:tcPr>
            <w:tcW w:w="1090" w:type="dxa"/>
            <w:tcBorders>
              <w:top w:val="single" w:sz="4" w:space="0" w:color="auto"/>
              <w:left w:val="single" w:sz="4" w:space="0" w:color="auto"/>
            </w:tcBorders>
            <w:shd w:val="clear" w:color="auto" w:fill="FFFFFF"/>
          </w:tcPr>
          <w:p w14:paraId="6FB19DB9" w14:textId="77777777" w:rsidR="00A4534D" w:rsidRDefault="00A4534D" w:rsidP="00A4534D">
            <w:pPr>
              <w:framePr w:w="6581" w:h="2008" w:hRule="exact" w:wrap="notBeside" w:vAnchor="text" w:hAnchor="page" w:x="1258" w:y="398"/>
              <w:rPr>
                <w:sz w:val="10"/>
                <w:szCs w:val="10"/>
              </w:rPr>
            </w:pPr>
          </w:p>
        </w:tc>
        <w:tc>
          <w:tcPr>
            <w:tcW w:w="2098" w:type="dxa"/>
            <w:tcBorders>
              <w:top w:val="single" w:sz="4" w:space="0" w:color="auto"/>
              <w:left w:val="single" w:sz="4" w:space="0" w:color="auto"/>
              <w:right w:val="single" w:sz="4" w:space="0" w:color="auto"/>
            </w:tcBorders>
            <w:shd w:val="clear" w:color="auto" w:fill="FFFFFF"/>
          </w:tcPr>
          <w:p w14:paraId="0BFCC5B6" w14:textId="77777777" w:rsidR="00A4534D" w:rsidRDefault="00A4534D" w:rsidP="00A4534D">
            <w:pPr>
              <w:framePr w:w="6581" w:h="2008" w:hRule="exact" w:wrap="notBeside" w:vAnchor="text" w:hAnchor="page" w:x="1258" w:y="398"/>
              <w:rPr>
                <w:sz w:val="10"/>
                <w:szCs w:val="10"/>
              </w:rPr>
            </w:pPr>
          </w:p>
        </w:tc>
      </w:tr>
      <w:tr w:rsidR="00A4534D" w14:paraId="58943E9B" w14:textId="77777777">
        <w:trPr>
          <w:trHeight w:hRule="exact" w:val="355"/>
          <w:jc w:val="center"/>
        </w:trPr>
        <w:tc>
          <w:tcPr>
            <w:tcW w:w="2390" w:type="dxa"/>
            <w:tcBorders>
              <w:top w:val="single" w:sz="4" w:space="0" w:color="auto"/>
              <w:left w:val="single" w:sz="4" w:space="0" w:color="auto"/>
            </w:tcBorders>
            <w:shd w:val="clear" w:color="auto" w:fill="FFFFFF"/>
            <w:vAlign w:val="center"/>
          </w:tcPr>
          <w:p w14:paraId="6844C95F" w14:textId="77777777" w:rsidR="00A4534D" w:rsidRDefault="00A4534D" w:rsidP="00A4534D">
            <w:pPr>
              <w:pStyle w:val="2c"/>
              <w:framePr w:w="6581" w:h="2008" w:hRule="exact" w:wrap="notBeside" w:vAnchor="text" w:hAnchor="page" w:x="1258" w:y="398"/>
              <w:shd w:val="clear" w:color="auto" w:fill="auto"/>
              <w:spacing w:before="0" w:line="168" w:lineRule="exact"/>
              <w:jc w:val="left"/>
            </w:pPr>
            <w:r>
              <w:rPr>
                <w:rStyle w:val="275pt0"/>
              </w:rPr>
              <w:t>Предприятие</w:t>
            </w:r>
          </w:p>
        </w:tc>
        <w:tc>
          <w:tcPr>
            <w:tcW w:w="1003" w:type="dxa"/>
            <w:tcBorders>
              <w:top w:val="single" w:sz="4" w:space="0" w:color="auto"/>
              <w:left w:val="single" w:sz="4" w:space="0" w:color="auto"/>
            </w:tcBorders>
            <w:shd w:val="clear" w:color="auto" w:fill="FFFFFF"/>
          </w:tcPr>
          <w:p w14:paraId="31EE429D" w14:textId="77777777" w:rsidR="00A4534D" w:rsidRDefault="00A4534D" w:rsidP="00A4534D">
            <w:pPr>
              <w:framePr w:w="6581" w:h="2008" w:hRule="exact" w:wrap="notBeside" w:vAnchor="text" w:hAnchor="page" w:x="1258" w:y="398"/>
              <w:rPr>
                <w:sz w:val="10"/>
                <w:szCs w:val="10"/>
              </w:rPr>
            </w:pPr>
          </w:p>
        </w:tc>
        <w:tc>
          <w:tcPr>
            <w:tcW w:w="1090" w:type="dxa"/>
            <w:tcBorders>
              <w:top w:val="single" w:sz="4" w:space="0" w:color="auto"/>
              <w:left w:val="single" w:sz="4" w:space="0" w:color="auto"/>
            </w:tcBorders>
            <w:shd w:val="clear" w:color="auto" w:fill="FFFFFF"/>
          </w:tcPr>
          <w:p w14:paraId="1C7E599A" w14:textId="77777777" w:rsidR="00A4534D" w:rsidRDefault="00A4534D" w:rsidP="00A4534D">
            <w:pPr>
              <w:framePr w:w="6581" w:h="2008" w:hRule="exact" w:wrap="notBeside" w:vAnchor="text" w:hAnchor="page" w:x="1258" w:y="398"/>
              <w:rPr>
                <w:sz w:val="10"/>
                <w:szCs w:val="10"/>
              </w:rPr>
            </w:pPr>
          </w:p>
        </w:tc>
        <w:tc>
          <w:tcPr>
            <w:tcW w:w="2098" w:type="dxa"/>
            <w:tcBorders>
              <w:top w:val="single" w:sz="4" w:space="0" w:color="auto"/>
              <w:left w:val="single" w:sz="4" w:space="0" w:color="auto"/>
              <w:right w:val="single" w:sz="4" w:space="0" w:color="auto"/>
            </w:tcBorders>
            <w:shd w:val="clear" w:color="auto" w:fill="FFFFFF"/>
          </w:tcPr>
          <w:p w14:paraId="3640373F" w14:textId="77777777" w:rsidR="00A4534D" w:rsidRDefault="00A4534D" w:rsidP="00A4534D">
            <w:pPr>
              <w:framePr w:w="6581" w:h="2008" w:hRule="exact" w:wrap="notBeside" w:vAnchor="text" w:hAnchor="page" w:x="1258" w:y="398"/>
              <w:rPr>
                <w:sz w:val="10"/>
                <w:szCs w:val="10"/>
              </w:rPr>
            </w:pPr>
          </w:p>
        </w:tc>
      </w:tr>
      <w:tr w:rsidR="00A4534D" w14:paraId="024E4618" w14:textId="77777777">
        <w:trPr>
          <w:trHeight w:hRule="exact" w:val="365"/>
          <w:jc w:val="center"/>
        </w:trPr>
        <w:tc>
          <w:tcPr>
            <w:tcW w:w="2390" w:type="dxa"/>
            <w:tcBorders>
              <w:top w:val="single" w:sz="4" w:space="0" w:color="auto"/>
              <w:left w:val="single" w:sz="4" w:space="0" w:color="auto"/>
              <w:bottom w:val="single" w:sz="4" w:space="0" w:color="auto"/>
            </w:tcBorders>
            <w:shd w:val="clear" w:color="auto" w:fill="FFFFFF"/>
            <w:vAlign w:val="center"/>
          </w:tcPr>
          <w:p w14:paraId="4A32AE87" w14:textId="77777777" w:rsidR="00A4534D" w:rsidRDefault="00A4534D" w:rsidP="00A4534D">
            <w:pPr>
              <w:pStyle w:val="2c"/>
              <w:framePr w:w="6581" w:h="2008" w:hRule="exact" w:wrap="notBeside" w:vAnchor="text" w:hAnchor="page" w:x="1258" w:y="398"/>
              <w:shd w:val="clear" w:color="auto" w:fill="auto"/>
              <w:spacing w:before="0" w:line="168" w:lineRule="exact"/>
              <w:jc w:val="left"/>
            </w:pPr>
            <w:r>
              <w:rPr>
                <w:rStyle w:val="275pt0"/>
              </w:rPr>
              <w:t>Контролирующие органы</w:t>
            </w:r>
          </w:p>
        </w:tc>
        <w:tc>
          <w:tcPr>
            <w:tcW w:w="1003" w:type="dxa"/>
            <w:tcBorders>
              <w:top w:val="single" w:sz="4" w:space="0" w:color="auto"/>
              <w:left w:val="single" w:sz="4" w:space="0" w:color="auto"/>
              <w:bottom w:val="single" w:sz="4" w:space="0" w:color="auto"/>
            </w:tcBorders>
            <w:shd w:val="clear" w:color="auto" w:fill="FFFFFF"/>
          </w:tcPr>
          <w:p w14:paraId="155E524E" w14:textId="77777777" w:rsidR="00A4534D" w:rsidRDefault="00A4534D" w:rsidP="00A4534D">
            <w:pPr>
              <w:framePr w:w="6581" w:h="2008" w:hRule="exact" w:wrap="notBeside" w:vAnchor="text" w:hAnchor="page" w:x="1258" w:y="398"/>
              <w:rPr>
                <w:sz w:val="10"/>
                <w:szCs w:val="10"/>
              </w:rPr>
            </w:pPr>
          </w:p>
        </w:tc>
        <w:tc>
          <w:tcPr>
            <w:tcW w:w="1090" w:type="dxa"/>
            <w:tcBorders>
              <w:top w:val="single" w:sz="4" w:space="0" w:color="auto"/>
              <w:left w:val="single" w:sz="4" w:space="0" w:color="auto"/>
              <w:bottom w:val="single" w:sz="4" w:space="0" w:color="auto"/>
            </w:tcBorders>
            <w:shd w:val="clear" w:color="auto" w:fill="FFFFFF"/>
          </w:tcPr>
          <w:p w14:paraId="5E8824F8" w14:textId="77777777" w:rsidR="00A4534D" w:rsidRDefault="00A4534D" w:rsidP="00A4534D">
            <w:pPr>
              <w:framePr w:w="6581" w:h="2008" w:hRule="exact" w:wrap="notBeside" w:vAnchor="text" w:hAnchor="page" w:x="1258" w:y="398"/>
              <w:rPr>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27FF257F" w14:textId="77777777" w:rsidR="00A4534D" w:rsidRDefault="00A4534D" w:rsidP="00A4534D">
            <w:pPr>
              <w:framePr w:w="6581" w:h="2008" w:hRule="exact" w:wrap="notBeside" w:vAnchor="text" w:hAnchor="page" w:x="1258" w:y="398"/>
              <w:rPr>
                <w:sz w:val="10"/>
                <w:szCs w:val="10"/>
              </w:rPr>
            </w:pPr>
          </w:p>
        </w:tc>
      </w:tr>
    </w:tbl>
    <w:p w14:paraId="0FE3A8BD" w14:textId="77777777" w:rsidR="00A4534D" w:rsidRDefault="00A4534D" w:rsidP="00A4534D">
      <w:pPr>
        <w:pStyle w:val="2f6"/>
        <w:framePr w:w="6581" w:h="2008" w:hRule="exact" w:wrap="notBeside" w:vAnchor="text" w:hAnchor="page" w:x="1258" w:y="398"/>
        <w:shd w:val="clear" w:color="auto" w:fill="auto"/>
        <w:jc w:val="left"/>
      </w:pPr>
    </w:p>
    <w:p w14:paraId="2BCD1FF9" w14:textId="77777777" w:rsidR="00A4534D" w:rsidRDefault="00A4534D" w:rsidP="00A4534D">
      <w:pPr>
        <w:framePr w:w="6581" w:h="2008" w:hRule="exact" w:wrap="notBeside" w:vAnchor="text" w:hAnchor="page" w:x="1258" w:y="398"/>
        <w:rPr>
          <w:sz w:val="2"/>
          <w:szCs w:val="2"/>
        </w:rPr>
      </w:pPr>
    </w:p>
    <w:p w14:paraId="2FFE0A9E" w14:textId="77777777" w:rsidR="00B05627" w:rsidRPr="00FE5E1E" w:rsidRDefault="00B05627" w:rsidP="00DB7CE1">
      <w:pPr>
        <w:pStyle w:val="2c"/>
        <w:shd w:val="clear" w:color="auto" w:fill="auto"/>
        <w:tabs>
          <w:tab w:val="left" w:pos="588"/>
        </w:tabs>
        <w:spacing w:before="0" w:after="657" w:line="216" w:lineRule="exact"/>
        <w:ind w:left="318" w:firstLine="0"/>
        <w:jc w:val="right"/>
        <w:rPr>
          <w:rStyle w:val="2f7"/>
          <w:rFonts w:ascii="Bookman Old Style" w:hAnsi="Bookman Old Style"/>
          <w:i w:val="0"/>
          <w:iCs w:val="0"/>
          <w:sz w:val="18"/>
          <w:szCs w:val="18"/>
        </w:rPr>
      </w:pPr>
    </w:p>
    <w:p w14:paraId="7A6DE0EB" w14:textId="2038D709" w:rsidR="00A4534D" w:rsidRDefault="00A4534D" w:rsidP="00A4534D">
      <w:pPr>
        <w:pStyle w:val="2f6"/>
        <w:framePr w:w="6581" w:wrap="notBeside" w:vAnchor="text" w:hAnchor="page" w:x="1165" w:y="-534"/>
        <w:shd w:val="clear" w:color="auto" w:fill="auto"/>
      </w:pPr>
      <w:r>
        <w:rPr>
          <w:rStyle w:val="2f7"/>
          <w:i/>
          <w:iCs/>
        </w:rPr>
        <w:t>Таблица 6.2</w:t>
      </w:r>
      <w:r w:rsidR="00B05627">
        <w:rPr>
          <w:rStyle w:val="2f7"/>
          <w:i/>
          <w:iCs/>
        </w:rPr>
        <w:t>.</w:t>
      </w:r>
    </w:p>
    <w:p w14:paraId="645A9938" w14:textId="77777777" w:rsidR="00A4534D" w:rsidRPr="00B05627" w:rsidRDefault="00A4534D" w:rsidP="00A4534D">
      <w:pPr>
        <w:pStyle w:val="3f2"/>
        <w:framePr w:w="6581" w:wrap="notBeside" w:vAnchor="text" w:hAnchor="page" w:x="1165" w:y="-534"/>
        <w:shd w:val="clear" w:color="auto" w:fill="auto"/>
        <w:spacing w:line="194" w:lineRule="exact"/>
        <w:rPr>
          <w:rFonts w:ascii="Bookman Old Style" w:hAnsi="Bookman Old Style"/>
          <w:sz w:val="18"/>
          <w:szCs w:val="18"/>
        </w:rPr>
      </w:pPr>
      <w:r w:rsidRPr="00B05627">
        <w:rPr>
          <w:rStyle w:val="3f3"/>
          <w:rFonts w:ascii="Bookman Old Style" w:hAnsi="Bookman Old Style"/>
          <w:b/>
          <w:bCs/>
          <w:sz w:val="18"/>
          <w:szCs w:val="18"/>
        </w:rPr>
        <w:t>Анализ нового законодательства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1003"/>
        <w:gridCol w:w="1090"/>
        <w:gridCol w:w="2098"/>
      </w:tblGrid>
      <w:tr w:rsidR="00A4534D" w14:paraId="68514BB3" w14:textId="77777777" w:rsidTr="00FE5E1E">
        <w:trPr>
          <w:trHeight w:hRule="exact" w:val="557"/>
          <w:jc w:val="center"/>
        </w:trPr>
        <w:tc>
          <w:tcPr>
            <w:tcW w:w="2390" w:type="dxa"/>
            <w:tcBorders>
              <w:top w:val="single" w:sz="4" w:space="0" w:color="auto"/>
              <w:left w:val="single" w:sz="4" w:space="0" w:color="auto"/>
            </w:tcBorders>
            <w:shd w:val="clear" w:color="auto" w:fill="FFFFFF"/>
            <w:vAlign w:val="center"/>
          </w:tcPr>
          <w:p w14:paraId="02B4F14F" w14:textId="77777777" w:rsidR="00A4534D" w:rsidRPr="00B05627" w:rsidRDefault="00A4534D" w:rsidP="00A4534D">
            <w:pPr>
              <w:pStyle w:val="2c"/>
              <w:framePr w:w="6581" w:wrap="notBeside" w:vAnchor="text" w:hAnchor="page" w:x="1165" w:y="-534"/>
              <w:shd w:val="clear" w:color="auto" w:fill="auto"/>
              <w:spacing w:before="0" w:line="240" w:lineRule="auto"/>
              <w:ind w:firstLine="0"/>
              <w:jc w:val="center"/>
              <w:rPr>
                <w:b/>
                <w:bCs/>
              </w:rPr>
            </w:pPr>
            <w:r w:rsidRPr="00B05627">
              <w:rPr>
                <w:rStyle w:val="275pt"/>
                <w:b w:val="0"/>
                <w:bCs w:val="0"/>
              </w:rPr>
              <w:t>Субъект</w:t>
            </w:r>
          </w:p>
        </w:tc>
        <w:tc>
          <w:tcPr>
            <w:tcW w:w="1003" w:type="dxa"/>
            <w:tcBorders>
              <w:top w:val="single" w:sz="4" w:space="0" w:color="auto"/>
              <w:left w:val="single" w:sz="4" w:space="0" w:color="auto"/>
            </w:tcBorders>
            <w:shd w:val="clear" w:color="auto" w:fill="FFFFFF"/>
            <w:vAlign w:val="center"/>
          </w:tcPr>
          <w:p w14:paraId="729A0FC1" w14:textId="77777777" w:rsidR="00A4534D" w:rsidRPr="00B05627" w:rsidRDefault="00A4534D" w:rsidP="00A4534D">
            <w:pPr>
              <w:pStyle w:val="2c"/>
              <w:framePr w:w="6581" w:wrap="notBeside" w:vAnchor="text" w:hAnchor="page" w:x="1165" w:y="-534"/>
              <w:shd w:val="clear" w:color="auto" w:fill="auto"/>
              <w:spacing w:before="0" w:line="240" w:lineRule="auto"/>
              <w:ind w:left="200" w:firstLine="0"/>
              <w:jc w:val="center"/>
              <w:rPr>
                <w:b/>
                <w:bCs/>
              </w:rPr>
            </w:pPr>
            <w:r w:rsidRPr="00B05627">
              <w:rPr>
                <w:rStyle w:val="275pt"/>
                <w:b w:val="0"/>
                <w:bCs w:val="0"/>
              </w:rPr>
              <w:t>Плюсы</w:t>
            </w:r>
          </w:p>
        </w:tc>
        <w:tc>
          <w:tcPr>
            <w:tcW w:w="1090" w:type="dxa"/>
            <w:tcBorders>
              <w:top w:val="single" w:sz="4" w:space="0" w:color="auto"/>
              <w:left w:val="single" w:sz="4" w:space="0" w:color="auto"/>
            </w:tcBorders>
            <w:shd w:val="clear" w:color="auto" w:fill="FFFFFF"/>
            <w:vAlign w:val="center"/>
          </w:tcPr>
          <w:p w14:paraId="1B5B57D4" w14:textId="77777777" w:rsidR="00A4534D" w:rsidRPr="00B05627" w:rsidRDefault="00A4534D" w:rsidP="00A4534D">
            <w:pPr>
              <w:pStyle w:val="2c"/>
              <w:framePr w:w="6581" w:wrap="notBeside" w:vAnchor="text" w:hAnchor="page" w:x="1165" w:y="-534"/>
              <w:shd w:val="clear" w:color="auto" w:fill="auto"/>
              <w:spacing w:before="0" w:line="240" w:lineRule="auto"/>
              <w:ind w:left="200" w:firstLine="0"/>
              <w:jc w:val="center"/>
              <w:rPr>
                <w:b/>
                <w:bCs/>
              </w:rPr>
            </w:pPr>
            <w:r w:rsidRPr="00B05627">
              <w:rPr>
                <w:rStyle w:val="275pt"/>
                <w:b w:val="0"/>
                <w:bCs w:val="0"/>
              </w:rPr>
              <w:t>Минусы</w:t>
            </w:r>
          </w:p>
        </w:tc>
        <w:tc>
          <w:tcPr>
            <w:tcW w:w="2098" w:type="dxa"/>
            <w:tcBorders>
              <w:top w:val="single" w:sz="4" w:space="0" w:color="auto"/>
              <w:left w:val="single" w:sz="4" w:space="0" w:color="auto"/>
              <w:right w:val="single" w:sz="4" w:space="0" w:color="auto"/>
            </w:tcBorders>
            <w:shd w:val="clear" w:color="auto" w:fill="FFFFFF"/>
            <w:vAlign w:val="center"/>
          </w:tcPr>
          <w:p w14:paraId="1A451C09" w14:textId="77777777" w:rsidR="00A4534D" w:rsidRPr="00B05627" w:rsidRDefault="00A4534D" w:rsidP="00A4534D">
            <w:pPr>
              <w:pStyle w:val="2c"/>
              <w:framePr w:w="6581" w:wrap="notBeside" w:vAnchor="text" w:hAnchor="page" w:x="1165" w:y="-534"/>
              <w:shd w:val="clear" w:color="auto" w:fill="auto"/>
              <w:spacing w:before="0" w:line="240" w:lineRule="auto"/>
              <w:ind w:left="280" w:firstLine="0"/>
              <w:jc w:val="center"/>
              <w:rPr>
                <w:b/>
                <w:bCs/>
              </w:rPr>
            </w:pPr>
            <w:r w:rsidRPr="00B05627">
              <w:rPr>
                <w:rStyle w:val="275pt"/>
                <w:b w:val="0"/>
                <w:bCs w:val="0"/>
              </w:rPr>
              <w:t>Возможные пути решения проблем</w:t>
            </w:r>
          </w:p>
        </w:tc>
      </w:tr>
      <w:tr w:rsidR="00A4534D" w14:paraId="341BE129" w14:textId="77777777">
        <w:trPr>
          <w:trHeight w:hRule="exact" w:val="331"/>
          <w:jc w:val="center"/>
        </w:trPr>
        <w:tc>
          <w:tcPr>
            <w:tcW w:w="2390" w:type="dxa"/>
            <w:tcBorders>
              <w:top w:val="single" w:sz="4" w:space="0" w:color="auto"/>
              <w:left w:val="single" w:sz="4" w:space="0" w:color="auto"/>
            </w:tcBorders>
            <w:shd w:val="clear" w:color="auto" w:fill="FFFFFF"/>
            <w:vAlign w:val="bottom"/>
          </w:tcPr>
          <w:p w14:paraId="11D20858" w14:textId="77777777" w:rsidR="00A4534D" w:rsidRDefault="00A4534D" w:rsidP="00A4534D">
            <w:pPr>
              <w:pStyle w:val="2c"/>
              <w:framePr w:w="6581" w:wrap="notBeside" w:vAnchor="text" w:hAnchor="page" w:x="1165" w:y="-534"/>
              <w:shd w:val="clear" w:color="auto" w:fill="auto"/>
              <w:spacing w:before="0" w:line="168" w:lineRule="exact"/>
              <w:jc w:val="left"/>
            </w:pPr>
            <w:r>
              <w:rPr>
                <w:rStyle w:val="275pt0"/>
              </w:rPr>
              <w:t>Государство</w:t>
            </w:r>
          </w:p>
        </w:tc>
        <w:tc>
          <w:tcPr>
            <w:tcW w:w="1003" w:type="dxa"/>
            <w:tcBorders>
              <w:top w:val="single" w:sz="4" w:space="0" w:color="auto"/>
              <w:left w:val="single" w:sz="4" w:space="0" w:color="auto"/>
            </w:tcBorders>
            <w:shd w:val="clear" w:color="auto" w:fill="FFFFFF"/>
          </w:tcPr>
          <w:p w14:paraId="4196C42D" w14:textId="77777777" w:rsidR="00A4534D" w:rsidRDefault="00A4534D" w:rsidP="00A4534D">
            <w:pPr>
              <w:framePr w:w="6581" w:wrap="notBeside" w:vAnchor="text" w:hAnchor="page" w:x="1165" w:y="-534"/>
              <w:rPr>
                <w:sz w:val="10"/>
                <w:szCs w:val="10"/>
              </w:rPr>
            </w:pPr>
          </w:p>
        </w:tc>
        <w:tc>
          <w:tcPr>
            <w:tcW w:w="1090" w:type="dxa"/>
            <w:tcBorders>
              <w:top w:val="single" w:sz="4" w:space="0" w:color="auto"/>
              <w:left w:val="single" w:sz="4" w:space="0" w:color="auto"/>
            </w:tcBorders>
            <w:shd w:val="clear" w:color="auto" w:fill="FFFFFF"/>
          </w:tcPr>
          <w:p w14:paraId="4FF0D2A1" w14:textId="77777777" w:rsidR="00A4534D" w:rsidRDefault="00A4534D" w:rsidP="00A4534D">
            <w:pPr>
              <w:framePr w:w="6581" w:wrap="notBeside" w:vAnchor="text" w:hAnchor="page" w:x="1165" w:y="-534"/>
              <w:rPr>
                <w:sz w:val="10"/>
                <w:szCs w:val="10"/>
              </w:rPr>
            </w:pPr>
          </w:p>
        </w:tc>
        <w:tc>
          <w:tcPr>
            <w:tcW w:w="2098" w:type="dxa"/>
            <w:tcBorders>
              <w:top w:val="single" w:sz="4" w:space="0" w:color="auto"/>
              <w:left w:val="single" w:sz="4" w:space="0" w:color="auto"/>
              <w:right w:val="single" w:sz="4" w:space="0" w:color="auto"/>
            </w:tcBorders>
            <w:shd w:val="clear" w:color="auto" w:fill="FFFFFF"/>
          </w:tcPr>
          <w:p w14:paraId="64CD53FC" w14:textId="77777777" w:rsidR="00A4534D" w:rsidRDefault="00A4534D" w:rsidP="00A4534D">
            <w:pPr>
              <w:framePr w:w="6581" w:wrap="notBeside" w:vAnchor="text" w:hAnchor="page" w:x="1165" w:y="-534"/>
              <w:rPr>
                <w:sz w:val="10"/>
                <w:szCs w:val="10"/>
              </w:rPr>
            </w:pPr>
          </w:p>
        </w:tc>
      </w:tr>
      <w:tr w:rsidR="00A4534D" w14:paraId="36F7D4BC" w14:textId="77777777">
        <w:trPr>
          <w:trHeight w:hRule="exact" w:val="331"/>
          <w:jc w:val="center"/>
        </w:trPr>
        <w:tc>
          <w:tcPr>
            <w:tcW w:w="2390" w:type="dxa"/>
            <w:tcBorders>
              <w:top w:val="single" w:sz="4" w:space="0" w:color="auto"/>
              <w:left w:val="single" w:sz="4" w:space="0" w:color="auto"/>
            </w:tcBorders>
            <w:shd w:val="clear" w:color="auto" w:fill="FFFFFF"/>
            <w:vAlign w:val="bottom"/>
          </w:tcPr>
          <w:p w14:paraId="2C99A9FA" w14:textId="77777777" w:rsidR="00A4534D" w:rsidRDefault="00A4534D" w:rsidP="00A4534D">
            <w:pPr>
              <w:pStyle w:val="2c"/>
              <w:framePr w:w="6581" w:wrap="notBeside" w:vAnchor="text" w:hAnchor="page" w:x="1165" w:y="-534"/>
              <w:shd w:val="clear" w:color="auto" w:fill="auto"/>
              <w:spacing w:before="0" w:line="168" w:lineRule="exact"/>
              <w:jc w:val="left"/>
            </w:pPr>
            <w:r>
              <w:rPr>
                <w:rStyle w:val="275pt0"/>
              </w:rPr>
              <w:t>Предприятие</w:t>
            </w:r>
          </w:p>
        </w:tc>
        <w:tc>
          <w:tcPr>
            <w:tcW w:w="1003" w:type="dxa"/>
            <w:tcBorders>
              <w:top w:val="single" w:sz="4" w:space="0" w:color="auto"/>
              <w:left w:val="single" w:sz="4" w:space="0" w:color="auto"/>
            </w:tcBorders>
            <w:shd w:val="clear" w:color="auto" w:fill="FFFFFF"/>
          </w:tcPr>
          <w:p w14:paraId="1E1AAB9F" w14:textId="77777777" w:rsidR="00A4534D" w:rsidRDefault="00A4534D" w:rsidP="00A4534D">
            <w:pPr>
              <w:framePr w:w="6581" w:wrap="notBeside" w:vAnchor="text" w:hAnchor="page" w:x="1165" w:y="-534"/>
              <w:rPr>
                <w:sz w:val="10"/>
                <w:szCs w:val="10"/>
              </w:rPr>
            </w:pPr>
          </w:p>
        </w:tc>
        <w:tc>
          <w:tcPr>
            <w:tcW w:w="1090" w:type="dxa"/>
            <w:tcBorders>
              <w:top w:val="single" w:sz="4" w:space="0" w:color="auto"/>
              <w:left w:val="single" w:sz="4" w:space="0" w:color="auto"/>
            </w:tcBorders>
            <w:shd w:val="clear" w:color="auto" w:fill="FFFFFF"/>
          </w:tcPr>
          <w:p w14:paraId="0036B766" w14:textId="77777777" w:rsidR="00A4534D" w:rsidRDefault="00A4534D" w:rsidP="00A4534D">
            <w:pPr>
              <w:framePr w:w="6581" w:wrap="notBeside" w:vAnchor="text" w:hAnchor="page" w:x="1165" w:y="-534"/>
              <w:rPr>
                <w:sz w:val="10"/>
                <w:szCs w:val="10"/>
              </w:rPr>
            </w:pPr>
          </w:p>
        </w:tc>
        <w:tc>
          <w:tcPr>
            <w:tcW w:w="2098" w:type="dxa"/>
            <w:tcBorders>
              <w:top w:val="single" w:sz="4" w:space="0" w:color="auto"/>
              <w:left w:val="single" w:sz="4" w:space="0" w:color="auto"/>
              <w:right w:val="single" w:sz="4" w:space="0" w:color="auto"/>
            </w:tcBorders>
            <w:shd w:val="clear" w:color="auto" w:fill="FFFFFF"/>
          </w:tcPr>
          <w:p w14:paraId="4E268637" w14:textId="77777777" w:rsidR="00A4534D" w:rsidRDefault="00A4534D" w:rsidP="00A4534D">
            <w:pPr>
              <w:framePr w:w="6581" w:wrap="notBeside" w:vAnchor="text" w:hAnchor="page" w:x="1165" w:y="-534"/>
              <w:rPr>
                <w:sz w:val="10"/>
                <w:szCs w:val="10"/>
              </w:rPr>
            </w:pPr>
          </w:p>
        </w:tc>
      </w:tr>
      <w:tr w:rsidR="00A4534D" w14:paraId="3CDFD9A6" w14:textId="77777777" w:rsidTr="00FE5E1E">
        <w:trPr>
          <w:trHeight w:hRule="exact" w:val="524"/>
          <w:jc w:val="center"/>
        </w:trPr>
        <w:tc>
          <w:tcPr>
            <w:tcW w:w="2390" w:type="dxa"/>
            <w:tcBorders>
              <w:top w:val="single" w:sz="4" w:space="0" w:color="auto"/>
              <w:left w:val="single" w:sz="4" w:space="0" w:color="auto"/>
              <w:bottom w:val="single" w:sz="4" w:space="0" w:color="auto"/>
            </w:tcBorders>
            <w:shd w:val="clear" w:color="auto" w:fill="FFFFFF"/>
            <w:vAlign w:val="center"/>
          </w:tcPr>
          <w:p w14:paraId="5CA8EF9C" w14:textId="77777777" w:rsidR="00A4534D" w:rsidRDefault="00A4534D" w:rsidP="00A4534D">
            <w:pPr>
              <w:pStyle w:val="2c"/>
              <w:framePr w:w="6581" w:wrap="notBeside" w:vAnchor="text" w:hAnchor="page" w:x="1165" w:y="-534"/>
              <w:shd w:val="clear" w:color="auto" w:fill="auto"/>
              <w:spacing w:before="0" w:line="168" w:lineRule="exact"/>
              <w:jc w:val="left"/>
            </w:pPr>
            <w:r>
              <w:rPr>
                <w:rStyle w:val="275pt0"/>
              </w:rPr>
              <w:t>Контролирующие органы</w:t>
            </w:r>
          </w:p>
        </w:tc>
        <w:tc>
          <w:tcPr>
            <w:tcW w:w="1003" w:type="dxa"/>
            <w:tcBorders>
              <w:top w:val="single" w:sz="4" w:space="0" w:color="auto"/>
              <w:left w:val="single" w:sz="4" w:space="0" w:color="auto"/>
              <w:bottom w:val="single" w:sz="4" w:space="0" w:color="auto"/>
            </w:tcBorders>
            <w:shd w:val="clear" w:color="auto" w:fill="FFFFFF"/>
          </w:tcPr>
          <w:p w14:paraId="57FD202B" w14:textId="77777777" w:rsidR="00A4534D" w:rsidRDefault="00A4534D" w:rsidP="00A4534D">
            <w:pPr>
              <w:framePr w:w="6581" w:wrap="notBeside" w:vAnchor="text" w:hAnchor="page" w:x="1165" w:y="-534"/>
              <w:rPr>
                <w:sz w:val="10"/>
                <w:szCs w:val="10"/>
              </w:rPr>
            </w:pPr>
          </w:p>
        </w:tc>
        <w:tc>
          <w:tcPr>
            <w:tcW w:w="1090" w:type="dxa"/>
            <w:tcBorders>
              <w:top w:val="single" w:sz="4" w:space="0" w:color="auto"/>
              <w:left w:val="single" w:sz="4" w:space="0" w:color="auto"/>
              <w:bottom w:val="single" w:sz="4" w:space="0" w:color="auto"/>
            </w:tcBorders>
            <w:shd w:val="clear" w:color="auto" w:fill="FFFFFF"/>
          </w:tcPr>
          <w:p w14:paraId="24C7EC10" w14:textId="77777777" w:rsidR="00A4534D" w:rsidRDefault="00A4534D" w:rsidP="00A4534D">
            <w:pPr>
              <w:framePr w:w="6581" w:wrap="notBeside" w:vAnchor="text" w:hAnchor="page" w:x="1165" w:y="-534"/>
              <w:rPr>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24B7DE82" w14:textId="77777777" w:rsidR="00A4534D" w:rsidRDefault="00A4534D" w:rsidP="00A4534D">
            <w:pPr>
              <w:framePr w:w="6581" w:wrap="notBeside" w:vAnchor="text" w:hAnchor="page" w:x="1165" w:y="-534"/>
              <w:rPr>
                <w:sz w:val="10"/>
                <w:szCs w:val="10"/>
              </w:rPr>
            </w:pPr>
          </w:p>
        </w:tc>
      </w:tr>
    </w:tbl>
    <w:p w14:paraId="72AD8686" w14:textId="77777777" w:rsidR="00A4534D" w:rsidRDefault="00A4534D" w:rsidP="00A4534D">
      <w:pPr>
        <w:framePr w:w="6581" w:wrap="notBeside" w:vAnchor="text" w:hAnchor="page" w:x="1165" w:y="-534"/>
        <w:rPr>
          <w:sz w:val="2"/>
          <w:szCs w:val="2"/>
        </w:rPr>
      </w:pPr>
    </w:p>
    <w:p w14:paraId="7B138019" w14:textId="77777777" w:rsidR="00DB7CE1" w:rsidRDefault="00DB7CE1">
      <w:pPr>
        <w:rPr>
          <w:sz w:val="2"/>
          <w:szCs w:val="2"/>
        </w:rPr>
      </w:pPr>
    </w:p>
    <w:p w14:paraId="37FD4D23" w14:textId="77777777" w:rsidR="00350D42" w:rsidRDefault="00350D42">
      <w:pPr>
        <w:rPr>
          <w:sz w:val="2"/>
          <w:szCs w:val="2"/>
        </w:rPr>
        <w:sectPr w:rsidR="00350D42">
          <w:type w:val="continuous"/>
          <w:pgSz w:w="8789" w:h="13493"/>
          <w:pgMar w:top="949" w:right="1072" w:bottom="1136" w:left="1068" w:header="0" w:footer="3" w:gutter="0"/>
          <w:cols w:space="720"/>
          <w:noEndnote/>
          <w:docGrid w:linePitch="360"/>
        </w:sectPr>
      </w:pPr>
    </w:p>
    <w:p w14:paraId="0B84F83B" w14:textId="77777777" w:rsidR="00350D42" w:rsidRDefault="008E6F64">
      <w:pPr>
        <w:pStyle w:val="4c"/>
        <w:keepNext/>
        <w:keepLines/>
        <w:shd w:val="clear" w:color="auto" w:fill="auto"/>
        <w:spacing w:before="0" w:after="166" w:line="274" w:lineRule="exact"/>
        <w:ind w:right="20" w:firstLine="0"/>
        <w:jc w:val="center"/>
      </w:pPr>
      <w:bookmarkStart w:id="111" w:name="bookmark97"/>
      <w:bookmarkStart w:id="112" w:name="bookmark98"/>
      <w:r>
        <w:rPr>
          <w:rStyle w:val="4d"/>
          <w:b/>
          <w:bCs/>
        </w:rPr>
        <w:lastRenderedPageBreak/>
        <w:t>Литература</w:t>
      </w:r>
      <w:bookmarkEnd w:id="111"/>
      <w:bookmarkEnd w:id="112"/>
    </w:p>
    <w:p w14:paraId="3680208F" w14:textId="60585D84" w:rsidR="00791134" w:rsidRPr="00791134" w:rsidRDefault="00791134">
      <w:pPr>
        <w:pStyle w:val="2c"/>
        <w:numPr>
          <w:ilvl w:val="0"/>
          <w:numId w:val="128"/>
        </w:numPr>
        <w:shd w:val="clear" w:color="auto" w:fill="auto"/>
        <w:tabs>
          <w:tab w:val="left" w:pos="591"/>
        </w:tabs>
        <w:spacing w:before="0" w:line="216" w:lineRule="exact"/>
        <w:ind w:firstLine="320"/>
        <w:rPr>
          <w:rStyle w:val="2d"/>
          <w:color w:val="000000"/>
        </w:rPr>
      </w:pPr>
      <w:r w:rsidRPr="00791134">
        <w:rPr>
          <w:color w:val="00B050"/>
          <w:shd w:val="clear" w:color="auto" w:fill="E3E8E8"/>
        </w:rPr>
        <w:t xml:space="preserve">Все изменения в 44-ФЗ на 2021 и 2022 годы: таблицы по месяцам. – [Электронный ресурс]. – Доступ: </w:t>
      </w:r>
      <w:r w:rsidRPr="00791134">
        <w:rPr>
          <w:rFonts w:ascii="PT Sans" w:hAnsi="PT Sans"/>
          <w:color w:val="00B050"/>
          <w:sz w:val="27"/>
          <w:szCs w:val="27"/>
          <w:shd w:val="clear" w:color="auto" w:fill="E3E8E8"/>
        </w:rPr>
        <w:t>/</w:t>
      </w:r>
      <w:r w:rsidRPr="00791134">
        <w:rPr>
          <w:color w:val="00B050"/>
          <w:lang w:val="en-US"/>
        </w:rPr>
        <w:t>https</w:t>
      </w:r>
      <w:r w:rsidRPr="00791134">
        <w:rPr>
          <w:color w:val="00B050"/>
        </w:rPr>
        <w:t>://</w:t>
      </w:r>
      <w:r w:rsidRPr="00791134">
        <w:rPr>
          <w:color w:val="00B050"/>
          <w:lang w:val="en-US"/>
        </w:rPr>
        <w:t>gozakaz</w:t>
      </w:r>
      <w:r w:rsidRPr="00791134">
        <w:rPr>
          <w:color w:val="00B050"/>
        </w:rPr>
        <w:t>.</w:t>
      </w:r>
      <w:r w:rsidRPr="00791134">
        <w:rPr>
          <w:color w:val="00B050"/>
          <w:lang w:val="en-US"/>
        </w:rPr>
        <w:t>ru</w:t>
      </w:r>
      <w:r w:rsidRPr="00791134">
        <w:rPr>
          <w:color w:val="00B050"/>
        </w:rPr>
        <w:t>/</w:t>
      </w:r>
      <w:r w:rsidRPr="00791134">
        <w:rPr>
          <w:color w:val="00B050"/>
          <w:lang w:val="en-US"/>
        </w:rPr>
        <w:t>vse</w:t>
      </w:r>
      <w:r w:rsidRPr="00791134">
        <w:rPr>
          <w:color w:val="00B050"/>
        </w:rPr>
        <w:t>-</w:t>
      </w:r>
      <w:r w:rsidRPr="00791134">
        <w:rPr>
          <w:color w:val="00B050"/>
          <w:lang w:val="en-US"/>
        </w:rPr>
        <w:t>izmeneniya</w:t>
      </w:r>
      <w:r w:rsidRPr="00791134">
        <w:rPr>
          <w:color w:val="00B050"/>
        </w:rPr>
        <w:t>-</w:t>
      </w:r>
      <w:r w:rsidRPr="00791134">
        <w:rPr>
          <w:color w:val="00B050"/>
          <w:lang w:val="en-US"/>
        </w:rPr>
        <w:t>v</w:t>
      </w:r>
      <w:r w:rsidRPr="00791134">
        <w:rPr>
          <w:color w:val="00B050"/>
        </w:rPr>
        <w:t>-44-</w:t>
      </w:r>
      <w:r w:rsidRPr="00791134">
        <w:rPr>
          <w:color w:val="00B050"/>
          <w:lang w:val="en-US"/>
        </w:rPr>
        <w:t>fz</w:t>
      </w:r>
      <w:r w:rsidRPr="00791134">
        <w:rPr>
          <w:color w:val="00B050"/>
        </w:rPr>
        <w:t>-</w:t>
      </w:r>
      <w:r w:rsidRPr="00791134">
        <w:rPr>
          <w:color w:val="00B050"/>
          <w:lang w:val="en-US"/>
        </w:rPr>
        <w:t>i</w:t>
      </w:r>
      <w:r w:rsidRPr="00791134">
        <w:rPr>
          <w:color w:val="00B050"/>
        </w:rPr>
        <w:t>-</w:t>
      </w:r>
      <w:r w:rsidRPr="00791134">
        <w:rPr>
          <w:color w:val="00B050"/>
          <w:lang w:val="en-US"/>
        </w:rPr>
        <w:t>kogda</w:t>
      </w:r>
      <w:r w:rsidRPr="00791134">
        <w:rPr>
          <w:color w:val="00B050"/>
        </w:rPr>
        <w:t>-</w:t>
      </w:r>
      <w:r w:rsidRPr="00791134">
        <w:rPr>
          <w:color w:val="00B050"/>
          <w:lang w:val="en-US"/>
        </w:rPr>
        <w:t>oni</w:t>
      </w:r>
      <w:r w:rsidRPr="00791134">
        <w:rPr>
          <w:color w:val="00B050"/>
        </w:rPr>
        <w:t>-</w:t>
      </w:r>
      <w:r w:rsidRPr="00791134">
        <w:rPr>
          <w:color w:val="00B050"/>
          <w:lang w:val="en-US"/>
        </w:rPr>
        <w:t>vstupayut</w:t>
      </w:r>
      <w:r w:rsidRPr="00791134">
        <w:rPr>
          <w:color w:val="00B050"/>
        </w:rPr>
        <w:t>-</w:t>
      </w:r>
      <w:r w:rsidRPr="00791134">
        <w:rPr>
          <w:color w:val="00B050"/>
          <w:lang w:val="en-US"/>
        </w:rPr>
        <w:t>v</w:t>
      </w:r>
      <w:r w:rsidRPr="00791134">
        <w:rPr>
          <w:color w:val="00B050"/>
        </w:rPr>
        <w:t>-</w:t>
      </w:r>
      <w:r w:rsidRPr="00791134">
        <w:rPr>
          <w:color w:val="00B050"/>
          <w:lang w:val="en-US"/>
        </w:rPr>
        <w:t>silu</w:t>
      </w:r>
      <w:r w:rsidRPr="00791134">
        <w:rPr>
          <w:color w:val="00B050"/>
        </w:rPr>
        <w:t>/</w:t>
      </w:r>
      <w:r w:rsidRPr="00791134">
        <w:rPr>
          <w:rStyle w:val="2d"/>
          <w:color w:val="00B050"/>
        </w:rPr>
        <w:t xml:space="preserve"> Портал</w:t>
      </w:r>
      <w:hyperlink r:id="rId147" w:history="1">
        <w:r w:rsidRPr="00791134">
          <w:rPr>
            <w:rStyle w:val="2d"/>
            <w:color w:val="00B050"/>
          </w:rPr>
          <w:t xml:space="preserve"> </w:t>
        </w:r>
        <w:r w:rsidRPr="00791134">
          <w:rPr>
            <w:rStyle w:val="2d"/>
            <w:color w:val="00B050"/>
            <w:lang w:val="en-US" w:eastAsia="en-US" w:bidi="en-US"/>
          </w:rPr>
          <w:t>GOZAKAZ</w:t>
        </w:r>
        <w:r w:rsidRPr="00791134">
          <w:rPr>
            <w:rStyle w:val="2d"/>
            <w:color w:val="00B050"/>
            <w:lang w:eastAsia="en-US" w:bidi="en-US"/>
          </w:rPr>
          <w:t>.</w:t>
        </w:r>
        <w:r w:rsidRPr="00791134">
          <w:rPr>
            <w:rStyle w:val="2d"/>
            <w:color w:val="00B050"/>
            <w:lang w:val="en-US" w:eastAsia="en-US" w:bidi="en-US"/>
          </w:rPr>
          <w:t>RU</w:t>
        </w:r>
      </w:hyperlink>
      <w:r>
        <w:rPr>
          <w:rStyle w:val="2d"/>
          <w:color w:val="00B050"/>
          <w:lang w:eastAsia="en-US" w:bidi="en-US"/>
        </w:rPr>
        <w:t>.</w:t>
      </w:r>
    </w:p>
    <w:p w14:paraId="0733B1F9" w14:textId="775FEFD1" w:rsidR="00350D42" w:rsidRDefault="008E6F64">
      <w:pPr>
        <w:pStyle w:val="2c"/>
        <w:numPr>
          <w:ilvl w:val="0"/>
          <w:numId w:val="128"/>
        </w:numPr>
        <w:shd w:val="clear" w:color="auto" w:fill="auto"/>
        <w:tabs>
          <w:tab w:val="left" w:pos="591"/>
        </w:tabs>
        <w:spacing w:before="0" w:line="216" w:lineRule="exact"/>
        <w:ind w:firstLine="320"/>
      </w:pPr>
      <w:r>
        <w:rPr>
          <w:rStyle w:val="2d"/>
        </w:rPr>
        <w:t xml:space="preserve">Закупки по правилам Федеральной контрактной системы. — </w:t>
      </w:r>
      <w:r>
        <w:rPr>
          <w:rStyle w:val="2d"/>
          <w:lang w:val="en-US" w:eastAsia="en-US" w:bidi="en-US"/>
        </w:rPr>
        <w:t>URL</w:t>
      </w:r>
      <w:r w:rsidRPr="000E0C7E">
        <w:rPr>
          <w:rStyle w:val="2d"/>
          <w:lang w:eastAsia="en-US" w:bidi="en-US"/>
        </w:rPr>
        <w:t xml:space="preserve">: </w:t>
      </w:r>
      <w:hyperlink r:id="rId148" w:history="1">
        <w:r>
          <w:rPr>
            <w:rStyle w:val="2d"/>
            <w:lang w:val="en-US" w:eastAsia="en-US" w:bidi="en-US"/>
          </w:rPr>
          <w:t>http</w:t>
        </w:r>
        <w:r w:rsidRPr="000E0C7E">
          <w:rPr>
            <w:rStyle w:val="2d"/>
            <w:lang w:eastAsia="en-US" w:bidi="en-US"/>
          </w:rPr>
          <w:t>://</w:t>
        </w:r>
        <w:r>
          <w:rPr>
            <w:rStyle w:val="2d"/>
            <w:lang w:val="en-US" w:eastAsia="en-US" w:bidi="en-US"/>
          </w:rPr>
          <w:t>zakupkifks</w:t>
        </w:r>
        <w:r w:rsidRPr="000E0C7E">
          <w:rPr>
            <w:rStyle w:val="2d"/>
            <w:lang w:eastAsia="en-US" w:bidi="en-US"/>
          </w:rPr>
          <w:t>.</w:t>
        </w:r>
        <w:r>
          <w:rPr>
            <w:rStyle w:val="2d"/>
            <w:lang w:val="en-US" w:eastAsia="en-US" w:bidi="en-US"/>
          </w:rPr>
          <w:t>ru</w:t>
        </w:r>
        <w:r w:rsidRPr="000E0C7E">
          <w:rPr>
            <w:rStyle w:val="2d"/>
            <w:lang w:eastAsia="en-US" w:bidi="en-US"/>
          </w:rPr>
          <w:t>/</w:t>
        </w:r>
        <w:r>
          <w:rPr>
            <w:rStyle w:val="2d"/>
            <w:lang w:val="en-US" w:eastAsia="en-US" w:bidi="en-US"/>
          </w:rPr>
          <w:t>category</w:t>
        </w:r>
      </w:hyperlink>
      <w:r w:rsidRPr="000E0C7E">
        <w:rPr>
          <w:rStyle w:val="2d"/>
          <w:lang w:eastAsia="en-US" w:bidi="en-US"/>
        </w:rPr>
        <w:t>.</w:t>
      </w:r>
    </w:p>
    <w:p w14:paraId="653F5C52" w14:textId="77777777" w:rsidR="00350D42" w:rsidRPr="00A952F9" w:rsidRDefault="008E6F64">
      <w:pPr>
        <w:pStyle w:val="2c"/>
        <w:numPr>
          <w:ilvl w:val="0"/>
          <w:numId w:val="128"/>
        </w:numPr>
        <w:shd w:val="clear" w:color="auto" w:fill="auto"/>
        <w:tabs>
          <w:tab w:val="left" w:pos="591"/>
        </w:tabs>
        <w:spacing w:before="0" w:line="216" w:lineRule="exact"/>
        <w:ind w:firstLine="320"/>
        <w:rPr>
          <w:color w:val="FF0000"/>
        </w:rPr>
      </w:pPr>
      <w:r w:rsidRPr="00A952F9">
        <w:rPr>
          <w:rStyle w:val="2d"/>
          <w:color w:val="FF0000"/>
        </w:rPr>
        <w:t xml:space="preserve">Новая система госзакупок заработает до 2016 года. — </w:t>
      </w:r>
      <w:r w:rsidRPr="00A952F9">
        <w:rPr>
          <w:rStyle w:val="2d"/>
          <w:color w:val="FF0000"/>
          <w:lang w:val="en-US" w:eastAsia="en-US" w:bidi="en-US"/>
        </w:rPr>
        <w:t>URL</w:t>
      </w:r>
      <w:r w:rsidRPr="00A952F9">
        <w:rPr>
          <w:rStyle w:val="2d"/>
          <w:color w:val="FF0000"/>
          <w:lang w:eastAsia="en-US" w:bidi="en-US"/>
        </w:rPr>
        <w:t xml:space="preserve">: </w:t>
      </w:r>
      <w:r w:rsidRPr="00A952F9">
        <w:rPr>
          <w:rStyle w:val="2d"/>
          <w:color w:val="FF0000"/>
          <w:lang w:val="en-US" w:eastAsia="en-US" w:bidi="en-US"/>
        </w:rPr>
        <w:t>http</w:t>
      </w:r>
      <w:r w:rsidRPr="00A952F9">
        <w:rPr>
          <w:rStyle w:val="2d"/>
          <w:color w:val="FF0000"/>
          <w:lang w:eastAsia="en-US" w:bidi="en-US"/>
        </w:rPr>
        <w:t xml:space="preserve">:// </w:t>
      </w:r>
      <w:hyperlink r:id="rId149" w:history="1">
        <w:r w:rsidRPr="00A952F9">
          <w:rPr>
            <w:rStyle w:val="2d"/>
            <w:color w:val="FF0000"/>
            <w:lang w:val="en-US" w:eastAsia="en-US" w:bidi="en-US"/>
          </w:rPr>
          <w:t>www</w:t>
        </w:r>
        <w:r w:rsidRPr="00A952F9">
          <w:rPr>
            <w:rStyle w:val="2d"/>
            <w:color w:val="FF0000"/>
            <w:lang w:eastAsia="en-US" w:bidi="en-US"/>
          </w:rPr>
          <w:t>.</w:t>
        </w:r>
        <w:r w:rsidRPr="00A952F9">
          <w:rPr>
            <w:rStyle w:val="2d"/>
            <w:color w:val="FF0000"/>
            <w:lang w:val="en-US" w:eastAsia="en-US" w:bidi="en-US"/>
          </w:rPr>
          <w:t>pravcons</w:t>
        </w:r>
        <w:r w:rsidRPr="00A952F9">
          <w:rPr>
            <w:rStyle w:val="2d"/>
            <w:color w:val="FF0000"/>
            <w:lang w:eastAsia="en-US" w:bidi="en-US"/>
          </w:rPr>
          <w:t>.</w:t>
        </w:r>
        <w:r w:rsidRPr="00A952F9">
          <w:rPr>
            <w:rStyle w:val="2d"/>
            <w:color w:val="FF0000"/>
            <w:lang w:val="en-US" w:eastAsia="en-US" w:bidi="en-US"/>
          </w:rPr>
          <w:t>ru</w:t>
        </w:r>
        <w:r w:rsidRPr="00A952F9">
          <w:rPr>
            <w:rStyle w:val="2d"/>
            <w:color w:val="FF0000"/>
            <w:lang w:eastAsia="en-US" w:bidi="en-US"/>
          </w:rPr>
          <w:t>/</w:t>
        </w:r>
        <w:r w:rsidRPr="00A952F9">
          <w:rPr>
            <w:rStyle w:val="2d"/>
            <w:color w:val="FF0000"/>
            <w:lang w:val="en-US" w:eastAsia="en-US" w:bidi="en-US"/>
          </w:rPr>
          <w:t>articles</w:t>
        </w:r>
        <w:r w:rsidRPr="00A952F9">
          <w:rPr>
            <w:rStyle w:val="2d"/>
            <w:color w:val="FF0000"/>
            <w:lang w:eastAsia="en-US" w:bidi="en-US"/>
          </w:rPr>
          <w:t>/</w:t>
        </w:r>
        <w:r w:rsidRPr="00A952F9">
          <w:rPr>
            <w:rStyle w:val="2d"/>
            <w:color w:val="FF0000"/>
            <w:lang w:val="en-US" w:eastAsia="en-US" w:bidi="en-US"/>
          </w:rPr>
          <w:t>publ</w:t>
        </w:r>
        <w:r w:rsidRPr="00A952F9">
          <w:rPr>
            <w:rStyle w:val="2d"/>
            <w:color w:val="FF0000"/>
            <w:lang w:eastAsia="en-US" w:bidi="en-US"/>
          </w:rPr>
          <w:t>/</w:t>
        </w:r>
        <w:r w:rsidRPr="00A952F9">
          <w:rPr>
            <w:rStyle w:val="2d"/>
            <w:color w:val="FF0000"/>
            <w:lang w:val="en-US" w:eastAsia="en-US" w:bidi="en-US"/>
          </w:rPr>
          <w:t>novaya</w:t>
        </w:r>
        <w:r w:rsidRPr="00A952F9">
          <w:rPr>
            <w:rStyle w:val="2d"/>
            <w:color w:val="FF0000"/>
            <w:lang w:eastAsia="en-US" w:bidi="en-US"/>
          </w:rPr>
          <w:t>-</w:t>
        </w:r>
        <w:r w:rsidRPr="00A952F9">
          <w:rPr>
            <w:rStyle w:val="2d"/>
            <w:color w:val="FF0000"/>
            <w:lang w:val="en-US" w:eastAsia="en-US" w:bidi="en-US"/>
          </w:rPr>
          <w:t>sistema</w:t>
        </w:r>
        <w:r w:rsidRPr="00A952F9">
          <w:rPr>
            <w:rStyle w:val="2d"/>
            <w:color w:val="FF0000"/>
            <w:lang w:eastAsia="en-US" w:bidi="en-US"/>
          </w:rPr>
          <w:t>-</w:t>
        </w:r>
        <w:r w:rsidRPr="00A952F9">
          <w:rPr>
            <w:rStyle w:val="2d"/>
            <w:color w:val="FF0000"/>
            <w:lang w:val="en-US" w:eastAsia="en-US" w:bidi="en-US"/>
          </w:rPr>
          <w:t>goszakupok</w:t>
        </w:r>
        <w:r w:rsidRPr="00A952F9">
          <w:rPr>
            <w:rStyle w:val="2d"/>
            <w:color w:val="FF0000"/>
            <w:lang w:eastAsia="en-US" w:bidi="en-US"/>
          </w:rPr>
          <w:t>-</w:t>
        </w:r>
        <w:r w:rsidRPr="00A952F9">
          <w:rPr>
            <w:rStyle w:val="2d"/>
            <w:color w:val="FF0000"/>
            <w:lang w:val="en-US" w:eastAsia="en-US" w:bidi="en-US"/>
          </w:rPr>
          <w:t>zarabotaet</w:t>
        </w:r>
        <w:r w:rsidRPr="00A952F9">
          <w:rPr>
            <w:rStyle w:val="2d"/>
            <w:color w:val="FF0000"/>
            <w:lang w:eastAsia="en-US" w:bidi="en-US"/>
          </w:rPr>
          <w:t>-</w:t>
        </w:r>
        <w:r w:rsidRPr="00A952F9">
          <w:rPr>
            <w:rStyle w:val="2d"/>
            <w:color w:val="FF0000"/>
            <w:lang w:val="en-US" w:eastAsia="en-US" w:bidi="en-US"/>
          </w:rPr>
          <w:t>do</w:t>
        </w:r>
        <w:r w:rsidRPr="00A952F9">
          <w:rPr>
            <w:rStyle w:val="2d"/>
            <w:color w:val="FF0000"/>
            <w:lang w:eastAsia="en-US" w:bidi="en-US"/>
          </w:rPr>
          <w:t xml:space="preserve">-2016- </w:t>
        </w:r>
        <w:r w:rsidRPr="00A952F9">
          <w:rPr>
            <w:rStyle w:val="2d"/>
            <w:color w:val="FF0000"/>
            <w:lang w:val="en-US" w:eastAsia="en-US" w:bidi="en-US"/>
          </w:rPr>
          <w:t>goda</w:t>
        </w:r>
        <w:r w:rsidRPr="00A952F9">
          <w:rPr>
            <w:rStyle w:val="2d"/>
            <w:color w:val="FF0000"/>
            <w:lang w:eastAsia="en-US" w:bidi="en-US"/>
          </w:rPr>
          <w:t>/</w:t>
        </w:r>
      </w:hyperlink>
      <w:r w:rsidRPr="00A952F9">
        <w:rPr>
          <w:rStyle w:val="2d"/>
          <w:color w:val="FF0000"/>
          <w:lang w:eastAsia="en-US" w:bidi="en-US"/>
        </w:rPr>
        <w:t>.</w:t>
      </w:r>
    </w:p>
    <w:p w14:paraId="4AC59ED7" w14:textId="2642235A" w:rsidR="00350D42" w:rsidRDefault="008E6F64">
      <w:pPr>
        <w:pStyle w:val="2c"/>
        <w:numPr>
          <w:ilvl w:val="0"/>
          <w:numId w:val="128"/>
        </w:numPr>
        <w:shd w:val="clear" w:color="auto" w:fill="auto"/>
        <w:tabs>
          <w:tab w:val="left" w:pos="591"/>
        </w:tabs>
        <w:spacing w:before="0" w:line="216" w:lineRule="exact"/>
        <w:ind w:firstLine="320"/>
        <w:rPr>
          <w:rStyle w:val="2d"/>
          <w:color w:val="FF0000"/>
        </w:rPr>
      </w:pPr>
      <w:r w:rsidRPr="00A952F9">
        <w:rPr>
          <w:rStyle w:val="2d"/>
          <w:color w:val="FF0000"/>
        </w:rPr>
        <w:t xml:space="preserve">Новые правила госзакупок итоги года. — </w:t>
      </w:r>
      <w:r w:rsidRPr="00A952F9">
        <w:rPr>
          <w:rStyle w:val="2d"/>
          <w:color w:val="FF0000"/>
          <w:lang w:val="en-US" w:eastAsia="en-US" w:bidi="en-US"/>
        </w:rPr>
        <w:t>URL</w:t>
      </w:r>
      <w:r w:rsidRPr="00A952F9">
        <w:rPr>
          <w:rStyle w:val="2d"/>
          <w:color w:val="FF0000"/>
          <w:lang w:eastAsia="en-US" w:bidi="en-US"/>
        </w:rPr>
        <w:t xml:space="preserve">: </w:t>
      </w:r>
      <w:hyperlink r:id="rId150" w:history="1">
        <w:r w:rsidRPr="00A952F9">
          <w:rPr>
            <w:rStyle w:val="2d"/>
            <w:color w:val="FF0000"/>
            <w:lang w:val="en-US" w:eastAsia="en-US" w:bidi="en-US"/>
          </w:rPr>
          <w:t>http</w:t>
        </w:r>
        <w:r w:rsidRPr="00A952F9">
          <w:rPr>
            <w:rStyle w:val="2d"/>
            <w:color w:val="FF0000"/>
            <w:lang w:eastAsia="en-US" w:bidi="en-US"/>
          </w:rPr>
          <w:t>://</w:t>
        </w:r>
        <w:r w:rsidRPr="00A952F9">
          <w:rPr>
            <w:rStyle w:val="2d"/>
            <w:color w:val="FF0000"/>
            <w:lang w:val="en-US" w:eastAsia="en-US" w:bidi="en-US"/>
          </w:rPr>
          <w:t>goszakupki</w:t>
        </w:r>
        <w:r w:rsidRPr="00A952F9">
          <w:rPr>
            <w:rStyle w:val="2d"/>
            <w:color w:val="FF0000"/>
            <w:lang w:eastAsia="en-US" w:bidi="en-US"/>
          </w:rPr>
          <w:t>.</w:t>
        </w:r>
        <w:r w:rsidRPr="00A952F9">
          <w:rPr>
            <w:rStyle w:val="2d"/>
            <w:color w:val="FF0000"/>
            <w:lang w:val="en-US" w:eastAsia="en-US" w:bidi="en-US"/>
          </w:rPr>
          <w:t>open</w:t>
        </w:r>
      </w:hyperlink>
      <w:r w:rsidRPr="00A952F9">
        <w:rPr>
          <w:rStyle w:val="2d"/>
          <w:color w:val="FF0000"/>
          <w:lang w:eastAsia="en-US" w:bidi="en-US"/>
        </w:rPr>
        <w:t xml:space="preserve">. </w:t>
      </w:r>
      <w:r w:rsidRPr="00A952F9">
        <w:rPr>
          <w:rStyle w:val="2d"/>
          <w:color w:val="FF0000"/>
          <w:lang w:val="en-US" w:eastAsia="en-US" w:bidi="en-US"/>
        </w:rPr>
        <w:t>gov</w:t>
      </w:r>
      <w:r w:rsidRPr="00A952F9">
        <w:rPr>
          <w:rStyle w:val="2d"/>
          <w:color w:val="FF0000"/>
          <w:lang w:eastAsia="en-US" w:bidi="en-US"/>
        </w:rPr>
        <w:t>.</w:t>
      </w:r>
      <w:r w:rsidRPr="00A952F9">
        <w:rPr>
          <w:rStyle w:val="2d"/>
          <w:color w:val="FF0000"/>
          <w:lang w:val="en-US" w:eastAsia="en-US" w:bidi="en-US"/>
        </w:rPr>
        <w:t>ru</w:t>
      </w:r>
      <w:r w:rsidRPr="00A952F9">
        <w:rPr>
          <w:rStyle w:val="2d"/>
          <w:color w:val="FF0000"/>
          <w:lang w:eastAsia="en-US" w:bidi="en-US"/>
        </w:rPr>
        <w:t>/</w:t>
      </w:r>
      <w:r w:rsidRPr="00A952F9">
        <w:rPr>
          <w:rStyle w:val="2d"/>
          <w:color w:val="FF0000"/>
          <w:lang w:val="en-US" w:eastAsia="en-US" w:bidi="en-US"/>
        </w:rPr>
        <w:t>events</w:t>
      </w:r>
      <w:r w:rsidRPr="00A952F9">
        <w:rPr>
          <w:rStyle w:val="2d"/>
          <w:color w:val="FF0000"/>
          <w:lang w:eastAsia="en-US" w:bidi="en-US"/>
        </w:rPr>
        <w:t>/5512215/.</w:t>
      </w:r>
    </w:p>
    <w:p w14:paraId="3A495D1A" w14:textId="77777777" w:rsidR="00A952F9" w:rsidRPr="00DB7CE1" w:rsidRDefault="00A952F9" w:rsidP="00A952F9">
      <w:pPr>
        <w:pStyle w:val="2c"/>
        <w:numPr>
          <w:ilvl w:val="0"/>
          <w:numId w:val="128"/>
        </w:numPr>
        <w:shd w:val="clear" w:color="auto" w:fill="auto"/>
        <w:tabs>
          <w:tab w:val="left" w:pos="610"/>
        </w:tabs>
        <w:spacing w:before="0" w:line="216" w:lineRule="exact"/>
        <w:ind w:firstLine="320"/>
        <w:rPr>
          <w:rStyle w:val="af9"/>
          <w:color w:val="FF0000"/>
          <w:u w:val="none"/>
        </w:rPr>
      </w:pPr>
      <w:r w:rsidRPr="00093686">
        <w:rPr>
          <w:color w:val="00B050"/>
        </w:rPr>
        <w:t xml:space="preserve">Таблица основных изменений правил осуществления закупок по 44-ФЗ и 223-ФЗ в условиях действия санкций и ограничительных мер. – [Электронный ресурс]. </w:t>
      </w:r>
      <w:r>
        <w:rPr>
          <w:color w:val="00B050"/>
        </w:rPr>
        <w:t>–</w:t>
      </w:r>
      <w:r w:rsidRPr="00093686">
        <w:rPr>
          <w:color w:val="00B050"/>
        </w:rPr>
        <w:t xml:space="preserve"> </w:t>
      </w:r>
      <w:r>
        <w:rPr>
          <w:color w:val="00B050"/>
        </w:rPr>
        <w:t xml:space="preserve">Доступ: </w:t>
      </w:r>
      <w:hyperlink r:id="rId151" w:history="1">
        <w:r w:rsidRPr="0074785A">
          <w:rPr>
            <w:rStyle w:val="af9"/>
            <w:lang w:val="en-US"/>
          </w:rPr>
          <w:t>https</w:t>
        </w:r>
        <w:r w:rsidRPr="0074785A">
          <w:rPr>
            <w:rStyle w:val="af9"/>
          </w:rPr>
          <w:t>://</w:t>
        </w:r>
        <w:r w:rsidRPr="0074785A">
          <w:rPr>
            <w:rStyle w:val="af9"/>
            <w:lang w:val="en-US"/>
          </w:rPr>
          <w:t>www</w:t>
        </w:r>
        <w:r w:rsidRPr="0074785A">
          <w:rPr>
            <w:rStyle w:val="af9"/>
          </w:rPr>
          <w:t>.</w:t>
        </w:r>
        <w:r w:rsidRPr="0074785A">
          <w:rPr>
            <w:rStyle w:val="af9"/>
            <w:lang w:val="en-US"/>
          </w:rPr>
          <w:t>fcaudit</w:t>
        </w:r>
        <w:r w:rsidRPr="0074785A">
          <w:rPr>
            <w:rStyle w:val="af9"/>
          </w:rPr>
          <w:t>.</w:t>
        </w:r>
        <w:r w:rsidRPr="0074785A">
          <w:rPr>
            <w:rStyle w:val="af9"/>
            <w:lang w:val="en-US"/>
          </w:rPr>
          <w:t>ru</w:t>
        </w:r>
        <w:r w:rsidRPr="0074785A">
          <w:rPr>
            <w:rStyle w:val="af9"/>
          </w:rPr>
          <w:t>/</w:t>
        </w:r>
        <w:r w:rsidRPr="0074785A">
          <w:rPr>
            <w:rStyle w:val="af9"/>
            <w:lang w:val="en-US"/>
          </w:rPr>
          <w:t>blog</w:t>
        </w:r>
        <w:r w:rsidRPr="0074785A">
          <w:rPr>
            <w:rStyle w:val="af9"/>
          </w:rPr>
          <w:t>/</w:t>
        </w:r>
        <w:r w:rsidRPr="0074785A">
          <w:rPr>
            <w:rStyle w:val="af9"/>
            <w:lang w:val="en-US"/>
          </w:rPr>
          <w:t>tablitsa</w:t>
        </w:r>
        <w:r w:rsidRPr="0074785A">
          <w:rPr>
            <w:rStyle w:val="af9"/>
          </w:rPr>
          <w:t>-</w:t>
        </w:r>
        <w:r w:rsidRPr="0074785A">
          <w:rPr>
            <w:rStyle w:val="af9"/>
            <w:lang w:val="en-US"/>
          </w:rPr>
          <w:t>osnovnykh</w:t>
        </w:r>
        <w:r w:rsidRPr="0074785A">
          <w:rPr>
            <w:rStyle w:val="af9"/>
          </w:rPr>
          <w:t>-</w:t>
        </w:r>
        <w:r w:rsidRPr="0074785A">
          <w:rPr>
            <w:rStyle w:val="af9"/>
            <w:lang w:val="en-US"/>
          </w:rPr>
          <w:t>izmeneniy</w:t>
        </w:r>
        <w:r w:rsidRPr="0074785A">
          <w:rPr>
            <w:rStyle w:val="af9"/>
          </w:rPr>
          <w:t>-</w:t>
        </w:r>
        <w:r w:rsidRPr="0074785A">
          <w:rPr>
            <w:rStyle w:val="af9"/>
            <w:lang w:val="en-US"/>
          </w:rPr>
          <w:t>pravil</w:t>
        </w:r>
        <w:r w:rsidRPr="0074785A">
          <w:rPr>
            <w:rStyle w:val="af9"/>
          </w:rPr>
          <w:t>-</w:t>
        </w:r>
        <w:r w:rsidRPr="0074785A">
          <w:rPr>
            <w:rStyle w:val="af9"/>
            <w:lang w:val="en-US"/>
          </w:rPr>
          <w:t>osushchestvleniya</w:t>
        </w:r>
        <w:r w:rsidRPr="0074785A">
          <w:rPr>
            <w:rStyle w:val="af9"/>
          </w:rPr>
          <w:t>-</w:t>
        </w:r>
        <w:r w:rsidRPr="0074785A">
          <w:rPr>
            <w:rStyle w:val="af9"/>
            <w:lang w:val="en-US"/>
          </w:rPr>
          <w:t>zakupok</w:t>
        </w:r>
        <w:r w:rsidRPr="0074785A">
          <w:rPr>
            <w:rStyle w:val="af9"/>
          </w:rPr>
          <w:t>/</w:t>
        </w:r>
      </w:hyperlink>
      <w:r>
        <w:rPr>
          <w:rStyle w:val="af9"/>
          <w:color w:val="00B050"/>
          <w:u w:val="none"/>
        </w:rPr>
        <w:t>.</w:t>
      </w:r>
    </w:p>
    <w:p w14:paraId="2B857DCC" w14:textId="77777777" w:rsidR="00A952F9" w:rsidRPr="005D6809" w:rsidRDefault="00A952F9" w:rsidP="00A952F9">
      <w:pPr>
        <w:pStyle w:val="header-singleitem"/>
        <w:numPr>
          <w:ilvl w:val="0"/>
          <w:numId w:val="128"/>
        </w:numPr>
        <w:spacing w:before="0" w:beforeAutospacing="0" w:after="0" w:afterAutospacing="0" w:line="197" w:lineRule="exact"/>
        <w:ind w:firstLine="318"/>
        <w:jc w:val="both"/>
        <w:rPr>
          <w:rFonts w:ascii="Bookman Old Style" w:hAnsi="Bookman Old Style"/>
          <w:color w:val="00B050"/>
          <w:sz w:val="18"/>
          <w:szCs w:val="18"/>
        </w:rPr>
      </w:pPr>
      <w:r w:rsidRPr="005D6809">
        <w:rPr>
          <w:rFonts w:ascii="Bookman Old Style" w:hAnsi="Bookman Old Style"/>
          <w:color w:val="00B050"/>
          <w:sz w:val="18"/>
          <w:szCs w:val="18"/>
        </w:rPr>
        <w:t>Бельковиц-Краснов В. Приняты масштабные изменения в законы о госзакупках и контрактной системе. – [Электронный ресурс]. – Доступ: https://buhguru.com/news/izmeneniya-2021-v-zakony-o-goszakupkah-i-kontraktnoj-sisteme.html</w:t>
      </w:r>
      <w:r>
        <w:rPr>
          <w:rFonts w:ascii="Bookman Old Style" w:hAnsi="Bookman Old Style"/>
          <w:color w:val="00B050"/>
          <w:sz w:val="18"/>
          <w:szCs w:val="18"/>
        </w:rPr>
        <w:t>.</w:t>
      </w:r>
    </w:p>
    <w:p w14:paraId="1A6B6AE9" w14:textId="77777777" w:rsidR="00350D42" w:rsidRDefault="008E6F64">
      <w:pPr>
        <w:pStyle w:val="2c"/>
        <w:numPr>
          <w:ilvl w:val="0"/>
          <w:numId w:val="128"/>
        </w:numPr>
        <w:shd w:val="clear" w:color="auto" w:fill="auto"/>
        <w:tabs>
          <w:tab w:val="left" w:pos="591"/>
        </w:tabs>
        <w:spacing w:before="0" w:line="216" w:lineRule="exact"/>
        <w:ind w:firstLine="320"/>
      </w:pPr>
      <w:r>
        <w:rPr>
          <w:rStyle w:val="2d"/>
        </w:rPr>
        <w:t>Практикум по психологии менеджмента и профессиональной деятель</w:t>
      </w:r>
      <w:r>
        <w:rPr>
          <w:rStyle w:val="2d"/>
        </w:rPr>
        <w:softHyphen/>
        <w:t>ности / под ред. Г. С. Никифорова, М. А. Дмитриевой, В. М. Снеткова. — СПб. : Речь, 2001.</w:t>
      </w:r>
    </w:p>
    <w:p w14:paraId="25F12717" w14:textId="77777777" w:rsidR="00350D42" w:rsidRDefault="008E6F64">
      <w:pPr>
        <w:pStyle w:val="2c"/>
        <w:numPr>
          <w:ilvl w:val="0"/>
          <w:numId w:val="128"/>
        </w:numPr>
        <w:shd w:val="clear" w:color="auto" w:fill="auto"/>
        <w:tabs>
          <w:tab w:val="left" w:pos="591"/>
        </w:tabs>
        <w:spacing w:before="0" w:line="216" w:lineRule="exact"/>
        <w:ind w:firstLine="320"/>
      </w:pPr>
      <w:r>
        <w:rPr>
          <w:rStyle w:val="2d"/>
        </w:rPr>
        <w:t>Система госзакупок: на пути к новому качеству: доклад Государствен</w:t>
      </w:r>
      <w:r>
        <w:rPr>
          <w:rStyle w:val="2d"/>
        </w:rPr>
        <w:softHyphen/>
        <w:t>ного Университета — Высшая Школа Экономики / рук. проекта А. А. Яков</w:t>
      </w:r>
      <w:r>
        <w:rPr>
          <w:rStyle w:val="2d"/>
        </w:rPr>
        <w:softHyphen/>
        <w:t>лев. — М., 2010.</w:t>
      </w:r>
    </w:p>
    <w:p w14:paraId="2F756AE8" w14:textId="77777777" w:rsidR="00350D42" w:rsidRDefault="008E6F64">
      <w:pPr>
        <w:pStyle w:val="2c"/>
        <w:numPr>
          <w:ilvl w:val="0"/>
          <w:numId w:val="128"/>
        </w:numPr>
        <w:shd w:val="clear" w:color="auto" w:fill="auto"/>
        <w:tabs>
          <w:tab w:val="left" w:pos="591"/>
        </w:tabs>
        <w:spacing w:before="0" w:line="216" w:lineRule="exact"/>
        <w:ind w:firstLine="320"/>
      </w:pPr>
      <w:r>
        <w:rPr>
          <w:rStyle w:val="2d"/>
        </w:rPr>
        <w:t>Управление государственными закупками в Санкт-Петербурге / под ред. В. В. Бланка, Ю. П. Панибратова, С. Р. Тажетдинова. — СПб., 2004.</w:t>
      </w:r>
    </w:p>
    <w:p w14:paraId="4693200C" w14:textId="48C5A7C5" w:rsidR="00350D42" w:rsidRPr="00791134" w:rsidRDefault="008E6F64">
      <w:pPr>
        <w:pStyle w:val="2c"/>
        <w:numPr>
          <w:ilvl w:val="0"/>
          <w:numId w:val="128"/>
        </w:numPr>
        <w:shd w:val="clear" w:color="auto" w:fill="auto"/>
        <w:tabs>
          <w:tab w:val="left" w:pos="591"/>
        </w:tabs>
        <w:spacing w:before="0" w:line="216" w:lineRule="exact"/>
        <w:ind w:firstLine="320"/>
        <w:rPr>
          <w:rStyle w:val="2d"/>
          <w:color w:val="FF0000"/>
          <w:lang w:val="en-US"/>
        </w:rPr>
      </w:pPr>
      <w:r w:rsidRPr="00791134">
        <w:rPr>
          <w:rStyle w:val="2d"/>
          <w:color w:val="FF0000"/>
          <w:lang w:val="en-US" w:eastAsia="en-US" w:bidi="en-US"/>
        </w:rPr>
        <w:t xml:space="preserve">News Line of RosBusines Consulting </w:t>
      </w:r>
      <w:r w:rsidRPr="00791134">
        <w:rPr>
          <w:rStyle w:val="2d"/>
          <w:color w:val="FF0000"/>
          <w:lang w:val="en-US"/>
        </w:rPr>
        <w:t xml:space="preserve">/ </w:t>
      </w:r>
      <w:r w:rsidRPr="00791134">
        <w:rPr>
          <w:rStyle w:val="2d"/>
          <w:color w:val="FF0000"/>
          <w:lang w:val="en-US" w:eastAsia="en-US" w:bidi="en-US"/>
        </w:rPr>
        <w:t xml:space="preserve">16.11.01. — URL: </w:t>
      </w:r>
      <w:hyperlink r:id="rId152" w:history="1">
        <w:r w:rsidRPr="00791134">
          <w:rPr>
            <w:rStyle w:val="2d"/>
            <w:color w:val="FF0000"/>
            <w:lang w:val="en-US" w:eastAsia="en-US" w:bidi="en-US"/>
          </w:rPr>
          <w:t>http://www.rbc.ru/</w:t>
        </w:r>
      </w:hyperlink>
      <w:r w:rsidRPr="00791134">
        <w:rPr>
          <w:rStyle w:val="2d"/>
          <w:color w:val="FF0000"/>
          <w:lang w:val="en-US" w:eastAsia="en-US" w:bidi="en-US"/>
        </w:rPr>
        <w:t xml:space="preserve"> spb/freenews/2001111518191.shtml; News Line of RosBusines Consulting/16.11.01.</w:t>
      </w:r>
    </w:p>
    <w:p w14:paraId="15413711" w14:textId="77777777" w:rsidR="00350D42" w:rsidRPr="00791134" w:rsidRDefault="008E6F64">
      <w:pPr>
        <w:pStyle w:val="2c"/>
        <w:numPr>
          <w:ilvl w:val="0"/>
          <w:numId w:val="128"/>
        </w:numPr>
        <w:shd w:val="clear" w:color="auto" w:fill="auto"/>
        <w:tabs>
          <w:tab w:val="left" w:pos="608"/>
        </w:tabs>
        <w:spacing w:before="0" w:line="216" w:lineRule="exact"/>
        <w:ind w:firstLine="320"/>
        <w:rPr>
          <w:color w:val="FF0000"/>
          <w:lang w:val="en-US"/>
        </w:rPr>
      </w:pPr>
      <w:r w:rsidRPr="00791134">
        <w:rPr>
          <w:rStyle w:val="2d"/>
          <w:color w:val="FF0000"/>
          <w:lang w:val="en-US" w:eastAsia="en-US" w:bidi="en-US"/>
        </w:rPr>
        <w:t xml:space="preserve">URL: </w:t>
      </w:r>
      <w:hyperlink r:id="rId153" w:history="1">
        <w:r w:rsidRPr="00791134">
          <w:rPr>
            <w:rStyle w:val="2d"/>
            <w:color w:val="FF0000"/>
            <w:lang w:val="en-US" w:eastAsia="en-US" w:bidi="en-US"/>
          </w:rPr>
          <w:t>http://top.rbc.ru/economics/15/08/2013/870272.shtml/</w:t>
        </w:r>
      </w:hyperlink>
      <w:r w:rsidRPr="00791134">
        <w:rPr>
          <w:rStyle w:val="2d"/>
          <w:color w:val="FF0000"/>
          <w:lang w:val="en-US" w:eastAsia="en-US" w:bidi="en-US"/>
        </w:rPr>
        <w:t>.</w:t>
      </w:r>
    </w:p>
    <w:p w14:paraId="0FA85B5D" w14:textId="77777777" w:rsidR="00350D42" w:rsidRPr="0037643E" w:rsidRDefault="008E6F64">
      <w:pPr>
        <w:pStyle w:val="2c"/>
        <w:numPr>
          <w:ilvl w:val="0"/>
          <w:numId w:val="128"/>
        </w:numPr>
        <w:shd w:val="clear" w:color="auto" w:fill="auto"/>
        <w:tabs>
          <w:tab w:val="left" w:pos="608"/>
        </w:tabs>
        <w:spacing w:before="0" w:line="216" w:lineRule="exact"/>
        <w:ind w:firstLine="320"/>
        <w:rPr>
          <w:rStyle w:val="2d"/>
          <w:color w:val="FF0000"/>
        </w:rPr>
      </w:pPr>
      <w:r w:rsidRPr="0037643E">
        <w:rPr>
          <w:rStyle w:val="2d"/>
          <w:color w:val="FF0000"/>
        </w:rPr>
        <w:t>Обзор изменений в госзакупках в 2019 году: Портал</w:t>
      </w:r>
      <w:hyperlink r:id="rId154" w:history="1">
        <w:r w:rsidRPr="0037643E">
          <w:rPr>
            <w:rStyle w:val="2d"/>
            <w:color w:val="FF0000"/>
          </w:rPr>
          <w:t xml:space="preserve"> </w:t>
        </w:r>
        <w:r w:rsidRPr="0037643E">
          <w:rPr>
            <w:rStyle w:val="2d"/>
            <w:color w:val="FF0000"/>
            <w:lang w:val="en-US" w:eastAsia="en-US" w:bidi="en-US"/>
          </w:rPr>
          <w:t>GOZAKAZ</w:t>
        </w:r>
        <w:r w:rsidRPr="0037643E">
          <w:rPr>
            <w:rStyle w:val="2d"/>
            <w:color w:val="FF0000"/>
            <w:lang w:eastAsia="en-US" w:bidi="en-US"/>
          </w:rPr>
          <w:t>.</w:t>
        </w:r>
        <w:r w:rsidRPr="0037643E">
          <w:rPr>
            <w:rStyle w:val="2d"/>
            <w:color w:val="FF0000"/>
            <w:lang w:val="en-US" w:eastAsia="en-US" w:bidi="en-US"/>
          </w:rPr>
          <w:t>RU</w:t>
        </w:r>
      </w:hyperlink>
      <w:r w:rsidRPr="0037643E">
        <w:rPr>
          <w:rStyle w:val="2d"/>
          <w:color w:val="FF0000"/>
          <w:lang w:eastAsia="en-US" w:bidi="en-US"/>
        </w:rPr>
        <w:t>.</w:t>
      </w:r>
    </w:p>
    <w:p w14:paraId="01EA3E54" w14:textId="0A73985A" w:rsidR="0037643E" w:rsidRPr="0037643E" w:rsidRDefault="0037643E">
      <w:pPr>
        <w:pStyle w:val="2c"/>
        <w:numPr>
          <w:ilvl w:val="0"/>
          <w:numId w:val="128"/>
        </w:numPr>
        <w:shd w:val="clear" w:color="auto" w:fill="auto"/>
        <w:tabs>
          <w:tab w:val="left" w:pos="608"/>
        </w:tabs>
        <w:spacing w:before="0" w:line="216" w:lineRule="exact"/>
        <w:ind w:firstLine="320"/>
        <w:rPr>
          <w:color w:val="FF0000"/>
        </w:rPr>
        <w:sectPr w:rsidR="0037643E" w:rsidRPr="0037643E">
          <w:footerReference w:type="even" r:id="rId155"/>
          <w:footerReference w:type="default" r:id="rId156"/>
          <w:pgSz w:w="8789" w:h="13493"/>
          <w:pgMar w:top="949" w:right="1072" w:bottom="1136" w:left="1068" w:header="0" w:footer="3" w:gutter="0"/>
          <w:cols w:space="720"/>
          <w:noEndnote/>
          <w:titlePg/>
          <w:docGrid w:linePitch="360"/>
        </w:sectPr>
      </w:pPr>
    </w:p>
    <w:p w14:paraId="1265C402" w14:textId="77777777" w:rsidR="00350D42" w:rsidRDefault="00350D42">
      <w:pPr>
        <w:spacing w:line="240" w:lineRule="exact"/>
        <w:rPr>
          <w:sz w:val="19"/>
          <w:szCs w:val="19"/>
        </w:rPr>
      </w:pPr>
    </w:p>
    <w:p w14:paraId="651D29A3" w14:textId="77777777" w:rsidR="00350D42" w:rsidRDefault="00350D42">
      <w:pPr>
        <w:spacing w:line="240" w:lineRule="exact"/>
        <w:rPr>
          <w:sz w:val="19"/>
          <w:szCs w:val="19"/>
        </w:rPr>
      </w:pPr>
    </w:p>
    <w:p w14:paraId="2AD349CD" w14:textId="77777777" w:rsidR="00350D42" w:rsidRDefault="00350D42">
      <w:pPr>
        <w:spacing w:line="240" w:lineRule="exact"/>
        <w:rPr>
          <w:sz w:val="19"/>
          <w:szCs w:val="19"/>
        </w:rPr>
      </w:pPr>
    </w:p>
    <w:p w14:paraId="06C3136B" w14:textId="77777777" w:rsidR="00350D42" w:rsidRDefault="00350D42">
      <w:pPr>
        <w:spacing w:before="46" w:after="46" w:line="240" w:lineRule="exact"/>
        <w:rPr>
          <w:sz w:val="19"/>
          <w:szCs w:val="19"/>
        </w:rPr>
      </w:pPr>
    </w:p>
    <w:p w14:paraId="04CCB077" w14:textId="77777777" w:rsidR="00350D42" w:rsidRDefault="00350D42">
      <w:pPr>
        <w:rPr>
          <w:sz w:val="2"/>
          <w:szCs w:val="2"/>
        </w:rPr>
        <w:sectPr w:rsidR="00350D42">
          <w:pgSz w:w="8789" w:h="13493"/>
          <w:pgMar w:top="881" w:right="0" w:bottom="1243" w:left="0" w:header="0" w:footer="3" w:gutter="0"/>
          <w:cols w:space="720"/>
          <w:noEndnote/>
          <w:docGrid w:linePitch="360"/>
        </w:sectPr>
      </w:pPr>
    </w:p>
    <w:p w14:paraId="3B9A685F" w14:textId="77777777" w:rsidR="00350D42" w:rsidRPr="007737D2" w:rsidRDefault="008E6F64">
      <w:pPr>
        <w:pStyle w:val="2f"/>
        <w:keepNext/>
        <w:keepLines/>
        <w:shd w:val="clear" w:color="auto" w:fill="auto"/>
        <w:rPr>
          <w:rFonts w:ascii="Bookman Old Style" w:hAnsi="Bookman Old Style"/>
          <w:sz w:val="18"/>
          <w:szCs w:val="18"/>
        </w:rPr>
      </w:pPr>
      <w:bookmarkStart w:id="113" w:name="bookmark99"/>
      <w:r w:rsidRPr="007737D2">
        <w:rPr>
          <w:rStyle w:val="2f0"/>
          <w:rFonts w:ascii="Bookman Old Style" w:hAnsi="Bookman Old Style"/>
          <w:b/>
          <w:bCs/>
          <w:sz w:val="18"/>
          <w:szCs w:val="18"/>
        </w:rPr>
        <w:lastRenderedPageBreak/>
        <w:t>Глава 7</w:t>
      </w:r>
      <w:bookmarkEnd w:id="113"/>
    </w:p>
    <w:p w14:paraId="2DA2E59F" w14:textId="77777777" w:rsidR="00350D42" w:rsidRPr="007737D2" w:rsidRDefault="008E6F64">
      <w:pPr>
        <w:pStyle w:val="2f2"/>
        <w:keepNext/>
        <w:keepLines/>
        <w:shd w:val="clear" w:color="auto" w:fill="auto"/>
        <w:spacing w:after="380"/>
        <w:rPr>
          <w:rFonts w:ascii="Bookman Old Style" w:hAnsi="Bookman Old Style"/>
          <w:sz w:val="18"/>
          <w:szCs w:val="18"/>
        </w:rPr>
      </w:pPr>
      <w:bookmarkStart w:id="114" w:name="bookmark100"/>
      <w:r w:rsidRPr="007737D2">
        <w:rPr>
          <w:rStyle w:val="2f3"/>
          <w:rFonts w:ascii="Bookman Old Style" w:hAnsi="Bookman Old Style"/>
          <w:b/>
          <w:bCs/>
          <w:sz w:val="18"/>
          <w:szCs w:val="18"/>
        </w:rPr>
        <w:t>АДАПТАЦИОННЫЕ МЕХАНИЗМЫ</w:t>
      </w:r>
      <w:r w:rsidRPr="007737D2">
        <w:rPr>
          <w:rStyle w:val="2f3"/>
          <w:rFonts w:ascii="Bookman Old Style" w:hAnsi="Bookman Old Style"/>
          <w:b/>
          <w:bCs/>
          <w:sz w:val="18"/>
          <w:szCs w:val="18"/>
        </w:rPr>
        <w:br/>
        <w:t>ВО ВЗАИМОДЕЙСТВИИ</w:t>
      </w:r>
      <w:r w:rsidRPr="007737D2">
        <w:rPr>
          <w:rStyle w:val="2f3"/>
          <w:rFonts w:ascii="Bookman Old Style" w:hAnsi="Bookman Old Style"/>
          <w:b/>
          <w:bCs/>
          <w:sz w:val="18"/>
          <w:szCs w:val="18"/>
        </w:rPr>
        <w:br/>
        <w:t>ГОСУДАРСТВА И БИЗНЕСА</w:t>
      </w:r>
      <w:bookmarkEnd w:id="114"/>
    </w:p>
    <w:p w14:paraId="5D4FC7D2" w14:textId="77777777" w:rsidR="00350D42" w:rsidRPr="007737D2" w:rsidRDefault="008E6F64">
      <w:pPr>
        <w:pStyle w:val="2c"/>
        <w:shd w:val="clear" w:color="auto" w:fill="auto"/>
        <w:spacing w:before="0" w:line="226" w:lineRule="exact"/>
        <w:ind w:firstLine="320"/>
      </w:pPr>
      <w:r w:rsidRPr="007737D2">
        <w:rPr>
          <w:rStyle w:val="2d"/>
        </w:rPr>
        <w:t>В результате изучения данной главы студент должен:</w:t>
      </w:r>
    </w:p>
    <w:p w14:paraId="58B1B2EE" w14:textId="77777777" w:rsidR="00350D42" w:rsidRPr="007737D2" w:rsidRDefault="008E6F64">
      <w:pPr>
        <w:pStyle w:val="101"/>
        <w:shd w:val="clear" w:color="auto" w:fill="auto"/>
        <w:rPr>
          <w:sz w:val="18"/>
          <w:szCs w:val="18"/>
        </w:rPr>
      </w:pPr>
      <w:r w:rsidRPr="007737D2">
        <w:rPr>
          <w:rStyle w:val="102"/>
          <w:b/>
          <w:bCs/>
          <w:i/>
          <w:iCs/>
          <w:sz w:val="18"/>
          <w:szCs w:val="18"/>
        </w:rPr>
        <w:t>знать</w:t>
      </w:r>
    </w:p>
    <w:p w14:paraId="342A4707" w14:textId="77777777" w:rsidR="00350D42" w:rsidRPr="007737D2" w:rsidRDefault="008E6F64">
      <w:pPr>
        <w:pStyle w:val="2c"/>
        <w:numPr>
          <w:ilvl w:val="0"/>
          <w:numId w:val="116"/>
        </w:numPr>
        <w:shd w:val="clear" w:color="auto" w:fill="auto"/>
        <w:tabs>
          <w:tab w:val="left" w:pos="517"/>
        </w:tabs>
        <w:spacing w:before="0" w:line="226" w:lineRule="exact"/>
        <w:ind w:firstLine="320"/>
      </w:pPr>
      <w:r w:rsidRPr="007737D2">
        <w:rPr>
          <w:rStyle w:val="2d"/>
        </w:rPr>
        <w:t>различные подходы к понятиям «адаптация» и «адаптационный меха</w:t>
      </w:r>
      <w:r w:rsidRPr="007737D2">
        <w:rPr>
          <w:rStyle w:val="2d"/>
        </w:rPr>
        <w:softHyphen/>
        <w:t>низм»;</w:t>
      </w:r>
    </w:p>
    <w:p w14:paraId="54F3A6F7" w14:textId="77777777" w:rsidR="00350D42" w:rsidRPr="007737D2" w:rsidRDefault="008E6F64">
      <w:pPr>
        <w:pStyle w:val="2c"/>
        <w:numPr>
          <w:ilvl w:val="0"/>
          <w:numId w:val="116"/>
        </w:numPr>
        <w:shd w:val="clear" w:color="auto" w:fill="auto"/>
        <w:tabs>
          <w:tab w:val="left" w:pos="518"/>
        </w:tabs>
        <w:spacing w:before="0" w:line="226" w:lineRule="exact"/>
        <w:ind w:firstLine="320"/>
      </w:pPr>
      <w:r w:rsidRPr="007737D2">
        <w:rPr>
          <w:rStyle w:val="2d"/>
        </w:rPr>
        <w:t>различные виды адаптационных механизмов;</w:t>
      </w:r>
    </w:p>
    <w:p w14:paraId="22594040" w14:textId="77777777" w:rsidR="00350D42" w:rsidRPr="007737D2" w:rsidRDefault="008E6F64">
      <w:pPr>
        <w:pStyle w:val="101"/>
        <w:shd w:val="clear" w:color="auto" w:fill="auto"/>
        <w:rPr>
          <w:sz w:val="18"/>
          <w:szCs w:val="18"/>
        </w:rPr>
      </w:pPr>
      <w:r w:rsidRPr="007737D2">
        <w:rPr>
          <w:rStyle w:val="102"/>
          <w:b/>
          <w:bCs/>
          <w:i/>
          <w:iCs/>
          <w:sz w:val="18"/>
          <w:szCs w:val="18"/>
        </w:rPr>
        <w:t>уметь</w:t>
      </w:r>
    </w:p>
    <w:p w14:paraId="5502AE04" w14:textId="77777777" w:rsidR="00350D42" w:rsidRPr="007737D2" w:rsidRDefault="008E6F64">
      <w:pPr>
        <w:pStyle w:val="2c"/>
        <w:numPr>
          <w:ilvl w:val="0"/>
          <w:numId w:val="116"/>
        </w:numPr>
        <w:shd w:val="clear" w:color="auto" w:fill="auto"/>
        <w:tabs>
          <w:tab w:val="left" w:pos="517"/>
        </w:tabs>
        <w:spacing w:before="0" w:line="226" w:lineRule="exact"/>
        <w:ind w:firstLine="320"/>
      </w:pPr>
      <w:r w:rsidRPr="007737D2">
        <w:rPr>
          <w:rStyle w:val="2d"/>
        </w:rPr>
        <w:t>классифицировать адаптационные механизмы экономических субъ</w:t>
      </w:r>
      <w:r w:rsidRPr="007737D2">
        <w:rPr>
          <w:rStyle w:val="2d"/>
        </w:rPr>
        <w:softHyphen/>
        <w:t>ектов;</w:t>
      </w:r>
    </w:p>
    <w:p w14:paraId="62DAB654" w14:textId="77777777" w:rsidR="00350D42" w:rsidRPr="007737D2" w:rsidRDefault="008E6F64">
      <w:pPr>
        <w:pStyle w:val="2c"/>
        <w:numPr>
          <w:ilvl w:val="0"/>
          <w:numId w:val="116"/>
        </w:numPr>
        <w:shd w:val="clear" w:color="auto" w:fill="auto"/>
        <w:tabs>
          <w:tab w:val="left" w:pos="518"/>
        </w:tabs>
        <w:spacing w:before="0" w:line="226" w:lineRule="exact"/>
        <w:ind w:firstLine="320"/>
      </w:pPr>
      <w:r w:rsidRPr="007737D2">
        <w:rPr>
          <w:rStyle w:val="2d"/>
        </w:rPr>
        <w:t>использовать предложенную классификацию для анализа кейсов;</w:t>
      </w:r>
    </w:p>
    <w:p w14:paraId="7B919D69" w14:textId="77777777" w:rsidR="00350D42" w:rsidRPr="007737D2" w:rsidRDefault="008E6F64">
      <w:pPr>
        <w:pStyle w:val="101"/>
        <w:shd w:val="clear" w:color="auto" w:fill="auto"/>
        <w:rPr>
          <w:sz w:val="18"/>
          <w:szCs w:val="18"/>
        </w:rPr>
      </w:pPr>
      <w:r w:rsidRPr="007737D2">
        <w:rPr>
          <w:rStyle w:val="102"/>
          <w:b/>
          <w:bCs/>
          <w:i/>
          <w:iCs/>
          <w:sz w:val="18"/>
          <w:szCs w:val="18"/>
        </w:rPr>
        <w:t>владеть</w:t>
      </w:r>
    </w:p>
    <w:p w14:paraId="1C50D0BD" w14:textId="77777777" w:rsidR="00350D42" w:rsidRPr="007737D2" w:rsidRDefault="008E6F64">
      <w:pPr>
        <w:pStyle w:val="2c"/>
        <w:numPr>
          <w:ilvl w:val="0"/>
          <w:numId w:val="116"/>
        </w:numPr>
        <w:shd w:val="clear" w:color="auto" w:fill="auto"/>
        <w:tabs>
          <w:tab w:val="left" w:pos="517"/>
        </w:tabs>
        <w:spacing w:before="0" w:after="472" w:line="226" w:lineRule="exact"/>
        <w:ind w:firstLine="320"/>
      </w:pPr>
      <w:r w:rsidRPr="007737D2">
        <w:rPr>
          <w:rStyle w:val="2d"/>
        </w:rPr>
        <w:t>методикой анализа адаптационных механизмов экономических субъ</w:t>
      </w:r>
      <w:r w:rsidRPr="007737D2">
        <w:rPr>
          <w:rStyle w:val="2d"/>
        </w:rPr>
        <w:softHyphen/>
        <w:t>ектов на разных уровнях экономики.</w:t>
      </w:r>
    </w:p>
    <w:p w14:paraId="6364A56B" w14:textId="77777777" w:rsidR="00350D42" w:rsidRPr="007737D2" w:rsidRDefault="008E6F64">
      <w:pPr>
        <w:pStyle w:val="4c"/>
        <w:keepNext/>
        <w:keepLines/>
        <w:shd w:val="clear" w:color="auto" w:fill="auto"/>
        <w:spacing w:before="0" w:after="249" w:line="336" w:lineRule="exact"/>
        <w:ind w:firstLine="0"/>
        <w:jc w:val="center"/>
        <w:rPr>
          <w:rFonts w:ascii="Bookman Old Style" w:hAnsi="Bookman Old Style"/>
          <w:sz w:val="18"/>
          <w:szCs w:val="18"/>
        </w:rPr>
      </w:pPr>
      <w:bookmarkStart w:id="115" w:name="bookmark101"/>
      <w:r w:rsidRPr="007737D2">
        <w:rPr>
          <w:rStyle w:val="4d"/>
          <w:rFonts w:ascii="Bookman Old Style" w:hAnsi="Bookman Old Style"/>
          <w:b/>
          <w:bCs/>
          <w:sz w:val="18"/>
          <w:szCs w:val="18"/>
        </w:rPr>
        <w:t>7.1. Подходы к понятию «адаптация»</w:t>
      </w:r>
      <w:r w:rsidRPr="007737D2">
        <w:rPr>
          <w:rStyle w:val="4d"/>
          <w:rFonts w:ascii="Bookman Old Style" w:hAnsi="Bookman Old Style"/>
          <w:b/>
          <w:bCs/>
          <w:sz w:val="18"/>
          <w:szCs w:val="18"/>
        </w:rPr>
        <w:br/>
        <w:t>с позиций различных областей знаний</w:t>
      </w:r>
      <w:bookmarkEnd w:id="115"/>
    </w:p>
    <w:p w14:paraId="272AF402" w14:textId="77777777" w:rsidR="00350D42" w:rsidRPr="007737D2" w:rsidRDefault="008E6F64">
      <w:pPr>
        <w:pStyle w:val="2c"/>
        <w:shd w:val="clear" w:color="auto" w:fill="auto"/>
        <w:spacing w:before="0"/>
        <w:ind w:firstLine="320"/>
      </w:pPr>
      <w:r w:rsidRPr="007737D2">
        <w:rPr>
          <w:rStyle w:val="2d"/>
        </w:rPr>
        <w:t>В настоящее время мы наблюдаем функционирование россий</w:t>
      </w:r>
      <w:r w:rsidRPr="007737D2">
        <w:rPr>
          <w:rStyle w:val="2d"/>
        </w:rPr>
        <w:softHyphen/>
        <w:t>ской экономики и всех экономических субъектов в условиях миро</w:t>
      </w:r>
      <w:r w:rsidRPr="007737D2">
        <w:rPr>
          <w:rStyle w:val="2d"/>
        </w:rPr>
        <w:softHyphen/>
        <w:t>вого финансового кризиса. Актуальным становится изучение меха</w:t>
      </w:r>
      <w:r w:rsidRPr="007737D2">
        <w:rPr>
          <w:rStyle w:val="2d"/>
        </w:rPr>
        <w:softHyphen/>
        <w:t>низмов адаптации национальной экономики в целом и отдельных экономических субъектов к новым экономическим условиям, а так</w:t>
      </w:r>
      <w:r w:rsidRPr="007737D2">
        <w:rPr>
          <w:rStyle w:val="2d"/>
        </w:rPr>
        <w:softHyphen/>
        <w:t>же факторов, влияющих на выбор именно этих механизмов адап</w:t>
      </w:r>
      <w:r w:rsidRPr="007737D2">
        <w:rPr>
          <w:rStyle w:val="2d"/>
        </w:rPr>
        <w:softHyphen/>
        <w:t>тации. Среди отечественных и зарубежных экономистов последнее время появляются работы, посвященные проблеме адаптации эко</w:t>
      </w:r>
      <w:r w:rsidRPr="007737D2">
        <w:rPr>
          <w:rStyle w:val="2d"/>
        </w:rPr>
        <w:softHyphen/>
        <w:t>номических субъектов. В то же время актуальным является фор</w:t>
      </w:r>
      <w:r w:rsidRPr="007737D2">
        <w:rPr>
          <w:rStyle w:val="2d"/>
        </w:rPr>
        <w:softHyphen/>
        <w:t>мирование целостного подхода к пониманию и анализу процесса адаптации и вырабатываемых экономическими субъектами адап</w:t>
      </w:r>
      <w:r w:rsidRPr="007737D2">
        <w:rPr>
          <w:rStyle w:val="2d"/>
        </w:rPr>
        <w:softHyphen/>
        <w:t>тационных механизмов.</w:t>
      </w:r>
    </w:p>
    <w:p w14:paraId="35DFA70D" w14:textId="77777777" w:rsidR="00350D42" w:rsidRPr="007737D2" w:rsidRDefault="008E6F64">
      <w:pPr>
        <w:pStyle w:val="2c"/>
        <w:shd w:val="clear" w:color="auto" w:fill="auto"/>
        <w:spacing w:before="0"/>
        <w:ind w:firstLine="320"/>
      </w:pPr>
      <w:r w:rsidRPr="007737D2">
        <w:rPr>
          <w:rStyle w:val="2d"/>
        </w:rPr>
        <w:t>Слово «адаптация» имеет латинское происхождение. В перево</w:t>
      </w:r>
      <w:r w:rsidRPr="007737D2">
        <w:rPr>
          <w:rStyle w:val="2d"/>
        </w:rPr>
        <w:softHyphen/>
        <w:t xml:space="preserve">де с латинского </w:t>
      </w:r>
      <w:r w:rsidRPr="007737D2">
        <w:rPr>
          <w:rStyle w:val="2f4"/>
          <w:lang w:eastAsia="en-US" w:bidi="en-US"/>
        </w:rPr>
        <w:t>«</w:t>
      </w:r>
      <w:r w:rsidRPr="007737D2">
        <w:rPr>
          <w:rStyle w:val="2f4"/>
          <w:lang w:val="en-US" w:eastAsia="en-US" w:bidi="en-US"/>
        </w:rPr>
        <w:t>adaptare</w:t>
      </w:r>
      <w:r w:rsidRPr="007737D2">
        <w:rPr>
          <w:rStyle w:val="2f4"/>
          <w:lang w:eastAsia="en-US" w:bidi="en-US"/>
        </w:rPr>
        <w:t>»</w:t>
      </w:r>
      <w:r w:rsidRPr="007737D2">
        <w:rPr>
          <w:rStyle w:val="2d"/>
          <w:lang w:eastAsia="en-US" w:bidi="en-US"/>
        </w:rPr>
        <w:t xml:space="preserve"> </w:t>
      </w:r>
      <w:r w:rsidRPr="007737D2">
        <w:rPr>
          <w:rStyle w:val="2d"/>
        </w:rPr>
        <w:t>означает «приспособлять», т. е. адапта</w:t>
      </w:r>
      <w:r w:rsidRPr="007737D2">
        <w:rPr>
          <w:rStyle w:val="2d"/>
        </w:rPr>
        <w:softHyphen/>
        <w:t>ция — это приспособление.</w:t>
      </w:r>
    </w:p>
    <w:p w14:paraId="60186BA5" w14:textId="77777777" w:rsidR="00350D42" w:rsidRPr="007737D2" w:rsidRDefault="008E6F64">
      <w:pPr>
        <w:pStyle w:val="2c"/>
        <w:shd w:val="clear" w:color="auto" w:fill="auto"/>
        <w:spacing w:before="0"/>
        <w:ind w:firstLine="320"/>
      </w:pPr>
      <w:r w:rsidRPr="007737D2">
        <w:rPr>
          <w:rStyle w:val="2d"/>
        </w:rPr>
        <w:t>Термин «адаптация» получил широкое распространение в биоло</w:t>
      </w:r>
      <w:r w:rsidRPr="007737D2">
        <w:rPr>
          <w:rStyle w:val="2d"/>
        </w:rPr>
        <w:softHyphen/>
        <w:t>гии и медицине. И в то же время проблемы адаптации рассматри</w:t>
      </w:r>
      <w:r w:rsidRPr="007737D2">
        <w:rPr>
          <w:rStyle w:val="2d"/>
        </w:rPr>
        <w:softHyphen/>
        <w:t>ваются такими науками, как философия, социология, психология, управление, экономическая теория.</w:t>
      </w:r>
    </w:p>
    <w:p w14:paraId="23E6958D" w14:textId="77777777" w:rsidR="00350D42" w:rsidRPr="007737D2" w:rsidRDefault="008E6F64">
      <w:pPr>
        <w:pStyle w:val="2c"/>
        <w:shd w:val="clear" w:color="auto" w:fill="auto"/>
        <w:spacing w:before="0"/>
        <w:ind w:firstLine="320"/>
      </w:pPr>
      <w:r w:rsidRPr="007737D2">
        <w:rPr>
          <w:rStyle w:val="2d"/>
        </w:rPr>
        <w:lastRenderedPageBreak/>
        <w:t>В словаре С. Ожегова приводятся следующие значения терми</w:t>
      </w:r>
      <w:r w:rsidRPr="007737D2">
        <w:rPr>
          <w:rStyle w:val="2d"/>
        </w:rPr>
        <w:softHyphen/>
        <w:t>на «адаптация»: «1) приспособление организма к изменяющимся внешним условиям; 2) упрощение текста для малоподготовленных читателей»</w:t>
      </w:r>
      <w:r w:rsidRPr="007737D2">
        <w:rPr>
          <w:rStyle w:val="2d"/>
          <w:vertAlign w:val="superscript"/>
        </w:rPr>
        <w:t>1</w:t>
      </w:r>
      <w:r w:rsidRPr="007737D2">
        <w:rPr>
          <w:rStyle w:val="2d"/>
        </w:rPr>
        <w:t>.</w:t>
      </w:r>
    </w:p>
    <w:p w14:paraId="6003F852" w14:textId="77777777" w:rsidR="00350D42" w:rsidRPr="007737D2" w:rsidRDefault="008E6F64">
      <w:pPr>
        <w:pStyle w:val="2c"/>
        <w:shd w:val="clear" w:color="auto" w:fill="auto"/>
        <w:spacing w:before="0"/>
        <w:ind w:firstLine="320"/>
      </w:pPr>
      <w:r w:rsidRPr="007737D2">
        <w:rPr>
          <w:rStyle w:val="2d"/>
        </w:rPr>
        <w:t>Современный экономический словарь предлагает следующее определение: «Адаптация — приспособление экономической систе</w:t>
      </w:r>
      <w:r w:rsidRPr="007737D2">
        <w:rPr>
          <w:rStyle w:val="2d"/>
        </w:rPr>
        <w:softHyphen/>
        <w:t>мы и ее отдельных субъектов, работников к изменяющимся услови</w:t>
      </w:r>
      <w:r w:rsidRPr="007737D2">
        <w:rPr>
          <w:rStyle w:val="2d"/>
        </w:rPr>
        <w:softHyphen/>
        <w:t>ям внешней среды, производства, труда, обмена, жизни. Например, при переходе от централизованной экономики к рыночной необхо</w:t>
      </w:r>
      <w:r w:rsidRPr="007737D2">
        <w:rPr>
          <w:rStyle w:val="2d"/>
        </w:rPr>
        <w:softHyphen/>
        <w:t>дима адаптация предприятий и их работников к рыночной среде и к рыночным отношениям»</w:t>
      </w:r>
      <w:r w:rsidRPr="007737D2">
        <w:rPr>
          <w:rStyle w:val="2d"/>
          <w:vertAlign w:val="superscript"/>
        </w:rPr>
        <w:t>2</w:t>
      </w:r>
      <w:r w:rsidRPr="007737D2">
        <w:rPr>
          <w:rStyle w:val="2d"/>
        </w:rPr>
        <w:t>.</w:t>
      </w:r>
    </w:p>
    <w:p w14:paraId="135A412D" w14:textId="77777777" w:rsidR="00350D42" w:rsidRPr="007737D2" w:rsidRDefault="008E6F64">
      <w:pPr>
        <w:pStyle w:val="2c"/>
        <w:shd w:val="clear" w:color="auto" w:fill="auto"/>
        <w:spacing w:before="0"/>
        <w:ind w:firstLine="320"/>
      </w:pPr>
      <w:r w:rsidRPr="007737D2">
        <w:rPr>
          <w:rStyle w:val="2d"/>
        </w:rPr>
        <w:t>В. И. Данилов-Данильян и А. И. Чухнов под адаптацией понима</w:t>
      </w:r>
      <w:r w:rsidRPr="007737D2">
        <w:rPr>
          <w:rStyle w:val="2d"/>
        </w:rPr>
        <w:softHyphen/>
        <w:t>ют «способность системы обнаруживать целенаправленное приспо</w:t>
      </w:r>
      <w:r w:rsidRPr="007737D2">
        <w:rPr>
          <w:rStyle w:val="2d"/>
        </w:rPr>
        <w:softHyphen/>
        <w:t>сабливающееся поведение в сложных средах, а также сам процесс этого приспособления»</w:t>
      </w:r>
      <w:r w:rsidRPr="007737D2">
        <w:rPr>
          <w:rStyle w:val="2d"/>
          <w:vertAlign w:val="superscript"/>
        </w:rPr>
        <w:t>3</w:t>
      </w:r>
      <w:r w:rsidRPr="007737D2">
        <w:rPr>
          <w:rStyle w:val="2d"/>
        </w:rPr>
        <w:t>.</w:t>
      </w:r>
    </w:p>
    <w:p w14:paraId="08831798" w14:textId="77777777" w:rsidR="00350D42" w:rsidRPr="007737D2" w:rsidRDefault="008E6F64">
      <w:pPr>
        <w:pStyle w:val="2c"/>
        <w:shd w:val="clear" w:color="auto" w:fill="auto"/>
        <w:spacing w:before="0"/>
        <w:ind w:firstLine="320"/>
      </w:pPr>
      <w:r w:rsidRPr="007737D2">
        <w:rPr>
          <w:rStyle w:val="2d"/>
        </w:rPr>
        <w:t>В социологии адаптацией называют «активное освоение лично</w:t>
      </w:r>
      <w:r w:rsidRPr="007737D2">
        <w:rPr>
          <w:rStyle w:val="2d"/>
        </w:rPr>
        <w:softHyphen/>
        <w:t>стью или группой новой для нее социальной среды»</w:t>
      </w:r>
      <w:r w:rsidRPr="007737D2">
        <w:rPr>
          <w:rStyle w:val="2d"/>
          <w:vertAlign w:val="superscript"/>
        </w:rPr>
        <w:t>4</w:t>
      </w:r>
      <w:r w:rsidRPr="007737D2">
        <w:rPr>
          <w:rStyle w:val="2d"/>
        </w:rPr>
        <w:t>.</w:t>
      </w:r>
    </w:p>
    <w:p w14:paraId="282CD732" w14:textId="77777777" w:rsidR="00350D42" w:rsidRPr="007737D2" w:rsidRDefault="008E6F64">
      <w:pPr>
        <w:pStyle w:val="2c"/>
        <w:shd w:val="clear" w:color="auto" w:fill="auto"/>
        <w:spacing w:before="0"/>
        <w:ind w:firstLine="320"/>
      </w:pPr>
      <w:r w:rsidRPr="007737D2">
        <w:rPr>
          <w:rStyle w:val="2d"/>
        </w:rPr>
        <w:t>Ученый-социолог Л. В. Корель, которая является основоположни</w:t>
      </w:r>
      <w:r w:rsidRPr="007737D2">
        <w:rPr>
          <w:rStyle w:val="2d"/>
        </w:rPr>
        <w:softHyphen/>
        <w:t>ком нового научного направления — социологии адаптаций, счи</w:t>
      </w:r>
      <w:r w:rsidRPr="007737D2">
        <w:rPr>
          <w:rStyle w:val="2d"/>
        </w:rPr>
        <w:softHyphen/>
        <w:t>тает, что адаптация — это междисциплинарный термин, активно использующийся во многих областях знания как естественно-науч</w:t>
      </w:r>
      <w:r w:rsidRPr="007737D2">
        <w:rPr>
          <w:rStyle w:val="2d"/>
        </w:rPr>
        <w:softHyphen/>
        <w:t>ного (биология, медицина, физика, кибернетика и пр.), так и гума</w:t>
      </w:r>
      <w:r w:rsidRPr="007737D2">
        <w:rPr>
          <w:rStyle w:val="2d"/>
        </w:rPr>
        <w:softHyphen/>
        <w:t>нитарного профиля (исторические и социальные науки)</w:t>
      </w:r>
      <w:r w:rsidRPr="007737D2">
        <w:rPr>
          <w:rStyle w:val="2d"/>
          <w:vertAlign w:val="superscript"/>
        </w:rPr>
        <w:t>5</w:t>
      </w:r>
      <w:r w:rsidRPr="007737D2">
        <w:rPr>
          <w:rStyle w:val="2d"/>
        </w:rPr>
        <w:t>. При этом Л. В. Корель отмечает, что в исследованиях адаптивной проблема</w:t>
      </w:r>
      <w:r w:rsidRPr="007737D2">
        <w:rPr>
          <w:rStyle w:val="2d"/>
        </w:rPr>
        <w:softHyphen/>
        <w:t>тики пока отсутствует комплексный подход. Каждая наука изучает адаптационные проблемы автономно.</w:t>
      </w:r>
    </w:p>
    <w:p w14:paraId="5B485CBF" w14:textId="77777777" w:rsidR="00350D42" w:rsidRPr="007737D2" w:rsidRDefault="008E6F64">
      <w:pPr>
        <w:pStyle w:val="2c"/>
        <w:shd w:val="clear" w:color="auto" w:fill="auto"/>
        <w:spacing w:before="0"/>
        <w:ind w:firstLine="320"/>
      </w:pPr>
      <w:r w:rsidRPr="007737D2">
        <w:rPr>
          <w:rStyle w:val="2d"/>
        </w:rPr>
        <w:t xml:space="preserve">Социология занимается проблемами адаптации с конца </w:t>
      </w:r>
      <w:r w:rsidRPr="007737D2">
        <w:rPr>
          <w:rStyle w:val="2d"/>
          <w:lang w:val="en-US" w:eastAsia="en-US" w:bidi="en-US"/>
        </w:rPr>
        <w:t>IX</w:t>
      </w:r>
      <w:r w:rsidRPr="007737D2">
        <w:rPr>
          <w:rStyle w:val="2d"/>
          <w:lang w:eastAsia="en-US" w:bidi="en-US"/>
        </w:rPr>
        <w:t xml:space="preserve"> </w:t>
      </w:r>
      <w:r w:rsidRPr="007737D2">
        <w:rPr>
          <w:rStyle w:val="2d"/>
        </w:rPr>
        <w:t xml:space="preserve">— начала </w:t>
      </w:r>
      <w:r w:rsidRPr="007737D2">
        <w:rPr>
          <w:rStyle w:val="2d"/>
          <w:lang w:val="en-US" w:eastAsia="en-US" w:bidi="en-US"/>
        </w:rPr>
        <w:t>XX</w:t>
      </w:r>
      <w:r w:rsidRPr="007737D2">
        <w:rPr>
          <w:rStyle w:val="2d"/>
          <w:lang w:eastAsia="en-US" w:bidi="en-US"/>
        </w:rPr>
        <w:t xml:space="preserve"> </w:t>
      </w:r>
      <w:r w:rsidRPr="007737D2">
        <w:rPr>
          <w:rStyle w:val="2d"/>
        </w:rPr>
        <w:t>в. Представителями социологии адаптации являются Г. Спенсер, М. Вебер, Г. Тард, Л. Бристол, Г. Чэттертон-Хилл, Дж. Том</w:t>
      </w:r>
      <w:r w:rsidRPr="007737D2">
        <w:rPr>
          <w:rStyle w:val="2d"/>
        </w:rPr>
        <w:softHyphen/>
        <w:t>сон, М. Торп, У. Томас, Ф. Знанецкий, Д. Мид, Д. Морено, Л. Линтон, Т. Парсонс, Т. Ньюкомб, Т. Сарбин, М. Крозье. Отечественное на</w:t>
      </w:r>
      <w:r w:rsidRPr="007737D2">
        <w:rPr>
          <w:rStyle w:val="2d"/>
        </w:rPr>
        <w:softHyphen/>
        <w:t xml:space="preserve">правление социологии адаптации представлено такими учеными, </w:t>
      </w:r>
      <w:r w:rsidRPr="007737D2">
        <w:rPr>
          <w:rStyle w:val="2d"/>
          <w:vertAlign w:val="superscript"/>
        </w:rPr>
        <w:footnoteReference w:id="199"/>
      </w:r>
      <w:r w:rsidRPr="007737D2">
        <w:rPr>
          <w:rStyle w:val="2d"/>
          <w:vertAlign w:val="superscript"/>
        </w:rPr>
        <w:t xml:space="preserve"> </w:t>
      </w:r>
      <w:r w:rsidRPr="007737D2">
        <w:rPr>
          <w:rStyle w:val="2d"/>
          <w:vertAlign w:val="superscript"/>
        </w:rPr>
        <w:footnoteReference w:id="200"/>
      </w:r>
      <w:r w:rsidRPr="007737D2">
        <w:rPr>
          <w:rStyle w:val="2d"/>
          <w:vertAlign w:val="superscript"/>
        </w:rPr>
        <w:t xml:space="preserve"> </w:t>
      </w:r>
      <w:r w:rsidRPr="007737D2">
        <w:rPr>
          <w:rStyle w:val="2d"/>
          <w:vertAlign w:val="superscript"/>
        </w:rPr>
        <w:footnoteReference w:id="201"/>
      </w:r>
      <w:r w:rsidRPr="007737D2">
        <w:rPr>
          <w:rStyle w:val="2d"/>
          <w:vertAlign w:val="superscript"/>
        </w:rPr>
        <w:t xml:space="preserve"> </w:t>
      </w:r>
      <w:r w:rsidRPr="007737D2">
        <w:rPr>
          <w:rStyle w:val="2d"/>
          <w:vertAlign w:val="superscript"/>
        </w:rPr>
        <w:footnoteReference w:id="202"/>
      </w:r>
      <w:r w:rsidRPr="007737D2">
        <w:rPr>
          <w:rStyle w:val="2d"/>
          <w:vertAlign w:val="superscript"/>
        </w:rPr>
        <w:t xml:space="preserve"> </w:t>
      </w:r>
      <w:r w:rsidRPr="007737D2">
        <w:rPr>
          <w:rStyle w:val="2d"/>
          <w:vertAlign w:val="superscript"/>
        </w:rPr>
        <w:footnoteReference w:id="203"/>
      </w:r>
    </w:p>
    <w:p w14:paraId="61ACBC21" w14:textId="097A29C5" w:rsidR="00350D42" w:rsidRPr="001C6E6C" w:rsidRDefault="008E6F64" w:rsidP="001C6E6C">
      <w:pPr>
        <w:pStyle w:val="111"/>
        <w:shd w:val="clear" w:color="auto" w:fill="auto"/>
        <w:spacing w:before="0" w:after="0" w:line="250" w:lineRule="exact"/>
        <w:jc w:val="both"/>
        <w:rPr>
          <w:rFonts w:ascii="Bookman Old Style" w:hAnsi="Bookman Old Style"/>
          <w:b w:val="0"/>
          <w:bCs w:val="0"/>
          <w:sz w:val="18"/>
          <w:szCs w:val="18"/>
        </w:rPr>
      </w:pPr>
      <w:r w:rsidRPr="001C6E6C">
        <w:rPr>
          <w:rStyle w:val="113"/>
          <w:rFonts w:ascii="Bookman Old Style" w:hAnsi="Bookman Old Style"/>
          <w:sz w:val="18"/>
          <w:szCs w:val="18"/>
        </w:rPr>
        <w:t>как К. М. Хайлов, В. Н. Шубкин, С. Д. Аремов, В. А. Ядов, В. А. Кал</w:t>
      </w:r>
      <w:r w:rsidRPr="001C6E6C">
        <w:rPr>
          <w:rStyle w:val="113"/>
          <w:rFonts w:ascii="Bookman Old Style" w:hAnsi="Bookman Old Style"/>
          <w:sz w:val="18"/>
          <w:szCs w:val="18"/>
        </w:rPr>
        <w:softHyphen/>
        <w:t>мык, Т. Н. Вершинина, Л. Л. Шпак, И. А. Милославова, Е. М. Аврамо</w:t>
      </w:r>
      <w:r w:rsidRPr="001C6E6C">
        <w:rPr>
          <w:rStyle w:val="113"/>
          <w:rFonts w:ascii="Bookman Old Style" w:hAnsi="Bookman Old Style"/>
          <w:sz w:val="18"/>
          <w:szCs w:val="18"/>
        </w:rPr>
        <w:softHyphen/>
        <w:t>ва, Л. В. Бабаева, П. П. Великий, Л. А. Гордон, И. С. Дискин, Т. И. За</w:t>
      </w:r>
      <w:r w:rsidRPr="001C6E6C">
        <w:rPr>
          <w:rStyle w:val="113"/>
          <w:rFonts w:ascii="Bookman Old Style" w:hAnsi="Bookman Old Style"/>
          <w:sz w:val="18"/>
          <w:szCs w:val="18"/>
        </w:rPr>
        <w:softHyphen/>
        <w:t xml:space="preserve">славская, П. С. Кузнецов и др. Проблемой адаптации населения к рыночным преобразованиям занимаются социологи Л. В. Корель, И. Н. </w:t>
      </w:r>
      <w:r w:rsidRPr="001C6E6C">
        <w:rPr>
          <w:rStyle w:val="113"/>
          <w:rFonts w:ascii="Bookman Old Style" w:hAnsi="Bookman Old Style"/>
          <w:sz w:val="18"/>
          <w:szCs w:val="18"/>
        </w:rPr>
        <w:lastRenderedPageBreak/>
        <w:t>Мартынова, И. И. Харченко, Ю. Б. Чистякова, М. А. Шабанова,О.В. Шарнина.</w:t>
      </w:r>
    </w:p>
    <w:p w14:paraId="3ABA3667"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Работы по проблеме адаптации индивидуумов в различных сферах деятельности можно найти и у отечественных психологов Л. С. Выготского, А. Н. Леонтьева, С. Л. Рубинштейна, К. А. Абуль- хановой-Славской, Б. Ф. Ломова, А. В. Петровского, В. Н. Мясище</w:t>
      </w:r>
      <w:r w:rsidRPr="001C6E6C">
        <w:rPr>
          <w:rStyle w:val="113"/>
          <w:rFonts w:ascii="Bookman Old Style" w:hAnsi="Bookman Old Style"/>
          <w:sz w:val="18"/>
          <w:szCs w:val="18"/>
        </w:rPr>
        <w:softHyphen/>
        <w:t>ва, Е. В. Шороховой, Ю. В. Гана, И. С. Кона, И. А. Милославовой,</w:t>
      </w:r>
    </w:p>
    <w:p w14:paraId="14C5D3EE" w14:textId="77777777" w:rsidR="00350D42" w:rsidRPr="001C6E6C" w:rsidRDefault="008E6F64">
      <w:pPr>
        <w:pStyle w:val="111"/>
        <w:numPr>
          <w:ilvl w:val="0"/>
          <w:numId w:val="129"/>
        </w:numPr>
        <w:shd w:val="clear" w:color="auto" w:fill="auto"/>
        <w:tabs>
          <w:tab w:val="left" w:pos="298"/>
        </w:tabs>
        <w:spacing w:before="0" w:after="0" w:line="250" w:lineRule="exact"/>
        <w:jc w:val="both"/>
        <w:rPr>
          <w:rFonts w:ascii="Bookman Old Style" w:hAnsi="Bookman Old Style"/>
          <w:b w:val="0"/>
          <w:bCs w:val="0"/>
          <w:sz w:val="18"/>
          <w:szCs w:val="18"/>
        </w:rPr>
      </w:pPr>
      <w:r w:rsidRPr="001C6E6C">
        <w:rPr>
          <w:rStyle w:val="113"/>
          <w:rFonts w:ascii="Bookman Old Style" w:hAnsi="Bookman Old Style"/>
          <w:sz w:val="18"/>
          <w:szCs w:val="18"/>
        </w:rPr>
        <w:t>Г. Бочаровой, Т. Шибутани, И. В. Троицкой, П. А. Просецкого и др.</w:t>
      </w:r>
    </w:p>
    <w:p w14:paraId="04600205"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Среди отечественных экономистов последнее время также встре</w:t>
      </w:r>
      <w:r w:rsidRPr="001C6E6C">
        <w:rPr>
          <w:rStyle w:val="113"/>
          <w:rFonts w:ascii="Bookman Old Style" w:hAnsi="Bookman Old Style"/>
          <w:sz w:val="18"/>
          <w:szCs w:val="18"/>
        </w:rPr>
        <w:softHyphen/>
        <w:t>чаются работы, посвященные проблеме адаптации экономических субъектов. Экономические исследования, посвященные проблеме адаптации, появились в период начала проведения рыночных ре</w:t>
      </w:r>
      <w:r w:rsidRPr="001C6E6C">
        <w:rPr>
          <w:rStyle w:val="113"/>
          <w:rFonts w:ascii="Bookman Old Style" w:hAnsi="Bookman Old Style"/>
          <w:sz w:val="18"/>
          <w:szCs w:val="18"/>
        </w:rPr>
        <w:softHyphen/>
        <w:t>форм. Работы по данному направлению можно найти у А. Н. Тока</w:t>
      </w:r>
      <w:r w:rsidRPr="001C6E6C">
        <w:rPr>
          <w:rStyle w:val="113"/>
          <w:rFonts w:ascii="Bookman Old Style" w:hAnsi="Bookman Old Style"/>
          <w:sz w:val="18"/>
          <w:szCs w:val="18"/>
        </w:rPr>
        <w:softHyphen/>
        <w:t>рева, Г. Б. Клейнера, Т. Г. Долгопятовой.</w:t>
      </w:r>
    </w:p>
    <w:p w14:paraId="723A21E6"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Последнее время работы ученых-экономистов посвящены адап</w:t>
      </w:r>
      <w:r w:rsidRPr="001C6E6C">
        <w:rPr>
          <w:rStyle w:val="113"/>
          <w:rFonts w:ascii="Bookman Old Style" w:hAnsi="Bookman Old Style"/>
          <w:sz w:val="18"/>
          <w:szCs w:val="18"/>
        </w:rPr>
        <w:softHyphen/>
        <w:t>тации экономических субъектов к таким явлениям, как глобализа</w:t>
      </w:r>
      <w:r w:rsidRPr="001C6E6C">
        <w:rPr>
          <w:rStyle w:val="113"/>
          <w:rFonts w:ascii="Bookman Old Style" w:hAnsi="Bookman Old Style"/>
          <w:sz w:val="18"/>
          <w:szCs w:val="18"/>
        </w:rPr>
        <w:softHyphen/>
        <w:t>ция, мировой экономический кризис, изменение организационной культуры и стратегии предприятия. Работы, посвященные этим про</w:t>
      </w:r>
      <w:r w:rsidRPr="001C6E6C">
        <w:rPr>
          <w:rStyle w:val="113"/>
          <w:rFonts w:ascii="Bookman Old Style" w:hAnsi="Bookman Old Style"/>
          <w:sz w:val="18"/>
          <w:szCs w:val="18"/>
        </w:rPr>
        <w:softHyphen/>
        <w:t>блемам, можно найти у таких российских и зарубежных ученых-эко- номистов, как: И. Н. Ефременко, В. Н. Рассадина, О. А. Страховой,</w:t>
      </w:r>
    </w:p>
    <w:p w14:paraId="3B337B93" w14:textId="77777777" w:rsidR="00350D42" w:rsidRPr="001C6E6C" w:rsidRDefault="008E6F64">
      <w:pPr>
        <w:pStyle w:val="111"/>
        <w:numPr>
          <w:ilvl w:val="0"/>
          <w:numId w:val="129"/>
        </w:numPr>
        <w:shd w:val="clear" w:color="auto" w:fill="auto"/>
        <w:tabs>
          <w:tab w:val="left" w:pos="313"/>
        </w:tabs>
        <w:spacing w:before="0" w:after="0" w:line="250" w:lineRule="exact"/>
        <w:jc w:val="both"/>
        <w:rPr>
          <w:rFonts w:ascii="Bookman Old Style" w:hAnsi="Bookman Old Style"/>
          <w:b w:val="0"/>
          <w:bCs w:val="0"/>
          <w:sz w:val="18"/>
          <w:szCs w:val="18"/>
        </w:rPr>
      </w:pPr>
      <w:r w:rsidRPr="001C6E6C">
        <w:rPr>
          <w:rStyle w:val="113"/>
          <w:rFonts w:ascii="Bookman Old Style" w:hAnsi="Bookman Old Style"/>
          <w:sz w:val="18"/>
          <w:szCs w:val="18"/>
        </w:rPr>
        <w:t xml:space="preserve">И. Файбушевича, Ю. В. Гусарова, С. Н. Глаголева, А. А. Алабуги- на, Е. С. Галушко, С. А. Галушко, Н. В. Зяблицкой, Е. А. Пастуховой, </w:t>
      </w:r>
      <w:r w:rsidRPr="001C6E6C">
        <w:rPr>
          <w:rStyle w:val="113"/>
          <w:rFonts w:ascii="Bookman Old Style" w:hAnsi="Bookman Old Style"/>
          <w:sz w:val="18"/>
          <w:szCs w:val="18"/>
          <w:lang w:val="en-US" w:eastAsia="en-US" w:bidi="en-US"/>
        </w:rPr>
        <w:t>M</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Desai</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Wang</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Yihua</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Zhao</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Jianbo</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Bruns</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Hille</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C</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Carlile</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Paul</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R</w:t>
      </w:r>
      <w:r w:rsidRPr="001C6E6C">
        <w:rPr>
          <w:rStyle w:val="113"/>
          <w:rFonts w:ascii="Bookman Old Style" w:hAnsi="Bookman Old Style"/>
          <w:sz w:val="18"/>
          <w:szCs w:val="18"/>
          <w:lang w:eastAsia="en-US" w:bidi="en-US"/>
        </w:rPr>
        <w:t>.</w:t>
      </w:r>
    </w:p>
    <w:p w14:paraId="41189C88"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 xml:space="preserve">Китайские ученые </w:t>
      </w:r>
      <w:r w:rsidRPr="001C6E6C">
        <w:rPr>
          <w:rStyle w:val="113"/>
          <w:rFonts w:ascii="Bookman Old Style" w:hAnsi="Bookman Old Style"/>
          <w:sz w:val="18"/>
          <w:szCs w:val="18"/>
          <w:lang w:val="en-US" w:eastAsia="en-US" w:bidi="en-US"/>
        </w:rPr>
        <w:t>Wang</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Yihua</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Zhao</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Jianbo</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rPr>
        <w:t>рассматривают по</w:t>
      </w:r>
      <w:r w:rsidRPr="001C6E6C">
        <w:rPr>
          <w:rStyle w:val="113"/>
          <w:rFonts w:ascii="Bookman Old Style" w:hAnsi="Bookman Old Style"/>
          <w:sz w:val="18"/>
          <w:szCs w:val="18"/>
        </w:rPr>
        <w:softHyphen/>
        <w:t>нятие «адаптация» через термин «организационный иммунитет», который представляет собой систему, формирующую защитный механизм по принципу «обнаружение — защита — запоминание»</w:t>
      </w:r>
      <w:r w:rsidRPr="001C6E6C">
        <w:rPr>
          <w:rStyle w:val="113"/>
          <w:rFonts w:ascii="Bookman Old Style" w:hAnsi="Bookman Old Style"/>
          <w:sz w:val="18"/>
          <w:szCs w:val="18"/>
          <w:vertAlign w:val="superscript"/>
        </w:rPr>
        <w:t>1</w:t>
      </w:r>
      <w:r w:rsidRPr="001C6E6C">
        <w:rPr>
          <w:rStyle w:val="113"/>
          <w:rFonts w:ascii="Bookman Old Style" w:hAnsi="Bookman Old Style"/>
          <w:sz w:val="18"/>
          <w:szCs w:val="18"/>
        </w:rPr>
        <w:t>.</w:t>
      </w:r>
    </w:p>
    <w:p w14:paraId="6839D6FC"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 xml:space="preserve">Зарубежные исследователи </w:t>
      </w:r>
      <w:r w:rsidRPr="001C6E6C">
        <w:rPr>
          <w:rStyle w:val="113"/>
          <w:rFonts w:ascii="Bookman Old Style" w:hAnsi="Bookman Old Style"/>
          <w:sz w:val="18"/>
          <w:szCs w:val="18"/>
          <w:lang w:val="en-US" w:eastAsia="en-US" w:bidi="en-US"/>
        </w:rPr>
        <w:t>Hille</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C</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Bruns</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Paul</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R</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Carlile</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Wolf</w:t>
      </w:r>
      <w:r w:rsidRPr="001C6E6C">
        <w:rPr>
          <w:rStyle w:val="113"/>
          <w:rFonts w:ascii="Bookman Old Style" w:hAnsi="Bookman Old Style"/>
          <w:sz w:val="18"/>
          <w:szCs w:val="18"/>
          <w:lang w:eastAsia="en-US" w:bidi="en-US"/>
        </w:rPr>
        <w:softHyphen/>
      </w:r>
      <w:r w:rsidRPr="001C6E6C">
        <w:rPr>
          <w:rStyle w:val="113"/>
          <w:rFonts w:ascii="Bookman Old Style" w:hAnsi="Bookman Old Style"/>
          <w:sz w:val="18"/>
          <w:szCs w:val="18"/>
          <w:lang w:val="en-US" w:eastAsia="en-US" w:bidi="en-US"/>
        </w:rPr>
        <w:t>gang</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H</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Guettel</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Stefan</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W</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Konlechner</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Prasanna</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Karhade</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Michael</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Shaw</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Ramanath</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Subramanyam</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Kent</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D</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Miller</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Dirk</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Martignoni</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Craig</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W</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Fur</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neaux</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Stephane</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A</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Tywoniak</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Amanda</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lang w:val="en-US" w:eastAsia="en-US" w:bidi="en-US"/>
        </w:rPr>
        <w:t>Gudmundsson</w:t>
      </w:r>
      <w:r w:rsidRPr="001C6E6C">
        <w:rPr>
          <w:rStyle w:val="113"/>
          <w:rFonts w:ascii="Bookman Old Style" w:hAnsi="Bookman Old Style"/>
          <w:sz w:val="18"/>
          <w:szCs w:val="18"/>
          <w:lang w:eastAsia="en-US" w:bidi="en-US"/>
        </w:rPr>
        <w:t xml:space="preserve"> </w:t>
      </w:r>
      <w:r w:rsidRPr="001C6E6C">
        <w:rPr>
          <w:rStyle w:val="113"/>
          <w:rFonts w:ascii="Bookman Old Style" w:hAnsi="Bookman Old Style"/>
          <w:sz w:val="18"/>
          <w:szCs w:val="18"/>
        </w:rPr>
        <w:t>рассматривают процесс организационной адаптации сквозь призму понятия «ру</w:t>
      </w:r>
      <w:r w:rsidRPr="001C6E6C">
        <w:rPr>
          <w:rStyle w:val="113"/>
          <w:rFonts w:ascii="Bookman Old Style" w:hAnsi="Bookman Old Style"/>
          <w:sz w:val="18"/>
          <w:szCs w:val="18"/>
        </w:rPr>
        <w:softHyphen/>
        <w:t>тина», т. е. особое организационное знание, которое формируется у фирмы на основе ее опыта функционирования во внешней среде</w:t>
      </w:r>
      <w:r w:rsidRPr="001C6E6C">
        <w:rPr>
          <w:rStyle w:val="113"/>
          <w:rFonts w:ascii="Bookman Old Style" w:hAnsi="Bookman Old Style"/>
          <w:sz w:val="18"/>
          <w:szCs w:val="18"/>
          <w:vertAlign w:val="superscript"/>
        </w:rPr>
        <w:t>2</w:t>
      </w:r>
      <w:r w:rsidRPr="001C6E6C">
        <w:rPr>
          <w:rStyle w:val="113"/>
          <w:rFonts w:ascii="Bookman Old Style" w:hAnsi="Bookman Old Style"/>
          <w:sz w:val="18"/>
          <w:szCs w:val="18"/>
        </w:rPr>
        <w:t xml:space="preserve">. </w:t>
      </w:r>
      <w:r w:rsidRPr="001C6E6C">
        <w:rPr>
          <w:rStyle w:val="113"/>
          <w:rFonts w:ascii="Bookman Old Style" w:hAnsi="Bookman Old Style"/>
          <w:sz w:val="18"/>
          <w:szCs w:val="18"/>
          <w:vertAlign w:val="superscript"/>
        </w:rPr>
        <w:footnoteReference w:id="204"/>
      </w:r>
      <w:r w:rsidRPr="001C6E6C">
        <w:rPr>
          <w:rStyle w:val="113"/>
          <w:rFonts w:ascii="Bookman Old Style" w:hAnsi="Bookman Old Style"/>
          <w:sz w:val="18"/>
          <w:szCs w:val="18"/>
          <w:vertAlign w:val="superscript"/>
        </w:rPr>
        <w:t xml:space="preserve"> </w:t>
      </w:r>
      <w:r w:rsidRPr="001C6E6C">
        <w:rPr>
          <w:rStyle w:val="113"/>
          <w:rFonts w:ascii="Bookman Old Style" w:hAnsi="Bookman Old Style"/>
          <w:sz w:val="18"/>
          <w:szCs w:val="18"/>
          <w:vertAlign w:val="superscript"/>
        </w:rPr>
        <w:footnoteReference w:id="205"/>
      </w:r>
    </w:p>
    <w:p w14:paraId="0DF969A0"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bookmarkStart w:id="116" w:name="bookmark102"/>
      <w:r w:rsidRPr="001C6E6C">
        <w:rPr>
          <w:rStyle w:val="113"/>
          <w:rFonts w:ascii="Bookman Old Style" w:hAnsi="Bookman Old Style"/>
          <w:sz w:val="18"/>
          <w:szCs w:val="18"/>
        </w:rPr>
        <w:t xml:space="preserve">Поскольку адаптация как процесс приспособления характерна для любой системы, то она характерна и для хозяйственных систем, которые </w:t>
      </w:r>
      <w:r w:rsidRPr="001C6E6C">
        <w:rPr>
          <w:rStyle w:val="113"/>
          <w:rFonts w:ascii="Bookman Old Style" w:hAnsi="Bookman Old Style"/>
          <w:sz w:val="18"/>
          <w:szCs w:val="18"/>
        </w:rPr>
        <w:lastRenderedPageBreak/>
        <w:t>с точки зрения экономической теории являются открыты</w:t>
      </w:r>
      <w:r w:rsidRPr="001C6E6C">
        <w:rPr>
          <w:rStyle w:val="113"/>
          <w:rFonts w:ascii="Bookman Old Style" w:hAnsi="Bookman Old Style"/>
          <w:sz w:val="18"/>
          <w:szCs w:val="18"/>
        </w:rPr>
        <w:softHyphen/>
        <w:t>ми, что делает возможным их взаимодействие с внешней средой</w:t>
      </w:r>
      <w:r w:rsidRPr="001C6E6C">
        <w:rPr>
          <w:rStyle w:val="113"/>
          <w:rFonts w:ascii="Bookman Old Style" w:hAnsi="Bookman Old Style"/>
          <w:sz w:val="18"/>
          <w:szCs w:val="18"/>
          <w:vertAlign w:val="superscript"/>
        </w:rPr>
        <w:footnoteReference w:id="206"/>
      </w:r>
      <w:r w:rsidRPr="001C6E6C">
        <w:rPr>
          <w:rStyle w:val="113"/>
          <w:rFonts w:ascii="Bookman Old Style" w:hAnsi="Bookman Old Style"/>
          <w:sz w:val="18"/>
          <w:szCs w:val="18"/>
        </w:rPr>
        <w:t>.</w:t>
      </w:r>
      <w:bookmarkEnd w:id="116"/>
    </w:p>
    <w:p w14:paraId="3455DE11"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С нашей точки зрения, адаптация — это процесс приспособления хозяйственной системы к изменениям, возникающим во внешней и внутренней средах ее функционирования посредством выработки особых адаптационных механизмов. При этом изменения необяза</w:t>
      </w:r>
      <w:r w:rsidRPr="001C6E6C">
        <w:rPr>
          <w:rStyle w:val="113"/>
          <w:rFonts w:ascii="Bookman Old Style" w:hAnsi="Bookman Old Style"/>
          <w:sz w:val="18"/>
          <w:szCs w:val="18"/>
        </w:rPr>
        <w:softHyphen/>
        <w:t>тельно могут быть связаны с кризисными явлениями</w:t>
      </w:r>
      <w:r w:rsidRPr="001C6E6C">
        <w:rPr>
          <w:rStyle w:val="113"/>
          <w:rFonts w:ascii="Bookman Old Style" w:hAnsi="Bookman Old Style"/>
          <w:sz w:val="18"/>
          <w:szCs w:val="18"/>
          <w:vertAlign w:val="superscript"/>
        </w:rPr>
        <w:footnoteReference w:id="207"/>
      </w:r>
      <w:r w:rsidRPr="001C6E6C">
        <w:rPr>
          <w:rStyle w:val="113"/>
          <w:rFonts w:ascii="Bookman Old Style" w:hAnsi="Bookman Old Style"/>
          <w:sz w:val="18"/>
          <w:szCs w:val="18"/>
        </w:rPr>
        <w:t>.</w:t>
      </w:r>
    </w:p>
    <w:p w14:paraId="5D34FBD4"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Речь идет о любых изменениях внешней и внутренней среды, с которыми взаимодействует хозяйственная система. Свойство, связанное со способностью хозяйственной системы адаптировать</w:t>
      </w:r>
      <w:r w:rsidRPr="001C6E6C">
        <w:rPr>
          <w:rStyle w:val="113"/>
          <w:rFonts w:ascii="Bookman Old Style" w:hAnsi="Bookman Old Style"/>
          <w:sz w:val="18"/>
          <w:szCs w:val="18"/>
        </w:rPr>
        <w:softHyphen/>
        <w:t>ся к изменениям, называется адаптивностью. Мы считаем, что это постоянное свойство, присущее всем хозяйственным системам. Хозяйственные системы могут различаться своими способностями к адаптации. Адаптивность системы может быть разной в зависимо</w:t>
      </w:r>
      <w:r w:rsidRPr="001C6E6C">
        <w:rPr>
          <w:rStyle w:val="113"/>
          <w:rFonts w:ascii="Bookman Old Style" w:hAnsi="Bookman Old Style"/>
          <w:sz w:val="18"/>
          <w:szCs w:val="18"/>
        </w:rPr>
        <w:softHyphen/>
        <w:t>сти от ее возможности и способности быстро отреагировать на воз</w:t>
      </w:r>
      <w:r w:rsidRPr="001C6E6C">
        <w:rPr>
          <w:rStyle w:val="113"/>
          <w:rFonts w:ascii="Bookman Old Style" w:hAnsi="Bookman Old Style"/>
          <w:sz w:val="18"/>
          <w:szCs w:val="18"/>
        </w:rPr>
        <w:softHyphen/>
        <w:t>никшие изменения выработкой особого механизма, который позво</w:t>
      </w:r>
      <w:r w:rsidRPr="001C6E6C">
        <w:rPr>
          <w:rStyle w:val="113"/>
          <w:rFonts w:ascii="Bookman Old Style" w:hAnsi="Bookman Old Style"/>
          <w:sz w:val="18"/>
          <w:szCs w:val="18"/>
        </w:rPr>
        <w:softHyphen/>
        <w:t>лит приобрести системе новые свойства.</w:t>
      </w:r>
    </w:p>
    <w:p w14:paraId="54ADE30F" w14:textId="77777777" w:rsidR="00350D42" w:rsidRPr="001C6E6C" w:rsidRDefault="008E6F64">
      <w:pPr>
        <w:pStyle w:val="111"/>
        <w:shd w:val="clear" w:color="auto" w:fill="auto"/>
        <w:spacing w:before="0" w:after="521"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Проанализировав существующие теоретические концепции по</w:t>
      </w:r>
      <w:r w:rsidRPr="001C6E6C">
        <w:rPr>
          <w:rStyle w:val="113"/>
          <w:rFonts w:ascii="Bookman Old Style" w:hAnsi="Bookman Old Style"/>
          <w:sz w:val="18"/>
          <w:szCs w:val="18"/>
        </w:rPr>
        <w:softHyphen/>
        <w:t>нятия «адаптация», можно сделать вывод о том, что целостный под</w:t>
      </w:r>
      <w:r w:rsidRPr="001C6E6C">
        <w:rPr>
          <w:rStyle w:val="113"/>
          <w:rFonts w:ascii="Bookman Old Style" w:hAnsi="Bookman Old Style"/>
          <w:sz w:val="18"/>
          <w:szCs w:val="18"/>
        </w:rPr>
        <w:softHyphen/>
        <w:t>ход к данной проблеме в экономической теории находится на этапе разработки. Поэтому актуальными являются разработка понятийно</w:t>
      </w:r>
      <w:r w:rsidRPr="001C6E6C">
        <w:rPr>
          <w:rStyle w:val="113"/>
          <w:rFonts w:ascii="Bookman Old Style" w:hAnsi="Bookman Old Style"/>
          <w:sz w:val="18"/>
          <w:szCs w:val="18"/>
        </w:rPr>
        <w:softHyphen/>
        <w:t>го аппарата данного направления экономической теории, а также изучение различных проявлений адаптации в экономике для того, чтобы выявлять причинно-следственные связи и закономерности проявления адаптационных механизмов.</w:t>
      </w:r>
    </w:p>
    <w:p w14:paraId="2DEC97A2" w14:textId="77777777" w:rsidR="00350D42" w:rsidRPr="001C6E6C" w:rsidRDefault="008E6F64">
      <w:pPr>
        <w:pStyle w:val="4c"/>
        <w:keepNext/>
        <w:keepLines/>
        <w:numPr>
          <w:ilvl w:val="0"/>
          <w:numId w:val="130"/>
        </w:numPr>
        <w:shd w:val="clear" w:color="auto" w:fill="auto"/>
        <w:tabs>
          <w:tab w:val="left" w:pos="650"/>
        </w:tabs>
        <w:spacing w:before="0" w:after="220" w:line="274" w:lineRule="exact"/>
        <w:ind w:left="160" w:firstLine="0"/>
        <w:rPr>
          <w:rFonts w:ascii="Bookman Old Style" w:hAnsi="Bookman Old Style"/>
          <w:b w:val="0"/>
          <w:bCs w:val="0"/>
          <w:sz w:val="18"/>
          <w:szCs w:val="18"/>
        </w:rPr>
      </w:pPr>
      <w:bookmarkStart w:id="117" w:name="bookmark103"/>
      <w:r w:rsidRPr="001C6E6C">
        <w:rPr>
          <w:rStyle w:val="4d"/>
          <w:rFonts w:ascii="Bookman Old Style" w:hAnsi="Bookman Old Style"/>
          <w:sz w:val="18"/>
          <w:szCs w:val="18"/>
        </w:rPr>
        <w:t>Адаптация в экономике с позиций экономической теории</w:t>
      </w:r>
      <w:bookmarkEnd w:id="117"/>
    </w:p>
    <w:p w14:paraId="6881EBE1"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Рассмотрим, как интерпретируется проблема адаптации эконо</w:t>
      </w:r>
      <w:r w:rsidRPr="001C6E6C">
        <w:rPr>
          <w:rStyle w:val="113"/>
          <w:rFonts w:ascii="Bookman Old Style" w:hAnsi="Bookman Old Style"/>
          <w:sz w:val="18"/>
          <w:szCs w:val="18"/>
        </w:rPr>
        <w:softHyphen/>
        <w:t>мических субъектов с позиций экономической теории.</w:t>
      </w:r>
    </w:p>
    <w:p w14:paraId="5B430242"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Равновесные модели в микро- и макроэкономике. Классиче</w:t>
      </w:r>
      <w:r w:rsidRPr="001C6E6C">
        <w:rPr>
          <w:rStyle w:val="113"/>
          <w:rFonts w:ascii="Bookman Old Style" w:hAnsi="Bookman Old Style"/>
          <w:sz w:val="18"/>
          <w:szCs w:val="18"/>
        </w:rPr>
        <w:softHyphen/>
        <w:t>ская и неоклассическая школы объясняли поведение экономиче</w:t>
      </w:r>
      <w:r w:rsidRPr="001C6E6C">
        <w:rPr>
          <w:rStyle w:val="113"/>
          <w:rFonts w:ascii="Bookman Old Style" w:hAnsi="Bookman Old Style"/>
          <w:sz w:val="18"/>
          <w:szCs w:val="18"/>
        </w:rPr>
        <w:softHyphen/>
        <w:t>ских субъектов, основываясь на следующих принципах:</w:t>
      </w:r>
    </w:p>
    <w:p w14:paraId="34BA90EB" w14:textId="77777777" w:rsidR="00350D42" w:rsidRPr="001C6E6C" w:rsidRDefault="008E6F64">
      <w:pPr>
        <w:pStyle w:val="111"/>
        <w:numPr>
          <w:ilvl w:val="0"/>
          <w:numId w:val="131"/>
        </w:numPr>
        <w:shd w:val="clear" w:color="auto" w:fill="auto"/>
        <w:tabs>
          <w:tab w:val="left" w:pos="67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рациональность экономических агентов;</w:t>
      </w:r>
    </w:p>
    <w:p w14:paraId="74565345" w14:textId="77777777" w:rsidR="00350D42" w:rsidRPr="001C6E6C" w:rsidRDefault="008E6F64">
      <w:pPr>
        <w:pStyle w:val="111"/>
        <w:numPr>
          <w:ilvl w:val="0"/>
          <w:numId w:val="131"/>
        </w:numPr>
        <w:shd w:val="clear" w:color="auto" w:fill="auto"/>
        <w:tabs>
          <w:tab w:val="left" w:pos="625"/>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полнота информации, на основе которой экономические агенты принимают решение;</w:t>
      </w:r>
    </w:p>
    <w:p w14:paraId="2EC57E58" w14:textId="77777777" w:rsidR="00350D42" w:rsidRPr="001C6E6C" w:rsidRDefault="008E6F64">
      <w:pPr>
        <w:pStyle w:val="2c"/>
        <w:numPr>
          <w:ilvl w:val="0"/>
          <w:numId w:val="131"/>
        </w:numPr>
        <w:shd w:val="clear" w:color="auto" w:fill="auto"/>
        <w:tabs>
          <w:tab w:val="left" w:pos="640"/>
        </w:tabs>
        <w:spacing w:before="0"/>
        <w:ind w:firstLine="320"/>
      </w:pPr>
      <w:r w:rsidRPr="001C6E6C">
        <w:rPr>
          <w:rStyle w:val="2d"/>
        </w:rPr>
        <w:lastRenderedPageBreak/>
        <w:t>действие рыночного механизма («невидимая рука рынка»), которое помогает восстановить баланс между спросом и предложе</w:t>
      </w:r>
      <w:r w:rsidRPr="001C6E6C">
        <w:rPr>
          <w:rStyle w:val="2d"/>
        </w:rPr>
        <w:softHyphen/>
        <w:t>нием на рынке;</w:t>
      </w:r>
    </w:p>
    <w:p w14:paraId="698CCE9B" w14:textId="77777777" w:rsidR="00350D42" w:rsidRPr="001C6E6C" w:rsidRDefault="008E6F64">
      <w:pPr>
        <w:pStyle w:val="2c"/>
        <w:numPr>
          <w:ilvl w:val="0"/>
          <w:numId w:val="131"/>
        </w:numPr>
        <w:shd w:val="clear" w:color="auto" w:fill="auto"/>
        <w:tabs>
          <w:tab w:val="left" w:pos="671"/>
        </w:tabs>
        <w:spacing w:before="0"/>
        <w:ind w:firstLine="320"/>
      </w:pPr>
      <w:r w:rsidRPr="001C6E6C">
        <w:rPr>
          <w:rStyle w:val="2d"/>
        </w:rPr>
        <w:t>достижение равновесия.</w:t>
      </w:r>
    </w:p>
    <w:p w14:paraId="59DF0BF0" w14:textId="77777777" w:rsidR="00350D42" w:rsidRPr="001C6E6C" w:rsidRDefault="008E6F64">
      <w:pPr>
        <w:pStyle w:val="2c"/>
        <w:shd w:val="clear" w:color="auto" w:fill="auto"/>
        <w:spacing w:before="0"/>
        <w:ind w:firstLine="320"/>
      </w:pPr>
      <w:r w:rsidRPr="001C6E6C">
        <w:rPr>
          <w:rStyle w:val="2d"/>
        </w:rPr>
        <w:t>Равновесные модели используются в микро- и макроэкономике для того, чтобы объяснить, как достичь состояния наиболее эффек</w:t>
      </w:r>
      <w:r w:rsidRPr="001C6E6C">
        <w:rPr>
          <w:rStyle w:val="2d"/>
        </w:rPr>
        <w:softHyphen/>
        <w:t>тивного использования ресурсов (микроэкономика), а также по</w:t>
      </w:r>
      <w:r w:rsidRPr="001C6E6C">
        <w:rPr>
          <w:rStyle w:val="2d"/>
        </w:rPr>
        <w:softHyphen/>
        <w:t>нять причины неполного их использования в ситуациях безработи</w:t>
      </w:r>
      <w:r w:rsidRPr="001C6E6C">
        <w:rPr>
          <w:rStyle w:val="2d"/>
        </w:rPr>
        <w:softHyphen/>
        <w:t>цы и инфляции (макроэкономика).</w:t>
      </w:r>
    </w:p>
    <w:p w14:paraId="5CD9EB26" w14:textId="77777777" w:rsidR="00350D42" w:rsidRPr="001C6E6C" w:rsidRDefault="008E6F64">
      <w:pPr>
        <w:pStyle w:val="2c"/>
        <w:shd w:val="clear" w:color="auto" w:fill="auto"/>
        <w:spacing w:before="0"/>
        <w:ind w:firstLine="320"/>
      </w:pPr>
      <w:r w:rsidRPr="001C6E6C">
        <w:rPr>
          <w:rStyle w:val="2d"/>
        </w:rPr>
        <w:t>Микроэкономика изучает поведение индивидуальных потреби</w:t>
      </w:r>
      <w:r w:rsidRPr="001C6E6C">
        <w:rPr>
          <w:rStyle w:val="2d"/>
        </w:rPr>
        <w:softHyphen/>
        <w:t>телей, а также фирм, работающих в отдельных отраслях. Приме</w:t>
      </w:r>
      <w:r w:rsidRPr="001C6E6C">
        <w:rPr>
          <w:rStyle w:val="2d"/>
        </w:rPr>
        <w:softHyphen/>
        <w:t>рами равновесных моделей, рассматриваемых в микроэкономике, являются, например, модели спроса и предложения (как для ин</w:t>
      </w:r>
      <w:r w:rsidRPr="001C6E6C">
        <w:rPr>
          <w:rStyle w:val="2d"/>
        </w:rPr>
        <w:softHyphen/>
        <w:t>дивидуального потребителя, так и для фирм), модель убывающей предельной полезности для индивидуального потребителя. Ма</w:t>
      </w:r>
      <w:r w:rsidRPr="001C6E6C">
        <w:rPr>
          <w:rStyle w:val="2d"/>
        </w:rPr>
        <w:softHyphen/>
        <w:t>кроэкономика занимается поведением агрегированных экономи</w:t>
      </w:r>
      <w:r w:rsidRPr="001C6E6C">
        <w:rPr>
          <w:rStyle w:val="2d"/>
        </w:rPr>
        <w:softHyphen/>
        <w:t>ческих субъектов — государства, предпринимательского сектора, домашних хозяйств, зарубежного сектора. Примером равновесной модели, рассматриваемым в макроэкономике, является, например, кейнсианская модель совместного равновесия на рынках благ и де</w:t>
      </w:r>
      <w:r w:rsidRPr="001C6E6C">
        <w:rPr>
          <w:rStyle w:val="2d"/>
        </w:rPr>
        <w:softHyphen/>
        <w:t xml:space="preserve">нег </w:t>
      </w:r>
      <w:r w:rsidRPr="001C6E6C">
        <w:rPr>
          <w:rStyle w:val="2f4"/>
          <w:lang w:val="en-US" w:eastAsia="en-US" w:bidi="en-US"/>
        </w:rPr>
        <w:t>IS</w:t>
      </w:r>
      <w:r w:rsidRPr="001C6E6C">
        <w:rPr>
          <w:rStyle w:val="2d"/>
          <w:lang w:eastAsia="en-US" w:bidi="en-US"/>
        </w:rPr>
        <w:t xml:space="preserve"> </w:t>
      </w:r>
      <w:r w:rsidRPr="001C6E6C">
        <w:rPr>
          <w:rStyle w:val="2d"/>
        </w:rPr>
        <w:t xml:space="preserve">— </w:t>
      </w:r>
      <w:r w:rsidRPr="001C6E6C">
        <w:rPr>
          <w:rStyle w:val="2f4"/>
          <w:lang w:val="en-US" w:eastAsia="en-US" w:bidi="en-US"/>
        </w:rPr>
        <w:t>LM</w:t>
      </w:r>
      <w:r w:rsidRPr="001C6E6C">
        <w:rPr>
          <w:rStyle w:val="2f4"/>
          <w:lang w:eastAsia="en-US" w:bidi="en-US"/>
        </w:rPr>
        <w:t>.</w:t>
      </w:r>
    </w:p>
    <w:p w14:paraId="2F1EFF66" w14:textId="33370B5B" w:rsidR="00350D42" w:rsidRPr="001C6E6C" w:rsidRDefault="008E6F64">
      <w:pPr>
        <w:pStyle w:val="2c"/>
        <w:shd w:val="clear" w:color="auto" w:fill="auto"/>
        <w:spacing w:before="0"/>
        <w:ind w:firstLine="320"/>
      </w:pPr>
      <w:r w:rsidRPr="001C6E6C">
        <w:rPr>
          <w:rStyle w:val="2d"/>
        </w:rPr>
        <w:t>Институциональная теория. В настоящее время мы наблюдаем функционирование российской и мировой экономических систем в условиях изменений, связанных с ситуацией глобального финансо</w:t>
      </w:r>
      <w:r w:rsidRPr="001C6E6C">
        <w:rPr>
          <w:rStyle w:val="2d"/>
        </w:rPr>
        <w:softHyphen/>
        <w:t>вого кризиса. Согласно институциональной концепции экономиче</w:t>
      </w:r>
      <w:r w:rsidRPr="001C6E6C">
        <w:rPr>
          <w:rStyle w:val="2d"/>
        </w:rPr>
        <w:softHyphen/>
        <w:t>ских изменений любая экономическая система является открытой, динамически развивающейся, активной, самоорганизующейся, не</w:t>
      </w:r>
      <w:r w:rsidRPr="001C6E6C">
        <w:rPr>
          <w:rStyle w:val="2d"/>
        </w:rPr>
        <w:softHyphen/>
        <w:t>равновесной, обладающей внутренними источниками изменений. Адаптируясь к экономическим изменениям с помощью своих вну</w:t>
      </w:r>
      <w:r w:rsidRPr="001C6E6C">
        <w:rPr>
          <w:rStyle w:val="2d"/>
        </w:rPr>
        <w:softHyphen/>
        <w:t>тренних ресурсов, экономическая система воздействует на внеш</w:t>
      </w:r>
      <w:r w:rsidRPr="001C6E6C">
        <w:rPr>
          <w:rStyle w:val="2d"/>
        </w:rPr>
        <w:softHyphen/>
        <w:t>нюю среду. Согласно эволюционной концепции экономического развития изменения носят постоянный и необратимый характер. Ввиду того что институциональная среда играет важную роль в про</w:t>
      </w:r>
      <w:r w:rsidRPr="001C6E6C">
        <w:rPr>
          <w:rStyle w:val="2d"/>
        </w:rPr>
        <w:softHyphen/>
        <w:t>цессе экономических изменений, актуальным становится изучение способов ее адаптации и формирования институтами адаптацион</w:t>
      </w:r>
      <w:r w:rsidRPr="001C6E6C">
        <w:rPr>
          <w:rStyle w:val="2d"/>
        </w:rPr>
        <w:softHyphen/>
        <w:t>ных механизмов. Проблемы возникновения и развития социально</w:t>
      </w:r>
      <w:r w:rsidRPr="001C6E6C">
        <w:rPr>
          <w:rStyle w:val="2d"/>
        </w:rPr>
        <w:softHyphen/>
        <w:t>экономических институтов привлекали внимание ученых на про</w:t>
      </w:r>
      <w:r w:rsidRPr="001C6E6C">
        <w:rPr>
          <w:rStyle w:val="2d"/>
        </w:rPr>
        <w:softHyphen/>
        <w:t xml:space="preserve">тяжении всей истории общественной мысли. Основоположником теории институциональных изменений является Д. Норт. Он анализировал изменения с точки зрения эволюционного процесса, транзакционных издержек, прав собственности, изучая эндогенные факторы, которые приводят к трансформации институциональной среды. Среди таких факторов он выделял следующие: идеология (формальная и неформальная) и сдвиги в структуре относительных цен, которые </w:t>
      </w:r>
      <w:r w:rsidRPr="001C6E6C">
        <w:rPr>
          <w:rStyle w:val="2d"/>
        </w:rPr>
        <w:lastRenderedPageBreak/>
        <w:t xml:space="preserve">происходят под влиянием технического прогресса, </w:t>
      </w:r>
      <w:bookmarkStart w:id="118" w:name="bookmark104"/>
      <w:r w:rsidRPr="001C6E6C">
        <w:rPr>
          <w:rStyle w:val="113"/>
          <w:rFonts w:ascii="Bookman Old Style" w:hAnsi="Bookman Old Style"/>
          <w:b w:val="0"/>
          <w:bCs w:val="0"/>
          <w:sz w:val="18"/>
          <w:szCs w:val="18"/>
        </w:rPr>
        <w:t>появления новых видов продукции, открытия новых рынков, роста населения.</w:t>
      </w:r>
      <w:bookmarkEnd w:id="118"/>
    </w:p>
    <w:p w14:paraId="5338C9CA"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В теории институциональной эволюции существует несколь</w:t>
      </w:r>
      <w:r w:rsidRPr="001C6E6C">
        <w:rPr>
          <w:rStyle w:val="113"/>
          <w:rFonts w:ascii="Bookman Old Style" w:hAnsi="Bookman Old Style"/>
          <w:sz w:val="18"/>
          <w:szCs w:val="18"/>
        </w:rPr>
        <w:softHyphen/>
        <w:t>ко направлений. Одно из них связано с именем Р. Фогеля, кото</w:t>
      </w:r>
      <w:r w:rsidRPr="001C6E6C">
        <w:rPr>
          <w:rStyle w:val="113"/>
          <w:rFonts w:ascii="Bookman Old Style" w:hAnsi="Bookman Old Style"/>
          <w:sz w:val="18"/>
          <w:szCs w:val="18"/>
        </w:rPr>
        <w:softHyphen/>
        <w:t>рый использовал экономико-математические модели для анализа исторической динамики. Другой подход связан работами Т. Ве- блена, который считал, что изменения в институциональной сре</w:t>
      </w:r>
      <w:r w:rsidRPr="001C6E6C">
        <w:rPr>
          <w:rStyle w:val="113"/>
          <w:rFonts w:ascii="Bookman Old Style" w:hAnsi="Bookman Old Style"/>
          <w:sz w:val="18"/>
          <w:szCs w:val="18"/>
        </w:rPr>
        <w:softHyphen/>
        <w:t>де происходят вследствие творческой деятельности людей. Пред</w:t>
      </w:r>
      <w:r w:rsidRPr="001C6E6C">
        <w:rPr>
          <w:rStyle w:val="113"/>
          <w:rFonts w:ascii="Bookman Old Style" w:hAnsi="Bookman Old Style"/>
          <w:sz w:val="18"/>
          <w:szCs w:val="18"/>
        </w:rPr>
        <w:softHyphen/>
        <w:t>ставитель австрийской экономической школы Й. Шумпетер был сторонником идеи о том, что изменения происходят вследствие ин</w:t>
      </w:r>
      <w:r w:rsidRPr="001C6E6C">
        <w:rPr>
          <w:rStyle w:val="113"/>
          <w:rFonts w:ascii="Bookman Old Style" w:hAnsi="Bookman Old Style"/>
          <w:sz w:val="18"/>
          <w:szCs w:val="18"/>
        </w:rPr>
        <w:softHyphen/>
        <w:t>новационной деятельности. Неоинституциональное направление, с одной стороны, рассматривает институциональные изменения как следствие преднамеренного воздействия коллективной воли. Эти идеи прослеживаются в работах Дж. Коммонса. С другой сто</w:t>
      </w:r>
      <w:r w:rsidRPr="001C6E6C">
        <w:rPr>
          <w:rStyle w:val="113"/>
          <w:rFonts w:ascii="Bookman Old Style" w:hAnsi="Bookman Old Style"/>
          <w:sz w:val="18"/>
          <w:szCs w:val="18"/>
        </w:rPr>
        <w:softHyphen/>
        <w:t>роны, неоинституционалисты (К. Менгер, Ф. фон Хайек) развивают эволюционный подход к институциональным изменениям, считая, что изменения происходят в результате общественного развития. При этом среди сторонников эволюционного подхода существуют те, кто считает, что более эффективные институты вытесняют ме</w:t>
      </w:r>
      <w:r w:rsidRPr="001C6E6C">
        <w:rPr>
          <w:rStyle w:val="113"/>
          <w:rFonts w:ascii="Bookman Old Style" w:hAnsi="Bookman Old Style"/>
          <w:sz w:val="18"/>
          <w:szCs w:val="18"/>
        </w:rPr>
        <w:softHyphen/>
        <w:t>нее эффективные (А. Алчиан, О. Уильямсон, М. Фридман, Д. Норт, М. Дженсен, У. Меклинг, Р. Нельсон, С. Уинтер). Таким образом, основу их подхода составляет идея естественного отбора наиболее эффективных институтов. В то же время в рамках эволюционного подхода существует направление, сторонники которого полагают, что не всегда выживают наиболее эффективные институты (М. Ро, С. Либовиц, С. Марголис). Представители данной концепции счита</w:t>
      </w:r>
      <w:r w:rsidRPr="001C6E6C">
        <w:rPr>
          <w:rStyle w:val="113"/>
          <w:rFonts w:ascii="Bookman Old Style" w:hAnsi="Bookman Old Style"/>
          <w:sz w:val="18"/>
          <w:szCs w:val="18"/>
        </w:rPr>
        <w:softHyphen/>
        <w:t>ют, что вектор институциональных изменений во многом определя</w:t>
      </w:r>
      <w:r w:rsidRPr="001C6E6C">
        <w:rPr>
          <w:rStyle w:val="113"/>
          <w:rFonts w:ascii="Bookman Old Style" w:hAnsi="Bookman Old Style"/>
          <w:sz w:val="18"/>
          <w:szCs w:val="18"/>
        </w:rPr>
        <w:softHyphen/>
        <w:t>ется траекторией развития и условиями внешней среды.</w:t>
      </w:r>
    </w:p>
    <w:p w14:paraId="44A22D23" w14:textId="77777777" w:rsidR="00350D42" w:rsidRPr="001C6E6C" w:rsidRDefault="008E6F64">
      <w:pPr>
        <w:pStyle w:val="111"/>
        <w:shd w:val="clear" w:color="auto" w:fill="auto"/>
        <w:spacing w:before="0" w:after="351"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Наша позиция заключается в том, что в условиях экономических изменений институциональная среда приспосабливается к ним, адаптируется с помощью особого эволюционного механизма. Дан</w:t>
      </w:r>
      <w:r w:rsidRPr="001C6E6C">
        <w:rPr>
          <w:rStyle w:val="113"/>
          <w:rFonts w:ascii="Bookman Old Style" w:hAnsi="Bookman Old Style"/>
          <w:sz w:val="18"/>
          <w:szCs w:val="18"/>
        </w:rPr>
        <w:softHyphen/>
        <w:t>ный механизм позволяет институтам изменяться постепенно, реа</w:t>
      </w:r>
      <w:r w:rsidRPr="001C6E6C">
        <w:rPr>
          <w:rStyle w:val="113"/>
          <w:rFonts w:ascii="Bookman Old Style" w:hAnsi="Bookman Old Style"/>
          <w:sz w:val="18"/>
          <w:szCs w:val="18"/>
        </w:rPr>
        <w:softHyphen/>
        <w:t>гируя на изменение внешних и внутренних условий среды.</w:t>
      </w:r>
    </w:p>
    <w:p w14:paraId="1CAA80FE" w14:textId="77777777" w:rsidR="00350D42" w:rsidRPr="001C6E6C" w:rsidRDefault="008E6F64">
      <w:pPr>
        <w:pStyle w:val="4c"/>
        <w:keepNext/>
        <w:keepLines/>
        <w:numPr>
          <w:ilvl w:val="0"/>
          <w:numId w:val="130"/>
        </w:numPr>
        <w:shd w:val="clear" w:color="auto" w:fill="auto"/>
        <w:tabs>
          <w:tab w:val="left" w:pos="1310"/>
        </w:tabs>
        <w:spacing w:before="0" w:after="209" w:line="336" w:lineRule="exact"/>
        <w:ind w:left="1980" w:hanging="1160"/>
        <w:rPr>
          <w:rFonts w:ascii="Bookman Old Style" w:hAnsi="Bookman Old Style"/>
          <w:b w:val="0"/>
          <w:bCs w:val="0"/>
          <w:sz w:val="18"/>
          <w:szCs w:val="18"/>
        </w:rPr>
      </w:pPr>
      <w:bookmarkStart w:id="119" w:name="bookmark105"/>
      <w:r w:rsidRPr="001C6E6C">
        <w:rPr>
          <w:rStyle w:val="4d"/>
          <w:rFonts w:ascii="Bookman Old Style" w:hAnsi="Bookman Old Style"/>
          <w:sz w:val="18"/>
          <w:szCs w:val="18"/>
        </w:rPr>
        <w:t>Классификация адаптационных механизмов экономических субъектов</w:t>
      </w:r>
      <w:bookmarkEnd w:id="119"/>
    </w:p>
    <w:p w14:paraId="54234B9E"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В экономической науке существуют различные подходы к тол</w:t>
      </w:r>
      <w:r w:rsidRPr="001C6E6C">
        <w:rPr>
          <w:rStyle w:val="113"/>
          <w:rFonts w:ascii="Bookman Old Style" w:hAnsi="Bookman Old Style"/>
          <w:sz w:val="18"/>
          <w:szCs w:val="18"/>
        </w:rPr>
        <w:softHyphen/>
        <w:t>кованию понятия «механизм». Некоторые эксперты отмечают, что термин «механизм» начал использоваться в научных трудах, посвященных экономическим проблемам, начиная с 1960-х гг.</w:t>
      </w:r>
      <w:r w:rsidRPr="001C6E6C">
        <w:rPr>
          <w:rStyle w:val="113"/>
          <w:rFonts w:ascii="Bookman Old Style" w:hAnsi="Bookman Old Style"/>
          <w:sz w:val="18"/>
          <w:szCs w:val="18"/>
          <w:vertAlign w:val="superscript"/>
        </w:rPr>
        <w:t xml:space="preserve">1 </w:t>
      </w:r>
      <w:r w:rsidRPr="001C6E6C">
        <w:rPr>
          <w:rStyle w:val="113"/>
          <w:rFonts w:ascii="Bookman Old Style" w:hAnsi="Bookman Old Style"/>
          <w:sz w:val="18"/>
          <w:szCs w:val="18"/>
        </w:rPr>
        <w:t xml:space="preserve">Академик Л. Абалкин приводит следующее определение термина </w:t>
      </w:r>
      <w:r w:rsidRPr="001C6E6C">
        <w:rPr>
          <w:rStyle w:val="113"/>
          <w:rFonts w:ascii="Bookman Old Style" w:hAnsi="Bookman Old Style"/>
          <w:sz w:val="18"/>
          <w:szCs w:val="18"/>
          <w:vertAlign w:val="superscript"/>
        </w:rPr>
        <w:footnoteReference w:id="208"/>
      </w:r>
      <w:r w:rsidRPr="001C6E6C">
        <w:rPr>
          <w:rStyle w:val="113"/>
          <w:rFonts w:ascii="Bookman Old Style" w:hAnsi="Bookman Old Style"/>
          <w:sz w:val="18"/>
          <w:szCs w:val="18"/>
        </w:rPr>
        <w:t xml:space="preserve"> </w:t>
      </w:r>
      <w:r w:rsidRPr="001C6E6C">
        <w:rPr>
          <w:rStyle w:val="113"/>
          <w:rFonts w:ascii="Bookman Old Style" w:hAnsi="Bookman Old Style"/>
          <w:sz w:val="18"/>
          <w:szCs w:val="18"/>
        </w:rPr>
        <w:lastRenderedPageBreak/>
        <w:t>«хозяйственный механизм»: «Среди важнейших его структурных подразделений можно выделить:</w:t>
      </w:r>
    </w:p>
    <w:p w14:paraId="6918C0D7" w14:textId="77777777" w:rsidR="00350D42" w:rsidRPr="001C6E6C" w:rsidRDefault="008E6F64">
      <w:pPr>
        <w:pStyle w:val="111"/>
        <w:numPr>
          <w:ilvl w:val="0"/>
          <w:numId w:val="131"/>
        </w:numPr>
        <w:shd w:val="clear" w:color="auto" w:fill="auto"/>
        <w:tabs>
          <w:tab w:val="left" w:pos="638"/>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формы организации общественного производства (разделе</w:t>
      </w:r>
      <w:r w:rsidRPr="001C6E6C">
        <w:rPr>
          <w:rStyle w:val="113"/>
          <w:rFonts w:ascii="Bookman Old Style" w:hAnsi="Bookman Old Style"/>
          <w:sz w:val="18"/>
          <w:szCs w:val="18"/>
        </w:rPr>
        <w:softHyphen/>
        <w:t>ние труда, специализация производства, его размещения и другие, с помощью усовершенствования которых общество влияет на раз</w:t>
      </w:r>
      <w:r w:rsidRPr="001C6E6C">
        <w:rPr>
          <w:rStyle w:val="113"/>
          <w:rFonts w:ascii="Bookman Old Style" w:hAnsi="Bookman Old Style"/>
          <w:sz w:val="18"/>
          <w:szCs w:val="18"/>
        </w:rPr>
        <w:softHyphen/>
        <w:t>витие производительных сил и обеспечивает повышение эффектив</w:t>
      </w:r>
      <w:r w:rsidRPr="001C6E6C">
        <w:rPr>
          <w:rStyle w:val="113"/>
          <w:rFonts w:ascii="Bookman Old Style" w:hAnsi="Bookman Old Style"/>
          <w:sz w:val="18"/>
          <w:szCs w:val="18"/>
        </w:rPr>
        <w:softHyphen/>
        <w:t>ности их использования);</w:t>
      </w:r>
    </w:p>
    <w:p w14:paraId="75AAED24" w14:textId="77777777" w:rsidR="00350D42" w:rsidRPr="001C6E6C" w:rsidRDefault="008E6F64">
      <w:pPr>
        <w:pStyle w:val="111"/>
        <w:numPr>
          <w:ilvl w:val="0"/>
          <w:numId w:val="131"/>
        </w:numPr>
        <w:shd w:val="clear" w:color="auto" w:fill="auto"/>
        <w:tabs>
          <w:tab w:val="left" w:pos="638"/>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формы хозяйственных связей, благодаря которым осущест</w:t>
      </w:r>
      <w:r w:rsidRPr="001C6E6C">
        <w:rPr>
          <w:rStyle w:val="113"/>
          <w:rFonts w:ascii="Bookman Old Style" w:hAnsi="Bookman Old Style"/>
          <w:sz w:val="18"/>
          <w:szCs w:val="18"/>
        </w:rPr>
        <w:softHyphen/>
        <w:t>вляется своеобразный “обмен веществ” в экономике, в том числе оборот средств производства, финансово-кредитные отношения и др.;</w:t>
      </w:r>
    </w:p>
    <w:p w14:paraId="395873A4" w14:textId="77777777" w:rsidR="00350D42" w:rsidRPr="001C6E6C" w:rsidRDefault="008E6F64">
      <w:pPr>
        <w:pStyle w:val="111"/>
        <w:numPr>
          <w:ilvl w:val="0"/>
          <w:numId w:val="131"/>
        </w:numPr>
        <w:shd w:val="clear" w:color="auto" w:fill="auto"/>
        <w:tabs>
          <w:tab w:val="left" w:pos="638"/>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структуру, формы и методы планирования и хозяйственного руководства, в составе которых одновременно с экономическими могут быть выделены также правовые и социально-психологиче</w:t>
      </w:r>
      <w:r w:rsidRPr="001C6E6C">
        <w:rPr>
          <w:rStyle w:val="113"/>
          <w:rFonts w:ascii="Bookman Old Style" w:hAnsi="Bookman Old Style"/>
          <w:sz w:val="18"/>
          <w:szCs w:val="18"/>
        </w:rPr>
        <w:softHyphen/>
        <w:t>ские формы и методы;</w:t>
      </w:r>
    </w:p>
    <w:p w14:paraId="11593445" w14:textId="77777777" w:rsidR="00350D42" w:rsidRPr="001C6E6C" w:rsidRDefault="008E6F64">
      <w:pPr>
        <w:pStyle w:val="111"/>
        <w:numPr>
          <w:ilvl w:val="0"/>
          <w:numId w:val="131"/>
        </w:numPr>
        <w:shd w:val="clear" w:color="auto" w:fill="auto"/>
        <w:tabs>
          <w:tab w:val="left" w:pos="638"/>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совокупность экономических рычагов и стимулов влияния на производство и участников хозяйственной деятельности, с по</w:t>
      </w:r>
      <w:r w:rsidRPr="001C6E6C">
        <w:rPr>
          <w:rStyle w:val="113"/>
          <w:rFonts w:ascii="Bookman Old Style" w:hAnsi="Bookman Old Style"/>
          <w:sz w:val="18"/>
          <w:szCs w:val="18"/>
        </w:rPr>
        <w:softHyphen/>
        <w:t>мощью которых обеспечивается согласование и стимулирование хозяйственной деятельности»</w:t>
      </w:r>
      <w:r w:rsidRPr="001C6E6C">
        <w:rPr>
          <w:rStyle w:val="113"/>
          <w:rFonts w:ascii="Bookman Old Style" w:hAnsi="Bookman Old Style"/>
          <w:sz w:val="18"/>
          <w:szCs w:val="18"/>
          <w:vertAlign w:val="superscript"/>
        </w:rPr>
        <w:t>1</w:t>
      </w:r>
      <w:r w:rsidRPr="001C6E6C">
        <w:rPr>
          <w:rStyle w:val="113"/>
          <w:rFonts w:ascii="Bookman Old Style" w:hAnsi="Bookman Old Style"/>
          <w:sz w:val="18"/>
          <w:szCs w:val="18"/>
        </w:rPr>
        <w:t>.</w:t>
      </w:r>
    </w:p>
    <w:p w14:paraId="2636FECE" w14:textId="22196435"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Автор</w:t>
      </w:r>
      <w:r w:rsidR="000213E0" w:rsidRPr="001C6E6C">
        <w:rPr>
          <w:rStyle w:val="113"/>
          <w:rFonts w:ascii="Bookman Old Style" w:hAnsi="Bookman Old Style"/>
          <w:sz w:val="18"/>
          <w:szCs w:val="18"/>
        </w:rPr>
        <w:t>у</w:t>
      </w:r>
      <w:r w:rsidRPr="001C6E6C">
        <w:rPr>
          <w:rStyle w:val="113"/>
          <w:rFonts w:ascii="Bookman Old Style" w:hAnsi="Bookman Old Style"/>
          <w:sz w:val="18"/>
          <w:szCs w:val="18"/>
        </w:rPr>
        <w:t xml:space="preserve"> более близки следующие определения механизма, кото</w:t>
      </w:r>
      <w:r w:rsidRPr="001C6E6C">
        <w:rPr>
          <w:rStyle w:val="113"/>
          <w:rFonts w:ascii="Bookman Old Style" w:hAnsi="Bookman Old Style"/>
          <w:sz w:val="18"/>
          <w:szCs w:val="18"/>
        </w:rPr>
        <w:softHyphen/>
        <w:t>рые разработаны А. Ю. Чаленко на основе принципов системного и процессного анализа:</w:t>
      </w:r>
    </w:p>
    <w:p w14:paraId="26D9E01B" w14:textId="77777777" w:rsidR="00350D42" w:rsidRPr="001C6E6C" w:rsidRDefault="008E6F64">
      <w:pPr>
        <w:pStyle w:val="111"/>
        <w:numPr>
          <w:ilvl w:val="0"/>
          <w:numId w:val="132"/>
        </w:numPr>
        <w:shd w:val="clear" w:color="auto" w:fill="auto"/>
        <w:tabs>
          <w:tab w:val="left" w:pos="638"/>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«механизм есть ресурсное обеспечение процесса, его веще</w:t>
      </w:r>
      <w:r w:rsidRPr="001C6E6C">
        <w:rPr>
          <w:rStyle w:val="113"/>
          <w:rFonts w:ascii="Bookman Old Style" w:hAnsi="Bookman Old Style"/>
          <w:sz w:val="18"/>
          <w:szCs w:val="18"/>
        </w:rPr>
        <w:softHyphen/>
        <w:t>ственная часть и включает совокупность взаимосвязанных элемен</w:t>
      </w:r>
      <w:r w:rsidRPr="001C6E6C">
        <w:rPr>
          <w:rStyle w:val="113"/>
          <w:rFonts w:ascii="Bookman Old Style" w:hAnsi="Bookman Old Style"/>
          <w:sz w:val="18"/>
          <w:szCs w:val="18"/>
        </w:rPr>
        <w:softHyphen/>
        <w:t>тов, “настроенных” на выполнение функции процесса»;</w:t>
      </w:r>
    </w:p>
    <w:p w14:paraId="0F77394A" w14:textId="77777777" w:rsidR="00350D42" w:rsidRPr="001C6E6C" w:rsidRDefault="008E6F64">
      <w:pPr>
        <w:pStyle w:val="111"/>
        <w:numPr>
          <w:ilvl w:val="0"/>
          <w:numId w:val="132"/>
        </w:numPr>
        <w:shd w:val="clear" w:color="auto" w:fill="auto"/>
        <w:tabs>
          <w:tab w:val="left" w:pos="638"/>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«механизм — это совокупность ресурсов экономического процесса и способов их соединения»</w:t>
      </w:r>
      <w:r w:rsidRPr="001C6E6C">
        <w:rPr>
          <w:rStyle w:val="113"/>
          <w:rFonts w:ascii="Bookman Old Style" w:hAnsi="Bookman Old Style"/>
          <w:sz w:val="18"/>
          <w:szCs w:val="18"/>
          <w:vertAlign w:val="superscript"/>
        </w:rPr>
        <w:t>2</w:t>
      </w:r>
      <w:r w:rsidRPr="001C6E6C">
        <w:rPr>
          <w:rStyle w:val="113"/>
          <w:rFonts w:ascii="Bookman Old Style" w:hAnsi="Bookman Old Style"/>
          <w:sz w:val="18"/>
          <w:szCs w:val="18"/>
        </w:rPr>
        <w:t>.</w:t>
      </w:r>
    </w:p>
    <w:p w14:paraId="6BDD7850"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Под механизмами адаптации мы понимаем ресурсное обеспе</w:t>
      </w:r>
      <w:r w:rsidRPr="001C6E6C">
        <w:rPr>
          <w:rStyle w:val="113"/>
          <w:rFonts w:ascii="Bookman Old Style" w:hAnsi="Bookman Old Style"/>
          <w:sz w:val="18"/>
          <w:szCs w:val="18"/>
        </w:rPr>
        <w:softHyphen/>
        <w:t>чение процесса приспособления хозяйственной системы к измене</w:t>
      </w:r>
      <w:r w:rsidRPr="001C6E6C">
        <w:rPr>
          <w:rStyle w:val="113"/>
          <w:rFonts w:ascii="Bookman Old Style" w:hAnsi="Bookman Old Style"/>
          <w:sz w:val="18"/>
          <w:szCs w:val="18"/>
        </w:rPr>
        <w:softHyphen/>
        <w:t>ниям краткосрочного и долгосрочного характера, происходящие во внешней и внутренней среде. Изменения, как правило, связаны с циклическими колебаниями, которые характерны для любой си</w:t>
      </w:r>
      <w:r w:rsidRPr="001C6E6C">
        <w:rPr>
          <w:rStyle w:val="113"/>
          <w:rFonts w:ascii="Bookman Old Style" w:hAnsi="Bookman Old Style"/>
          <w:sz w:val="18"/>
          <w:szCs w:val="18"/>
        </w:rPr>
        <w:softHyphen/>
        <w:t>стемы.</w:t>
      </w:r>
    </w:p>
    <w:p w14:paraId="2A5D8A41"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Представляется возможным выделить различные виды механиз</w:t>
      </w:r>
      <w:r w:rsidRPr="001C6E6C">
        <w:rPr>
          <w:rStyle w:val="113"/>
          <w:rFonts w:ascii="Bookman Old Style" w:hAnsi="Bookman Old Style"/>
          <w:sz w:val="18"/>
          <w:szCs w:val="18"/>
        </w:rPr>
        <w:softHyphen/>
        <w:t>мов адаптации по следующим признакам.</w:t>
      </w:r>
    </w:p>
    <w:p w14:paraId="618D9662" w14:textId="77777777" w:rsidR="00350D42" w:rsidRPr="001C6E6C" w:rsidRDefault="008E6F64">
      <w:pPr>
        <w:pStyle w:val="111"/>
        <w:numPr>
          <w:ilvl w:val="0"/>
          <w:numId w:val="133"/>
        </w:numPr>
        <w:shd w:val="clear" w:color="auto" w:fill="auto"/>
        <w:tabs>
          <w:tab w:val="left" w:pos="638"/>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Уровень экономики. Можно анализировать адаптационные механизмы на макро-, микро-, мезо- и метауровнях.</w:t>
      </w:r>
    </w:p>
    <w:p w14:paraId="0FCF2557" w14:textId="77777777" w:rsidR="00350D42" w:rsidRPr="001C6E6C" w:rsidRDefault="008E6F64">
      <w:pPr>
        <w:pStyle w:val="111"/>
        <w:numPr>
          <w:ilvl w:val="0"/>
          <w:numId w:val="133"/>
        </w:numPr>
        <w:shd w:val="clear" w:color="auto" w:fill="auto"/>
        <w:tabs>
          <w:tab w:val="left" w:pos="638"/>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Субъект национальной экономики. Можно выделить и анали</w:t>
      </w:r>
      <w:r w:rsidRPr="001C6E6C">
        <w:rPr>
          <w:rStyle w:val="113"/>
          <w:rFonts w:ascii="Bookman Old Style" w:hAnsi="Bookman Old Style"/>
          <w:sz w:val="18"/>
          <w:szCs w:val="18"/>
        </w:rPr>
        <w:softHyphen/>
        <w:t>зировать адаптационные механизмы следующих субъектов нацио</w:t>
      </w:r>
      <w:r w:rsidRPr="001C6E6C">
        <w:rPr>
          <w:rStyle w:val="113"/>
          <w:rFonts w:ascii="Bookman Old Style" w:hAnsi="Bookman Old Style"/>
          <w:sz w:val="18"/>
          <w:szCs w:val="18"/>
        </w:rPr>
        <w:softHyphen/>
        <w:t>нальной экономики:</w:t>
      </w:r>
    </w:p>
    <w:p w14:paraId="18D83820" w14:textId="77777777" w:rsidR="00350D42" w:rsidRPr="001C6E6C" w:rsidRDefault="008E6F64">
      <w:pPr>
        <w:pStyle w:val="111"/>
        <w:numPr>
          <w:ilvl w:val="0"/>
          <w:numId w:val="131"/>
        </w:numPr>
        <w:shd w:val="clear" w:color="auto" w:fill="auto"/>
        <w:tabs>
          <w:tab w:val="left" w:pos="67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государственного сектора;</w:t>
      </w:r>
    </w:p>
    <w:p w14:paraId="39EDDBF9" w14:textId="77777777" w:rsidR="00350D42" w:rsidRPr="001C6E6C" w:rsidRDefault="008E6F64">
      <w:pPr>
        <w:pStyle w:val="111"/>
        <w:numPr>
          <w:ilvl w:val="0"/>
          <w:numId w:val="131"/>
        </w:numPr>
        <w:shd w:val="clear" w:color="auto" w:fill="auto"/>
        <w:tabs>
          <w:tab w:val="left" w:pos="67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финансового сектора;</w:t>
      </w:r>
    </w:p>
    <w:p w14:paraId="751CA9B5" w14:textId="77777777" w:rsidR="00350D42" w:rsidRPr="001C6E6C" w:rsidRDefault="008E6F64">
      <w:pPr>
        <w:pStyle w:val="111"/>
        <w:numPr>
          <w:ilvl w:val="0"/>
          <w:numId w:val="131"/>
        </w:numPr>
        <w:shd w:val="clear" w:color="auto" w:fill="auto"/>
        <w:tabs>
          <w:tab w:val="left" w:pos="67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 xml:space="preserve">предпринимательского сектора; </w:t>
      </w:r>
      <w:r w:rsidRPr="001C6E6C">
        <w:rPr>
          <w:rStyle w:val="113"/>
          <w:rFonts w:ascii="Bookman Old Style" w:hAnsi="Bookman Old Style"/>
          <w:sz w:val="18"/>
          <w:szCs w:val="18"/>
          <w:vertAlign w:val="superscript"/>
        </w:rPr>
        <w:footnoteReference w:id="209"/>
      </w:r>
      <w:r w:rsidRPr="001C6E6C">
        <w:rPr>
          <w:rStyle w:val="113"/>
          <w:rFonts w:ascii="Bookman Old Style" w:hAnsi="Bookman Old Style"/>
          <w:sz w:val="18"/>
          <w:szCs w:val="18"/>
          <w:vertAlign w:val="superscript"/>
        </w:rPr>
        <w:t xml:space="preserve"> </w:t>
      </w:r>
      <w:r w:rsidRPr="001C6E6C">
        <w:rPr>
          <w:rStyle w:val="113"/>
          <w:rFonts w:ascii="Bookman Old Style" w:hAnsi="Bookman Old Style"/>
          <w:sz w:val="18"/>
          <w:szCs w:val="18"/>
          <w:vertAlign w:val="superscript"/>
        </w:rPr>
        <w:footnoteReference w:id="210"/>
      </w:r>
    </w:p>
    <w:p w14:paraId="67A7852E"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рынка труда;</w:t>
      </w:r>
    </w:p>
    <w:p w14:paraId="20AD1C71"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национальной экономики в целом и т. д.</w:t>
      </w:r>
    </w:p>
    <w:p w14:paraId="2C28CFA7" w14:textId="77777777" w:rsidR="00350D42" w:rsidRPr="001C6E6C" w:rsidRDefault="008E6F64">
      <w:pPr>
        <w:pStyle w:val="111"/>
        <w:numPr>
          <w:ilvl w:val="0"/>
          <w:numId w:val="133"/>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lastRenderedPageBreak/>
        <w:t>Содержательные характеристики поведения данного эконо</w:t>
      </w:r>
      <w:r w:rsidRPr="001C6E6C">
        <w:rPr>
          <w:rStyle w:val="113"/>
          <w:rFonts w:ascii="Bookman Old Style" w:hAnsi="Bookman Old Style"/>
          <w:sz w:val="18"/>
          <w:szCs w:val="18"/>
        </w:rPr>
        <w:softHyphen/>
        <w:t>мического субъекта, проявляющиеся в его реакции на возникаю</w:t>
      </w:r>
      <w:r w:rsidRPr="001C6E6C">
        <w:rPr>
          <w:rStyle w:val="113"/>
          <w:rFonts w:ascii="Bookman Old Style" w:hAnsi="Bookman Old Style"/>
          <w:sz w:val="18"/>
          <w:szCs w:val="18"/>
        </w:rPr>
        <w:softHyphen/>
        <w:t>щие изменения. Можно выделить такие механизмы:</w:t>
      </w:r>
    </w:p>
    <w:p w14:paraId="34B300C7"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разделение ответственности;</w:t>
      </w:r>
    </w:p>
    <w:p w14:paraId="5231943B"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защитный механизм;</w:t>
      </w:r>
    </w:p>
    <w:p w14:paraId="53106F47"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механизм активной позиции;</w:t>
      </w:r>
    </w:p>
    <w:p w14:paraId="3889DA73"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эволюционный механизм институциональных изменений.</w:t>
      </w:r>
    </w:p>
    <w:p w14:paraId="1B8E3796" w14:textId="77777777" w:rsidR="00350D42" w:rsidRPr="001C6E6C" w:rsidRDefault="008E6F64">
      <w:pPr>
        <w:pStyle w:val="111"/>
        <w:numPr>
          <w:ilvl w:val="0"/>
          <w:numId w:val="133"/>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В зависимости от степени соответствия закону различают ме</w:t>
      </w:r>
      <w:r w:rsidRPr="001C6E6C">
        <w:rPr>
          <w:rStyle w:val="113"/>
          <w:rFonts w:ascii="Bookman Old Style" w:hAnsi="Bookman Old Style"/>
          <w:sz w:val="18"/>
          <w:szCs w:val="18"/>
        </w:rPr>
        <w:softHyphen/>
        <w:t>ханизмы:</w:t>
      </w:r>
    </w:p>
    <w:p w14:paraId="39F725BF"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легальный;</w:t>
      </w:r>
    </w:p>
    <w:p w14:paraId="596FE953"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нелегальный.</w:t>
      </w:r>
    </w:p>
    <w:p w14:paraId="3557064C" w14:textId="77777777" w:rsidR="00350D42" w:rsidRPr="001C6E6C" w:rsidRDefault="008E6F64">
      <w:pPr>
        <w:pStyle w:val="111"/>
        <w:numPr>
          <w:ilvl w:val="0"/>
          <w:numId w:val="133"/>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В зависимости от продолжительности использования данного механизма выделяют следующие механизмы:</w:t>
      </w:r>
    </w:p>
    <w:p w14:paraId="66994FB9"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временный (ситуационный);</w:t>
      </w:r>
    </w:p>
    <w:p w14:paraId="22945C4D"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постоянный.</w:t>
      </w:r>
    </w:p>
    <w:p w14:paraId="30A5C59F" w14:textId="77777777" w:rsidR="00350D42" w:rsidRPr="001C6E6C" w:rsidRDefault="008E6F64">
      <w:pPr>
        <w:pStyle w:val="111"/>
        <w:numPr>
          <w:ilvl w:val="0"/>
          <w:numId w:val="133"/>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В зависимости от специфики:</w:t>
      </w:r>
    </w:p>
    <w:p w14:paraId="629B41D2" w14:textId="77777777" w:rsidR="00350D42" w:rsidRPr="001C6E6C" w:rsidRDefault="008E6F64">
      <w:pPr>
        <w:pStyle w:val="111"/>
        <w:numPr>
          <w:ilvl w:val="0"/>
          <w:numId w:val="131"/>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механизм, отражающий специфику среды, в которой он вы</w:t>
      </w:r>
      <w:r w:rsidRPr="001C6E6C">
        <w:rPr>
          <w:rStyle w:val="113"/>
          <w:rFonts w:ascii="Bookman Old Style" w:hAnsi="Bookman Old Style"/>
          <w:sz w:val="18"/>
          <w:szCs w:val="18"/>
        </w:rPr>
        <w:softHyphen/>
        <w:t>работан;</w:t>
      </w:r>
    </w:p>
    <w:p w14:paraId="7939060E" w14:textId="77777777" w:rsidR="00350D42" w:rsidRPr="001C6E6C" w:rsidRDefault="008E6F64">
      <w:pPr>
        <w:pStyle w:val="111"/>
        <w:numPr>
          <w:ilvl w:val="0"/>
          <w:numId w:val="131"/>
        </w:numPr>
        <w:shd w:val="clear" w:color="auto" w:fill="auto"/>
        <w:tabs>
          <w:tab w:val="left" w:pos="674"/>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механизм, используемый повсеместно.</w:t>
      </w:r>
    </w:p>
    <w:p w14:paraId="1BAA2F17"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Свойство, связанное со способностью хозяйственной системы адаптироваться к изменениям, называется адаптивностью. Мы счи</w:t>
      </w:r>
      <w:r w:rsidRPr="001C6E6C">
        <w:rPr>
          <w:rStyle w:val="113"/>
          <w:rFonts w:ascii="Bookman Old Style" w:hAnsi="Bookman Old Style"/>
          <w:sz w:val="18"/>
          <w:szCs w:val="18"/>
        </w:rPr>
        <w:softHyphen/>
        <w:t>таем, что это постоянное свойство, присущее всем хозяйственным системам. Хозяйственные системы могут различаться своими спо</w:t>
      </w:r>
      <w:r w:rsidRPr="001C6E6C">
        <w:rPr>
          <w:rStyle w:val="113"/>
          <w:rFonts w:ascii="Bookman Old Style" w:hAnsi="Bookman Old Style"/>
          <w:sz w:val="18"/>
          <w:szCs w:val="18"/>
        </w:rPr>
        <w:softHyphen/>
        <w:t>собностями к адаптации. Адаптивность системы может быть разной в зависимости от ее возможности и способности быстро отреаги</w:t>
      </w:r>
      <w:r w:rsidRPr="001C6E6C">
        <w:rPr>
          <w:rStyle w:val="113"/>
          <w:rFonts w:ascii="Bookman Old Style" w:hAnsi="Bookman Old Style"/>
          <w:sz w:val="18"/>
          <w:szCs w:val="18"/>
        </w:rPr>
        <w:softHyphen/>
        <w:t>ровать на возникшие изменения выработкой особого механизма, который позволил бы системе приобрести новые свойства. Можно выделять различные виды адаптивности экономических систем в зависимости от выбранных критериев. При этом нами предлага</w:t>
      </w:r>
      <w:r w:rsidRPr="001C6E6C">
        <w:rPr>
          <w:rStyle w:val="113"/>
          <w:rFonts w:ascii="Bookman Old Style" w:hAnsi="Bookman Old Style"/>
          <w:sz w:val="18"/>
          <w:szCs w:val="18"/>
        </w:rPr>
        <w:softHyphen/>
        <w:t>ются следующие критерии, по которым мы можем классифициро</w:t>
      </w:r>
      <w:r w:rsidRPr="001C6E6C">
        <w:rPr>
          <w:rStyle w:val="113"/>
          <w:rFonts w:ascii="Bookman Old Style" w:hAnsi="Bookman Old Style"/>
          <w:sz w:val="18"/>
          <w:szCs w:val="18"/>
        </w:rPr>
        <w:softHyphen/>
        <w:t>вать адаптивность.</w:t>
      </w:r>
    </w:p>
    <w:p w14:paraId="6ADD3D53" w14:textId="77777777" w:rsidR="00350D42" w:rsidRPr="001C6E6C" w:rsidRDefault="008E6F64">
      <w:pPr>
        <w:pStyle w:val="111"/>
        <w:numPr>
          <w:ilvl w:val="0"/>
          <w:numId w:val="134"/>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Вид экономического субъекта.</w:t>
      </w:r>
    </w:p>
    <w:p w14:paraId="44868D4B" w14:textId="77777777" w:rsidR="00350D42" w:rsidRPr="001C6E6C" w:rsidRDefault="008E6F64">
      <w:pPr>
        <w:pStyle w:val="111"/>
        <w:shd w:val="clear" w:color="auto" w:fill="auto"/>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В связи с этим критерием можно говорить об адаптивности раз</w:t>
      </w:r>
      <w:r w:rsidRPr="001C6E6C">
        <w:rPr>
          <w:rStyle w:val="113"/>
          <w:rFonts w:ascii="Bookman Old Style" w:hAnsi="Bookman Old Style"/>
          <w:sz w:val="18"/>
          <w:szCs w:val="18"/>
        </w:rPr>
        <w:softHyphen/>
        <w:t>ных экономических субъектов, таких как: домашние хозяйства, предпринимательский и государственный секторы, национальная экономика в целом.</w:t>
      </w:r>
    </w:p>
    <w:p w14:paraId="78E73EB3" w14:textId="77777777" w:rsidR="00350D42" w:rsidRPr="001C6E6C" w:rsidRDefault="008E6F64">
      <w:pPr>
        <w:pStyle w:val="111"/>
        <w:numPr>
          <w:ilvl w:val="0"/>
          <w:numId w:val="134"/>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Уровень экономики, на котором мы анализируем адаптив</w:t>
      </w:r>
      <w:r w:rsidRPr="001C6E6C">
        <w:rPr>
          <w:rStyle w:val="113"/>
          <w:rFonts w:ascii="Bookman Old Style" w:hAnsi="Bookman Old Style"/>
          <w:sz w:val="18"/>
          <w:szCs w:val="18"/>
        </w:rPr>
        <w:softHyphen/>
        <w:t>ность:</w:t>
      </w:r>
    </w:p>
    <w:p w14:paraId="5A5D4BAB" w14:textId="77777777" w:rsidR="00350D42" w:rsidRPr="001C6E6C" w:rsidRDefault="008E6F64">
      <w:pPr>
        <w:pStyle w:val="111"/>
        <w:numPr>
          <w:ilvl w:val="0"/>
          <w:numId w:val="135"/>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микроуровень (адаптивность индивидуумов и домашних хо</w:t>
      </w:r>
      <w:r w:rsidRPr="001C6E6C">
        <w:rPr>
          <w:rStyle w:val="113"/>
          <w:rFonts w:ascii="Bookman Old Style" w:hAnsi="Bookman Old Style"/>
          <w:sz w:val="18"/>
          <w:szCs w:val="18"/>
        </w:rPr>
        <w:softHyphen/>
        <w:t>зяйств);</w:t>
      </w:r>
    </w:p>
    <w:p w14:paraId="482CB5AA" w14:textId="77777777" w:rsidR="00350D42" w:rsidRPr="001C6E6C" w:rsidRDefault="008E6F64">
      <w:pPr>
        <w:pStyle w:val="111"/>
        <w:numPr>
          <w:ilvl w:val="0"/>
          <w:numId w:val="135"/>
        </w:numPr>
        <w:shd w:val="clear" w:color="auto" w:fill="auto"/>
        <w:tabs>
          <w:tab w:val="left" w:pos="651"/>
        </w:tabs>
        <w:spacing w:before="0" w:after="0" w:line="250" w:lineRule="exact"/>
        <w:ind w:firstLine="320"/>
        <w:jc w:val="both"/>
        <w:rPr>
          <w:rFonts w:ascii="Bookman Old Style" w:hAnsi="Bookman Old Style"/>
          <w:b w:val="0"/>
          <w:bCs w:val="0"/>
          <w:sz w:val="18"/>
          <w:szCs w:val="18"/>
        </w:rPr>
      </w:pPr>
      <w:r w:rsidRPr="001C6E6C">
        <w:rPr>
          <w:rStyle w:val="113"/>
          <w:rFonts w:ascii="Bookman Old Style" w:hAnsi="Bookman Old Style"/>
          <w:sz w:val="18"/>
          <w:szCs w:val="18"/>
        </w:rPr>
        <w:t>макроуровень (адаптивность агрегированных экономиче</w:t>
      </w:r>
      <w:r w:rsidRPr="001C6E6C">
        <w:rPr>
          <w:rStyle w:val="113"/>
          <w:rFonts w:ascii="Bookman Old Style" w:hAnsi="Bookman Old Style"/>
          <w:sz w:val="18"/>
          <w:szCs w:val="18"/>
        </w:rPr>
        <w:softHyphen/>
        <w:t>ских субъектов, таких как домашние хозяйства, предприниматель</w:t>
      </w:r>
      <w:r w:rsidRPr="001C6E6C">
        <w:rPr>
          <w:rStyle w:val="113"/>
          <w:rFonts w:ascii="Bookman Old Style" w:hAnsi="Bookman Old Style"/>
          <w:sz w:val="18"/>
          <w:szCs w:val="18"/>
        </w:rPr>
        <w:softHyphen/>
        <w:t>ский сектор, государственный сектор, зарубежный сектор);</w:t>
      </w:r>
    </w:p>
    <w:p w14:paraId="76420CBA" w14:textId="77777777" w:rsidR="00350D42" w:rsidRPr="001C6E6C" w:rsidRDefault="008E6F64">
      <w:pPr>
        <w:pStyle w:val="111"/>
        <w:numPr>
          <w:ilvl w:val="0"/>
          <w:numId w:val="135"/>
        </w:numPr>
        <w:shd w:val="clear" w:color="auto" w:fill="auto"/>
        <w:tabs>
          <w:tab w:val="left" w:pos="634"/>
        </w:tabs>
        <w:spacing w:before="0" w:after="0"/>
        <w:ind w:firstLine="340"/>
        <w:jc w:val="both"/>
        <w:rPr>
          <w:rFonts w:ascii="Bookman Old Style" w:hAnsi="Bookman Old Style"/>
          <w:b w:val="0"/>
          <w:bCs w:val="0"/>
          <w:sz w:val="18"/>
          <w:szCs w:val="18"/>
        </w:rPr>
      </w:pPr>
      <w:bookmarkStart w:id="120" w:name="bookmark106"/>
      <w:r w:rsidRPr="001C6E6C">
        <w:rPr>
          <w:rStyle w:val="113"/>
          <w:rFonts w:ascii="Bookman Old Style" w:hAnsi="Bookman Old Style"/>
          <w:sz w:val="18"/>
          <w:szCs w:val="18"/>
        </w:rPr>
        <w:t>мезоуровень (адаптивность финансово-промышленных групп, регионов, субъектов федераций);</w:t>
      </w:r>
      <w:bookmarkEnd w:id="120"/>
    </w:p>
    <w:p w14:paraId="5EEF30D5" w14:textId="77777777" w:rsidR="00350D42" w:rsidRPr="001C6E6C" w:rsidRDefault="008E6F64">
      <w:pPr>
        <w:pStyle w:val="111"/>
        <w:numPr>
          <w:ilvl w:val="0"/>
          <w:numId w:val="135"/>
        </w:numPr>
        <w:shd w:val="clear" w:color="auto" w:fill="auto"/>
        <w:tabs>
          <w:tab w:val="left" w:pos="634"/>
        </w:tabs>
        <w:spacing w:before="0" w:after="0"/>
        <w:ind w:firstLine="340"/>
        <w:jc w:val="both"/>
        <w:rPr>
          <w:rFonts w:ascii="Bookman Old Style" w:hAnsi="Bookman Old Style"/>
          <w:b w:val="0"/>
          <w:bCs w:val="0"/>
          <w:sz w:val="18"/>
          <w:szCs w:val="18"/>
        </w:rPr>
      </w:pPr>
      <w:r w:rsidRPr="001C6E6C">
        <w:rPr>
          <w:rStyle w:val="113"/>
          <w:rFonts w:ascii="Bookman Old Style" w:hAnsi="Bookman Old Style"/>
          <w:sz w:val="18"/>
          <w:szCs w:val="18"/>
        </w:rPr>
        <w:t>метауровень (адаптивность национальных институтов);</w:t>
      </w:r>
    </w:p>
    <w:p w14:paraId="19313F90" w14:textId="77777777" w:rsidR="00350D42" w:rsidRPr="001C6E6C" w:rsidRDefault="008E6F64">
      <w:pPr>
        <w:pStyle w:val="111"/>
        <w:numPr>
          <w:ilvl w:val="0"/>
          <w:numId w:val="135"/>
        </w:numPr>
        <w:shd w:val="clear" w:color="auto" w:fill="auto"/>
        <w:tabs>
          <w:tab w:val="left" w:pos="933"/>
        </w:tabs>
        <w:spacing w:before="0" w:after="0"/>
        <w:ind w:firstLine="340"/>
        <w:jc w:val="both"/>
        <w:rPr>
          <w:rFonts w:ascii="Bookman Old Style" w:hAnsi="Bookman Old Style"/>
          <w:b w:val="0"/>
          <w:bCs w:val="0"/>
          <w:sz w:val="18"/>
          <w:szCs w:val="18"/>
        </w:rPr>
      </w:pPr>
      <w:r w:rsidRPr="001C6E6C">
        <w:rPr>
          <w:rStyle w:val="113"/>
          <w:rFonts w:ascii="Bookman Old Style" w:hAnsi="Bookman Old Style"/>
          <w:sz w:val="18"/>
          <w:szCs w:val="18"/>
        </w:rPr>
        <w:t>мегауровень (адаптивность наднациональных институтов).</w:t>
      </w:r>
    </w:p>
    <w:p w14:paraId="1160252C" w14:textId="1395A5BF" w:rsidR="00350D42" w:rsidRPr="001C6E6C" w:rsidRDefault="008E6F64">
      <w:pPr>
        <w:pStyle w:val="111"/>
        <w:numPr>
          <w:ilvl w:val="0"/>
          <w:numId w:val="134"/>
        </w:numPr>
        <w:shd w:val="clear" w:color="auto" w:fill="auto"/>
        <w:tabs>
          <w:tab w:val="left" w:pos="629"/>
          <w:tab w:val="left" w:pos="634"/>
        </w:tabs>
        <w:spacing w:before="0" w:after="351"/>
        <w:ind w:firstLine="340"/>
        <w:jc w:val="both"/>
        <w:rPr>
          <w:rStyle w:val="113"/>
          <w:rFonts w:ascii="Bookman Old Style" w:hAnsi="Bookman Old Style"/>
          <w:color w:val="000000"/>
          <w:sz w:val="18"/>
          <w:szCs w:val="18"/>
        </w:rPr>
      </w:pPr>
      <w:r w:rsidRPr="001C6E6C">
        <w:rPr>
          <w:rStyle w:val="113"/>
          <w:rFonts w:ascii="Bookman Old Style" w:hAnsi="Bookman Old Style"/>
          <w:sz w:val="18"/>
          <w:szCs w:val="18"/>
        </w:rPr>
        <w:lastRenderedPageBreak/>
        <w:t>По степени адаптивности различают слабую, сильную и сред</w:t>
      </w:r>
      <w:r w:rsidRPr="001C6E6C">
        <w:rPr>
          <w:rStyle w:val="113"/>
          <w:rFonts w:ascii="Bookman Old Style" w:hAnsi="Bookman Old Style"/>
          <w:sz w:val="18"/>
          <w:szCs w:val="18"/>
        </w:rPr>
        <w:softHyphen/>
        <w:t>нюю адаптивность.</w:t>
      </w:r>
    </w:p>
    <w:p w14:paraId="67DD014C" w14:textId="147D6AE7" w:rsidR="000213E0" w:rsidRPr="001C6E6C" w:rsidRDefault="000213E0" w:rsidP="000213E0">
      <w:pPr>
        <w:pStyle w:val="afb"/>
        <w:autoSpaceDE w:val="0"/>
        <w:autoSpaceDN w:val="0"/>
        <w:adjustRightInd w:val="0"/>
        <w:snapToGrid w:val="0"/>
        <w:spacing w:after="0" w:line="240" w:lineRule="auto"/>
        <w:ind w:left="0"/>
        <w:jc w:val="both"/>
        <w:rPr>
          <w:rFonts w:ascii="Bookman Old Style" w:eastAsia="Arial Narrow" w:hAnsi="Bookman Old Style" w:cs="Arial Narrow"/>
          <w:color w:val="231F20"/>
          <w:sz w:val="18"/>
          <w:szCs w:val="18"/>
          <w:lang w:eastAsia="ru-RU" w:bidi="ru-RU"/>
        </w:rPr>
      </w:pPr>
      <w:r w:rsidRPr="001C6E6C">
        <w:rPr>
          <w:rFonts w:ascii="Bookman Old Style" w:eastAsia="Arial Narrow" w:hAnsi="Bookman Old Style" w:cs="Arial Narrow"/>
          <w:color w:val="231F20"/>
          <w:sz w:val="18"/>
          <w:szCs w:val="18"/>
          <w:lang w:eastAsia="ru-RU" w:bidi="ru-RU"/>
        </w:rPr>
        <w:t xml:space="preserve">В таблице </w:t>
      </w:r>
      <w:r w:rsidR="00EC1D27" w:rsidRPr="001C6E6C">
        <w:rPr>
          <w:rFonts w:ascii="Bookman Old Style" w:eastAsia="Arial Narrow" w:hAnsi="Bookman Old Style" w:cs="Arial Narrow"/>
          <w:color w:val="231F20"/>
          <w:sz w:val="18"/>
          <w:szCs w:val="18"/>
          <w:lang w:eastAsia="ru-RU" w:bidi="ru-RU"/>
        </w:rPr>
        <w:t>7.</w:t>
      </w:r>
      <w:r w:rsidRPr="001C6E6C">
        <w:rPr>
          <w:rFonts w:ascii="Bookman Old Style" w:eastAsia="Arial Narrow" w:hAnsi="Bookman Old Style" w:cs="Arial Narrow"/>
          <w:color w:val="231F20"/>
          <w:sz w:val="18"/>
          <w:szCs w:val="18"/>
          <w:lang w:eastAsia="ru-RU" w:bidi="ru-RU"/>
        </w:rPr>
        <w:t xml:space="preserve">1. выделенные нами адаптационные механизмы мы соотнесли с институциональными формами, которые образуются в результате действия механизмов. Также мы привели другие примеры институциональных форм, которые могут возникнуть на макро- и микроуровнях. </w:t>
      </w:r>
    </w:p>
    <w:p w14:paraId="2429FB76" w14:textId="3C687E80" w:rsidR="000213E0" w:rsidRPr="00C44692" w:rsidRDefault="000213E0" w:rsidP="000213E0">
      <w:pPr>
        <w:autoSpaceDE w:val="0"/>
        <w:autoSpaceDN w:val="0"/>
        <w:adjustRightInd w:val="0"/>
        <w:snapToGrid w:val="0"/>
        <w:spacing w:line="240" w:lineRule="auto"/>
        <w:ind w:firstLine="0"/>
        <w:contextualSpacing/>
        <w:jc w:val="right"/>
        <w:rPr>
          <w:rFonts w:ascii="Bookman Old Style" w:eastAsiaTheme="minorHAnsi" w:hAnsi="Bookman Old Style" w:cs="Times New Roman"/>
          <w:i/>
          <w:color w:val="auto"/>
          <w:sz w:val="18"/>
          <w:szCs w:val="18"/>
          <w:highlight w:val="green"/>
          <w:lang w:eastAsia="en-US" w:bidi="ar-SA"/>
        </w:rPr>
      </w:pPr>
      <w:r w:rsidRPr="00C44692">
        <w:rPr>
          <w:rFonts w:ascii="Bookman Old Style" w:eastAsiaTheme="minorHAnsi" w:hAnsi="Bookman Old Style" w:cs="Times New Roman"/>
          <w:i/>
          <w:color w:val="auto"/>
          <w:sz w:val="18"/>
          <w:szCs w:val="18"/>
          <w:highlight w:val="green"/>
          <w:lang w:eastAsia="en-US" w:bidi="ar-SA"/>
        </w:rPr>
        <w:t xml:space="preserve">Таблица </w:t>
      </w:r>
      <w:r w:rsidR="00EC1D27" w:rsidRPr="00C44692">
        <w:rPr>
          <w:rFonts w:ascii="Bookman Old Style" w:eastAsiaTheme="minorHAnsi" w:hAnsi="Bookman Old Style" w:cs="Times New Roman"/>
          <w:i/>
          <w:color w:val="auto"/>
          <w:sz w:val="18"/>
          <w:szCs w:val="18"/>
          <w:highlight w:val="green"/>
          <w:lang w:eastAsia="en-US" w:bidi="ar-SA"/>
        </w:rPr>
        <w:t xml:space="preserve">7. </w:t>
      </w:r>
      <w:r w:rsidRPr="00C44692">
        <w:rPr>
          <w:rFonts w:ascii="Bookman Old Style" w:eastAsiaTheme="minorHAnsi" w:hAnsi="Bookman Old Style" w:cs="Times New Roman"/>
          <w:i/>
          <w:color w:val="auto"/>
          <w:sz w:val="18"/>
          <w:szCs w:val="18"/>
          <w:highlight w:val="green"/>
          <w:lang w:eastAsia="en-US" w:bidi="ar-SA"/>
        </w:rPr>
        <w:t xml:space="preserve">1 </w:t>
      </w:r>
    </w:p>
    <w:p w14:paraId="79A09B28" w14:textId="77777777" w:rsidR="000213E0" w:rsidRPr="00C44692" w:rsidRDefault="000213E0" w:rsidP="000213E0">
      <w:pPr>
        <w:autoSpaceDE w:val="0"/>
        <w:autoSpaceDN w:val="0"/>
        <w:adjustRightInd w:val="0"/>
        <w:snapToGrid w:val="0"/>
        <w:spacing w:line="240" w:lineRule="auto"/>
        <w:ind w:firstLine="0"/>
        <w:contextualSpacing/>
        <w:jc w:val="center"/>
        <w:rPr>
          <w:rFonts w:ascii="Bookman Old Style" w:eastAsiaTheme="minorHAnsi" w:hAnsi="Bookman Old Style" w:cs="Times New Roman"/>
          <w:i/>
          <w:color w:val="auto"/>
          <w:sz w:val="18"/>
          <w:szCs w:val="18"/>
          <w:highlight w:val="green"/>
          <w:lang w:eastAsia="en-US" w:bidi="ar-SA"/>
        </w:rPr>
      </w:pPr>
      <w:r w:rsidRPr="00C44692">
        <w:rPr>
          <w:rFonts w:ascii="Bookman Old Style" w:eastAsiaTheme="minorHAnsi" w:hAnsi="Bookman Old Style" w:cs="Times New Roman"/>
          <w:i/>
          <w:color w:val="auto"/>
          <w:sz w:val="18"/>
          <w:szCs w:val="18"/>
          <w:highlight w:val="green"/>
          <w:lang w:eastAsia="en-US" w:bidi="ar-SA"/>
        </w:rPr>
        <w:t>Анализ устойчивости институциональных форм, возникающих в результате действия адаптационных механизмов (на основе проведенного кейс-анализа)</w:t>
      </w:r>
    </w:p>
    <w:p w14:paraId="216D3DB3" w14:textId="77777777" w:rsidR="000213E0" w:rsidRPr="00C44692" w:rsidRDefault="000213E0" w:rsidP="000213E0">
      <w:pPr>
        <w:autoSpaceDE w:val="0"/>
        <w:autoSpaceDN w:val="0"/>
        <w:adjustRightInd w:val="0"/>
        <w:snapToGrid w:val="0"/>
        <w:spacing w:line="240" w:lineRule="auto"/>
        <w:ind w:firstLine="0"/>
        <w:contextualSpacing/>
        <w:rPr>
          <w:rFonts w:ascii="Bookman Old Style" w:eastAsiaTheme="minorHAnsi" w:hAnsi="Bookman Old Style" w:cs="Times New Roman"/>
          <w:i/>
          <w:color w:val="auto"/>
          <w:sz w:val="18"/>
          <w:szCs w:val="18"/>
          <w:highlight w:val="green"/>
          <w:lang w:eastAsia="en-US" w:bidi="ar-SA"/>
        </w:rPr>
      </w:pPr>
    </w:p>
    <w:tbl>
      <w:tblPr>
        <w:tblStyle w:val="afc"/>
        <w:tblW w:w="0" w:type="auto"/>
        <w:jc w:val="center"/>
        <w:tblLook w:val="04A0" w:firstRow="1" w:lastRow="0" w:firstColumn="1" w:lastColumn="0" w:noHBand="0" w:noVBand="1"/>
      </w:tblPr>
      <w:tblGrid>
        <w:gridCol w:w="1963"/>
        <w:gridCol w:w="2528"/>
        <w:gridCol w:w="2143"/>
      </w:tblGrid>
      <w:tr w:rsidR="000213E0" w:rsidRPr="00C44692" w14:paraId="278FE598" w14:textId="77777777" w:rsidTr="00252727">
        <w:trPr>
          <w:tblHeader/>
          <w:jc w:val="center"/>
        </w:trPr>
        <w:tc>
          <w:tcPr>
            <w:tcW w:w="3093" w:type="dxa"/>
            <w:vAlign w:val="center"/>
          </w:tcPr>
          <w:p w14:paraId="76E4D2B7" w14:textId="77777777" w:rsidR="000213E0" w:rsidRPr="00C44692" w:rsidRDefault="000213E0" w:rsidP="000213E0">
            <w:pPr>
              <w:autoSpaceDE w:val="0"/>
              <w:autoSpaceDN w:val="0"/>
              <w:adjustRightInd w:val="0"/>
              <w:snapToGrid w:val="0"/>
              <w:spacing w:after="200"/>
              <w:contextualSpacing/>
              <w:jc w:val="center"/>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lastRenderedPageBreak/>
              <w:t>Адаптационные</w:t>
            </w:r>
          </w:p>
          <w:p w14:paraId="4374BCC1" w14:textId="77777777" w:rsidR="000213E0" w:rsidRPr="00C44692" w:rsidRDefault="000213E0" w:rsidP="000213E0">
            <w:pPr>
              <w:autoSpaceDE w:val="0"/>
              <w:autoSpaceDN w:val="0"/>
              <w:adjustRightInd w:val="0"/>
              <w:snapToGrid w:val="0"/>
              <w:spacing w:after="200"/>
              <w:contextualSpacing/>
              <w:jc w:val="center"/>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механизмы</w:t>
            </w:r>
          </w:p>
        </w:tc>
        <w:tc>
          <w:tcPr>
            <w:tcW w:w="3671" w:type="dxa"/>
            <w:vAlign w:val="center"/>
          </w:tcPr>
          <w:p w14:paraId="7079FEC5" w14:textId="77777777" w:rsidR="000213E0" w:rsidRPr="00C44692" w:rsidRDefault="000213E0" w:rsidP="000213E0">
            <w:pPr>
              <w:autoSpaceDE w:val="0"/>
              <w:autoSpaceDN w:val="0"/>
              <w:adjustRightInd w:val="0"/>
              <w:snapToGrid w:val="0"/>
              <w:spacing w:after="200"/>
              <w:contextualSpacing/>
              <w:jc w:val="center"/>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Примеры институциональных форм, выявленных нами </w:t>
            </w:r>
            <w:r w:rsidRPr="00C44692">
              <w:rPr>
                <w:rFonts w:ascii="Bookman Old Style" w:eastAsiaTheme="minorHAnsi" w:hAnsi="Bookman Old Style" w:cs="Times New Roman"/>
                <w:color w:val="auto"/>
                <w:sz w:val="18"/>
                <w:szCs w:val="18"/>
                <w:highlight w:val="green"/>
              </w:rPr>
              <w:br/>
              <w:t>в процессе кейс-анализа</w:t>
            </w:r>
          </w:p>
        </w:tc>
        <w:tc>
          <w:tcPr>
            <w:tcW w:w="2807" w:type="dxa"/>
            <w:vAlign w:val="center"/>
          </w:tcPr>
          <w:p w14:paraId="132FB06C" w14:textId="77777777" w:rsidR="000213E0" w:rsidRPr="00C44692" w:rsidRDefault="000213E0" w:rsidP="000213E0">
            <w:pPr>
              <w:autoSpaceDE w:val="0"/>
              <w:autoSpaceDN w:val="0"/>
              <w:adjustRightInd w:val="0"/>
              <w:snapToGrid w:val="0"/>
              <w:spacing w:after="200"/>
              <w:contextualSpacing/>
              <w:jc w:val="center"/>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Устойчивость </w:t>
            </w:r>
            <w:r w:rsidRPr="00C44692">
              <w:rPr>
                <w:rFonts w:ascii="Bookman Old Style" w:eastAsiaTheme="minorHAnsi" w:hAnsi="Bookman Old Style" w:cs="Times New Roman"/>
                <w:color w:val="auto"/>
                <w:sz w:val="18"/>
                <w:szCs w:val="18"/>
                <w:highlight w:val="green"/>
              </w:rPr>
              <w:br/>
              <w:t>институциональной формы</w:t>
            </w:r>
          </w:p>
        </w:tc>
      </w:tr>
      <w:tr w:rsidR="000213E0" w:rsidRPr="00C44692" w14:paraId="656B9838" w14:textId="77777777" w:rsidTr="00252727">
        <w:trPr>
          <w:tblHeader/>
          <w:jc w:val="center"/>
        </w:trPr>
        <w:tc>
          <w:tcPr>
            <w:tcW w:w="9571" w:type="dxa"/>
            <w:gridSpan w:val="3"/>
          </w:tcPr>
          <w:p w14:paraId="5667C133" w14:textId="77777777" w:rsidR="000213E0" w:rsidRPr="00C44692" w:rsidRDefault="000213E0" w:rsidP="000213E0">
            <w:pPr>
              <w:autoSpaceDE w:val="0"/>
              <w:autoSpaceDN w:val="0"/>
              <w:adjustRightInd w:val="0"/>
              <w:snapToGrid w:val="0"/>
              <w:spacing w:before="60" w:after="60"/>
              <w:jc w:val="center"/>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Защитный механизм</w:t>
            </w:r>
          </w:p>
        </w:tc>
      </w:tr>
      <w:tr w:rsidR="000213E0" w:rsidRPr="00C44692" w14:paraId="734C5E23" w14:textId="77777777" w:rsidTr="00252727">
        <w:trPr>
          <w:tblHeader/>
          <w:jc w:val="center"/>
        </w:trPr>
        <w:tc>
          <w:tcPr>
            <w:tcW w:w="3093" w:type="dxa"/>
            <w:vMerge w:val="restart"/>
          </w:tcPr>
          <w:p w14:paraId="6BBB7C40"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Механизм </w:t>
            </w:r>
          </w:p>
          <w:p w14:paraId="129A9046"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самосохранения, </w:t>
            </w:r>
          </w:p>
          <w:p w14:paraId="4E9D8BFF"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снижения активности </w:t>
            </w:r>
          </w:p>
        </w:tc>
        <w:tc>
          <w:tcPr>
            <w:tcW w:w="3671" w:type="dxa"/>
          </w:tcPr>
          <w:p w14:paraId="0D1082D1"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Организационные решения домашних хозяйств в виде снижения потребительских расходов</w:t>
            </w:r>
          </w:p>
        </w:tc>
        <w:tc>
          <w:tcPr>
            <w:tcW w:w="2807" w:type="dxa"/>
          </w:tcPr>
          <w:p w14:paraId="4D7742D9"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Неустойчивая </w:t>
            </w:r>
          </w:p>
        </w:tc>
      </w:tr>
      <w:tr w:rsidR="000213E0" w:rsidRPr="00C44692" w14:paraId="56F9BAF2" w14:textId="77777777" w:rsidTr="00252727">
        <w:trPr>
          <w:tblHeader/>
          <w:jc w:val="center"/>
        </w:trPr>
        <w:tc>
          <w:tcPr>
            <w:tcW w:w="3093" w:type="dxa"/>
            <w:vMerge/>
          </w:tcPr>
          <w:p w14:paraId="53C466B7"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p>
        </w:tc>
        <w:tc>
          <w:tcPr>
            <w:tcW w:w="3671" w:type="dxa"/>
          </w:tcPr>
          <w:p w14:paraId="30A55A04"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Организационные решения предпринимательского сектора в виде снижения инвестиционной активности </w:t>
            </w:r>
          </w:p>
        </w:tc>
        <w:tc>
          <w:tcPr>
            <w:tcW w:w="2807" w:type="dxa"/>
          </w:tcPr>
          <w:p w14:paraId="527B15A2"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Неустойчивая </w:t>
            </w:r>
          </w:p>
        </w:tc>
      </w:tr>
      <w:tr w:rsidR="000213E0" w:rsidRPr="00C44692" w14:paraId="7F431492" w14:textId="77777777" w:rsidTr="00252727">
        <w:trPr>
          <w:tblHeader/>
          <w:jc w:val="center"/>
        </w:trPr>
        <w:tc>
          <w:tcPr>
            <w:tcW w:w="3093" w:type="dxa"/>
            <w:vMerge w:val="restart"/>
          </w:tcPr>
          <w:p w14:paraId="4585C09D"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Механизм </w:t>
            </w:r>
          </w:p>
          <w:p w14:paraId="373B13B0"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активной позиции</w:t>
            </w:r>
          </w:p>
        </w:tc>
        <w:tc>
          <w:tcPr>
            <w:tcW w:w="3671" w:type="dxa"/>
          </w:tcPr>
          <w:p w14:paraId="706F19CE"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Организационные решения предпринимателей в виде разработки антикризисных предложений, проведение акций, распродаж</w:t>
            </w:r>
          </w:p>
        </w:tc>
        <w:tc>
          <w:tcPr>
            <w:tcW w:w="2807" w:type="dxa"/>
          </w:tcPr>
          <w:p w14:paraId="713DEFFD"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Неустойчивая </w:t>
            </w:r>
          </w:p>
          <w:p w14:paraId="702CBC5C"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(актуальная в период кризиса)</w:t>
            </w:r>
          </w:p>
        </w:tc>
      </w:tr>
      <w:tr w:rsidR="000213E0" w:rsidRPr="00C44692" w14:paraId="1C934941" w14:textId="77777777" w:rsidTr="00252727">
        <w:trPr>
          <w:tblHeader/>
          <w:jc w:val="center"/>
        </w:trPr>
        <w:tc>
          <w:tcPr>
            <w:tcW w:w="3093" w:type="dxa"/>
            <w:vMerge/>
          </w:tcPr>
          <w:p w14:paraId="4B792EAF"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p>
        </w:tc>
        <w:tc>
          <w:tcPr>
            <w:tcW w:w="3671" w:type="dxa"/>
          </w:tcPr>
          <w:p w14:paraId="0300BCFB"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Организационные решения предпринимателей в виде разработки новых услуг, новых направлений деятельности </w:t>
            </w:r>
          </w:p>
        </w:tc>
        <w:tc>
          <w:tcPr>
            <w:tcW w:w="2807" w:type="dxa"/>
          </w:tcPr>
          <w:p w14:paraId="4E5E8EA6"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Устойчивая </w:t>
            </w:r>
          </w:p>
        </w:tc>
      </w:tr>
      <w:tr w:rsidR="000213E0" w:rsidRPr="00C44692" w14:paraId="5BAE6848" w14:textId="77777777" w:rsidTr="00252727">
        <w:trPr>
          <w:tblHeader/>
          <w:jc w:val="center"/>
        </w:trPr>
        <w:tc>
          <w:tcPr>
            <w:tcW w:w="3093" w:type="dxa"/>
            <w:vMerge w:val="restart"/>
          </w:tcPr>
          <w:p w14:paraId="596E1003"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Механизм разделения ответственности </w:t>
            </w:r>
          </w:p>
        </w:tc>
        <w:tc>
          <w:tcPr>
            <w:tcW w:w="3671" w:type="dxa"/>
          </w:tcPr>
          <w:p w14:paraId="6E693547"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Развитие проектного финансирования стратегических проектов как форма разделения риска между частными и государственными инвесторами </w:t>
            </w:r>
          </w:p>
        </w:tc>
        <w:tc>
          <w:tcPr>
            <w:tcW w:w="2807" w:type="dxa"/>
          </w:tcPr>
          <w:p w14:paraId="552DDE1A"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Устойчивая в национальных экономиках с институциональной матрицей типа </w:t>
            </w:r>
            <w:r w:rsidRPr="00C44692">
              <w:rPr>
                <w:rFonts w:ascii="Bookman Old Style" w:eastAsiaTheme="minorHAnsi" w:hAnsi="Bookman Old Style" w:cs="Times New Roman"/>
                <w:color w:val="auto"/>
                <w:sz w:val="18"/>
                <w:szCs w:val="18"/>
                <w:highlight w:val="green"/>
                <w:lang w:val="en-US"/>
              </w:rPr>
              <w:t>X</w:t>
            </w:r>
          </w:p>
        </w:tc>
      </w:tr>
      <w:tr w:rsidR="000213E0" w:rsidRPr="00C44692" w14:paraId="5337050E" w14:textId="77777777" w:rsidTr="00252727">
        <w:trPr>
          <w:tblHeader/>
          <w:jc w:val="center"/>
        </w:trPr>
        <w:tc>
          <w:tcPr>
            <w:tcW w:w="3093" w:type="dxa"/>
            <w:vMerge/>
          </w:tcPr>
          <w:p w14:paraId="4CE36E05"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p>
        </w:tc>
        <w:tc>
          <w:tcPr>
            <w:tcW w:w="3671" w:type="dxa"/>
          </w:tcPr>
          <w:p w14:paraId="4C0083D1"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Развитие государственно-частного партнерства как формы разделения риска между частными и государственными инвесторами</w:t>
            </w:r>
          </w:p>
        </w:tc>
        <w:tc>
          <w:tcPr>
            <w:tcW w:w="2807" w:type="dxa"/>
          </w:tcPr>
          <w:p w14:paraId="4ACDC623"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Устойчивая в национальных экономиках с институциональной матрицей типа </w:t>
            </w:r>
            <w:r w:rsidRPr="00C44692">
              <w:rPr>
                <w:rFonts w:ascii="Bookman Old Style" w:eastAsiaTheme="minorHAnsi" w:hAnsi="Bookman Old Style" w:cs="Times New Roman"/>
                <w:color w:val="auto"/>
                <w:sz w:val="18"/>
                <w:szCs w:val="18"/>
                <w:highlight w:val="green"/>
                <w:lang w:val="en-US"/>
              </w:rPr>
              <w:t>X</w:t>
            </w:r>
          </w:p>
        </w:tc>
      </w:tr>
      <w:tr w:rsidR="000213E0" w:rsidRPr="00C44692" w14:paraId="181302B7" w14:textId="77777777" w:rsidTr="00252727">
        <w:trPr>
          <w:tblHeader/>
          <w:jc w:val="center"/>
        </w:trPr>
        <w:tc>
          <w:tcPr>
            <w:tcW w:w="3093" w:type="dxa"/>
            <w:vMerge w:val="restart"/>
          </w:tcPr>
          <w:p w14:paraId="00C9C9D9"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lastRenderedPageBreak/>
              <w:t>Эволюционный</w:t>
            </w:r>
          </w:p>
        </w:tc>
        <w:tc>
          <w:tcPr>
            <w:tcW w:w="3671" w:type="dxa"/>
          </w:tcPr>
          <w:p w14:paraId="5851428D"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Изменение стратегии развития компании </w:t>
            </w:r>
          </w:p>
        </w:tc>
        <w:tc>
          <w:tcPr>
            <w:tcW w:w="2807" w:type="dxa"/>
          </w:tcPr>
          <w:p w14:paraId="40730852"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lang w:val="es-ES"/>
              </w:rPr>
            </w:pPr>
            <w:r w:rsidRPr="00C44692">
              <w:rPr>
                <w:rFonts w:ascii="Bookman Old Style" w:eastAsiaTheme="minorHAnsi" w:hAnsi="Bookman Old Style" w:cs="Times New Roman"/>
                <w:color w:val="auto"/>
                <w:sz w:val="18"/>
                <w:szCs w:val="18"/>
                <w:highlight w:val="green"/>
              </w:rPr>
              <w:t xml:space="preserve">Устойчивая </w:t>
            </w:r>
          </w:p>
        </w:tc>
      </w:tr>
      <w:tr w:rsidR="000213E0" w:rsidRPr="00C44692" w14:paraId="396A773B" w14:textId="77777777" w:rsidTr="00252727">
        <w:trPr>
          <w:tblHeader/>
          <w:jc w:val="center"/>
        </w:trPr>
        <w:tc>
          <w:tcPr>
            <w:tcW w:w="3093" w:type="dxa"/>
            <w:vMerge/>
          </w:tcPr>
          <w:p w14:paraId="2C5BE08D"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p>
        </w:tc>
        <w:tc>
          <w:tcPr>
            <w:tcW w:w="3671" w:type="dxa"/>
          </w:tcPr>
          <w:p w14:paraId="5BC2524B"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Изменение структуры капитала</w:t>
            </w:r>
          </w:p>
        </w:tc>
        <w:tc>
          <w:tcPr>
            <w:tcW w:w="2807" w:type="dxa"/>
          </w:tcPr>
          <w:p w14:paraId="48DBF59E"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lang w:val="en-US"/>
              </w:rPr>
            </w:pPr>
            <w:r w:rsidRPr="00C44692">
              <w:rPr>
                <w:rFonts w:ascii="Bookman Old Style" w:eastAsiaTheme="minorHAnsi" w:hAnsi="Bookman Old Style" w:cs="Times New Roman"/>
                <w:color w:val="auto"/>
                <w:sz w:val="18"/>
                <w:szCs w:val="18"/>
                <w:highlight w:val="green"/>
              </w:rPr>
              <w:t xml:space="preserve">Устойчивая </w:t>
            </w:r>
          </w:p>
        </w:tc>
      </w:tr>
      <w:tr w:rsidR="000213E0" w:rsidRPr="00C44692" w14:paraId="5A9F1ABC" w14:textId="77777777" w:rsidTr="00252727">
        <w:trPr>
          <w:tblHeader/>
          <w:jc w:val="center"/>
        </w:trPr>
        <w:tc>
          <w:tcPr>
            <w:tcW w:w="3093" w:type="dxa"/>
            <w:vMerge/>
          </w:tcPr>
          <w:p w14:paraId="446CDB30"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p>
        </w:tc>
        <w:tc>
          <w:tcPr>
            <w:tcW w:w="3671" w:type="dxa"/>
          </w:tcPr>
          <w:p w14:paraId="1F21A897"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Изменение института интеллектуальной собственности в России в разные исторические периоды</w:t>
            </w:r>
          </w:p>
        </w:tc>
        <w:tc>
          <w:tcPr>
            <w:tcW w:w="2807" w:type="dxa"/>
          </w:tcPr>
          <w:p w14:paraId="694D6EC3"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Устойчивая </w:t>
            </w:r>
          </w:p>
        </w:tc>
      </w:tr>
      <w:tr w:rsidR="000213E0" w:rsidRPr="00C44692" w14:paraId="12D326AF" w14:textId="77777777" w:rsidTr="00252727">
        <w:trPr>
          <w:tblHeader/>
          <w:jc w:val="center"/>
        </w:trPr>
        <w:tc>
          <w:tcPr>
            <w:tcW w:w="3093" w:type="dxa"/>
            <w:vMerge/>
          </w:tcPr>
          <w:p w14:paraId="24D18DB8"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p>
        </w:tc>
        <w:tc>
          <w:tcPr>
            <w:tcW w:w="3671" w:type="dxa"/>
          </w:tcPr>
          <w:p w14:paraId="16368325"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Появление новых технологий в оценочной деятельности</w:t>
            </w:r>
          </w:p>
        </w:tc>
        <w:tc>
          <w:tcPr>
            <w:tcW w:w="2807" w:type="dxa"/>
          </w:tcPr>
          <w:p w14:paraId="4451D7DE"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Устойчивая </w:t>
            </w:r>
          </w:p>
        </w:tc>
      </w:tr>
      <w:tr w:rsidR="000213E0" w:rsidRPr="00C44692" w14:paraId="21545F22" w14:textId="77777777" w:rsidTr="00252727">
        <w:trPr>
          <w:tblHeader/>
          <w:jc w:val="center"/>
        </w:trPr>
        <w:tc>
          <w:tcPr>
            <w:tcW w:w="3093" w:type="dxa"/>
            <w:vMerge/>
          </w:tcPr>
          <w:p w14:paraId="497FC28B"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p>
        </w:tc>
        <w:tc>
          <w:tcPr>
            <w:tcW w:w="3671" w:type="dxa"/>
          </w:tcPr>
          <w:p w14:paraId="45572676"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Появление национального объединения саморегулируемых организаций в оценочной деятельности </w:t>
            </w:r>
          </w:p>
        </w:tc>
        <w:tc>
          <w:tcPr>
            <w:tcW w:w="2807" w:type="dxa"/>
          </w:tcPr>
          <w:p w14:paraId="3B6B6026"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Устойчивая </w:t>
            </w:r>
          </w:p>
        </w:tc>
      </w:tr>
      <w:tr w:rsidR="000213E0" w:rsidRPr="00C44692" w14:paraId="39C314DC" w14:textId="77777777" w:rsidTr="00252727">
        <w:trPr>
          <w:tblHeader/>
          <w:jc w:val="center"/>
        </w:trPr>
        <w:tc>
          <w:tcPr>
            <w:tcW w:w="3093" w:type="dxa"/>
            <w:vMerge/>
          </w:tcPr>
          <w:p w14:paraId="3CD26036"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p>
        </w:tc>
        <w:tc>
          <w:tcPr>
            <w:tcW w:w="3671" w:type="dxa"/>
          </w:tcPr>
          <w:p w14:paraId="6DC1CEAE" w14:textId="77777777" w:rsidR="000213E0" w:rsidRPr="00C44692" w:rsidRDefault="000213E0" w:rsidP="000213E0">
            <w:pPr>
              <w:autoSpaceDE w:val="0"/>
              <w:autoSpaceDN w:val="0"/>
              <w:adjustRightInd w:val="0"/>
              <w:snapToGrid w:val="0"/>
              <w:spacing w:after="120"/>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Появление новых встроенных механизмов и институтов в наднациональных структурах пример – ЕС) </w:t>
            </w:r>
          </w:p>
        </w:tc>
        <w:tc>
          <w:tcPr>
            <w:tcW w:w="2807" w:type="dxa"/>
          </w:tcPr>
          <w:p w14:paraId="3F22EBF6" w14:textId="77777777" w:rsidR="000213E0" w:rsidRPr="00C44692" w:rsidRDefault="000213E0" w:rsidP="000213E0">
            <w:pPr>
              <w:autoSpaceDE w:val="0"/>
              <w:autoSpaceDN w:val="0"/>
              <w:adjustRightInd w:val="0"/>
              <w:snapToGrid w:val="0"/>
              <w:spacing w:after="200"/>
              <w:contextualSpacing/>
              <w:rPr>
                <w:rFonts w:ascii="Bookman Old Style" w:eastAsiaTheme="minorHAnsi" w:hAnsi="Bookman Old Style" w:cs="Times New Roman"/>
                <w:color w:val="auto"/>
                <w:sz w:val="18"/>
                <w:szCs w:val="18"/>
                <w:highlight w:val="green"/>
              </w:rPr>
            </w:pPr>
            <w:r w:rsidRPr="00C44692">
              <w:rPr>
                <w:rFonts w:ascii="Bookman Old Style" w:eastAsiaTheme="minorHAnsi" w:hAnsi="Bookman Old Style" w:cs="Times New Roman"/>
                <w:color w:val="auto"/>
                <w:sz w:val="18"/>
                <w:szCs w:val="18"/>
                <w:highlight w:val="green"/>
              </w:rPr>
              <w:t xml:space="preserve">Устойчивая </w:t>
            </w:r>
          </w:p>
        </w:tc>
      </w:tr>
    </w:tbl>
    <w:p w14:paraId="0C040342" w14:textId="77777777" w:rsidR="000213E0" w:rsidRPr="00C44692" w:rsidRDefault="000213E0" w:rsidP="000213E0">
      <w:pPr>
        <w:spacing w:line="240" w:lineRule="auto"/>
        <w:ind w:firstLine="0"/>
        <w:jc w:val="right"/>
        <w:rPr>
          <w:rFonts w:ascii="Bookman Old Style" w:eastAsia="Times New Roman" w:hAnsi="Bookman Old Style" w:cs="Times New Roman"/>
          <w:color w:val="auto"/>
          <w:sz w:val="18"/>
          <w:szCs w:val="18"/>
          <w:highlight w:val="green"/>
          <w:lang w:bidi="ar-SA"/>
        </w:rPr>
      </w:pPr>
    </w:p>
    <w:p w14:paraId="10FDAB75" w14:textId="7779EBA4" w:rsidR="000213E0" w:rsidRPr="000213E0" w:rsidRDefault="000213E0" w:rsidP="000213E0">
      <w:pPr>
        <w:spacing w:line="240" w:lineRule="auto"/>
        <w:ind w:firstLine="0"/>
        <w:rPr>
          <w:rFonts w:ascii="Bookman Old Style" w:eastAsia="Times New Roman" w:hAnsi="Bookman Old Style" w:cs="Times New Roman"/>
          <w:b/>
          <w:color w:val="auto"/>
          <w:sz w:val="18"/>
          <w:szCs w:val="18"/>
          <w:lang w:bidi="ar-SA"/>
        </w:rPr>
      </w:pPr>
      <w:r w:rsidRPr="00C44692">
        <w:rPr>
          <w:rFonts w:ascii="Bookman Old Style" w:eastAsia="Times New Roman" w:hAnsi="Bookman Old Style" w:cs="Times New Roman"/>
          <w:color w:val="auto"/>
          <w:sz w:val="18"/>
          <w:szCs w:val="18"/>
          <w:highlight w:val="green"/>
          <w:lang w:bidi="ar-SA"/>
        </w:rPr>
        <w:tab/>
        <w:t xml:space="preserve"> Источник</w:t>
      </w:r>
      <w:r w:rsidRPr="00C44692">
        <w:rPr>
          <w:rFonts w:ascii="Bookman Old Style" w:eastAsia="Times New Roman" w:hAnsi="Bookman Old Style" w:cs="Times New Roman"/>
          <w:color w:val="auto"/>
          <w:sz w:val="18"/>
          <w:szCs w:val="18"/>
          <w:highlight w:val="green"/>
          <w:lang w:val="en-US" w:bidi="ar-SA"/>
        </w:rPr>
        <w:t xml:space="preserve">: </w:t>
      </w:r>
      <w:r w:rsidRPr="00C44692">
        <w:rPr>
          <w:rFonts w:ascii="Bookman Old Style" w:eastAsia="Times New Roman" w:hAnsi="Bookman Old Style" w:cs="Times New Roman"/>
          <w:color w:val="auto"/>
          <w:sz w:val="18"/>
          <w:szCs w:val="18"/>
          <w:highlight w:val="green"/>
          <w:lang w:bidi="ar-SA"/>
        </w:rPr>
        <w:t>разработано автор</w:t>
      </w:r>
      <w:r w:rsidR="00C44692">
        <w:rPr>
          <w:rFonts w:ascii="Bookman Old Style" w:eastAsia="Times New Roman" w:hAnsi="Bookman Old Style" w:cs="Times New Roman"/>
          <w:color w:val="auto"/>
          <w:sz w:val="18"/>
          <w:szCs w:val="18"/>
          <w:lang w:bidi="ar-SA"/>
        </w:rPr>
        <w:t>ом</w:t>
      </w:r>
    </w:p>
    <w:p w14:paraId="6F043938" w14:textId="77777777" w:rsidR="000213E0" w:rsidRPr="007737D2" w:rsidRDefault="000213E0" w:rsidP="000213E0">
      <w:pPr>
        <w:pStyle w:val="111"/>
        <w:shd w:val="clear" w:color="auto" w:fill="auto"/>
        <w:tabs>
          <w:tab w:val="left" w:pos="629"/>
          <w:tab w:val="left" w:pos="634"/>
        </w:tabs>
        <w:spacing w:before="0" w:after="351"/>
        <w:jc w:val="both"/>
        <w:rPr>
          <w:rFonts w:ascii="Bookman Old Style" w:hAnsi="Bookman Old Style"/>
          <w:color w:val="231F20"/>
          <w:sz w:val="18"/>
          <w:szCs w:val="18"/>
        </w:rPr>
      </w:pPr>
    </w:p>
    <w:p w14:paraId="1DD79B18" w14:textId="4327F0CB" w:rsidR="0049016D" w:rsidRPr="00C44692" w:rsidRDefault="0049016D">
      <w:pPr>
        <w:pStyle w:val="4c"/>
        <w:keepNext/>
        <w:keepLines/>
        <w:shd w:val="clear" w:color="auto" w:fill="auto"/>
        <w:spacing w:before="0" w:after="140" w:line="274" w:lineRule="exact"/>
        <w:ind w:firstLine="0"/>
        <w:jc w:val="center"/>
        <w:rPr>
          <w:rStyle w:val="4d"/>
          <w:rFonts w:ascii="Bookman Old Style" w:hAnsi="Bookman Old Style"/>
          <w:b/>
          <w:bCs/>
          <w:sz w:val="18"/>
          <w:szCs w:val="18"/>
          <w:highlight w:val="green"/>
        </w:rPr>
      </w:pPr>
      <w:bookmarkStart w:id="121" w:name="bookmark108"/>
      <w:bookmarkStart w:id="122" w:name="bookmark109"/>
      <w:r w:rsidRPr="007737D2">
        <w:rPr>
          <w:rStyle w:val="4d"/>
          <w:rFonts w:ascii="Bookman Old Style" w:hAnsi="Bookman Old Style"/>
          <w:b/>
          <w:bCs/>
          <w:sz w:val="18"/>
          <w:szCs w:val="18"/>
        </w:rPr>
        <w:t>7.</w:t>
      </w:r>
      <w:r w:rsidR="00F716E4">
        <w:rPr>
          <w:rStyle w:val="4d"/>
          <w:rFonts w:ascii="Bookman Old Style" w:hAnsi="Bookman Old Style"/>
          <w:b/>
          <w:bCs/>
          <w:sz w:val="18"/>
          <w:szCs w:val="18"/>
        </w:rPr>
        <w:t>4</w:t>
      </w:r>
      <w:r w:rsidRPr="00C44692">
        <w:rPr>
          <w:rStyle w:val="4d"/>
          <w:rFonts w:ascii="Bookman Old Style" w:hAnsi="Bookman Old Style"/>
          <w:b/>
          <w:bCs/>
          <w:sz w:val="18"/>
          <w:szCs w:val="18"/>
          <w:highlight w:val="green"/>
        </w:rPr>
        <w:t>.</w:t>
      </w:r>
      <w:r w:rsidR="007D58AC" w:rsidRPr="00C44692">
        <w:rPr>
          <w:rStyle w:val="4d"/>
          <w:rFonts w:ascii="Bookman Old Style" w:hAnsi="Bookman Old Style"/>
          <w:b/>
          <w:bCs/>
          <w:sz w:val="18"/>
          <w:szCs w:val="18"/>
          <w:highlight w:val="green"/>
        </w:rPr>
        <w:t xml:space="preserve"> Количественная оценка адаптивности </w:t>
      </w:r>
      <w:r w:rsidR="007D58AC" w:rsidRPr="00C44692">
        <w:rPr>
          <w:rStyle w:val="af8"/>
          <w:rFonts w:ascii="Bookman Old Style" w:hAnsi="Bookman Old Style"/>
          <w:color w:val="231F20"/>
          <w:sz w:val="18"/>
          <w:szCs w:val="18"/>
          <w:highlight w:val="green"/>
        </w:rPr>
        <w:footnoteReference w:id="211"/>
      </w:r>
    </w:p>
    <w:p w14:paraId="29C61660" w14:textId="0F8B3CEC" w:rsidR="007D58AC" w:rsidRPr="00C44692" w:rsidRDefault="007D58AC" w:rsidP="007D58AC">
      <w:pPr>
        <w:pStyle w:val="4c"/>
        <w:keepNext/>
        <w:keepLines/>
        <w:shd w:val="clear" w:color="auto" w:fill="auto"/>
        <w:spacing w:before="0" w:after="140" w:line="274" w:lineRule="exact"/>
        <w:ind w:firstLine="0"/>
        <w:jc w:val="left"/>
        <w:rPr>
          <w:rStyle w:val="4d"/>
          <w:rFonts w:ascii="Bookman Old Style" w:hAnsi="Bookman Old Style"/>
          <w:b/>
          <w:bCs/>
          <w:sz w:val="18"/>
          <w:szCs w:val="18"/>
          <w:highlight w:val="green"/>
        </w:rPr>
      </w:pPr>
    </w:p>
    <w:p w14:paraId="20CF4702"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Адаптивность </w:t>
      </w:r>
      <w:r w:rsidRPr="00C44692">
        <w:rPr>
          <w:rFonts w:ascii="Bookman Old Style" w:eastAsia="Times New Roman" w:hAnsi="Bookman Old Style" w:cs="Times New Roman"/>
          <w:b/>
          <w:color w:val="auto"/>
          <w:sz w:val="18"/>
          <w:szCs w:val="18"/>
          <w:highlight w:val="green"/>
          <w:lang w:bidi="ar-SA"/>
        </w:rPr>
        <w:t xml:space="preserve">– </w:t>
      </w:r>
      <w:r w:rsidRPr="00C44692">
        <w:rPr>
          <w:rFonts w:ascii="Bookman Old Style" w:eastAsia="Times New Roman" w:hAnsi="Bookman Old Style" w:cs="Times New Roman"/>
          <w:color w:val="auto"/>
          <w:sz w:val="18"/>
          <w:szCs w:val="18"/>
          <w:highlight w:val="green"/>
          <w:lang w:bidi="ar-SA"/>
        </w:rPr>
        <w:t>это</w:t>
      </w:r>
      <w:r w:rsidRPr="00C44692">
        <w:rPr>
          <w:rFonts w:ascii="Bookman Old Style" w:eastAsia="Times New Roman" w:hAnsi="Bookman Old Style" w:cs="Times New Roman"/>
          <w:b/>
          <w:color w:val="auto"/>
          <w:sz w:val="18"/>
          <w:szCs w:val="18"/>
          <w:highlight w:val="green"/>
          <w:lang w:bidi="ar-SA"/>
        </w:rPr>
        <w:t xml:space="preserve"> </w:t>
      </w:r>
      <w:r w:rsidRPr="00C44692">
        <w:rPr>
          <w:rFonts w:ascii="Bookman Old Style" w:eastAsia="Times New Roman" w:hAnsi="Bookman Old Style" w:cs="Times New Roman"/>
          <w:color w:val="auto"/>
          <w:sz w:val="18"/>
          <w:szCs w:val="18"/>
          <w:highlight w:val="green"/>
          <w:lang w:bidi="ar-SA"/>
        </w:rPr>
        <w:t xml:space="preserve">свойство, связанное со способностью хозяйственной системы приспосабливаться (адаптироваться) к изменениям, сохраняя устойчивость при переходе из одного состояния в другое. Переход из одного состояния в другое происходит на основе управленческого воздействия на разных уровнях. Результатом управленческого воздействия является адаптационный механизм. Управленческое воздействие представляет собой результат реализации стратегии на уровне предприятия, отрасли, региона, государства (национальной экономики). В процессе разработки стратегии развития экономических субъектов на разных уровнях определяются цели разных уровней и определяются показатели, которые помогают определить, достигнута ли цель. </w:t>
      </w:r>
    </w:p>
    <w:p w14:paraId="4AE3E0B5"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Цели и показатели должны соответствовать </w:t>
      </w:r>
      <w:r w:rsidRPr="00C44692">
        <w:rPr>
          <w:rFonts w:ascii="Bookman Old Style" w:eastAsia="Times New Roman" w:hAnsi="Bookman Old Style" w:cs="Times New Roman"/>
          <w:color w:val="auto"/>
          <w:sz w:val="18"/>
          <w:szCs w:val="18"/>
          <w:highlight w:val="green"/>
          <w:lang w:val="en-US" w:bidi="ar-SA"/>
        </w:rPr>
        <w:t>SMART</w:t>
      </w:r>
      <w:r w:rsidRPr="00C44692">
        <w:rPr>
          <w:rFonts w:ascii="Bookman Old Style" w:eastAsia="Times New Roman" w:hAnsi="Bookman Old Style" w:cs="Times New Roman"/>
          <w:color w:val="auto"/>
          <w:sz w:val="18"/>
          <w:szCs w:val="18"/>
          <w:highlight w:val="green"/>
          <w:lang w:bidi="ar-SA"/>
        </w:rPr>
        <w:t xml:space="preserve"> модели :</w:t>
      </w:r>
    </w:p>
    <w:p w14:paraId="23305673"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Быть конкретными , прозрачными и понятными;</w:t>
      </w:r>
    </w:p>
    <w:p w14:paraId="10713353"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Быть измеримыми</w:t>
      </w:r>
      <w:r w:rsidRPr="00C44692">
        <w:rPr>
          <w:rFonts w:ascii="Bookman Old Style" w:eastAsiaTheme="minorHAnsi" w:hAnsi="Bookman Old Style" w:cs="Times New Roman"/>
          <w:color w:val="auto"/>
          <w:sz w:val="18"/>
          <w:szCs w:val="18"/>
          <w:highlight w:val="green"/>
          <w:lang w:val="en-US" w:eastAsia="en-US" w:bidi="ar-SA"/>
        </w:rPr>
        <w:t>;</w:t>
      </w:r>
    </w:p>
    <w:p w14:paraId="61CABDCF"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Быть достижимыми</w:t>
      </w:r>
      <w:r w:rsidRPr="00C44692">
        <w:rPr>
          <w:rFonts w:ascii="Bookman Old Style" w:eastAsiaTheme="minorHAnsi" w:hAnsi="Bookman Old Style" w:cs="Times New Roman"/>
          <w:color w:val="auto"/>
          <w:sz w:val="18"/>
          <w:szCs w:val="18"/>
          <w:highlight w:val="green"/>
          <w:lang w:val="en-US" w:eastAsia="en-US" w:bidi="ar-SA"/>
        </w:rPr>
        <w:t>;</w:t>
      </w:r>
    </w:p>
    <w:p w14:paraId="39E0930E"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lastRenderedPageBreak/>
        <w:t>Быть адекватными условиям внешней и внутренней среды;</w:t>
      </w:r>
    </w:p>
    <w:p w14:paraId="7776464A"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 xml:space="preserve">Быть актуальными на рассматриваемом временном промежутке. </w:t>
      </w:r>
    </w:p>
    <w:p w14:paraId="0F738CA8" w14:textId="77777777" w:rsidR="007D58AC" w:rsidRPr="00C44692" w:rsidRDefault="007D58AC" w:rsidP="007D58AC">
      <w:pPr>
        <w:spacing w:after="200" w:line="240" w:lineRule="auto"/>
        <w:ind w:firstLine="0"/>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ab/>
        <w:t xml:space="preserve">На основе этих показателей с помощью выбранных методов можно измерить адаптивность экономического субъекта.  </w:t>
      </w:r>
    </w:p>
    <w:p w14:paraId="5EE7C19A"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Адаптивность можно анализировать следующим образом:</w:t>
      </w:r>
    </w:p>
    <w:p w14:paraId="7BFB101A" w14:textId="77777777" w:rsidR="007D58AC" w:rsidRPr="00C44692" w:rsidRDefault="007D58AC">
      <w:pPr>
        <w:numPr>
          <w:ilvl w:val="0"/>
          <w:numId w:val="170"/>
        </w:numPr>
        <w:spacing w:line="240" w:lineRule="auto"/>
        <w:jc w:val="left"/>
        <w:rPr>
          <w:rFonts w:ascii="Bookman Old Style" w:eastAsia="Times New Roman" w:hAnsi="Bookman Old Style" w:cs="Times New Roman"/>
          <w:b/>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Сравнивая адаптивность различных экономических субъектов (адаптивность отраслей, национальных экономик, разных предприятий в отрасли, разных регионов в рамках национальной экономики);</w:t>
      </w:r>
    </w:p>
    <w:p w14:paraId="69A5A982" w14:textId="77777777" w:rsidR="007D58AC" w:rsidRPr="00C44692" w:rsidRDefault="007D58AC">
      <w:pPr>
        <w:numPr>
          <w:ilvl w:val="0"/>
          <w:numId w:val="170"/>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 xml:space="preserve">Изучая адаптивность только одного экономического субъекта. В этом случае мы будем сравнивать параметры экономического субъекта в течение нескольких периодов времени с параметрами его «идеального», эталонного состояния, то есть с нормативными значениями параметров его состояния. </w:t>
      </w:r>
    </w:p>
    <w:p w14:paraId="1364C801"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ab/>
        <w:t xml:space="preserve">Задача количественного измерения адаптивности состоит в том, чтобы оценить изменения, которые произошли у экономического субъекта при переходе в новое состояние, а именно: необходимо сравнить параметры экономического субъекта до и после изменений. При этом  ставится задача не просто сравнения параметров 2-х состояний – первоначального и нового, а оценки  устойчивости нового состояния. </w:t>
      </w:r>
    </w:p>
    <w:p w14:paraId="1C5997CC"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Для реализации этой задачи нам нужен такой метод, который бы позволил измерять устойчивость экономического субъекта в разные временные периоды, сравнивать новые параметры с базовыми показателями и получать результат, позволяющий оценивать эффективность адаптации. </w:t>
      </w:r>
    </w:p>
    <w:p w14:paraId="342120E3"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При этом измерять адаптивность можно и по ретроспективным данным и по прогнозным. </w:t>
      </w:r>
    </w:p>
    <w:p w14:paraId="75F76BA5"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На наш взгляд, в качестве методов, которые  соответствовали бы описанным выше условиям,  можно использовать метод расстояний и метод нечеткой логики. </w:t>
      </w:r>
    </w:p>
    <w:p w14:paraId="2FE98836"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u w:val="single"/>
          <w:lang w:bidi="ar-SA"/>
        </w:rPr>
      </w:pPr>
      <w:r w:rsidRPr="00C44692">
        <w:rPr>
          <w:rFonts w:ascii="Bookman Old Style" w:eastAsia="Times New Roman" w:hAnsi="Bookman Old Style" w:cs="Times New Roman"/>
          <w:color w:val="auto"/>
          <w:sz w:val="18"/>
          <w:szCs w:val="18"/>
          <w:highlight w:val="green"/>
          <w:u w:val="single"/>
          <w:lang w:bidi="ar-SA"/>
        </w:rPr>
        <w:t>Применение метода расстояний для оценки адаптивности экономических субъектов</w:t>
      </w:r>
    </w:p>
    <w:p w14:paraId="2D1B4F6B"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С помощью этого метода можно сравнивать адаптивность нескольких экономических субъектов, а также определять адаптивность одного экономического субъекта в разные временные периоды. При этом этот метод можно использовать как для ретроспективного, так и для перспективного  анализа адаптивности. </w:t>
      </w:r>
    </w:p>
    <w:p w14:paraId="0BC28082" w14:textId="77777777" w:rsidR="007D58AC" w:rsidRPr="00C44692" w:rsidRDefault="007D58AC" w:rsidP="007D58AC">
      <w:pPr>
        <w:spacing w:before="168" w:after="168" w:line="240" w:lineRule="auto"/>
        <w:ind w:firstLine="72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Основными этапами этого метода являются определение системы показателей, формирование матрицы стандартизированных коэффициентов и на основе обобщающего показателя  осуществление расчета интегрального показателя адаптивности. </w:t>
      </w:r>
    </w:p>
    <w:p w14:paraId="3FC8BD63" w14:textId="77777777" w:rsidR="007D58AC" w:rsidRPr="00C44692" w:rsidRDefault="007D58AC" w:rsidP="007D58AC">
      <w:pPr>
        <w:spacing w:before="168" w:after="168" w:line="240" w:lineRule="auto"/>
        <w:ind w:firstLine="72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Интегральный показатель адаптивности (ИПА) рассчитывается следующим образом. </w:t>
      </w:r>
    </w:p>
    <w:p w14:paraId="131667B8" w14:textId="77777777" w:rsidR="007D58AC" w:rsidRPr="00C44692" w:rsidRDefault="007D58AC" w:rsidP="007D58AC">
      <w:pPr>
        <w:spacing w:before="168" w:after="168" w:line="240" w:lineRule="auto"/>
        <w:ind w:firstLine="72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Сначала  рассчитывается стандартизированный коэффициент: </w:t>
      </w:r>
    </w:p>
    <w:p w14:paraId="5D95AEC5" w14:textId="77777777" w:rsidR="007D58AC" w:rsidRPr="00C44692" w:rsidRDefault="007D58AC" w:rsidP="007D58AC">
      <w:pPr>
        <w:spacing w:line="240" w:lineRule="auto"/>
        <w:ind w:left="720" w:firstLine="0"/>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val="es-ES" w:eastAsia="en-US" w:bidi="ar-SA"/>
        </w:rPr>
        <w:t>Xij</w:t>
      </w:r>
      <w:r w:rsidRPr="00C44692">
        <w:rPr>
          <w:rFonts w:ascii="Bookman Old Style" w:eastAsiaTheme="minorHAnsi" w:hAnsi="Bookman Old Style" w:cs="Times New Roman"/>
          <w:color w:val="auto"/>
          <w:sz w:val="18"/>
          <w:szCs w:val="18"/>
          <w:highlight w:val="green"/>
          <w:lang w:eastAsia="en-US" w:bidi="ar-SA"/>
        </w:rPr>
        <w:t xml:space="preserve"> = </w:t>
      </w:r>
      <w:r w:rsidRPr="00C44692">
        <w:rPr>
          <w:rFonts w:ascii="Bookman Old Style" w:eastAsiaTheme="minorHAnsi" w:hAnsi="Bookman Old Style" w:cs="Times New Roman"/>
          <w:color w:val="auto"/>
          <w:sz w:val="18"/>
          <w:szCs w:val="18"/>
          <w:highlight w:val="green"/>
          <w:lang w:val="en-US" w:eastAsia="en-US" w:bidi="ar-SA"/>
        </w:rPr>
        <w:t>A</w:t>
      </w:r>
      <w:r w:rsidRPr="00C44692">
        <w:rPr>
          <w:rFonts w:ascii="Bookman Old Style" w:eastAsiaTheme="minorHAnsi" w:hAnsi="Bookman Old Style" w:cs="Times New Roman"/>
          <w:color w:val="auto"/>
          <w:sz w:val="18"/>
          <w:szCs w:val="18"/>
          <w:highlight w:val="green"/>
          <w:lang w:val="es-ES" w:eastAsia="en-US" w:bidi="ar-SA"/>
        </w:rPr>
        <w:t>ij</w:t>
      </w:r>
      <w:r w:rsidRPr="00C44692">
        <w:rPr>
          <w:rFonts w:ascii="Bookman Old Style" w:eastAsiaTheme="minorHAnsi" w:hAnsi="Bookman Old Style" w:cs="Times New Roman"/>
          <w:color w:val="auto"/>
          <w:sz w:val="18"/>
          <w:szCs w:val="18"/>
          <w:highlight w:val="green"/>
          <w:lang w:eastAsia="en-US" w:bidi="ar-SA"/>
        </w:rPr>
        <w:t>/</w:t>
      </w:r>
      <w:r w:rsidRPr="00C44692">
        <w:rPr>
          <w:rFonts w:ascii="Bookman Old Style" w:eastAsiaTheme="minorHAnsi" w:hAnsi="Bookman Old Style" w:cs="Times New Roman"/>
          <w:color w:val="auto"/>
          <w:sz w:val="18"/>
          <w:szCs w:val="18"/>
          <w:highlight w:val="green"/>
          <w:lang w:val="en-US" w:eastAsia="en-US" w:bidi="ar-SA"/>
        </w:rPr>
        <w:t>A</w:t>
      </w:r>
      <w:r w:rsidRPr="00C44692">
        <w:rPr>
          <w:rFonts w:ascii="Bookman Old Style" w:eastAsiaTheme="minorHAnsi" w:hAnsi="Bookman Old Style" w:cs="Times New Roman"/>
          <w:color w:val="auto"/>
          <w:sz w:val="18"/>
          <w:szCs w:val="18"/>
          <w:highlight w:val="green"/>
          <w:lang w:eastAsia="en-US" w:bidi="ar-SA"/>
        </w:rPr>
        <w:t xml:space="preserve">эталон, где :   </w:t>
      </w:r>
    </w:p>
    <w:p w14:paraId="525EACDB" w14:textId="77777777" w:rsidR="007D58AC" w:rsidRPr="00C44692" w:rsidRDefault="007D58AC" w:rsidP="007D58AC">
      <w:pPr>
        <w:spacing w:line="240" w:lineRule="auto"/>
        <w:ind w:left="720" w:firstLine="0"/>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val="es-ES" w:eastAsia="en-US" w:bidi="ar-SA"/>
        </w:rPr>
        <w:t>Xij</w:t>
      </w:r>
      <w:r w:rsidRPr="00C44692">
        <w:rPr>
          <w:rFonts w:ascii="Bookman Old Style" w:eastAsiaTheme="minorHAnsi" w:hAnsi="Bookman Old Style" w:cs="Times New Roman"/>
          <w:color w:val="auto"/>
          <w:sz w:val="18"/>
          <w:szCs w:val="18"/>
          <w:highlight w:val="green"/>
          <w:lang w:eastAsia="en-US" w:bidi="ar-SA"/>
        </w:rPr>
        <w:t xml:space="preserve"> – стандартизированный коэффициент</w:t>
      </w:r>
    </w:p>
    <w:p w14:paraId="151A3FFA" w14:textId="77777777" w:rsidR="007D58AC" w:rsidRPr="00C44692" w:rsidRDefault="007D58AC" w:rsidP="007D58AC">
      <w:pPr>
        <w:spacing w:line="240" w:lineRule="auto"/>
        <w:ind w:left="720" w:firstLine="0"/>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val="en-US" w:eastAsia="en-US" w:bidi="ar-SA"/>
        </w:rPr>
        <w:t>A</w:t>
      </w:r>
      <w:r w:rsidRPr="00C44692">
        <w:rPr>
          <w:rFonts w:ascii="Bookman Old Style" w:eastAsiaTheme="minorHAnsi" w:hAnsi="Bookman Old Style" w:cs="Times New Roman"/>
          <w:color w:val="auto"/>
          <w:sz w:val="18"/>
          <w:szCs w:val="18"/>
          <w:highlight w:val="green"/>
          <w:lang w:val="es-ES" w:eastAsia="en-US" w:bidi="ar-SA"/>
        </w:rPr>
        <w:t>ij</w:t>
      </w:r>
      <w:r w:rsidRPr="00C44692">
        <w:rPr>
          <w:rFonts w:ascii="Bookman Old Style" w:eastAsiaTheme="minorHAnsi" w:hAnsi="Bookman Old Style" w:cs="Times New Roman"/>
          <w:color w:val="auto"/>
          <w:sz w:val="18"/>
          <w:szCs w:val="18"/>
          <w:highlight w:val="green"/>
          <w:lang w:eastAsia="en-US" w:bidi="ar-SA"/>
        </w:rPr>
        <w:t xml:space="preserve"> – фактическое значение показателя</w:t>
      </w:r>
    </w:p>
    <w:p w14:paraId="2B151B4F" w14:textId="77777777" w:rsidR="007D58AC" w:rsidRPr="00C44692" w:rsidRDefault="007D58AC" w:rsidP="007D58AC">
      <w:pPr>
        <w:spacing w:line="240" w:lineRule="auto"/>
        <w:ind w:left="720" w:firstLine="0"/>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val="en-US" w:eastAsia="en-US" w:bidi="ar-SA"/>
        </w:rPr>
        <w:lastRenderedPageBreak/>
        <w:t>A</w:t>
      </w:r>
      <w:r w:rsidRPr="00C44692">
        <w:rPr>
          <w:rFonts w:ascii="Bookman Old Style" w:eastAsiaTheme="minorHAnsi" w:hAnsi="Bookman Old Style" w:cs="Times New Roman"/>
          <w:color w:val="auto"/>
          <w:sz w:val="18"/>
          <w:szCs w:val="18"/>
          <w:highlight w:val="green"/>
          <w:lang w:eastAsia="en-US" w:bidi="ar-SA"/>
        </w:rPr>
        <w:t>эталон –  нормативное значение показателя (так называемый эталон, который представляет собой наилучшее значение данного показателя)</w:t>
      </w:r>
    </w:p>
    <w:p w14:paraId="63C57618" w14:textId="77777777" w:rsidR="007D58AC" w:rsidRPr="00C44692" w:rsidRDefault="007D58AC" w:rsidP="007D58AC">
      <w:pPr>
        <w:spacing w:before="168" w:after="168" w:line="240" w:lineRule="auto"/>
        <w:ind w:firstLine="72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На втором этапе рассчитывается интегральный показатель адаптивности: </w:t>
      </w:r>
    </w:p>
    <w:p w14:paraId="2950731A" w14:textId="7F013421"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vertAlign w:val="superscript"/>
          <w:lang w:bidi="ar-SA"/>
        </w:rPr>
      </w:pPr>
      <w:r w:rsidRPr="00C44692">
        <w:rPr>
          <w:rFonts w:ascii="Bookman Old Style" w:eastAsia="Times New Roman" w:hAnsi="Bookman Old Style" w:cs="Times New Roman"/>
          <w:color w:val="auto"/>
          <w:sz w:val="18"/>
          <w:szCs w:val="18"/>
          <w:highlight w:val="green"/>
          <w:lang w:bidi="ar-SA"/>
        </w:rPr>
        <w:t xml:space="preserve"> ИПА = [∑(1-</w:t>
      </w:r>
      <w:r w:rsidRPr="00C44692">
        <w:rPr>
          <w:rFonts w:ascii="Bookman Old Style" w:eastAsia="Times New Roman" w:hAnsi="Bookman Old Style" w:cs="Times New Roman"/>
          <w:color w:val="auto"/>
          <w:sz w:val="18"/>
          <w:szCs w:val="18"/>
          <w:highlight w:val="green"/>
          <w:lang w:val="es-ES" w:bidi="ar-SA"/>
        </w:rPr>
        <w:t>Xij</w:t>
      </w:r>
      <w:r w:rsidRPr="00C44692">
        <w:rPr>
          <w:rFonts w:ascii="Bookman Old Style" w:eastAsia="Times New Roman" w:hAnsi="Bookman Old Style" w:cs="Times New Roman"/>
          <w:color w:val="auto"/>
          <w:sz w:val="18"/>
          <w:szCs w:val="18"/>
          <w:highlight w:val="green"/>
          <w:vertAlign w:val="superscript"/>
          <w:lang w:bidi="ar-SA"/>
        </w:rPr>
        <w:t>)²</w:t>
      </w:r>
      <w:r w:rsidRPr="00C44692">
        <w:rPr>
          <w:rFonts w:ascii="Bookman Old Style" w:eastAsia="Times New Roman" w:hAnsi="Bookman Old Style" w:cs="Times New Roman"/>
          <w:color w:val="auto"/>
          <w:sz w:val="18"/>
          <w:szCs w:val="18"/>
          <w:highlight w:val="green"/>
          <w:lang w:bidi="ar-SA"/>
        </w:rPr>
        <w:t xml:space="preserve">] </w:t>
      </w:r>
      <w:r w:rsidRPr="00C44692">
        <w:rPr>
          <w:rFonts w:ascii="Bookman Old Style" w:eastAsia="Times New Roman" w:hAnsi="Bookman Old Style" w:cs="Times New Roman"/>
          <w:color w:val="auto"/>
          <w:sz w:val="18"/>
          <w:szCs w:val="18"/>
          <w:highlight w:val="green"/>
          <w:vertAlign w:val="superscript"/>
          <w:lang w:bidi="ar-SA"/>
        </w:rPr>
        <w:t xml:space="preserve">0,5                               </w:t>
      </w:r>
      <w:r w:rsidRPr="00C44692">
        <w:rPr>
          <w:rFonts w:ascii="Bookman Old Style" w:eastAsia="Times New Roman" w:hAnsi="Bookman Old Style" w:cs="Times New Roman"/>
          <w:color w:val="auto"/>
          <w:sz w:val="18"/>
          <w:szCs w:val="18"/>
          <w:highlight w:val="green"/>
          <w:lang w:bidi="ar-SA"/>
        </w:rPr>
        <w:t>(</w:t>
      </w:r>
      <w:r w:rsidR="00EC1D27"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1)</w:t>
      </w:r>
    </w:p>
    <w:p w14:paraId="0E5C7401"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Возникает необходимость сравнения с неким эталоном, имеющим параметры  устойчивого состояния. Если проводится сравнительный анализ адаптивности разных экономических субъектов, то в качестве эталона необходимо использовать наилучшие (максимальные) значения показателей среди анализируемых показателей экономических субъектов. Если мы анализируем адаптивность экономического субъекта  в разные периоды, то  в качестве эталона выбирать наилучшие (максимальные)  значения показателей в разные периоды времени.    </w:t>
      </w:r>
    </w:p>
    <w:p w14:paraId="0BDB0FC0"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ab/>
        <w:t xml:space="preserve">Расчет производится  формуле евклидового расстояния от точки эталона до конкретных значений показателей оцениваемых объектов. Перед конкретными расчетами, когда элементами расстояния являются несоизмеримые единицы показателей, проводится нормирование путем деления значений показателей </w:t>
      </w:r>
      <w:r w:rsidRPr="00C44692">
        <w:rPr>
          <w:rFonts w:ascii="Bookman Old Style" w:eastAsia="Times New Roman" w:hAnsi="Bookman Old Style" w:cs="Times New Roman"/>
          <w:color w:val="auto"/>
          <w:sz w:val="18"/>
          <w:szCs w:val="18"/>
          <w:highlight w:val="green"/>
          <w:lang w:val="en-US" w:bidi="ar-SA"/>
        </w:rPr>
        <w:t>A</w:t>
      </w:r>
      <w:r w:rsidRPr="00C44692">
        <w:rPr>
          <w:rFonts w:ascii="Bookman Old Style" w:eastAsia="Times New Roman" w:hAnsi="Bookman Old Style" w:cs="Times New Roman"/>
          <w:color w:val="auto"/>
          <w:sz w:val="18"/>
          <w:szCs w:val="18"/>
          <w:highlight w:val="green"/>
          <w:lang w:bidi="ar-SA"/>
        </w:rPr>
        <w:t xml:space="preserve">ij на значения показателя эталонного объекта. Для каждого объекта рассчитывается расстояние до эталона по формуле 4.6. Наименее удаленный от точки эталона объект получает наивысший ранг при ранжировании. </w:t>
      </w:r>
    </w:p>
    <w:p w14:paraId="6DF7F3DE"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Предлагается применять следующий алгоритм расчета интегрального показателя адаптивности с помощью метода расстояний:</w:t>
      </w:r>
    </w:p>
    <w:p w14:paraId="5C53718D" w14:textId="77777777" w:rsidR="007D58AC" w:rsidRPr="00C44692" w:rsidRDefault="007D58AC">
      <w:pPr>
        <w:numPr>
          <w:ilvl w:val="2"/>
          <w:numId w:val="169"/>
        </w:numPr>
        <w:tabs>
          <w:tab w:val="num" w:pos="142"/>
        </w:tabs>
        <w:spacing w:line="240" w:lineRule="auto"/>
        <w:ind w:left="142" w:hanging="33"/>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Выбрать систему показателей, характеризующих адаптивность экономических субъектов, обосновав свой выбор.</w:t>
      </w:r>
    </w:p>
    <w:p w14:paraId="08380944" w14:textId="77777777" w:rsidR="007D58AC" w:rsidRPr="00C44692" w:rsidRDefault="007D58AC">
      <w:pPr>
        <w:numPr>
          <w:ilvl w:val="2"/>
          <w:numId w:val="169"/>
        </w:numPr>
        <w:tabs>
          <w:tab w:val="num" w:pos="142"/>
        </w:tabs>
        <w:spacing w:line="240" w:lineRule="auto"/>
        <w:ind w:left="142" w:hanging="33"/>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Произвести расчет показателей для экономических субъектов за выбранный период.</w:t>
      </w:r>
    </w:p>
    <w:p w14:paraId="68C81D6A" w14:textId="77777777" w:rsidR="007D58AC" w:rsidRPr="00C44692" w:rsidRDefault="007D58AC">
      <w:pPr>
        <w:numPr>
          <w:ilvl w:val="2"/>
          <w:numId w:val="169"/>
        </w:numPr>
        <w:tabs>
          <w:tab w:val="num" w:pos="142"/>
        </w:tabs>
        <w:spacing w:line="240" w:lineRule="auto"/>
        <w:ind w:left="142" w:hanging="33"/>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Определить эталонное значение каждого показателя. </w:t>
      </w:r>
    </w:p>
    <w:p w14:paraId="601D4FAF" w14:textId="77777777" w:rsidR="007D58AC" w:rsidRPr="00C44692" w:rsidRDefault="007D58AC">
      <w:pPr>
        <w:numPr>
          <w:ilvl w:val="2"/>
          <w:numId w:val="169"/>
        </w:numPr>
        <w:tabs>
          <w:tab w:val="num" w:pos="142"/>
        </w:tabs>
        <w:spacing w:line="240" w:lineRule="auto"/>
        <w:ind w:left="142" w:hanging="33"/>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Произвести расчет интегрального показателя адаптивности по формуле. </w:t>
      </w:r>
    </w:p>
    <w:p w14:paraId="5F86E728" w14:textId="77777777" w:rsidR="007D58AC" w:rsidRPr="00C44692" w:rsidRDefault="007D58AC">
      <w:pPr>
        <w:numPr>
          <w:ilvl w:val="2"/>
          <w:numId w:val="169"/>
        </w:numPr>
        <w:tabs>
          <w:tab w:val="num" w:pos="142"/>
        </w:tabs>
        <w:spacing w:line="240" w:lineRule="auto"/>
        <w:ind w:left="142" w:hanging="33"/>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Произвести сравнение. Меньшее значение интегрального показателя  адаптивности означает большее соответствие эталонным показателям, а значит и большую возможность экономического субъекта адаптироваться к изменениям внешней и внутренней среды, то есть большую адаптивность. Если в динамике коэффициент адаптивности не увеличивается, это означает адаптивную эффективность, которая наблюдается, когда в процессе изменений экономический субъект сохраняет устойчивость своих параметров.   </w:t>
      </w:r>
    </w:p>
    <w:p w14:paraId="555EC9AA" w14:textId="77777777" w:rsidR="007D58AC" w:rsidRPr="00C44692" w:rsidRDefault="007D58AC" w:rsidP="007D58AC">
      <w:pPr>
        <w:spacing w:after="200" w:line="240" w:lineRule="auto"/>
        <w:ind w:left="720" w:firstLine="0"/>
        <w:contextualSpacing/>
        <w:rPr>
          <w:rFonts w:ascii="Bookman Old Style" w:eastAsia="Times New Roman" w:hAnsi="Bookman Old Style" w:cs="Times New Roman"/>
          <w:color w:val="auto"/>
          <w:sz w:val="18"/>
          <w:szCs w:val="18"/>
          <w:highlight w:val="green"/>
          <w:u w:val="single"/>
          <w:lang w:bidi="ar-SA"/>
        </w:rPr>
      </w:pPr>
      <w:r w:rsidRPr="00C44692">
        <w:rPr>
          <w:rFonts w:ascii="Bookman Old Style" w:eastAsia="Times New Roman" w:hAnsi="Bookman Old Style" w:cs="Times New Roman"/>
          <w:color w:val="auto"/>
          <w:sz w:val="18"/>
          <w:szCs w:val="18"/>
          <w:highlight w:val="green"/>
          <w:u w:val="single"/>
          <w:lang w:bidi="ar-SA"/>
        </w:rPr>
        <w:t>Применение метода нечеткой логики (нечетких множеств) в прогнозировании  адаптивности</w:t>
      </w:r>
    </w:p>
    <w:p w14:paraId="306B5A52" w14:textId="599B51E3" w:rsidR="007D58AC" w:rsidRPr="00C44692" w:rsidRDefault="007D58AC" w:rsidP="007D58AC">
      <w:pPr>
        <w:spacing w:after="200" w:line="240" w:lineRule="auto"/>
        <w:ind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Для оценки прогнозного интегрального показателя адаптивности можно использовать метод нечеткой логики. Методы нечеткой логики применяются при решении различных задач в сфере финансового менеджмента . </w:t>
      </w:r>
    </w:p>
    <w:p w14:paraId="2174D448" w14:textId="77777777" w:rsidR="007D58AC" w:rsidRPr="00C44692" w:rsidRDefault="007D58AC" w:rsidP="007D58AC">
      <w:pPr>
        <w:spacing w:after="200" w:line="240" w:lineRule="auto"/>
        <w:ind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Основная идея метода нечетких множеств (нечеткой логики) состоит в том, что элементами мышления человека являются не числа, а элементы некоторых множеств.</w:t>
      </w:r>
      <w:r w:rsidRPr="00C44692">
        <w:rPr>
          <w:rFonts w:ascii="Bookman Old Style" w:eastAsiaTheme="minorHAnsi" w:hAnsi="Bookman Old Style" w:cs="Times New Roman"/>
          <w:color w:val="auto"/>
          <w:sz w:val="18"/>
          <w:szCs w:val="18"/>
          <w:highlight w:val="green"/>
          <w:lang w:eastAsia="en-US" w:bidi="ar-SA"/>
        </w:rPr>
        <w:t xml:space="preserve"> </w:t>
      </w:r>
      <w:r w:rsidRPr="00C44692">
        <w:rPr>
          <w:rFonts w:ascii="Bookman Old Style" w:eastAsia="Times New Roman" w:hAnsi="Bookman Old Style" w:cs="Times New Roman"/>
          <w:color w:val="auto"/>
          <w:sz w:val="18"/>
          <w:szCs w:val="18"/>
          <w:highlight w:val="green"/>
          <w:lang w:bidi="ar-SA"/>
        </w:rPr>
        <w:t xml:space="preserve">Характеризовать принадлежность </w:t>
      </w:r>
      <w:r w:rsidRPr="00C44692">
        <w:rPr>
          <w:rFonts w:ascii="Bookman Old Style" w:eastAsia="Times New Roman" w:hAnsi="Bookman Old Style" w:cs="Times New Roman"/>
          <w:color w:val="auto"/>
          <w:sz w:val="18"/>
          <w:szCs w:val="18"/>
          <w:highlight w:val="green"/>
          <w:lang w:bidi="ar-SA"/>
        </w:rPr>
        <w:lastRenderedPageBreak/>
        <w:t xml:space="preserve">элемента множеству можно  с некоторой степенью достоверности. Функция принадлежности в каждый конкретный момент времени может принимать различный вид. Для расчетов удобнее использовать функцию определенного вида. Множество — это совокупность каких-либо объектов (элементов), обладающих общими свойствами. Множество может быть определено входящими в него элементами. В обычной теории множеств принадлежность любого элемента х некоему множеству А может быть представлена двумя значениями: 1 — принадлежит или 0 — не принадлежит. А само утверждение о том, что элемент </w:t>
      </w:r>
      <w:r w:rsidRPr="00C44692">
        <w:rPr>
          <w:rFonts w:ascii="Bookman Old Style" w:eastAsia="Times New Roman" w:hAnsi="Bookman Old Style" w:cs="Times New Roman"/>
          <w:color w:val="auto"/>
          <w:sz w:val="18"/>
          <w:szCs w:val="18"/>
          <w:highlight w:val="green"/>
          <w:lang w:val="en-US" w:bidi="ar-SA"/>
        </w:rPr>
        <w:t>x</w:t>
      </w:r>
      <w:r w:rsidRPr="00C44692">
        <w:rPr>
          <w:rFonts w:ascii="Bookman Old Style" w:eastAsia="Times New Roman" w:hAnsi="Bookman Old Style" w:cs="Times New Roman"/>
          <w:color w:val="auto"/>
          <w:sz w:val="18"/>
          <w:szCs w:val="18"/>
          <w:highlight w:val="green"/>
          <w:lang w:bidi="ar-SA"/>
        </w:rPr>
        <w:t xml:space="preserve"> входит или не входит в множество А, может быть выражено при помощи так называемой функции принадлежности </w:t>
      </w:r>
      <w:r w:rsidRPr="00C44692">
        <w:rPr>
          <w:rFonts w:ascii="Bookman Old Style" w:eastAsia="Times New Roman" w:hAnsi="Bookman Old Style" w:cs="Times New Roman"/>
          <w:color w:val="auto"/>
          <w:sz w:val="18"/>
          <w:szCs w:val="18"/>
          <w:highlight w:val="green"/>
          <w:lang w:val="en-US" w:bidi="ar-SA"/>
        </w:rPr>
        <w:t>μ</w:t>
      </w:r>
      <w:r w:rsidRPr="00C44692">
        <w:rPr>
          <w:rFonts w:ascii="Bookman Old Style" w:eastAsia="Times New Roman" w:hAnsi="Bookman Old Style" w:cs="Times New Roman"/>
          <w:color w:val="auto"/>
          <w:sz w:val="18"/>
          <w:szCs w:val="18"/>
          <w:highlight w:val="green"/>
          <w:lang w:bidi="ar-SA"/>
        </w:rPr>
        <w:t>(</w:t>
      </w:r>
      <w:r w:rsidRPr="00C44692">
        <w:rPr>
          <w:rFonts w:ascii="Bookman Old Style" w:eastAsia="Times New Roman" w:hAnsi="Bookman Old Style" w:cs="Times New Roman"/>
          <w:color w:val="auto"/>
          <w:sz w:val="18"/>
          <w:szCs w:val="18"/>
          <w:highlight w:val="green"/>
          <w:lang w:val="en-US" w:bidi="ar-SA"/>
        </w:rPr>
        <w:t>x</w:t>
      </w:r>
      <w:r w:rsidRPr="00C44692">
        <w:rPr>
          <w:rFonts w:ascii="Bookman Old Style" w:eastAsia="Times New Roman" w:hAnsi="Bookman Old Style" w:cs="Times New Roman"/>
          <w:color w:val="auto"/>
          <w:sz w:val="18"/>
          <w:szCs w:val="18"/>
          <w:highlight w:val="green"/>
          <w:lang w:bidi="ar-SA"/>
        </w:rPr>
        <w:t>), имеющей следующий вид:</w:t>
      </w:r>
    </w:p>
    <w:p w14:paraId="1A00957E" w14:textId="10EF3509" w:rsidR="007D58AC" w:rsidRPr="00C44692" w:rsidRDefault="007D58AC" w:rsidP="007D58AC">
      <w:pPr>
        <w:spacing w:after="200" w:line="240" w:lineRule="auto"/>
        <w:ind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noProof/>
          <w:color w:val="auto"/>
          <w:sz w:val="18"/>
          <w:szCs w:val="18"/>
          <w:highlight w:val="green"/>
          <w:lang w:bidi="ar-SA"/>
        </w:rPr>
        <mc:AlternateContent>
          <mc:Choice Requires="wps">
            <w:drawing>
              <wp:anchor distT="0" distB="0" distL="114300" distR="114300" simplePos="0" relativeHeight="377494334" behindDoc="0" locked="0" layoutInCell="1" allowOverlap="1" wp14:anchorId="537D1EB7" wp14:editId="4B76357F">
                <wp:simplePos x="0" y="0"/>
                <wp:positionH relativeFrom="column">
                  <wp:posOffset>1748155</wp:posOffset>
                </wp:positionH>
                <wp:positionV relativeFrom="paragraph">
                  <wp:posOffset>80010</wp:posOffset>
                </wp:positionV>
                <wp:extent cx="2133600" cy="647700"/>
                <wp:effectExtent l="0" t="0" r="3175" b="1905"/>
                <wp:wrapNone/>
                <wp:docPr id="251" name="Надпись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81E97" w14:textId="77777777" w:rsidR="007D58AC" w:rsidRPr="003877D0" w:rsidRDefault="007D58AC" w:rsidP="007D58AC">
                            <w:pPr>
                              <w:spacing w:line="360" w:lineRule="auto"/>
                              <w:rPr>
                                <w:rFonts w:ascii="Arial Narrow" w:hAnsi="Arial Narrow"/>
                                <w:sz w:val="16"/>
                                <w:szCs w:val="16"/>
                                <w:lang w:val="en-US"/>
                              </w:rPr>
                            </w:pPr>
                            <w:r w:rsidRPr="003877D0">
                              <w:rPr>
                                <w:rFonts w:ascii="Arial Narrow" w:hAnsi="Arial Narrow"/>
                                <w:sz w:val="16"/>
                                <w:szCs w:val="16"/>
                                <w:lang w:val="en-US"/>
                              </w:rPr>
                              <w:t xml:space="preserve">1 , </w:t>
                            </w:r>
                            <w:r w:rsidRPr="003877D0">
                              <w:rPr>
                                <w:rFonts w:ascii="Arial Narrow" w:hAnsi="Arial Narrow"/>
                                <w:sz w:val="16"/>
                                <w:szCs w:val="16"/>
                              </w:rPr>
                              <w:t xml:space="preserve">при </w:t>
                            </w:r>
                            <w:r w:rsidRPr="003877D0">
                              <w:rPr>
                                <w:rFonts w:ascii="Arial Narrow" w:hAnsi="Arial Narrow"/>
                                <w:sz w:val="16"/>
                                <w:szCs w:val="16"/>
                                <w:lang w:val="en-US"/>
                              </w:rPr>
                              <w:t>x €</w:t>
                            </w:r>
                            <w:r w:rsidRPr="003877D0">
                              <w:rPr>
                                <w:rFonts w:ascii="Arial Narrow" w:hAnsi="Arial Narrow"/>
                                <w:sz w:val="16"/>
                                <w:szCs w:val="16"/>
                              </w:rPr>
                              <w:t xml:space="preserve"> </w:t>
                            </w:r>
                            <w:r w:rsidRPr="003877D0">
                              <w:rPr>
                                <w:rFonts w:ascii="Arial Narrow" w:hAnsi="Arial Narrow"/>
                                <w:sz w:val="16"/>
                                <w:szCs w:val="16"/>
                                <w:lang w:val="en-US"/>
                              </w:rPr>
                              <w:t xml:space="preserve">A </w:t>
                            </w:r>
                          </w:p>
                          <w:p w14:paraId="1E2A498C" w14:textId="77777777" w:rsidR="007D58AC" w:rsidRPr="003877D0" w:rsidRDefault="007D58AC" w:rsidP="007D58AC">
                            <w:pPr>
                              <w:spacing w:line="360" w:lineRule="auto"/>
                              <w:rPr>
                                <w:rFonts w:ascii="Arial Narrow" w:hAnsi="Arial Narrow"/>
                                <w:sz w:val="16"/>
                                <w:szCs w:val="16"/>
                              </w:rPr>
                            </w:pPr>
                            <w:r w:rsidRPr="003877D0">
                              <w:rPr>
                                <w:rFonts w:ascii="Arial Narrow" w:hAnsi="Arial Narrow"/>
                                <w:sz w:val="16"/>
                                <w:szCs w:val="16"/>
                              </w:rPr>
                              <w:t xml:space="preserve">0, при </w:t>
                            </w:r>
                            <w:r w:rsidRPr="003877D0">
                              <w:rPr>
                                <w:rFonts w:ascii="Arial Narrow" w:hAnsi="Arial Narrow"/>
                                <w:sz w:val="16"/>
                                <w:szCs w:val="16"/>
                                <w:lang w:val="en-US"/>
                              </w:rPr>
                              <w:t>x</w:t>
                            </w:r>
                            <w:r w:rsidRPr="003877D0">
                              <w:rPr>
                                <w:rFonts w:ascii="Arial Narrow" w:hAnsi="Arial Narrow"/>
                                <w:sz w:val="16"/>
                                <w:szCs w:val="16"/>
                              </w:rPr>
                              <w:t xml:space="preserve"> </w:t>
                            </w:r>
                            <w:r w:rsidRPr="003877D0">
                              <w:rPr>
                                <w:rFonts w:ascii="Cambria Math" w:hAnsi="Cambria Math" w:cs="Cambria Math"/>
                                <w:sz w:val="16"/>
                                <w:szCs w:val="16"/>
                              </w:rPr>
                              <w:t>∉</w:t>
                            </w:r>
                            <w:r w:rsidRPr="003877D0">
                              <w:rPr>
                                <w:rFonts w:ascii="Arial Narrow" w:hAnsi="Arial Narrow"/>
                                <w:sz w:val="16"/>
                                <w:szCs w:val="16"/>
                              </w:rPr>
                              <w:t xml:space="preserve"> </w:t>
                            </w:r>
                            <w:r w:rsidRPr="003877D0">
                              <w:rPr>
                                <w:rFonts w:ascii="Arial Narrow" w:hAnsi="Arial Narrow"/>
                                <w:sz w:val="16"/>
                                <w:szCs w:val="16"/>
                                <w:lang w:val="en-US"/>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D1EB7" id="Надпись 251" o:spid="_x0000_s1065" type="#_x0000_t202" style="position:absolute;left:0;text-align:left;margin-left:137.65pt;margin-top:6.3pt;width:168pt;height:51pt;z-index:377494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" stroked="f">
                <v:textbox>
                  <w:txbxContent>
                    <w:p w14:paraId="00281E97" w14:textId="77777777" w:rsidR="007D58AC" w:rsidRPr="003877D0" w:rsidRDefault="007D58AC" w:rsidP="007D58AC">
                      <w:pPr>
                        <w:spacing w:line="360" w:lineRule="auto"/>
                        <w:rPr>
                          <w:rFonts w:ascii="Arial Narrow" w:hAnsi="Arial Narrow"/>
                          <w:sz w:val="16"/>
                          <w:szCs w:val="16"/>
                          <w:lang w:val="en-US"/>
                        </w:rPr>
                      </w:pPr>
                      <w:r w:rsidRPr="003877D0">
                        <w:rPr>
                          <w:rFonts w:ascii="Arial Narrow" w:hAnsi="Arial Narrow"/>
                          <w:sz w:val="16"/>
                          <w:szCs w:val="16"/>
                          <w:lang w:val="en-US"/>
                        </w:rPr>
                        <w:t xml:space="preserve">1 , </w:t>
                      </w:r>
                      <w:r w:rsidRPr="003877D0">
                        <w:rPr>
                          <w:rFonts w:ascii="Arial Narrow" w:hAnsi="Arial Narrow"/>
                          <w:sz w:val="16"/>
                          <w:szCs w:val="16"/>
                        </w:rPr>
                        <w:t xml:space="preserve">при </w:t>
                      </w:r>
                      <w:r w:rsidRPr="003877D0">
                        <w:rPr>
                          <w:rFonts w:ascii="Arial Narrow" w:hAnsi="Arial Narrow"/>
                          <w:sz w:val="16"/>
                          <w:szCs w:val="16"/>
                          <w:lang w:val="en-US"/>
                        </w:rPr>
                        <w:t>x €</w:t>
                      </w:r>
                      <w:r w:rsidRPr="003877D0">
                        <w:rPr>
                          <w:rFonts w:ascii="Arial Narrow" w:hAnsi="Arial Narrow"/>
                          <w:sz w:val="16"/>
                          <w:szCs w:val="16"/>
                        </w:rPr>
                        <w:t xml:space="preserve"> </w:t>
                      </w:r>
                      <w:r w:rsidRPr="003877D0">
                        <w:rPr>
                          <w:rFonts w:ascii="Arial Narrow" w:hAnsi="Arial Narrow"/>
                          <w:sz w:val="16"/>
                          <w:szCs w:val="16"/>
                          <w:lang w:val="en-US"/>
                        </w:rPr>
                        <w:t xml:space="preserve">A </w:t>
                      </w:r>
                    </w:p>
                    <w:p w14:paraId="1E2A498C" w14:textId="77777777" w:rsidR="007D58AC" w:rsidRPr="003877D0" w:rsidRDefault="007D58AC" w:rsidP="007D58AC">
                      <w:pPr>
                        <w:spacing w:line="360" w:lineRule="auto"/>
                        <w:rPr>
                          <w:rFonts w:ascii="Arial Narrow" w:hAnsi="Arial Narrow"/>
                          <w:sz w:val="16"/>
                          <w:szCs w:val="16"/>
                        </w:rPr>
                      </w:pPr>
                      <w:r w:rsidRPr="003877D0">
                        <w:rPr>
                          <w:rFonts w:ascii="Arial Narrow" w:hAnsi="Arial Narrow"/>
                          <w:sz w:val="16"/>
                          <w:szCs w:val="16"/>
                        </w:rPr>
                        <w:t xml:space="preserve">0, при </w:t>
                      </w:r>
                      <w:r w:rsidRPr="003877D0">
                        <w:rPr>
                          <w:rFonts w:ascii="Arial Narrow" w:hAnsi="Arial Narrow"/>
                          <w:sz w:val="16"/>
                          <w:szCs w:val="16"/>
                          <w:lang w:val="en-US"/>
                        </w:rPr>
                        <w:t>x</w:t>
                      </w:r>
                      <w:r w:rsidRPr="003877D0">
                        <w:rPr>
                          <w:rFonts w:ascii="Arial Narrow" w:hAnsi="Arial Narrow"/>
                          <w:sz w:val="16"/>
                          <w:szCs w:val="16"/>
                        </w:rPr>
                        <w:t xml:space="preserve"> </w:t>
                      </w:r>
                      <w:r w:rsidRPr="003877D0">
                        <w:rPr>
                          <w:rFonts w:ascii="Cambria Math" w:hAnsi="Cambria Math" w:cs="Cambria Math"/>
                          <w:sz w:val="16"/>
                          <w:szCs w:val="16"/>
                        </w:rPr>
                        <w:t>∉</w:t>
                      </w:r>
                      <w:r w:rsidRPr="003877D0">
                        <w:rPr>
                          <w:rFonts w:ascii="Arial Narrow" w:hAnsi="Arial Narrow"/>
                          <w:sz w:val="16"/>
                          <w:szCs w:val="16"/>
                        </w:rPr>
                        <w:t xml:space="preserve"> </w:t>
                      </w:r>
                      <w:r w:rsidRPr="003877D0">
                        <w:rPr>
                          <w:rFonts w:ascii="Arial Narrow" w:hAnsi="Arial Narrow"/>
                          <w:sz w:val="16"/>
                          <w:szCs w:val="16"/>
                          <w:lang w:val="en-US"/>
                        </w:rPr>
                        <w:t>A</w:t>
                      </w:r>
                    </w:p>
                  </w:txbxContent>
                </v:textbox>
              </v:shape>
            </w:pict>
          </mc:Fallback>
        </mc:AlternateContent>
      </w:r>
    </w:p>
    <w:p w14:paraId="2373B341" w14:textId="004E3966" w:rsidR="007D58AC" w:rsidRPr="00C44692" w:rsidRDefault="007D58AC" w:rsidP="007D58AC">
      <w:pPr>
        <w:tabs>
          <w:tab w:val="left" w:pos="7567"/>
        </w:tabs>
        <w:spacing w:after="200" w:line="240" w:lineRule="auto"/>
        <w:ind w:left="720"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noProof/>
          <w:color w:val="auto"/>
          <w:sz w:val="18"/>
          <w:szCs w:val="18"/>
          <w:highlight w:val="green"/>
          <w:lang w:bidi="ar-SA"/>
        </w:rPr>
        <mc:AlternateContent>
          <mc:Choice Requires="wps">
            <w:drawing>
              <wp:anchor distT="0" distB="0" distL="114300" distR="114300" simplePos="0" relativeHeight="377491262" behindDoc="0" locked="0" layoutInCell="1" allowOverlap="1" wp14:anchorId="02103145" wp14:editId="56A81877">
                <wp:simplePos x="0" y="0"/>
                <wp:positionH relativeFrom="column">
                  <wp:posOffset>1470025</wp:posOffset>
                </wp:positionH>
                <wp:positionV relativeFrom="paragraph">
                  <wp:posOffset>1270</wp:posOffset>
                </wp:positionV>
                <wp:extent cx="163830" cy="344805"/>
                <wp:effectExtent l="13970" t="9525" r="12700" b="7620"/>
                <wp:wrapNone/>
                <wp:docPr id="250" name="Левая фигурная скобка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344805"/>
                        </a:xfrm>
                        <a:prstGeom prst="leftBrace">
                          <a:avLst>
                            <a:gd name="adj1" fmla="val 175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4C8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50" o:spid="_x0000_s1026" type="#_x0000_t87" style="position:absolute;margin-left:115.75pt;margin-top:.1pt;width:12.9pt;height:27.15pt;z-index:377491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"/>
            </w:pict>
          </mc:Fallback>
        </mc:AlternateContent>
      </w:r>
      <w:r w:rsidRPr="00C44692">
        <w:rPr>
          <w:rFonts w:ascii="Bookman Old Style" w:eastAsia="Times New Roman" w:hAnsi="Bookman Old Style" w:cs="Times New Roman"/>
          <w:color w:val="auto"/>
          <w:sz w:val="18"/>
          <w:szCs w:val="18"/>
          <w:highlight w:val="green"/>
          <w:lang w:val="en-US" w:bidi="ar-SA"/>
        </w:rPr>
        <w:t>μ</w:t>
      </w:r>
      <w:r w:rsidRPr="00C44692">
        <w:rPr>
          <w:rFonts w:ascii="Bookman Old Style" w:eastAsia="Times New Roman" w:hAnsi="Bookman Old Style" w:cs="Times New Roman"/>
          <w:color w:val="auto"/>
          <w:sz w:val="18"/>
          <w:szCs w:val="18"/>
          <w:highlight w:val="green"/>
          <w:lang w:bidi="ar-SA"/>
        </w:rPr>
        <w:t>(</w:t>
      </w:r>
      <w:r w:rsidRPr="00C44692">
        <w:rPr>
          <w:rFonts w:ascii="Bookman Old Style" w:eastAsia="Times New Roman" w:hAnsi="Bookman Old Style" w:cs="Times New Roman"/>
          <w:color w:val="auto"/>
          <w:sz w:val="18"/>
          <w:szCs w:val="18"/>
          <w:highlight w:val="green"/>
          <w:lang w:val="en-US" w:bidi="ar-SA"/>
        </w:rPr>
        <w:t>x</w:t>
      </w:r>
      <w:r w:rsidRPr="00C44692">
        <w:rPr>
          <w:rFonts w:ascii="Bookman Old Style" w:eastAsia="Times New Roman" w:hAnsi="Bookman Old Style" w:cs="Times New Roman"/>
          <w:color w:val="auto"/>
          <w:sz w:val="18"/>
          <w:szCs w:val="18"/>
          <w:highlight w:val="green"/>
          <w:lang w:bidi="ar-SA"/>
        </w:rPr>
        <w:t xml:space="preserve">) = </w:t>
      </w:r>
      <w:r w:rsidRPr="00C44692">
        <w:rPr>
          <w:rFonts w:ascii="Bookman Old Style" w:eastAsia="Times New Roman" w:hAnsi="Bookman Old Style" w:cs="Times New Roman"/>
          <w:color w:val="auto"/>
          <w:sz w:val="18"/>
          <w:szCs w:val="18"/>
          <w:highlight w:val="green"/>
          <w:lang w:bidi="ar-SA"/>
        </w:rPr>
        <w:tab/>
        <w:t>(</w:t>
      </w:r>
      <w:r w:rsidR="00EC1D27"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2)</w:t>
      </w:r>
    </w:p>
    <w:p w14:paraId="28B08C19" w14:textId="77777777" w:rsidR="007D58AC" w:rsidRPr="00C44692" w:rsidRDefault="007D58AC" w:rsidP="007D58AC">
      <w:pPr>
        <w:spacing w:after="200" w:line="240" w:lineRule="auto"/>
        <w:ind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w:t>
      </w:r>
    </w:p>
    <w:p w14:paraId="17FB5980" w14:textId="77777777" w:rsidR="007D58AC" w:rsidRPr="00C44692" w:rsidRDefault="007D58AC" w:rsidP="007D58AC">
      <w:pPr>
        <w:spacing w:after="200" w:line="240" w:lineRule="auto"/>
        <w:ind w:firstLine="709"/>
        <w:contextualSpacing/>
        <w:rPr>
          <w:rFonts w:ascii="Bookman Old Style" w:eastAsia="Times New Roman" w:hAnsi="Bookman Old Style" w:cs="Times New Roman"/>
          <w:color w:val="auto"/>
          <w:sz w:val="18"/>
          <w:szCs w:val="18"/>
          <w:highlight w:val="green"/>
          <w:lang w:bidi="ar-SA"/>
        </w:rPr>
      </w:pPr>
    </w:p>
    <w:p w14:paraId="20A542BE" w14:textId="77777777" w:rsidR="007D58AC" w:rsidRPr="00C44692" w:rsidRDefault="007D58AC" w:rsidP="007D58AC">
      <w:pPr>
        <w:spacing w:after="200" w:line="240" w:lineRule="auto"/>
        <w:ind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В исследовании ниже будут использованы треугольные нечеткие  числа. Треугольное нечеткое число записывается в виде A = (amin, aср, amax) и отвечает высказыванию: «элементы множества A приблизительно равны aср и однозначно находятся в диапазоне [amin, amax]». Аргументы amin, aср, amax являются значимыми точками нечеткого числа A. При описании экономической модели при помощи нечетких чисел значимые точки можно интерпретировать как пессимистический, наиболее возможный (средний или базовый) и оптимистический сценарии развития ситуации. </w:t>
      </w:r>
    </w:p>
    <w:p w14:paraId="7EFE322F" w14:textId="77777777" w:rsidR="007D58AC" w:rsidRPr="00C44692" w:rsidRDefault="007D58AC" w:rsidP="007D58AC">
      <w:pPr>
        <w:spacing w:after="200" w:line="240" w:lineRule="auto"/>
        <w:ind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Ниже рассмотрены методические аспекты применения метода нечеткой логики для целей прогнозирования интегрального показателя адаптивности. Основным преимуществом  данного подхода является возможность применить сценарный анализ и учесть все возможные исходы. </w:t>
      </w:r>
    </w:p>
    <w:p w14:paraId="78D839FE" w14:textId="77777777" w:rsidR="007D58AC" w:rsidRPr="00C44692" w:rsidRDefault="007D58AC" w:rsidP="007D58AC">
      <w:pPr>
        <w:spacing w:after="200" w:line="240" w:lineRule="auto"/>
        <w:ind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Формула расчета диапазона возможных интегральных показателей адаптивности при условии планирования 3-х сценариев - оптимистического, пессимистического и базового, может быть представлена следующим образом:</w:t>
      </w:r>
    </w:p>
    <w:p w14:paraId="1A35CE78" w14:textId="202DC057" w:rsidR="007D58AC" w:rsidRPr="00C44692" w:rsidRDefault="007D58AC" w:rsidP="007D58AC">
      <w:pPr>
        <w:spacing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[ИПА</w:t>
      </w:r>
      <w:r w:rsidRPr="00C44692">
        <w:rPr>
          <w:rFonts w:ascii="Bookman Old Style" w:eastAsia="Times New Roman" w:hAnsi="Bookman Old Style" w:cs="Times New Roman"/>
          <w:color w:val="auto"/>
          <w:sz w:val="18"/>
          <w:szCs w:val="18"/>
          <w:highlight w:val="green"/>
          <w:lang w:val="en-US" w:bidi="ar-SA"/>
        </w:rPr>
        <w:t>min</w:t>
      </w:r>
      <w:r w:rsidRPr="00C44692">
        <w:rPr>
          <w:rFonts w:ascii="Bookman Old Style" w:eastAsia="Times New Roman" w:hAnsi="Bookman Old Style" w:cs="Times New Roman"/>
          <w:color w:val="auto"/>
          <w:sz w:val="18"/>
          <w:szCs w:val="18"/>
          <w:highlight w:val="green"/>
          <w:lang w:bidi="ar-SA"/>
        </w:rPr>
        <w:t>, ИПАср, ИПА</w:t>
      </w:r>
      <w:r w:rsidRPr="00C44692">
        <w:rPr>
          <w:rFonts w:ascii="Bookman Old Style" w:eastAsia="Times New Roman" w:hAnsi="Bookman Old Style" w:cs="Times New Roman"/>
          <w:color w:val="auto"/>
          <w:sz w:val="18"/>
          <w:szCs w:val="18"/>
          <w:highlight w:val="green"/>
          <w:lang w:val="en-US" w:bidi="ar-SA"/>
        </w:rPr>
        <w:t>max</w:t>
      </w:r>
      <w:r w:rsidRPr="00C44692">
        <w:rPr>
          <w:rFonts w:ascii="Bookman Old Style" w:eastAsia="Times New Roman" w:hAnsi="Bookman Old Style" w:cs="Times New Roman"/>
          <w:color w:val="auto"/>
          <w:sz w:val="18"/>
          <w:szCs w:val="18"/>
          <w:highlight w:val="green"/>
          <w:lang w:bidi="ar-SA"/>
        </w:rPr>
        <w:t xml:space="preserve">] = [∑(1- </w:t>
      </w:r>
      <w:r w:rsidRPr="00C44692">
        <w:rPr>
          <w:rFonts w:ascii="Bookman Old Style" w:eastAsia="Times New Roman" w:hAnsi="Bookman Old Style" w:cs="Times New Roman"/>
          <w:color w:val="auto"/>
          <w:sz w:val="18"/>
          <w:szCs w:val="18"/>
          <w:highlight w:val="green"/>
          <w:lang w:val="en-US" w:bidi="ar-SA"/>
        </w:rPr>
        <w:t>Aij</w:t>
      </w:r>
      <w:r w:rsidRPr="00C44692">
        <w:rPr>
          <w:rFonts w:ascii="Bookman Old Style" w:eastAsia="Times New Roman" w:hAnsi="Bookman Old Style" w:cs="Times New Roman"/>
          <w:color w:val="auto"/>
          <w:sz w:val="18"/>
          <w:szCs w:val="18"/>
          <w:highlight w:val="green"/>
          <w:lang w:bidi="ar-SA"/>
        </w:rPr>
        <w:t xml:space="preserve"> опт/</w:t>
      </w:r>
      <w:r w:rsidRPr="00C44692">
        <w:rPr>
          <w:rFonts w:ascii="Bookman Old Style" w:eastAsia="Times New Roman" w:hAnsi="Bookman Old Style" w:cs="Times New Roman"/>
          <w:color w:val="auto"/>
          <w:sz w:val="18"/>
          <w:szCs w:val="18"/>
          <w:highlight w:val="green"/>
          <w:lang w:val="en-US" w:bidi="ar-SA"/>
        </w:rPr>
        <w:t>A</w:t>
      </w:r>
      <w:r w:rsidRPr="00C44692">
        <w:rPr>
          <w:rFonts w:ascii="Bookman Old Style" w:eastAsia="Times New Roman" w:hAnsi="Bookman Old Style" w:cs="Times New Roman"/>
          <w:color w:val="auto"/>
          <w:sz w:val="18"/>
          <w:szCs w:val="18"/>
          <w:highlight w:val="green"/>
          <w:lang w:bidi="ar-SA"/>
        </w:rPr>
        <w:t xml:space="preserve">эталон опт)²] </w:t>
      </w:r>
      <w:r w:rsidRPr="00C44692">
        <w:rPr>
          <w:rFonts w:ascii="Bookman Old Style" w:eastAsia="Times New Roman" w:hAnsi="Bookman Old Style" w:cs="Times New Roman"/>
          <w:color w:val="auto"/>
          <w:sz w:val="18"/>
          <w:szCs w:val="18"/>
          <w:highlight w:val="green"/>
          <w:vertAlign w:val="superscript"/>
          <w:lang w:bidi="ar-SA"/>
        </w:rPr>
        <w:t xml:space="preserve">0,5 </w:t>
      </w:r>
      <w:r w:rsidRPr="00C44692">
        <w:rPr>
          <w:rFonts w:ascii="Bookman Old Style" w:eastAsia="Times New Roman" w:hAnsi="Bookman Old Style" w:cs="Times New Roman"/>
          <w:color w:val="auto"/>
          <w:sz w:val="18"/>
          <w:szCs w:val="18"/>
          <w:highlight w:val="green"/>
          <w:lang w:bidi="ar-SA"/>
        </w:rPr>
        <w:t xml:space="preserve">, [∑(1- </w:t>
      </w:r>
      <w:r w:rsidRPr="00C44692">
        <w:rPr>
          <w:rFonts w:ascii="Bookman Old Style" w:eastAsia="Times New Roman" w:hAnsi="Bookman Old Style" w:cs="Times New Roman"/>
          <w:color w:val="auto"/>
          <w:sz w:val="18"/>
          <w:szCs w:val="18"/>
          <w:highlight w:val="green"/>
          <w:lang w:val="en-US" w:bidi="ar-SA"/>
        </w:rPr>
        <w:t>Aij</w:t>
      </w:r>
      <w:r w:rsidRPr="00C44692">
        <w:rPr>
          <w:rFonts w:ascii="Bookman Old Style" w:eastAsia="Times New Roman" w:hAnsi="Bookman Old Style" w:cs="Times New Roman"/>
          <w:color w:val="auto"/>
          <w:sz w:val="18"/>
          <w:szCs w:val="18"/>
          <w:highlight w:val="green"/>
          <w:lang w:bidi="ar-SA"/>
        </w:rPr>
        <w:t xml:space="preserve"> баз/</w:t>
      </w:r>
      <w:r w:rsidRPr="00C44692">
        <w:rPr>
          <w:rFonts w:ascii="Bookman Old Style" w:eastAsia="Times New Roman" w:hAnsi="Bookman Old Style" w:cs="Times New Roman"/>
          <w:color w:val="auto"/>
          <w:sz w:val="18"/>
          <w:szCs w:val="18"/>
          <w:highlight w:val="green"/>
          <w:lang w:val="en-US" w:bidi="ar-SA"/>
        </w:rPr>
        <w:t>A</w:t>
      </w:r>
      <w:r w:rsidRPr="00C44692">
        <w:rPr>
          <w:rFonts w:ascii="Bookman Old Style" w:eastAsia="Times New Roman" w:hAnsi="Bookman Old Style" w:cs="Times New Roman"/>
          <w:color w:val="auto"/>
          <w:sz w:val="18"/>
          <w:szCs w:val="18"/>
          <w:highlight w:val="green"/>
          <w:lang w:bidi="ar-SA"/>
        </w:rPr>
        <w:t xml:space="preserve">эталон баз)²] </w:t>
      </w:r>
      <w:r w:rsidRPr="00C44692">
        <w:rPr>
          <w:rFonts w:ascii="Bookman Old Style" w:eastAsia="Times New Roman" w:hAnsi="Bookman Old Style" w:cs="Times New Roman"/>
          <w:color w:val="auto"/>
          <w:sz w:val="18"/>
          <w:szCs w:val="18"/>
          <w:highlight w:val="green"/>
          <w:vertAlign w:val="superscript"/>
          <w:lang w:bidi="ar-SA"/>
        </w:rPr>
        <w:t>0,5</w:t>
      </w:r>
      <w:r w:rsidRPr="00C44692">
        <w:rPr>
          <w:rFonts w:ascii="Bookman Old Style" w:eastAsia="Times New Roman" w:hAnsi="Bookman Old Style" w:cs="Times New Roman"/>
          <w:color w:val="auto"/>
          <w:sz w:val="18"/>
          <w:szCs w:val="18"/>
          <w:highlight w:val="green"/>
          <w:lang w:bidi="ar-SA"/>
        </w:rPr>
        <w:t xml:space="preserve"> , [∑(1- </w:t>
      </w:r>
      <w:r w:rsidRPr="00C44692">
        <w:rPr>
          <w:rFonts w:ascii="Bookman Old Style" w:eastAsia="Times New Roman" w:hAnsi="Bookman Old Style" w:cs="Times New Roman"/>
          <w:color w:val="auto"/>
          <w:sz w:val="18"/>
          <w:szCs w:val="18"/>
          <w:highlight w:val="green"/>
          <w:lang w:val="en-US" w:bidi="ar-SA"/>
        </w:rPr>
        <w:t>Aij</w:t>
      </w:r>
      <w:r w:rsidRPr="00C44692">
        <w:rPr>
          <w:rFonts w:ascii="Bookman Old Style" w:eastAsia="Times New Roman" w:hAnsi="Bookman Old Style" w:cs="Times New Roman"/>
          <w:color w:val="auto"/>
          <w:sz w:val="18"/>
          <w:szCs w:val="18"/>
          <w:highlight w:val="green"/>
          <w:lang w:bidi="ar-SA"/>
        </w:rPr>
        <w:t xml:space="preserve"> пес/</w:t>
      </w:r>
      <w:r w:rsidRPr="00C44692">
        <w:rPr>
          <w:rFonts w:ascii="Bookman Old Style" w:eastAsia="Times New Roman" w:hAnsi="Bookman Old Style" w:cs="Times New Roman"/>
          <w:color w:val="auto"/>
          <w:sz w:val="18"/>
          <w:szCs w:val="18"/>
          <w:highlight w:val="green"/>
          <w:lang w:val="en-US" w:bidi="ar-SA"/>
        </w:rPr>
        <w:t>A</w:t>
      </w:r>
      <w:r w:rsidRPr="00C44692">
        <w:rPr>
          <w:rFonts w:ascii="Bookman Old Style" w:eastAsia="Times New Roman" w:hAnsi="Bookman Old Style" w:cs="Times New Roman"/>
          <w:color w:val="auto"/>
          <w:sz w:val="18"/>
          <w:szCs w:val="18"/>
          <w:highlight w:val="green"/>
          <w:lang w:bidi="ar-SA"/>
        </w:rPr>
        <w:t xml:space="preserve">эталон пес.)²] </w:t>
      </w:r>
      <w:r w:rsidRPr="00C44692">
        <w:rPr>
          <w:rFonts w:ascii="Bookman Old Style" w:eastAsia="Times New Roman" w:hAnsi="Bookman Old Style" w:cs="Times New Roman"/>
          <w:color w:val="auto"/>
          <w:sz w:val="18"/>
          <w:szCs w:val="18"/>
          <w:highlight w:val="green"/>
          <w:vertAlign w:val="superscript"/>
          <w:lang w:bidi="ar-SA"/>
        </w:rPr>
        <w:t>0,5</w:t>
      </w:r>
      <w:r w:rsidRPr="00C44692">
        <w:rPr>
          <w:rFonts w:ascii="Bookman Old Style" w:eastAsia="Times New Roman" w:hAnsi="Bookman Old Style" w:cs="Times New Roman"/>
          <w:color w:val="auto"/>
          <w:sz w:val="18"/>
          <w:szCs w:val="18"/>
          <w:highlight w:val="green"/>
          <w:lang w:bidi="ar-SA"/>
        </w:rPr>
        <w:t xml:space="preserve"> (</w:t>
      </w:r>
      <w:r w:rsidR="00EC1D27"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3)</w:t>
      </w:r>
    </w:p>
    <w:p w14:paraId="1D3E9B8D" w14:textId="77777777" w:rsidR="007D58AC" w:rsidRPr="00C44692" w:rsidRDefault="007D58AC" w:rsidP="007D58AC">
      <w:pPr>
        <w:spacing w:line="240" w:lineRule="auto"/>
        <w:ind w:firstLine="0"/>
        <w:contextualSpacing/>
        <w:rPr>
          <w:rFonts w:ascii="Bookman Old Style" w:eastAsia="Times New Roman" w:hAnsi="Bookman Old Style" w:cs="Times New Roman"/>
          <w:color w:val="auto"/>
          <w:sz w:val="18"/>
          <w:szCs w:val="18"/>
          <w:highlight w:val="green"/>
          <w:vertAlign w:val="superscript"/>
          <w:lang w:bidi="ar-SA"/>
        </w:rPr>
      </w:pPr>
    </w:p>
    <w:p w14:paraId="05E22E6B" w14:textId="77777777" w:rsidR="007D58AC" w:rsidRPr="00C44692" w:rsidRDefault="007D58AC" w:rsidP="007D58AC">
      <w:pPr>
        <w:spacing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где</w:t>
      </w:r>
    </w:p>
    <w:p w14:paraId="511B6934" w14:textId="77777777" w:rsidR="007D58AC" w:rsidRPr="00C44692" w:rsidRDefault="007D58AC" w:rsidP="007D58AC">
      <w:pPr>
        <w:spacing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Xij = Aij/Aэталон </w:t>
      </w:r>
    </w:p>
    <w:p w14:paraId="239FE1C9" w14:textId="77777777" w:rsidR="007D58AC" w:rsidRPr="00C44692" w:rsidRDefault="007D58AC" w:rsidP="007D58AC">
      <w:pPr>
        <w:spacing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Xij – стандартизированный коэффициент</w:t>
      </w:r>
    </w:p>
    <w:p w14:paraId="47A59317" w14:textId="77777777" w:rsidR="007D58AC" w:rsidRPr="00C44692" w:rsidRDefault="007D58AC" w:rsidP="007D58AC">
      <w:pPr>
        <w:spacing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Aij – прогнозное значение показателя</w:t>
      </w:r>
    </w:p>
    <w:p w14:paraId="3608C69A" w14:textId="77777777" w:rsidR="007D58AC" w:rsidRPr="00C44692" w:rsidRDefault="007D58AC" w:rsidP="007D58AC">
      <w:pPr>
        <w:spacing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Aэталон –  нормативное значение показателя (так называемый эталон для показателя соответствующего сценария). </w:t>
      </w:r>
    </w:p>
    <w:p w14:paraId="09B7D558"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ИПА </w:t>
      </w:r>
      <w:r w:rsidRPr="00C44692">
        <w:rPr>
          <w:rFonts w:ascii="Bookman Old Style" w:eastAsia="Times New Roman" w:hAnsi="Bookman Old Style" w:cs="Times New Roman"/>
          <w:color w:val="auto"/>
          <w:sz w:val="18"/>
          <w:szCs w:val="18"/>
          <w:highlight w:val="green"/>
          <w:lang w:val="en-US" w:bidi="ar-SA"/>
        </w:rPr>
        <w:t>n</w:t>
      </w:r>
      <w:r w:rsidRPr="00C44692">
        <w:rPr>
          <w:rFonts w:ascii="Bookman Old Style" w:eastAsia="Times New Roman" w:hAnsi="Bookman Old Style" w:cs="Times New Roman"/>
          <w:color w:val="auto"/>
          <w:sz w:val="18"/>
          <w:szCs w:val="18"/>
          <w:highlight w:val="green"/>
          <w:lang w:bidi="ar-SA"/>
        </w:rPr>
        <w:t xml:space="preserve">  - интегрированный показатель адаптивности , рассчитанный на базе базового , оптимистического и пессимистического сценариев. </w:t>
      </w:r>
    </w:p>
    <w:p w14:paraId="6C804AD0"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Сценарии представляют собой набор значений показателей , которые прогнозируются методом экспертных оценок (либо другим способом)  с учетом определенных условий внутренней и внешней среды. </w:t>
      </w:r>
    </w:p>
    <w:p w14:paraId="10C2F019"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Введем системы обозначений: </w:t>
      </w:r>
    </w:p>
    <w:p w14:paraId="21819D2A"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val="en-US" w:bidi="ar-SA"/>
        </w:rPr>
        <w:lastRenderedPageBreak/>
        <w:t>N</w:t>
      </w:r>
      <w:r w:rsidRPr="00C44692">
        <w:rPr>
          <w:rFonts w:ascii="Bookman Old Style" w:eastAsia="Times New Roman" w:hAnsi="Bookman Old Style" w:cs="Times New Roman"/>
          <w:color w:val="auto"/>
          <w:sz w:val="18"/>
          <w:szCs w:val="18"/>
          <w:highlight w:val="green"/>
          <w:lang w:bidi="ar-SA"/>
        </w:rPr>
        <w:t xml:space="preserve">1 =ИПА </w:t>
      </w:r>
      <w:r w:rsidRPr="00C44692">
        <w:rPr>
          <w:rFonts w:ascii="Bookman Old Style" w:eastAsia="Times New Roman" w:hAnsi="Bookman Old Style" w:cs="Times New Roman"/>
          <w:color w:val="auto"/>
          <w:sz w:val="18"/>
          <w:szCs w:val="18"/>
          <w:highlight w:val="green"/>
          <w:lang w:val="en-US" w:bidi="ar-SA"/>
        </w:rPr>
        <w:t>min</w:t>
      </w:r>
      <w:r w:rsidRPr="00C44692">
        <w:rPr>
          <w:rFonts w:ascii="Bookman Old Style" w:eastAsia="Times New Roman" w:hAnsi="Bookman Old Style" w:cs="Times New Roman"/>
          <w:color w:val="auto"/>
          <w:sz w:val="18"/>
          <w:szCs w:val="18"/>
          <w:highlight w:val="green"/>
          <w:lang w:bidi="ar-SA"/>
        </w:rPr>
        <w:t>, нижняя граница интервала нечеткого числа ИПА, которая рассчитана на основе  прогнозных значений выбранных показателей в рамках оптимистического сценария;</w:t>
      </w:r>
    </w:p>
    <w:p w14:paraId="047722F0"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val="en-US" w:bidi="ar-SA"/>
        </w:rPr>
        <w:t>N</w:t>
      </w:r>
      <w:r w:rsidRPr="00C44692">
        <w:rPr>
          <w:rFonts w:ascii="Bookman Old Style" w:eastAsia="Times New Roman" w:hAnsi="Bookman Old Style" w:cs="Times New Roman"/>
          <w:color w:val="auto"/>
          <w:sz w:val="18"/>
          <w:szCs w:val="18"/>
          <w:highlight w:val="green"/>
          <w:lang w:bidi="ar-SA"/>
        </w:rPr>
        <w:t xml:space="preserve"> =ИПА ср, среднее значение ИПА, рассчитанное на основе  прогнозных значений показателей, выбранных в рамках базового сценария; </w:t>
      </w:r>
    </w:p>
    <w:p w14:paraId="6983FA05"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val="en-US" w:bidi="ar-SA"/>
        </w:rPr>
        <w:t>N</w:t>
      </w:r>
      <w:r w:rsidRPr="00C44692">
        <w:rPr>
          <w:rFonts w:ascii="Bookman Old Style" w:eastAsia="Times New Roman" w:hAnsi="Bookman Old Style" w:cs="Times New Roman"/>
          <w:color w:val="auto"/>
          <w:sz w:val="18"/>
          <w:szCs w:val="18"/>
          <w:highlight w:val="green"/>
          <w:lang w:bidi="ar-SA"/>
        </w:rPr>
        <w:t xml:space="preserve">2 =ИПА </w:t>
      </w:r>
      <w:r w:rsidRPr="00C44692">
        <w:rPr>
          <w:rFonts w:ascii="Bookman Old Style" w:eastAsia="Times New Roman" w:hAnsi="Bookman Old Style" w:cs="Times New Roman"/>
          <w:color w:val="auto"/>
          <w:sz w:val="18"/>
          <w:szCs w:val="18"/>
          <w:highlight w:val="green"/>
          <w:lang w:val="es-ES" w:bidi="ar-SA"/>
        </w:rPr>
        <w:t>max</w:t>
      </w:r>
      <w:r w:rsidRPr="00C44692">
        <w:rPr>
          <w:rFonts w:ascii="Bookman Old Style" w:eastAsia="Times New Roman" w:hAnsi="Bookman Old Style" w:cs="Times New Roman"/>
          <w:color w:val="auto"/>
          <w:sz w:val="18"/>
          <w:szCs w:val="18"/>
          <w:highlight w:val="green"/>
          <w:lang w:bidi="ar-SA"/>
        </w:rPr>
        <w:t xml:space="preserve">— верхняя граница интервала нечеткого числа ИПА, рассчитанное на основе  прогнозных значений показателей пессимистического сценария; </w:t>
      </w:r>
    </w:p>
    <w:p w14:paraId="071B91CC"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val="en-US" w:bidi="ar-SA"/>
        </w:rPr>
        <w:t>W</w:t>
      </w:r>
      <w:r w:rsidRPr="00C44692">
        <w:rPr>
          <w:rFonts w:ascii="Bookman Old Style" w:eastAsia="Times New Roman" w:hAnsi="Bookman Old Style" w:cs="Times New Roman"/>
          <w:color w:val="auto"/>
          <w:sz w:val="18"/>
          <w:szCs w:val="18"/>
          <w:highlight w:val="green"/>
          <w:lang w:bidi="ar-SA"/>
        </w:rPr>
        <w:t xml:space="preserve"> —  значение интегрального показателя адаптивности, полученное на основе фактических данных.</w:t>
      </w:r>
    </w:p>
    <w:p w14:paraId="47B4FBE0"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Для интерпретации полученных значений можно использовать следующие интервалы, в которые могут попадать значения</w:t>
      </w:r>
      <w:r w:rsidRPr="00C44692">
        <w:rPr>
          <w:rFonts w:ascii="Bookman Old Style" w:eastAsia="Times New Roman" w:hAnsi="Bookman Old Style" w:cs="Times New Roman"/>
          <w:color w:val="auto"/>
          <w:sz w:val="18"/>
          <w:szCs w:val="18"/>
          <w:highlight w:val="green"/>
          <w:vertAlign w:val="superscript"/>
          <w:lang w:eastAsia="en-US" w:bidi="ar-SA"/>
        </w:rPr>
        <w:footnoteReference w:id="212"/>
      </w:r>
      <w:r w:rsidRPr="00C44692">
        <w:rPr>
          <w:rFonts w:ascii="Bookman Old Style" w:eastAsia="Times New Roman" w:hAnsi="Bookman Old Style" w:cs="Times New Roman"/>
          <w:color w:val="auto"/>
          <w:sz w:val="18"/>
          <w:szCs w:val="18"/>
          <w:highlight w:val="green"/>
          <w:lang w:bidi="ar-SA"/>
        </w:rPr>
        <w:t>:</w:t>
      </w:r>
    </w:p>
    <w:p w14:paraId="052FA622"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0≤</w:t>
      </w:r>
      <w:r w:rsidRPr="00C44692">
        <w:rPr>
          <w:rFonts w:ascii="Bookman Old Style" w:eastAsia="Times New Roman" w:hAnsi="Bookman Old Style" w:cs="Times New Roman"/>
          <w:color w:val="auto"/>
          <w:sz w:val="18"/>
          <w:szCs w:val="18"/>
          <w:highlight w:val="green"/>
          <w:lang w:val="es-ES" w:bidi="ar-SA"/>
        </w:rPr>
        <w:t>W</w:t>
      </w:r>
      <w:r w:rsidRPr="00C44692">
        <w:rPr>
          <w:rFonts w:ascii="Bookman Old Style" w:eastAsia="Times New Roman" w:hAnsi="Bookman Old Style" w:cs="Times New Roman"/>
          <w:color w:val="auto"/>
          <w:sz w:val="18"/>
          <w:szCs w:val="18"/>
          <w:highlight w:val="green"/>
          <w:lang w:bidi="ar-SA"/>
        </w:rPr>
        <w:t xml:space="preserve"> &lt; 0,5 –высокая адаптивность</w:t>
      </w:r>
    </w:p>
    <w:p w14:paraId="10050D18"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0,5≤</w:t>
      </w:r>
      <w:r w:rsidRPr="00C44692">
        <w:rPr>
          <w:rFonts w:ascii="Bookman Old Style" w:eastAsia="Times New Roman" w:hAnsi="Bookman Old Style" w:cs="Times New Roman"/>
          <w:color w:val="auto"/>
          <w:sz w:val="18"/>
          <w:szCs w:val="18"/>
          <w:highlight w:val="green"/>
          <w:lang w:val="es-ES" w:bidi="ar-SA"/>
        </w:rPr>
        <w:t>W</w:t>
      </w:r>
      <w:r w:rsidRPr="00C44692">
        <w:rPr>
          <w:rFonts w:ascii="Bookman Old Style" w:eastAsia="Times New Roman" w:hAnsi="Bookman Old Style" w:cs="Times New Roman"/>
          <w:color w:val="auto"/>
          <w:sz w:val="18"/>
          <w:szCs w:val="18"/>
          <w:highlight w:val="green"/>
          <w:lang w:bidi="ar-SA"/>
        </w:rPr>
        <w:t xml:space="preserve"> ≤ 1средняя адаптивность</w:t>
      </w:r>
    </w:p>
    <w:p w14:paraId="2CD401AD"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val="es-ES" w:bidi="ar-SA"/>
        </w:rPr>
        <w:t>W</w:t>
      </w:r>
      <w:r w:rsidRPr="00C44692">
        <w:rPr>
          <w:rFonts w:ascii="Bookman Old Style" w:eastAsia="Times New Roman" w:hAnsi="Bookman Old Style" w:cs="Times New Roman"/>
          <w:color w:val="auto"/>
          <w:sz w:val="18"/>
          <w:szCs w:val="18"/>
          <w:highlight w:val="green"/>
          <w:lang w:bidi="ar-SA"/>
        </w:rPr>
        <w:t>&gt; 1 – низкая адаптивность</w:t>
      </w:r>
    </w:p>
    <w:p w14:paraId="5C5106EA" w14:textId="77777777" w:rsidR="007D58AC" w:rsidRPr="00C44692" w:rsidRDefault="007D58AC" w:rsidP="007D58AC">
      <w:pPr>
        <w:spacing w:after="200" w:line="276"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Таким образом, чем ближе значение интегрального показателя адаптивности к нулю, тем выше адаптивность. </w:t>
      </w:r>
      <w:r w:rsidRPr="00C44692">
        <w:rPr>
          <w:rFonts w:ascii="Bookman Old Style" w:eastAsia="Times New Roman" w:hAnsi="Bookman Old Style" w:cs="Times New Roman"/>
          <w:color w:val="auto"/>
          <w:sz w:val="18"/>
          <w:szCs w:val="18"/>
          <w:highlight w:val="green"/>
          <w:lang w:bidi="ar-SA"/>
        </w:rPr>
        <w:br w:type="page"/>
      </w:r>
    </w:p>
    <w:p w14:paraId="2B831A46" w14:textId="10D3746C" w:rsidR="007D58AC" w:rsidRPr="00C44692" w:rsidRDefault="00677738"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noProof/>
          <w:color w:val="auto"/>
          <w:sz w:val="18"/>
          <w:szCs w:val="18"/>
          <w:highlight w:val="green"/>
          <w:lang w:bidi="ar-SA"/>
        </w:rPr>
        <w:lastRenderedPageBreak/>
        <mc:AlternateContent>
          <mc:Choice Requires="wpg">
            <w:drawing>
              <wp:anchor distT="0" distB="0" distL="114300" distR="114300" simplePos="0" relativeHeight="377489214" behindDoc="0" locked="0" layoutInCell="1" allowOverlap="1" wp14:anchorId="423ECEED" wp14:editId="4BB66D00">
                <wp:simplePos x="0" y="0"/>
                <wp:positionH relativeFrom="column">
                  <wp:posOffset>-307975</wp:posOffset>
                </wp:positionH>
                <wp:positionV relativeFrom="paragraph">
                  <wp:posOffset>2540</wp:posOffset>
                </wp:positionV>
                <wp:extent cx="4029075" cy="2962275"/>
                <wp:effectExtent l="0" t="0" r="28575" b="28575"/>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962275"/>
                          <a:chOff x="165" y="5173"/>
                          <a:chExt cx="8940" cy="5670"/>
                        </a:xfrm>
                      </wpg:grpSpPr>
                      <wps:wsp>
                        <wps:cNvPr id="239" name="AutoShape 23"/>
                        <wps:cNvCnPr>
                          <a:cxnSpLocks noChangeShapeType="1"/>
                        </wps:cNvCnPr>
                        <wps:spPr bwMode="auto">
                          <a:xfrm flipH="1" flipV="1">
                            <a:off x="2250" y="5323"/>
                            <a:ext cx="60" cy="1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24"/>
                        <wps:cNvCnPr>
                          <a:cxnSpLocks noChangeShapeType="1"/>
                        </wps:cNvCnPr>
                        <wps:spPr bwMode="auto">
                          <a:xfrm>
                            <a:off x="2310" y="7199"/>
                            <a:ext cx="2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25"/>
                        <wps:cNvCnPr>
                          <a:cxnSpLocks noChangeShapeType="1"/>
                        </wps:cNvCnPr>
                        <wps:spPr bwMode="auto">
                          <a:xfrm flipH="1">
                            <a:off x="2685" y="5623"/>
                            <a:ext cx="735" cy="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6"/>
                        <wps:cNvCnPr>
                          <a:cxnSpLocks noChangeShapeType="1"/>
                        </wps:cNvCnPr>
                        <wps:spPr bwMode="auto">
                          <a:xfrm>
                            <a:off x="3420" y="5623"/>
                            <a:ext cx="765" cy="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7"/>
                        <wps:cNvCnPr>
                          <a:cxnSpLocks noChangeShapeType="1"/>
                        </wps:cNvCnPr>
                        <wps:spPr bwMode="auto">
                          <a:xfrm>
                            <a:off x="3420" y="5623"/>
                            <a:ext cx="0" cy="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28"/>
                        <wps:cNvSpPr>
                          <a:spLocks/>
                        </wps:cNvSpPr>
                        <wps:spPr bwMode="auto">
                          <a:xfrm>
                            <a:off x="165" y="7645"/>
                            <a:ext cx="2220" cy="2130"/>
                          </a:xfrm>
                          <a:prstGeom prst="borderCallout1">
                            <a:avLst>
                              <a:gd name="adj1" fmla="val 8449"/>
                              <a:gd name="adj2" fmla="val 105407"/>
                              <a:gd name="adj3" fmla="val -20986"/>
                              <a:gd name="adj4" fmla="val 113514"/>
                            </a:avLst>
                          </a:prstGeom>
                          <a:solidFill>
                            <a:srgbClr val="FFFFFF"/>
                          </a:solidFill>
                          <a:ln w="9525">
                            <a:solidFill>
                              <a:srgbClr val="000000"/>
                            </a:solidFill>
                            <a:miter lim="800000"/>
                            <a:headEnd/>
                            <a:tailEnd/>
                          </a:ln>
                        </wps:spPr>
                        <wps:txbx>
                          <w:txbxContent>
                            <w:p w14:paraId="575431CC" w14:textId="77777777" w:rsidR="007D58AC" w:rsidRPr="00677738" w:rsidRDefault="007D58AC" w:rsidP="007D58AC">
                              <w:pPr>
                                <w:rPr>
                                  <w:rFonts w:ascii="Arial Narrow" w:hAnsi="Arial Narrow"/>
                                  <w:sz w:val="16"/>
                                  <w:szCs w:val="16"/>
                                </w:rPr>
                              </w:pPr>
                              <w:r w:rsidRPr="00677738">
                                <w:rPr>
                                  <w:rFonts w:ascii="Arial Narrow" w:hAnsi="Arial Narrow"/>
                                  <w:sz w:val="16"/>
                                  <w:szCs w:val="16"/>
                                  <w:lang w:val="es-ES"/>
                                </w:rPr>
                                <w:t>N</w:t>
                              </w:r>
                              <w:r w:rsidRPr="00677738">
                                <w:rPr>
                                  <w:rFonts w:ascii="Arial Narrow" w:hAnsi="Arial Narrow"/>
                                  <w:sz w:val="16"/>
                                  <w:szCs w:val="16"/>
                                </w:rPr>
                                <w:t xml:space="preserve">1 (значение  интегрального показателя адаптивности при оптимистическом сценарии) </w:t>
                              </w:r>
                            </w:p>
                          </w:txbxContent>
                        </wps:txbx>
                        <wps:bodyPr rot="0" vert="horz" wrap="square" lIns="91440" tIns="45720" rIns="91440" bIns="45720" anchor="t" anchorCtr="0" upright="1">
                          <a:noAutofit/>
                        </wps:bodyPr>
                      </wps:wsp>
                      <wps:wsp>
                        <wps:cNvPr id="245" name="AutoShape 29"/>
                        <wps:cNvSpPr>
                          <a:spLocks/>
                        </wps:cNvSpPr>
                        <wps:spPr bwMode="auto">
                          <a:xfrm>
                            <a:off x="5775" y="7408"/>
                            <a:ext cx="3330" cy="1455"/>
                          </a:xfrm>
                          <a:prstGeom prst="borderCallout2">
                            <a:avLst>
                              <a:gd name="adj1" fmla="val 12370"/>
                              <a:gd name="adj2" fmla="val -3602"/>
                              <a:gd name="adj3" fmla="val 12370"/>
                              <a:gd name="adj4" fmla="val -24176"/>
                              <a:gd name="adj5" fmla="val -14435"/>
                              <a:gd name="adj6" fmla="val -45046"/>
                            </a:avLst>
                          </a:prstGeom>
                          <a:solidFill>
                            <a:srgbClr val="FFFFFF"/>
                          </a:solidFill>
                          <a:ln w="9525">
                            <a:solidFill>
                              <a:srgbClr val="000000"/>
                            </a:solidFill>
                            <a:miter lim="800000"/>
                            <a:headEnd/>
                            <a:tailEnd/>
                          </a:ln>
                        </wps:spPr>
                        <wps:txbx>
                          <w:txbxContent>
                            <w:p w14:paraId="54073A72" w14:textId="77777777" w:rsidR="007D58AC" w:rsidRPr="00677738" w:rsidRDefault="007D58AC" w:rsidP="007D58AC">
                              <w:pPr>
                                <w:rPr>
                                  <w:rFonts w:ascii="Arial Narrow" w:hAnsi="Arial Narrow"/>
                                  <w:sz w:val="16"/>
                                  <w:szCs w:val="16"/>
                                </w:rPr>
                              </w:pPr>
                              <w:r w:rsidRPr="00677738">
                                <w:rPr>
                                  <w:rFonts w:ascii="Arial Narrow" w:hAnsi="Arial Narrow"/>
                                  <w:sz w:val="16"/>
                                  <w:szCs w:val="16"/>
                                  <w:lang w:val="en-US"/>
                                </w:rPr>
                                <w:t>N</w:t>
                              </w:r>
                              <w:r w:rsidRPr="00677738">
                                <w:rPr>
                                  <w:rFonts w:ascii="Arial Narrow" w:hAnsi="Arial Narrow"/>
                                  <w:sz w:val="16"/>
                                  <w:szCs w:val="16"/>
                                </w:rPr>
                                <w:t xml:space="preserve">2  (значение  интегрального показателя адаптивности при  пессимистическом  сценарии) </w:t>
                              </w:r>
                            </w:p>
                            <w:p w14:paraId="345A115D" w14:textId="77777777" w:rsidR="007D58AC" w:rsidRPr="00677738" w:rsidRDefault="007D58AC" w:rsidP="007D58AC">
                              <w:pPr>
                                <w:rPr>
                                  <w:rFonts w:ascii="Arial Narrow" w:hAnsi="Arial Narrow"/>
                                  <w:sz w:val="16"/>
                                  <w:szCs w:val="16"/>
                                </w:rPr>
                              </w:pPr>
                            </w:p>
                          </w:txbxContent>
                        </wps:txbx>
                        <wps:bodyPr rot="0" vert="horz" wrap="square" lIns="91440" tIns="45720" rIns="91440" bIns="45720" anchor="t" anchorCtr="0" upright="1">
                          <a:noAutofit/>
                        </wps:bodyPr>
                      </wps:wsp>
                      <wps:wsp>
                        <wps:cNvPr id="246" name="AutoShape 30"/>
                        <wps:cNvSpPr>
                          <a:spLocks/>
                        </wps:cNvSpPr>
                        <wps:spPr bwMode="auto">
                          <a:xfrm>
                            <a:off x="3540" y="8323"/>
                            <a:ext cx="1800" cy="2520"/>
                          </a:xfrm>
                          <a:prstGeom prst="borderCallout1">
                            <a:avLst>
                              <a:gd name="adj1" fmla="val 7144"/>
                              <a:gd name="adj2" fmla="val -6667"/>
                              <a:gd name="adj3" fmla="val -38690"/>
                              <a:gd name="adj4" fmla="val -6667"/>
                            </a:avLst>
                          </a:prstGeom>
                          <a:solidFill>
                            <a:srgbClr val="FFFFFF"/>
                          </a:solidFill>
                          <a:ln w="9525">
                            <a:solidFill>
                              <a:srgbClr val="000000"/>
                            </a:solidFill>
                            <a:miter lim="800000"/>
                            <a:headEnd/>
                            <a:tailEnd/>
                          </a:ln>
                        </wps:spPr>
                        <wps:txbx>
                          <w:txbxContent>
                            <w:p w14:paraId="7E58F07A" w14:textId="77777777" w:rsidR="007D58AC" w:rsidRPr="00677738" w:rsidRDefault="007D58AC" w:rsidP="007D58AC">
                              <w:pPr>
                                <w:rPr>
                                  <w:rFonts w:ascii="Arial Narrow" w:hAnsi="Arial Narrow"/>
                                  <w:sz w:val="16"/>
                                  <w:szCs w:val="16"/>
                                </w:rPr>
                              </w:pPr>
                              <w:r w:rsidRPr="00677738">
                                <w:rPr>
                                  <w:rFonts w:ascii="Arial Narrow" w:hAnsi="Arial Narrow"/>
                                  <w:sz w:val="16"/>
                                  <w:szCs w:val="16"/>
                                  <w:lang w:val="en-US"/>
                                </w:rPr>
                                <w:t>N</w:t>
                              </w:r>
                              <w:r w:rsidRPr="00677738">
                                <w:rPr>
                                  <w:rFonts w:ascii="Arial Narrow" w:hAnsi="Arial Narrow"/>
                                  <w:sz w:val="16"/>
                                  <w:szCs w:val="16"/>
                                </w:rPr>
                                <w:t xml:space="preserve"> – (значение  интегрального показателя адаптивности при базовом  сценарии) </w:t>
                              </w:r>
                            </w:p>
                            <w:p w14:paraId="350E7467" w14:textId="77777777" w:rsidR="007D58AC" w:rsidRPr="00677738" w:rsidRDefault="007D58AC" w:rsidP="007D58AC">
                              <w:pPr>
                                <w:rPr>
                                  <w:rFonts w:ascii="Arial Narrow" w:hAnsi="Arial Narrow"/>
                                  <w:sz w:val="16"/>
                                  <w:szCs w:val="16"/>
                                </w:rPr>
                              </w:pPr>
                            </w:p>
                          </w:txbxContent>
                        </wps:txbx>
                        <wps:bodyPr rot="0" vert="horz" wrap="square" lIns="91440" tIns="45720" rIns="91440" bIns="45720" anchor="t" anchorCtr="0" upright="1">
                          <a:noAutofit/>
                        </wps:bodyPr>
                      </wps:wsp>
                      <wps:wsp>
                        <wps:cNvPr id="247" name="AutoShape 31"/>
                        <wps:cNvCnPr>
                          <a:cxnSpLocks noChangeShapeType="1"/>
                        </wps:cNvCnPr>
                        <wps:spPr bwMode="auto">
                          <a:xfrm>
                            <a:off x="2310" y="5623"/>
                            <a:ext cx="29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32"/>
                        <wps:cNvSpPr txBox="1">
                          <a:spLocks noChangeArrowheads="1"/>
                        </wps:cNvSpPr>
                        <wps:spPr bwMode="auto">
                          <a:xfrm>
                            <a:off x="2310" y="5173"/>
                            <a:ext cx="465"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46578" w14:textId="77777777" w:rsidR="007D58AC" w:rsidRPr="00677738" w:rsidRDefault="007D58AC" w:rsidP="007D58AC">
                              <w:pPr>
                                <w:rPr>
                                  <w:rFonts w:ascii="Arial Narrow" w:hAnsi="Arial Narrow"/>
                                  <w:sz w:val="16"/>
                                  <w:szCs w:val="16"/>
                                </w:rPr>
                              </w:pPr>
                              <w:r w:rsidRPr="00677738">
                                <w:rPr>
                                  <w:rFonts w:ascii="Arial Narrow" w:hAnsi="Arial Narrow"/>
                                  <w:sz w:val="16"/>
                                  <w:szCs w:val="16"/>
                                </w:rPr>
                                <w:t>1</w:t>
                              </w:r>
                            </w:p>
                          </w:txbxContent>
                        </wps:txbx>
                        <wps:bodyPr rot="0" vert="horz" wrap="square" lIns="91440" tIns="45720" rIns="91440" bIns="45720" anchor="t" anchorCtr="0" upright="1">
                          <a:noAutofit/>
                        </wps:bodyPr>
                      </wps:wsp>
                      <wps:wsp>
                        <wps:cNvPr id="249" name="Text Box 33"/>
                        <wps:cNvSpPr txBox="1">
                          <a:spLocks noChangeArrowheads="1"/>
                        </wps:cNvSpPr>
                        <wps:spPr bwMode="auto">
                          <a:xfrm>
                            <a:off x="1724" y="5273"/>
                            <a:ext cx="465"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55C1A" w14:textId="77777777" w:rsidR="007D58AC" w:rsidRPr="00677738" w:rsidRDefault="007D58AC" w:rsidP="007D58AC">
                              <w:pPr>
                                <w:rPr>
                                  <w:rFonts w:ascii="Arial Narrow" w:hAnsi="Arial Narrow"/>
                                  <w:sz w:val="16"/>
                                  <w:szCs w:val="16"/>
                                </w:rPr>
                              </w:pPr>
                              <w:r w:rsidRPr="00677738">
                                <w:rPr>
                                  <w:rFonts w:ascii="Arial Narrow" w:hAnsi="Arial Narrow"/>
                                  <w:sz w:val="16"/>
                                  <w:szCs w:val="16"/>
                                </w:rPr>
                                <w:t>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ECEED" id="Группа 238" o:spid="_x0000_s1066" style="position:absolute;left:0;text-align:left;margin-left:-24.25pt;margin-top:.2pt;width:317.25pt;height:233.25pt;z-index:377489214" coordorigin="165,5173" coordsize="8940,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">
                <v:shapetype id="_x0000_t32" coordsize="21600,21600" o:spt="32" o:oned="t" path="m,l21600,21600e" filled="f">
                  <v:path arrowok="t" fillok="f" o:connecttype="none"/>
                  <o:lock v:ext="edit" shapetype="t"/>
                </v:shapetype>
                <v:shape id="AutoShape 23" o:spid="_x0000_s1067" type="#_x0000_t32" style="position:absolute;left:2250;top:5323;width:60;height:18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">
                  <v:stroke endarrow="block"/>
                </v:shape>
                <v:shape id="AutoShape 24" o:spid="_x0000_s1068" type="#_x0000_t32" style="position:absolute;left:2310;top:7199;width:2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shape id="AutoShape 25" o:spid="_x0000_s1069" type="#_x0000_t32" style="position:absolute;left:2685;top:5623;width:735;height:15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PxAAAANwAAAAPAAAAZHJzL2Rvd25yZXYueG1sRI9Bi8Iw&#10;FITvC/6H8AQvy5pWFp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AiKf4/EAAAA3AAAAA8A&#10;AAAAAAAAAAAAAAAABwIAAGRycy9kb3ducmV2LnhtbFBLBQYAAAAAAwADALcAAAD4AgAAAAA=&#10;"/>
                <v:shape id="AutoShape 26" o:spid="_x0000_s1070" type="#_x0000_t32" style="position:absolute;left:3420;top:5623;width:765;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"/>
                <v:shape id="AutoShape 27" o:spid="_x0000_s1071" type="#_x0000_t32" style="position:absolute;left:3420;top:5623;width:0;height:1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8" o:spid="_x0000_s1072" type="#_x0000_t47" style="position:absolute;left:165;top:7645;width:222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" adj="24519,-4533,22768,1825">
                  <v:textbox>
                    <w:txbxContent>
                      <w:p w14:paraId="575431CC" w14:textId="77777777" w:rsidR="007D58AC" w:rsidRPr="00677738" w:rsidRDefault="007D58AC" w:rsidP="007D58AC">
                        <w:pPr>
                          <w:rPr>
                            <w:rFonts w:ascii="Arial Narrow" w:hAnsi="Arial Narrow"/>
                            <w:sz w:val="16"/>
                            <w:szCs w:val="16"/>
                          </w:rPr>
                        </w:pPr>
                        <w:r w:rsidRPr="00677738">
                          <w:rPr>
                            <w:rFonts w:ascii="Arial Narrow" w:hAnsi="Arial Narrow"/>
                            <w:sz w:val="16"/>
                            <w:szCs w:val="16"/>
                            <w:lang w:val="es-ES"/>
                          </w:rPr>
                          <w:t>N</w:t>
                        </w:r>
                        <w:r w:rsidRPr="00677738">
                          <w:rPr>
                            <w:rFonts w:ascii="Arial Narrow" w:hAnsi="Arial Narrow"/>
                            <w:sz w:val="16"/>
                            <w:szCs w:val="16"/>
                          </w:rPr>
                          <w:t xml:space="preserve">1 (значение  интегрального показателя адаптивности при оптимистическом сценарии) </w:t>
                        </w:r>
                      </w:p>
                    </w:txbxContent>
                  </v:textbox>
                  <o:callout v:ext="edit" minusx="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9" o:spid="_x0000_s1073" type="#_x0000_t48" style="position:absolute;left:5775;top:7408;width:333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" adj="-9730,-3118,-5222,2672,-778,2672">
                  <v:textbox>
                    <w:txbxContent>
                      <w:p w14:paraId="54073A72" w14:textId="77777777" w:rsidR="007D58AC" w:rsidRPr="00677738" w:rsidRDefault="007D58AC" w:rsidP="007D58AC">
                        <w:pPr>
                          <w:rPr>
                            <w:rFonts w:ascii="Arial Narrow" w:hAnsi="Arial Narrow"/>
                            <w:sz w:val="16"/>
                            <w:szCs w:val="16"/>
                          </w:rPr>
                        </w:pPr>
                        <w:r w:rsidRPr="00677738">
                          <w:rPr>
                            <w:rFonts w:ascii="Arial Narrow" w:hAnsi="Arial Narrow"/>
                            <w:sz w:val="16"/>
                            <w:szCs w:val="16"/>
                            <w:lang w:val="en-US"/>
                          </w:rPr>
                          <w:t>N</w:t>
                        </w:r>
                        <w:r w:rsidRPr="00677738">
                          <w:rPr>
                            <w:rFonts w:ascii="Arial Narrow" w:hAnsi="Arial Narrow"/>
                            <w:sz w:val="16"/>
                            <w:szCs w:val="16"/>
                          </w:rPr>
                          <w:t xml:space="preserve">2  (значение  интегрального показателя адаптивности при  пессимистическом  сценарии) </w:t>
                        </w:r>
                      </w:p>
                      <w:p w14:paraId="345A115D" w14:textId="77777777" w:rsidR="007D58AC" w:rsidRPr="00677738" w:rsidRDefault="007D58AC" w:rsidP="007D58AC">
                        <w:pPr>
                          <w:rPr>
                            <w:rFonts w:ascii="Arial Narrow" w:hAnsi="Arial Narrow"/>
                            <w:sz w:val="16"/>
                            <w:szCs w:val="16"/>
                          </w:rPr>
                        </w:pPr>
                      </w:p>
                    </w:txbxContent>
                  </v:textbox>
                </v:shape>
                <v:shape id="AutoShape 30" o:spid="_x0000_s1074" type="#_x0000_t47" style="position:absolute;left:3540;top:8323;width:18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" adj="-1440,-8357,-1440,1543">
                  <v:textbox>
                    <w:txbxContent>
                      <w:p w14:paraId="7E58F07A" w14:textId="77777777" w:rsidR="007D58AC" w:rsidRPr="00677738" w:rsidRDefault="007D58AC" w:rsidP="007D58AC">
                        <w:pPr>
                          <w:rPr>
                            <w:rFonts w:ascii="Arial Narrow" w:hAnsi="Arial Narrow"/>
                            <w:sz w:val="16"/>
                            <w:szCs w:val="16"/>
                          </w:rPr>
                        </w:pPr>
                        <w:r w:rsidRPr="00677738">
                          <w:rPr>
                            <w:rFonts w:ascii="Arial Narrow" w:hAnsi="Arial Narrow"/>
                            <w:sz w:val="16"/>
                            <w:szCs w:val="16"/>
                            <w:lang w:val="en-US"/>
                          </w:rPr>
                          <w:t>N</w:t>
                        </w:r>
                        <w:r w:rsidRPr="00677738">
                          <w:rPr>
                            <w:rFonts w:ascii="Arial Narrow" w:hAnsi="Arial Narrow"/>
                            <w:sz w:val="16"/>
                            <w:szCs w:val="16"/>
                          </w:rPr>
                          <w:t xml:space="preserve"> – (значение  интегрального показателя адаптивности при базовом  сценарии) </w:t>
                        </w:r>
                      </w:p>
                      <w:p w14:paraId="350E7467" w14:textId="77777777" w:rsidR="007D58AC" w:rsidRPr="00677738" w:rsidRDefault="007D58AC" w:rsidP="007D58AC">
                        <w:pPr>
                          <w:rPr>
                            <w:rFonts w:ascii="Arial Narrow" w:hAnsi="Arial Narrow"/>
                            <w:sz w:val="16"/>
                            <w:szCs w:val="16"/>
                          </w:rPr>
                        </w:pPr>
                      </w:p>
                    </w:txbxContent>
                  </v:textbox>
                </v:shape>
                <v:shape id="AutoShape 31" o:spid="_x0000_s1075" type="#_x0000_t32" style="position:absolute;left:2310;top:5623;width:29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IL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GM7CC8YAAADcAAAA&#10;DwAAAAAAAAAAAAAAAAAHAgAAZHJzL2Rvd25yZXYueG1sUEsFBgAAAAADAAMAtwAAAPoCAAAAAA==&#10;"/>
                <v:shape id="_x0000_s1076" type="#_x0000_t202" style="position:absolute;left:2310;top:5173;width:46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06946578" w14:textId="77777777" w:rsidR="007D58AC" w:rsidRPr="00677738" w:rsidRDefault="007D58AC" w:rsidP="007D58AC">
                        <w:pPr>
                          <w:rPr>
                            <w:rFonts w:ascii="Arial Narrow" w:hAnsi="Arial Narrow"/>
                            <w:sz w:val="16"/>
                            <w:szCs w:val="16"/>
                          </w:rPr>
                        </w:pPr>
                        <w:r w:rsidRPr="00677738">
                          <w:rPr>
                            <w:rFonts w:ascii="Arial Narrow" w:hAnsi="Arial Narrow"/>
                            <w:sz w:val="16"/>
                            <w:szCs w:val="16"/>
                          </w:rPr>
                          <w:t>1</w:t>
                        </w:r>
                      </w:p>
                    </w:txbxContent>
                  </v:textbox>
                </v:shape>
                <v:shape id="_x0000_s1077" type="#_x0000_t202" style="position:absolute;left:1724;top:5273;width:46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06055C1A" w14:textId="77777777" w:rsidR="007D58AC" w:rsidRPr="00677738" w:rsidRDefault="007D58AC" w:rsidP="007D58AC">
                        <w:pPr>
                          <w:rPr>
                            <w:rFonts w:ascii="Arial Narrow" w:hAnsi="Arial Narrow"/>
                            <w:sz w:val="16"/>
                            <w:szCs w:val="16"/>
                          </w:rPr>
                        </w:pPr>
                        <w:r w:rsidRPr="00677738">
                          <w:rPr>
                            <w:rFonts w:ascii="Arial Narrow" w:hAnsi="Arial Narrow"/>
                            <w:sz w:val="16"/>
                            <w:szCs w:val="16"/>
                          </w:rPr>
                          <w:t>µ</w:t>
                        </w:r>
                      </w:p>
                    </w:txbxContent>
                  </v:textbox>
                </v:shape>
              </v:group>
            </w:pict>
          </mc:Fallback>
        </mc:AlternateContent>
      </w:r>
    </w:p>
    <w:p w14:paraId="5F93AC0C" w14:textId="4F63F15C"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 </w:t>
      </w:r>
    </w:p>
    <w:p w14:paraId="3F3C202D" w14:textId="7FBAD68F"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p>
    <w:p w14:paraId="00AB33B2" w14:textId="403D758D"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p>
    <w:p w14:paraId="42EAE2DE" w14:textId="5A56C4F9"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noProof/>
          <w:color w:val="auto"/>
          <w:sz w:val="18"/>
          <w:szCs w:val="18"/>
          <w:highlight w:val="green"/>
          <w:lang w:bidi="ar-SA"/>
        </w:rPr>
        <mc:AlternateContent>
          <mc:Choice Requires="wps">
            <w:drawing>
              <wp:anchor distT="0" distB="0" distL="114300" distR="114300" simplePos="0" relativeHeight="377490238" behindDoc="0" locked="0" layoutInCell="1" allowOverlap="1" wp14:anchorId="7E95300A" wp14:editId="0A758AB4">
                <wp:simplePos x="0" y="0"/>
                <wp:positionH relativeFrom="column">
                  <wp:posOffset>233045</wp:posOffset>
                </wp:positionH>
                <wp:positionV relativeFrom="paragraph">
                  <wp:posOffset>98425</wp:posOffset>
                </wp:positionV>
                <wp:extent cx="295275" cy="286385"/>
                <wp:effectExtent l="0" t="635" r="3810" b="0"/>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B0B11" w14:textId="77777777" w:rsidR="007D58AC" w:rsidRDefault="007D58AC" w:rsidP="007D58AC">
                            <w: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5300A" id="Надпись 237" o:spid="_x0000_s1078" type="#_x0000_t202" style="position:absolute;margin-left:18.35pt;margin-top:7.75pt;width:23.25pt;height:22.55pt;z-index:377490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" stroked="f">
                <v:textbox>
                  <w:txbxContent>
                    <w:p w14:paraId="16AB0B11" w14:textId="77777777" w:rsidR="007D58AC" w:rsidRDefault="007D58AC" w:rsidP="007D58AC">
                      <w:r>
                        <w:t>0</w:t>
                      </w:r>
                    </w:p>
                  </w:txbxContent>
                </v:textbox>
              </v:shape>
            </w:pict>
          </mc:Fallback>
        </mc:AlternateContent>
      </w:r>
    </w:p>
    <w:p w14:paraId="480E491F" w14:textId="77777777"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p>
    <w:p w14:paraId="671813D5" w14:textId="77777777"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p>
    <w:p w14:paraId="21BDCFF6" w14:textId="77777777"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p>
    <w:p w14:paraId="09DFD455" w14:textId="77777777"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p>
    <w:p w14:paraId="6AE16AB0" w14:textId="77777777"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p>
    <w:p w14:paraId="64C6C969" w14:textId="77777777" w:rsidR="007D58AC" w:rsidRPr="00C44692" w:rsidRDefault="007D58AC" w:rsidP="007D58AC">
      <w:pPr>
        <w:spacing w:after="200" w:line="240" w:lineRule="auto"/>
        <w:ind w:firstLine="0"/>
        <w:jc w:val="left"/>
        <w:rPr>
          <w:rFonts w:ascii="Bookman Old Style" w:eastAsia="Times New Roman" w:hAnsi="Bookman Old Style" w:cs="Times New Roman"/>
          <w:color w:val="auto"/>
          <w:sz w:val="18"/>
          <w:szCs w:val="18"/>
          <w:highlight w:val="green"/>
          <w:lang w:bidi="ar-SA"/>
        </w:rPr>
      </w:pPr>
    </w:p>
    <w:p w14:paraId="3929BB81"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110B0F18"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704ECD47"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1A261A86"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42D458BA"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675CAD70" w14:textId="59FFADA7" w:rsidR="007D58AC" w:rsidRPr="00C44692" w:rsidRDefault="007D58AC" w:rsidP="007D58AC">
      <w:pPr>
        <w:spacing w:line="240" w:lineRule="auto"/>
        <w:ind w:firstLine="0"/>
        <w:rPr>
          <w:rFonts w:ascii="Bookman Old Style" w:eastAsia="Times New Roman" w:hAnsi="Bookman Old Style" w:cs="Times New Roman"/>
          <w:i/>
          <w:color w:val="auto"/>
          <w:sz w:val="18"/>
          <w:szCs w:val="18"/>
          <w:highlight w:val="green"/>
          <w:lang w:bidi="ar-SA"/>
        </w:rPr>
      </w:pPr>
      <w:r w:rsidRPr="00C44692">
        <w:rPr>
          <w:rFonts w:ascii="Bookman Old Style" w:eastAsia="Times New Roman" w:hAnsi="Bookman Old Style" w:cs="Times New Roman"/>
          <w:i/>
          <w:color w:val="auto"/>
          <w:sz w:val="18"/>
          <w:szCs w:val="18"/>
          <w:highlight w:val="green"/>
          <w:lang w:bidi="ar-SA"/>
        </w:rPr>
        <w:t xml:space="preserve">Рис </w:t>
      </w:r>
      <w:r w:rsidR="007737D2" w:rsidRPr="00C44692">
        <w:rPr>
          <w:rFonts w:ascii="Bookman Old Style" w:eastAsia="Times New Roman" w:hAnsi="Bookman Old Style" w:cs="Times New Roman"/>
          <w:i/>
          <w:color w:val="auto"/>
          <w:sz w:val="18"/>
          <w:szCs w:val="18"/>
          <w:highlight w:val="green"/>
          <w:lang w:bidi="ar-SA"/>
        </w:rPr>
        <w:t>7.1</w:t>
      </w:r>
      <w:r w:rsidRPr="00C44692">
        <w:rPr>
          <w:rFonts w:ascii="Bookman Old Style" w:eastAsia="Times New Roman" w:hAnsi="Bookman Old Style" w:cs="Times New Roman"/>
          <w:i/>
          <w:color w:val="auto"/>
          <w:sz w:val="18"/>
          <w:szCs w:val="18"/>
          <w:highlight w:val="green"/>
          <w:lang w:bidi="ar-SA"/>
        </w:rPr>
        <w:t xml:space="preserve">. Графическое представление интервалов интегрального показателя адаптивности с учетом 3-х сценариев : оптимистического, пессимистического  базового. </w:t>
      </w:r>
    </w:p>
    <w:p w14:paraId="697681AB"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p>
    <w:p w14:paraId="0259711D"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По графику определяются 4 интервала, в которые может попасть фактического значение интегрального показателя адаптивности с учетом 3-х прогнозных  сценариев: </w:t>
      </w:r>
    </w:p>
    <w:p w14:paraId="3C551FE8" w14:textId="77777777" w:rsidR="007D58AC" w:rsidRPr="00C44692" w:rsidRDefault="007D58AC">
      <w:pPr>
        <w:numPr>
          <w:ilvl w:val="0"/>
          <w:numId w:val="175"/>
        </w:numPr>
        <w:spacing w:after="200" w:line="240" w:lineRule="auto"/>
        <w:contextualSpacing/>
        <w:jc w:val="left"/>
        <w:rPr>
          <w:rFonts w:ascii="Bookman Old Style" w:eastAsiaTheme="minorHAnsi" w:hAnsi="Bookman Old Style" w:cs="Times New Roman"/>
          <w:color w:val="auto"/>
          <w:sz w:val="18"/>
          <w:szCs w:val="18"/>
          <w:highlight w:val="green"/>
          <w:lang w:val="en-US" w:eastAsia="en-US" w:bidi="ar-SA"/>
        </w:rPr>
      </w:pPr>
      <w:r w:rsidRPr="00C44692">
        <w:rPr>
          <w:rFonts w:ascii="Bookman Old Style" w:eastAsiaTheme="minorHAnsi" w:hAnsi="Bookman Old Style" w:cs="Times New Roman"/>
          <w:color w:val="auto"/>
          <w:sz w:val="18"/>
          <w:szCs w:val="18"/>
          <w:highlight w:val="green"/>
          <w:lang w:val="en-US" w:eastAsia="en-US" w:bidi="ar-SA"/>
        </w:rPr>
        <w:t>0&lt;</w:t>
      </w:r>
      <w:r w:rsidRPr="00C44692">
        <w:rPr>
          <w:rFonts w:ascii="Bookman Old Style" w:eastAsiaTheme="minorHAnsi" w:hAnsi="Bookman Old Style" w:cs="Times New Roman"/>
          <w:color w:val="auto"/>
          <w:sz w:val="18"/>
          <w:szCs w:val="18"/>
          <w:highlight w:val="green"/>
          <w:lang w:val="es-ES" w:eastAsia="en-US" w:bidi="ar-SA"/>
        </w:rPr>
        <w:t>W&lt;N1</w:t>
      </w:r>
    </w:p>
    <w:p w14:paraId="28B5CDDE" w14:textId="77777777" w:rsidR="007D58AC" w:rsidRPr="00C44692" w:rsidRDefault="007D58AC">
      <w:pPr>
        <w:numPr>
          <w:ilvl w:val="0"/>
          <w:numId w:val="175"/>
        </w:numPr>
        <w:spacing w:after="200" w:line="240" w:lineRule="auto"/>
        <w:contextualSpacing/>
        <w:jc w:val="left"/>
        <w:rPr>
          <w:rFonts w:ascii="Bookman Old Style" w:eastAsiaTheme="minorHAnsi" w:hAnsi="Bookman Old Style" w:cs="Times New Roman"/>
          <w:color w:val="auto"/>
          <w:sz w:val="18"/>
          <w:szCs w:val="18"/>
          <w:highlight w:val="green"/>
          <w:lang w:val="en-US" w:eastAsia="en-US" w:bidi="ar-SA"/>
        </w:rPr>
      </w:pPr>
      <w:r w:rsidRPr="00C44692">
        <w:rPr>
          <w:rFonts w:ascii="Bookman Old Style" w:eastAsiaTheme="minorHAnsi" w:hAnsi="Bookman Old Style" w:cs="Times New Roman"/>
          <w:color w:val="auto"/>
          <w:sz w:val="18"/>
          <w:szCs w:val="18"/>
          <w:highlight w:val="green"/>
          <w:lang w:val="en-US" w:eastAsia="en-US" w:bidi="ar-SA"/>
        </w:rPr>
        <w:t>N</w:t>
      </w:r>
      <w:r w:rsidRPr="00C44692">
        <w:rPr>
          <w:rFonts w:ascii="Bookman Old Style" w:eastAsiaTheme="minorHAnsi" w:hAnsi="Bookman Old Style" w:cs="Times New Roman"/>
          <w:color w:val="auto"/>
          <w:sz w:val="18"/>
          <w:szCs w:val="18"/>
          <w:highlight w:val="green"/>
          <w:lang w:eastAsia="en-US" w:bidi="ar-SA"/>
        </w:rPr>
        <w:t>1</w:t>
      </w:r>
      <w:r w:rsidRPr="00C44692">
        <w:rPr>
          <w:rFonts w:ascii="Bookman Old Style" w:eastAsiaTheme="minorHAnsi" w:hAnsi="Bookman Old Style" w:cs="Times New Roman"/>
          <w:color w:val="auto"/>
          <w:sz w:val="18"/>
          <w:szCs w:val="18"/>
          <w:highlight w:val="green"/>
          <w:lang w:val="en-US" w:eastAsia="en-US" w:bidi="ar-SA"/>
        </w:rPr>
        <w:t>&lt;</w:t>
      </w:r>
      <w:r w:rsidRPr="00C44692">
        <w:rPr>
          <w:rFonts w:ascii="Bookman Old Style" w:eastAsiaTheme="minorHAnsi" w:hAnsi="Bookman Old Style" w:cs="Times New Roman"/>
          <w:color w:val="auto"/>
          <w:sz w:val="18"/>
          <w:szCs w:val="18"/>
          <w:highlight w:val="green"/>
          <w:lang w:val="es-ES" w:eastAsia="en-US" w:bidi="ar-SA"/>
        </w:rPr>
        <w:t>W&lt;N</w:t>
      </w:r>
    </w:p>
    <w:p w14:paraId="61A78C2C" w14:textId="77777777" w:rsidR="007D58AC" w:rsidRPr="00C44692" w:rsidRDefault="007D58AC">
      <w:pPr>
        <w:numPr>
          <w:ilvl w:val="0"/>
          <w:numId w:val="175"/>
        </w:numPr>
        <w:spacing w:after="200" w:line="240" w:lineRule="auto"/>
        <w:contextualSpacing/>
        <w:jc w:val="left"/>
        <w:rPr>
          <w:rFonts w:ascii="Bookman Old Style" w:eastAsiaTheme="minorHAnsi" w:hAnsi="Bookman Old Style" w:cs="Times New Roman"/>
          <w:color w:val="auto"/>
          <w:sz w:val="18"/>
          <w:szCs w:val="18"/>
          <w:highlight w:val="green"/>
          <w:lang w:val="en-US" w:eastAsia="en-US" w:bidi="ar-SA"/>
        </w:rPr>
      </w:pPr>
      <w:r w:rsidRPr="00C44692">
        <w:rPr>
          <w:rFonts w:ascii="Bookman Old Style" w:eastAsiaTheme="minorHAnsi" w:hAnsi="Bookman Old Style" w:cs="Times New Roman"/>
          <w:color w:val="auto"/>
          <w:sz w:val="18"/>
          <w:szCs w:val="18"/>
          <w:highlight w:val="green"/>
          <w:lang w:val="en-US" w:eastAsia="en-US" w:bidi="ar-SA"/>
        </w:rPr>
        <w:t>N&lt;</w:t>
      </w:r>
      <w:r w:rsidRPr="00C44692">
        <w:rPr>
          <w:rFonts w:ascii="Bookman Old Style" w:eastAsiaTheme="minorHAnsi" w:hAnsi="Bookman Old Style" w:cs="Times New Roman"/>
          <w:color w:val="auto"/>
          <w:sz w:val="18"/>
          <w:szCs w:val="18"/>
          <w:highlight w:val="green"/>
          <w:lang w:val="es-ES" w:eastAsia="en-US" w:bidi="ar-SA"/>
        </w:rPr>
        <w:t>W&lt;N2</w:t>
      </w:r>
    </w:p>
    <w:p w14:paraId="73B95B9B" w14:textId="77777777" w:rsidR="007D58AC" w:rsidRPr="00C44692" w:rsidRDefault="007D58AC">
      <w:pPr>
        <w:numPr>
          <w:ilvl w:val="0"/>
          <w:numId w:val="175"/>
        </w:numPr>
        <w:spacing w:after="200" w:line="240" w:lineRule="auto"/>
        <w:contextualSpacing/>
        <w:jc w:val="left"/>
        <w:rPr>
          <w:rFonts w:ascii="Bookman Old Style" w:eastAsiaTheme="minorHAnsi" w:hAnsi="Bookman Old Style" w:cs="Times New Roman"/>
          <w:color w:val="auto"/>
          <w:sz w:val="18"/>
          <w:szCs w:val="18"/>
          <w:highlight w:val="green"/>
          <w:lang w:val="en-US" w:eastAsia="en-US" w:bidi="ar-SA"/>
        </w:rPr>
      </w:pPr>
      <w:r w:rsidRPr="00C44692">
        <w:rPr>
          <w:rFonts w:ascii="Bookman Old Style" w:eastAsiaTheme="minorHAnsi" w:hAnsi="Bookman Old Style" w:cs="Times New Roman"/>
          <w:color w:val="auto"/>
          <w:sz w:val="18"/>
          <w:szCs w:val="18"/>
          <w:highlight w:val="green"/>
          <w:lang w:val="en-US" w:eastAsia="en-US" w:bidi="ar-SA"/>
        </w:rPr>
        <w:t>W&gt;N2</w:t>
      </w:r>
    </w:p>
    <w:p w14:paraId="28FC5188" w14:textId="77777777" w:rsidR="007D58AC" w:rsidRPr="00C44692" w:rsidRDefault="007D58AC" w:rsidP="007D58AC">
      <w:pPr>
        <w:spacing w:after="200"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Первый интервал является самым идеальным , когда значение ИПА лежит в интервале от 0 до </w:t>
      </w:r>
      <w:r w:rsidRPr="00C44692">
        <w:rPr>
          <w:rFonts w:ascii="Bookman Old Style" w:eastAsia="Times New Roman" w:hAnsi="Bookman Old Style" w:cs="Times New Roman"/>
          <w:color w:val="auto"/>
          <w:sz w:val="18"/>
          <w:szCs w:val="18"/>
          <w:highlight w:val="green"/>
          <w:lang w:val="en-US" w:bidi="ar-SA"/>
        </w:rPr>
        <w:t>N</w:t>
      </w:r>
      <w:r w:rsidRPr="00C44692">
        <w:rPr>
          <w:rFonts w:ascii="Bookman Old Style" w:eastAsia="Times New Roman" w:hAnsi="Bookman Old Style" w:cs="Times New Roman"/>
          <w:color w:val="auto"/>
          <w:sz w:val="18"/>
          <w:szCs w:val="18"/>
          <w:highlight w:val="green"/>
          <w:lang w:bidi="ar-SA"/>
        </w:rPr>
        <w:t xml:space="preserve">1, при условии, что </w:t>
      </w:r>
      <w:r w:rsidRPr="00C44692">
        <w:rPr>
          <w:rFonts w:ascii="Bookman Old Style" w:eastAsia="Times New Roman" w:hAnsi="Bookman Old Style" w:cs="Times New Roman"/>
          <w:color w:val="auto"/>
          <w:sz w:val="18"/>
          <w:szCs w:val="18"/>
          <w:highlight w:val="green"/>
          <w:lang w:val="en-US" w:bidi="ar-SA"/>
        </w:rPr>
        <w:t>N</w:t>
      </w:r>
      <w:r w:rsidRPr="00C44692">
        <w:rPr>
          <w:rFonts w:ascii="Bookman Old Style" w:eastAsia="Times New Roman" w:hAnsi="Bookman Old Style" w:cs="Times New Roman"/>
          <w:color w:val="auto"/>
          <w:sz w:val="18"/>
          <w:szCs w:val="18"/>
          <w:highlight w:val="green"/>
          <w:lang w:bidi="ar-SA"/>
        </w:rPr>
        <w:t xml:space="preserve">1 &lt; 0,5 . В этом случае, мы получим высокие показатели адаптивности. Четвертый интервал является неприемлемым, так как демонстрирует ситуацию, когда значения адаптивности выходят за пределы значений, предусмотренных сценариями. Значения, принадлежащие интервалам № 2 и № 3 , лежат в пределах прогнозируемых сценариев. Характер адаптивности будет зависеть от значений интегрального показателя, который уже будет получен расчетным путем по фактическим значениям. </w:t>
      </w:r>
    </w:p>
    <w:p w14:paraId="72D08A92" w14:textId="77777777" w:rsidR="007D58AC" w:rsidRPr="00C44692" w:rsidRDefault="007D58AC" w:rsidP="007D58AC">
      <w:pPr>
        <w:spacing w:after="200"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Введем ИПА ожидаемый – среднеожидаемый интегральный показатель адаптации. Он рассчитывается как среднее от ИПА опт, ИПА пес, ИПА баз.Δ – разброс ИПА от среднего значения. Коэффициент вариации, рассчитанный как отношение стандартного  отклонения к среднему ожидаемому значению, может рассматриваться как эффективность адаптивности. Чем меньше значение коэффициента </w:t>
      </w:r>
      <w:r w:rsidRPr="00C44692">
        <w:rPr>
          <w:rFonts w:ascii="Bookman Old Style" w:eastAsia="Times New Roman" w:hAnsi="Bookman Old Style" w:cs="Times New Roman"/>
          <w:color w:val="auto"/>
          <w:sz w:val="18"/>
          <w:szCs w:val="18"/>
          <w:highlight w:val="green"/>
          <w:lang w:bidi="ar-SA"/>
        </w:rPr>
        <w:lastRenderedPageBreak/>
        <w:t xml:space="preserve">вариации (коэффициент эффективности адаптации) , тем выше адаптивность. </w:t>
      </w:r>
    </w:p>
    <w:p w14:paraId="4560FDC6" w14:textId="77777777" w:rsidR="007D58AC" w:rsidRPr="00C44692" w:rsidRDefault="007D58AC" w:rsidP="007D58AC">
      <w:pPr>
        <w:spacing w:after="200"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Ниже описываются алгоритмы использования метода нечеткой логики в случае, когда применяется пятиуровневый и трехуровневый лингвистический классификатор</w:t>
      </w:r>
      <w:r w:rsidRPr="00C44692">
        <w:rPr>
          <w:rFonts w:ascii="Bookman Old Style" w:eastAsiaTheme="minorEastAsia" w:hAnsi="Bookman Old Style" w:cs="Times New Roman"/>
          <w:color w:val="auto"/>
          <w:sz w:val="18"/>
          <w:szCs w:val="18"/>
          <w:highlight w:val="green"/>
          <w:vertAlign w:val="superscript"/>
          <w:lang w:bidi="ar-SA"/>
        </w:rPr>
        <w:footnoteReference w:id="213"/>
      </w:r>
      <w:r w:rsidRPr="00C44692">
        <w:rPr>
          <w:rFonts w:ascii="Bookman Old Style" w:eastAsia="Times New Roman" w:hAnsi="Bookman Old Style" w:cs="Times New Roman"/>
          <w:color w:val="auto"/>
          <w:sz w:val="18"/>
          <w:szCs w:val="18"/>
          <w:highlight w:val="green"/>
          <w:lang w:bidi="ar-SA"/>
        </w:rPr>
        <w:t xml:space="preserve">.  </w:t>
      </w:r>
    </w:p>
    <w:p w14:paraId="34F45CC9" w14:textId="77777777" w:rsidR="007D58AC" w:rsidRPr="00C44692" w:rsidRDefault="007D58AC" w:rsidP="007D58AC">
      <w:pPr>
        <w:spacing w:after="200" w:line="240" w:lineRule="auto"/>
        <w:ind w:firstLine="709"/>
        <w:rPr>
          <w:rFonts w:ascii="Bookman Old Style" w:eastAsia="Times New Roman" w:hAnsi="Bookman Old Style" w:cs="Times New Roman"/>
          <w:color w:val="auto"/>
          <w:sz w:val="18"/>
          <w:szCs w:val="18"/>
          <w:highlight w:val="green"/>
          <w:u w:val="single"/>
          <w:lang w:bidi="ar-SA"/>
        </w:rPr>
      </w:pPr>
      <w:r w:rsidRPr="00C44692">
        <w:rPr>
          <w:rFonts w:ascii="Bookman Old Style" w:eastAsia="Times New Roman" w:hAnsi="Bookman Old Style" w:cs="Times New Roman"/>
          <w:color w:val="auto"/>
          <w:sz w:val="18"/>
          <w:szCs w:val="18"/>
          <w:highlight w:val="green"/>
          <w:u w:val="single"/>
          <w:lang w:bidi="ar-SA"/>
        </w:rPr>
        <w:t>Алгоритм оценки адаптивности с помощью метода нечеткой логики  в случае пятиуровневого классификатора</w:t>
      </w:r>
    </w:p>
    <w:p w14:paraId="1D986C47"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1 . Выбор показателей для оценки адаптивности </w:t>
      </w:r>
    </w:p>
    <w:p w14:paraId="7B7EB0CA"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2. Расчет фактических значений выбранных показателей за определенный период. </w:t>
      </w:r>
    </w:p>
    <w:p w14:paraId="46511CC9"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3. Определение базового терм-множества Т для выбранных показателей. Пусть для данного случая базовое терм-множество определяется  пятью нечеткими переменными: «очень низкий», «низкий», «средний», «высокий», «очень высокий». </w:t>
      </w:r>
    </w:p>
    <w:p w14:paraId="30CA17F9"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p>
    <w:p w14:paraId="540673D6"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4. Этап 4  заключается в определении системы весов выбранных показателей, т.е. в сопоставлении каждому показателю Хi уровня его значимости для оценки ri. Если уровни значимости всех показателей принимаются как равнозначные, то коэффициент ri при расчетах будет равен 1/N. Мы принимаем уровни значимости всех показателей как равнозначные. </w:t>
      </w:r>
    </w:p>
    <w:p w14:paraId="1696C46B"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Этап 5. На этом этапе происходит распознавание уровней принадлежности выбранных показателей [</w:t>
      </w:r>
      <w:r w:rsidRPr="00C44692">
        <w:rPr>
          <w:rFonts w:ascii="Bookman Old Style" w:eastAsia="Times New Roman" w:hAnsi="Bookman Old Style" w:cs="Times New Roman"/>
          <w:color w:val="auto"/>
          <w:sz w:val="18"/>
          <w:szCs w:val="18"/>
          <w:highlight w:val="green"/>
          <w:lang w:bidi="ar-SA"/>
        </w:rPr>
        <w:fldChar w:fldCharType="begin"/>
      </w:r>
      <w:r w:rsidRPr="00C44692">
        <w:rPr>
          <w:rFonts w:ascii="Bookman Old Style" w:eastAsia="Times New Roman" w:hAnsi="Bookman Old Style" w:cs="Times New Roman"/>
          <w:color w:val="auto"/>
          <w:sz w:val="18"/>
          <w:szCs w:val="18"/>
          <w:highlight w:val="green"/>
          <w:lang w:bidi="ar-SA"/>
        </w:rPr>
        <w:instrText xml:space="preserve"> REF _Ref43649339 \r \h  \* MERGEFORMAT </w:instrText>
      </w:r>
      <w:r w:rsidRPr="00C44692">
        <w:rPr>
          <w:rFonts w:ascii="Bookman Old Style" w:eastAsia="Times New Roman" w:hAnsi="Bookman Old Style" w:cs="Times New Roman"/>
          <w:color w:val="auto"/>
          <w:sz w:val="18"/>
          <w:szCs w:val="18"/>
          <w:highlight w:val="green"/>
          <w:lang w:bidi="ar-SA"/>
        </w:rPr>
      </w:r>
      <w:r w:rsidRPr="00C44692">
        <w:rPr>
          <w:rFonts w:ascii="Bookman Old Style" w:eastAsia="Times New Roman" w:hAnsi="Bookman Old Style" w:cs="Times New Roman"/>
          <w:color w:val="auto"/>
          <w:sz w:val="18"/>
          <w:szCs w:val="18"/>
          <w:highlight w:val="green"/>
          <w:lang w:bidi="ar-SA"/>
        </w:rPr>
        <w:fldChar w:fldCharType="separate"/>
      </w:r>
      <w:r w:rsidRPr="00C44692">
        <w:rPr>
          <w:rFonts w:ascii="Bookman Old Style" w:eastAsia="Times New Roman" w:hAnsi="Bookman Old Style" w:cs="Times New Roman"/>
          <w:color w:val="auto"/>
          <w:sz w:val="18"/>
          <w:szCs w:val="18"/>
          <w:highlight w:val="green"/>
          <w:lang w:bidi="ar-SA"/>
        </w:rPr>
        <w:t>122</w:t>
      </w:r>
      <w:r w:rsidRPr="00C44692">
        <w:rPr>
          <w:rFonts w:ascii="Bookman Old Style" w:eastAsia="Times New Roman" w:hAnsi="Bookman Old Style" w:cs="Times New Roman"/>
          <w:color w:val="auto"/>
          <w:sz w:val="18"/>
          <w:szCs w:val="18"/>
          <w:highlight w:val="green"/>
          <w:lang w:bidi="ar-SA"/>
        </w:rPr>
        <w:fldChar w:fldCharType="end"/>
      </w:r>
      <w:r w:rsidRPr="00C44692">
        <w:rPr>
          <w:rFonts w:ascii="Bookman Old Style" w:eastAsia="Times New Roman" w:hAnsi="Bookman Old Style" w:cs="Times New Roman"/>
          <w:color w:val="auto"/>
          <w:sz w:val="18"/>
          <w:szCs w:val="18"/>
          <w:highlight w:val="green"/>
          <w:lang w:bidi="ar-SA"/>
        </w:rPr>
        <w:t>,</w:t>
      </w:r>
      <w:r w:rsidRPr="00C44692">
        <w:rPr>
          <w:rFonts w:ascii="Bookman Old Style" w:eastAsia="Times New Roman" w:hAnsi="Bookman Old Style" w:cs="Times New Roman"/>
          <w:color w:val="auto"/>
          <w:sz w:val="18"/>
          <w:szCs w:val="18"/>
          <w:highlight w:val="green"/>
          <w:lang w:bidi="ar-SA"/>
        </w:rPr>
        <w:fldChar w:fldCharType="begin"/>
      </w:r>
      <w:r w:rsidRPr="00C44692">
        <w:rPr>
          <w:rFonts w:ascii="Bookman Old Style" w:eastAsia="Times New Roman" w:hAnsi="Bookman Old Style" w:cs="Times New Roman"/>
          <w:color w:val="auto"/>
          <w:sz w:val="18"/>
          <w:szCs w:val="18"/>
          <w:highlight w:val="green"/>
          <w:lang w:bidi="ar-SA"/>
        </w:rPr>
        <w:instrText xml:space="preserve"> REF _Ref43648250 \r \h  \* MERGEFORMAT </w:instrText>
      </w:r>
      <w:r w:rsidRPr="00C44692">
        <w:rPr>
          <w:rFonts w:ascii="Bookman Old Style" w:eastAsia="Times New Roman" w:hAnsi="Bookman Old Style" w:cs="Times New Roman"/>
          <w:color w:val="auto"/>
          <w:sz w:val="18"/>
          <w:szCs w:val="18"/>
          <w:highlight w:val="green"/>
          <w:lang w:bidi="ar-SA"/>
        </w:rPr>
      </w:r>
      <w:r w:rsidRPr="00C44692">
        <w:rPr>
          <w:rFonts w:ascii="Bookman Old Style" w:eastAsia="Times New Roman" w:hAnsi="Bookman Old Style" w:cs="Times New Roman"/>
          <w:color w:val="auto"/>
          <w:sz w:val="18"/>
          <w:szCs w:val="18"/>
          <w:highlight w:val="green"/>
          <w:lang w:bidi="ar-SA"/>
        </w:rPr>
        <w:fldChar w:fldCharType="separate"/>
      </w:r>
      <w:r w:rsidRPr="00C44692">
        <w:rPr>
          <w:rFonts w:ascii="Bookman Old Style" w:eastAsia="Times New Roman" w:hAnsi="Bookman Old Style" w:cs="Times New Roman"/>
          <w:color w:val="auto"/>
          <w:sz w:val="18"/>
          <w:szCs w:val="18"/>
          <w:highlight w:val="green"/>
          <w:lang w:bidi="ar-SA"/>
        </w:rPr>
        <w:t>123</w:t>
      </w:r>
      <w:r w:rsidRPr="00C44692">
        <w:rPr>
          <w:rFonts w:ascii="Bookman Old Style" w:eastAsia="Times New Roman" w:hAnsi="Bookman Old Style" w:cs="Times New Roman"/>
          <w:color w:val="auto"/>
          <w:sz w:val="18"/>
          <w:szCs w:val="18"/>
          <w:highlight w:val="green"/>
          <w:lang w:bidi="ar-SA"/>
        </w:rPr>
        <w:fldChar w:fldCharType="end"/>
      </w:r>
      <w:r w:rsidRPr="00C44692">
        <w:rPr>
          <w:rFonts w:ascii="Bookman Old Style" w:eastAsia="Times New Roman" w:hAnsi="Bookman Old Style" w:cs="Times New Roman"/>
          <w:color w:val="auto"/>
          <w:sz w:val="18"/>
          <w:szCs w:val="18"/>
          <w:highlight w:val="green"/>
          <w:lang w:bidi="ar-SA"/>
        </w:rPr>
        <w:t xml:space="preserve">], для чего строятся функции принадлежности µА (х) для каждого лингвистического терма из базового терм-множества T . Если функция принадлежности трапецеидальная , то она выглядит так: </w:t>
      </w:r>
    </w:p>
    <w:p w14:paraId="30F9F106" w14:textId="6F48E14F"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noProof/>
          <w:color w:val="auto"/>
          <w:sz w:val="18"/>
          <w:szCs w:val="18"/>
          <w:highlight w:val="green"/>
          <w:lang w:bidi="ar-SA"/>
        </w:rPr>
        <mc:AlternateContent>
          <mc:Choice Requires="wps">
            <w:drawing>
              <wp:anchor distT="0" distB="0" distL="114300" distR="114300" simplePos="0" relativeHeight="377492286" behindDoc="0" locked="0" layoutInCell="1" allowOverlap="1" wp14:anchorId="3C60ED96" wp14:editId="5185FC92">
                <wp:simplePos x="0" y="0"/>
                <wp:positionH relativeFrom="column">
                  <wp:posOffset>1619250</wp:posOffset>
                </wp:positionH>
                <wp:positionV relativeFrom="paragraph">
                  <wp:posOffset>85725</wp:posOffset>
                </wp:positionV>
                <wp:extent cx="3111500" cy="1304925"/>
                <wp:effectExtent l="0" t="0" r="0" b="9525"/>
                <wp:wrapNone/>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458CD" w14:textId="77777777" w:rsidR="007D58AC" w:rsidRPr="00677738" w:rsidRDefault="007D58AC" w:rsidP="007D58AC">
                            <w:pPr>
                              <w:spacing w:line="360" w:lineRule="auto"/>
                              <w:rPr>
                                <w:rFonts w:ascii="Arial Narrow" w:hAnsi="Arial Narrow"/>
                                <w:sz w:val="16"/>
                                <w:szCs w:val="16"/>
                              </w:rPr>
                            </w:pPr>
                            <m:oMath>
                              <m:r>
                                <w:rPr>
                                  <w:rFonts w:ascii="Cambria Math" w:hAnsi="Cambria Math"/>
                                  <w:sz w:val="16"/>
                                  <w:szCs w:val="16"/>
                                </w:rPr>
                                <m:t xml:space="preserve">1- </m:t>
                              </m:r>
                              <m:f>
                                <m:fPr>
                                  <m:ctrlPr>
                                    <w:rPr>
                                      <w:rFonts w:ascii="Cambria Math" w:hAnsi="Cambria Math"/>
                                      <w:i/>
                                      <w:sz w:val="16"/>
                                      <w:szCs w:val="16"/>
                                    </w:rPr>
                                  </m:ctrlPr>
                                </m:fPr>
                                <m:num>
                                  <m:r>
                                    <w:rPr>
                                      <w:rFonts w:ascii="Cambria Math" w:hAnsi="Cambria Math"/>
                                      <w:sz w:val="16"/>
                                      <w:szCs w:val="16"/>
                                      <w:lang w:val="en-US"/>
                                    </w:rPr>
                                    <m:t>b</m:t>
                                  </m:r>
                                  <m:r>
                                    <w:rPr>
                                      <w:rFonts w:ascii="Cambria Math" w:hAnsi="Cambria Math"/>
                                      <w:sz w:val="16"/>
                                      <w:szCs w:val="16"/>
                                    </w:rPr>
                                    <m:t>-</m:t>
                                  </m:r>
                                  <m:r>
                                    <w:rPr>
                                      <w:rFonts w:ascii="Cambria Math" w:hAnsi="Cambria Math"/>
                                      <w:sz w:val="16"/>
                                      <w:szCs w:val="16"/>
                                      <w:lang w:val="en-US"/>
                                    </w:rPr>
                                    <m:t>x</m:t>
                                  </m:r>
                                </m:num>
                                <m:den>
                                  <m:r>
                                    <w:rPr>
                                      <w:rFonts w:ascii="Cambria Math" w:hAnsi="Cambria Math"/>
                                      <w:sz w:val="16"/>
                                      <w:szCs w:val="16"/>
                                    </w:rPr>
                                    <m:t>b-a</m:t>
                                  </m:r>
                                </m:den>
                              </m:f>
                            </m:oMath>
                            <w:r w:rsidRPr="00677738">
                              <w:rPr>
                                <w:rFonts w:ascii="Arial Narrow" w:hAnsi="Arial Narrow"/>
                                <w:sz w:val="16"/>
                                <w:szCs w:val="16"/>
                              </w:rPr>
                              <w:t xml:space="preserve"> а≤</w:t>
                            </w:r>
                            <w:r w:rsidRPr="00677738">
                              <w:rPr>
                                <w:rFonts w:ascii="Arial Narrow" w:hAnsi="Arial Narrow"/>
                                <w:sz w:val="16"/>
                                <w:szCs w:val="16"/>
                                <w:lang w:val="en-US"/>
                              </w:rPr>
                              <w:t>x</w:t>
                            </w:r>
                            <w:r w:rsidRPr="00677738">
                              <w:rPr>
                                <w:rFonts w:ascii="Arial Narrow" w:hAnsi="Arial Narrow"/>
                                <w:sz w:val="16"/>
                                <w:szCs w:val="16"/>
                              </w:rPr>
                              <w:t xml:space="preserve"> ≤</w:t>
                            </w:r>
                            <w:r w:rsidRPr="00677738">
                              <w:rPr>
                                <w:rFonts w:ascii="Arial Narrow" w:hAnsi="Arial Narrow"/>
                                <w:sz w:val="16"/>
                                <w:szCs w:val="16"/>
                                <w:lang w:val="en-US"/>
                              </w:rPr>
                              <w:t>b</w:t>
                            </w:r>
                          </w:p>
                          <w:p w14:paraId="7F5F9134" w14:textId="77777777" w:rsidR="007D58AC" w:rsidRPr="00677738" w:rsidRDefault="007D58AC" w:rsidP="007D58AC">
                            <w:pPr>
                              <w:spacing w:line="360" w:lineRule="auto"/>
                              <w:rPr>
                                <w:rFonts w:ascii="Arial Narrow" w:hAnsi="Arial Narrow"/>
                                <w:sz w:val="16"/>
                                <w:szCs w:val="16"/>
                                <w:lang w:val="en-US"/>
                              </w:rPr>
                            </w:pPr>
                            <w:r w:rsidRPr="00677738">
                              <w:rPr>
                                <w:rFonts w:ascii="Arial Narrow" w:hAnsi="Arial Narrow"/>
                                <w:sz w:val="16"/>
                                <w:szCs w:val="16"/>
                              </w:rPr>
                              <w:t xml:space="preserve">1 , при </w:t>
                            </w:r>
                            <w:r w:rsidRPr="00677738">
                              <w:rPr>
                                <w:rFonts w:ascii="Arial Narrow" w:hAnsi="Arial Narrow"/>
                                <w:sz w:val="16"/>
                                <w:szCs w:val="16"/>
                                <w:lang w:val="es-ES"/>
                              </w:rPr>
                              <w:t>b</w:t>
                            </w:r>
                            <w:r w:rsidRPr="00677738">
                              <w:rPr>
                                <w:rFonts w:ascii="Arial Narrow" w:hAnsi="Arial Narrow"/>
                                <w:sz w:val="16"/>
                                <w:szCs w:val="16"/>
                              </w:rPr>
                              <w:t>≤</w:t>
                            </w:r>
                            <w:r w:rsidRPr="00677738">
                              <w:rPr>
                                <w:rFonts w:ascii="Arial Narrow" w:hAnsi="Arial Narrow"/>
                                <w:sz w:val="16"/>
                                <w:szCs w:val="16"/>
                                <w:lang w:val="en-US"/>
                              </w:rPr>
                              <w:t>x</w:t>
                            </w:r>
                            <w:r w:rsidRPr="00677738">
                              <w:rPr>
                                <w:rFonts w:ascii="Arial Narrow" w:hAnsi="Arial Narrow"/>
                                <w:sz w:val="16"/>
                                <w:szCs w:val="16"/>
                              </w:rPr>
                              <w:t xml:space="preserve"> ≤</w:t>
                            </w:r>
                            <w:r w:rsidRPr="00677738">
                              <w:rPr>
                                <w:rFonts w:ascii="Arial Narrow" w:hAnsi="Arial Narrow"/>
                                <w:sz w:val="16"/>
                                <w:szCs w:val="16"/>
                                <w:lang w:val="en-US"/>
                              </w:rPr>
                              <w:t>c</w:t>
                            </w:r>
                          </w:p>
                          <w:p w14:paraId="105264D7" w14:textId="77777777" w:rsidR="007D58AC" w:rsidRPr="00677738" w:rsidRDefault="007D58AC" w:rsidP="007D58AC">
                            <w:pPr>
                              <w:spacing w:line="360" w:lineRule="auto"/>
                              <w:rPr>
                                <w:rFonts w:ascii="Arial Narrow" w:hAnsi="Arial Narrow"/>
                                <w:sz w:val="16"/>
                                <w:szCs w:val="16"/>
                                <w:lang w:val="en-US"/>
                              </w:rPr>
                            </w:pPr>
                            <m:oMath>
                              <m:r>
                                <w:rPr>
                                  <w:rFonts w:ascii="Cambria Math" w:hAnsi="Cambria Math"/>
                                  <w:sz w:val="16"/>
                                  <w:szCs w:val="16"/>
                                  <w:lang w:val="en-US"/>
                                </w:rPr>
                                <m:t xml:space="preserve">1- </m:t>
                              </m:r>
                              <m:f>
                                <m:fPr>
                                  <m:ctrlPr>
                                    <w:rPr>
                                      <w:rFonts w:ascii="Cambria Math" w:hAnsi="Cambria Math"/>
                                      <w:i/>
                                      <w:sz w:val="16"/>
                                      <w:szCs w:val="16"/>
                                    </w:rPr>
                                  </m:ctrlPr>
                                </m:fPr>
                                <m:num>
                                  <m:r>
                                    <w:rPr>
                                      <w:rFonts w:ascii="Cambria Math" w:hAnsi="Cambria Math"/>
                                      <w:sz w:val="16"/>
                                      <w:szCs w:val="16"/>
                                      <w:lang w:val="en-US"/>
                                    </w:rPr>
                                    <m:t>x-c</m:t>
                                  </m:r>
                                </m:num>
                                <m:den>
                                  <m:r>
                                    <w:rPr>
                                      <w:rFonts w:ascii="Cambria Math" w:hAnsi="Cambria Math"/>
                                      <w:sz w:val="16"/>
                                      <w:szCs w:val="16"/>
                                    </w:rPr>
                                    <m:t>d</m:t>
                                  </m:r>
                                  <m:r>
                                    <w:rPr>
                                      <w:rFonts w:ascii="Cambria Math" w:hAnsi="Cambria Math"/>
                                      <w:sz w:val="16"/>
                                      <w:szCs w:val="16"/>
                                      <w:lang w:val="en-US"/>
                                    </w:rPr>
                                    <m:t>-</m:t>
                                  </m:r>
                                  <m:r>
                                    <w:rPr>
                                      <w:rFonts w:ascii="Cambria Math" w:hAnsi="Cambria Math"/>
                                      <w:sz w:val="16"/>
                                      <w:szCs w:val="16"/>
                                    </w:rPr>
                                    <m:t>c</m:t>
                                  </m:r>
                                </m:den>
                              </m:f>
                            </m:oMath>
                            <w:r w:rsidRPr="00677738">
                              <w:rPr>
                                <w:rFonts w:ascii="Arial Narrow" w:hAnsi="Arial Narrow"/>
                                <w:sz w:val="16"/>
                                <w:szCs w:val="16"/>
                                <w:lang w:val="en-US"/>
                              </w:rPr>
                              <w:t xml:space="preserve"> c≤x ≤d</w:t>
                            </w:r>
                          </w:p>
                          <w:p w14:paraId="43F343C7" w14:textId="77777777" w:rsidR="007D58AC" w:rsidRPr="00677738" w:rsidRDefault="007D58AC" w:rsidP="007D58AC">
                            <w:pPr>
                              <w:spacing w:line="360" w:lineRule="auto"/>
                              <w:rPr>
                                <w:rFonts w:ascii="Arial Narrow" w:hAnsi="Arial Narrow"/>
                                <w:sz w:val="16"/>
                                <w:szCs w:val="16"/>
                                <w:lang w:val="en-US"/>
                              </w:rPr>
                            </w:pPr>
                            <w:r w:rsidRPr="00677738">
                              <w:rPr>
                                <w:rFonts w:ascii="Arial Narrow" w:hAnsi="Arial Narrow"/>
                                <w:sz w:val="16"/>
                                <w:szCs w:val="16"/>
                                <w:lang w:val="en-US"/>
                              </w:rPr>
                              <w:t xml:space="preserve">0, </w:t>
                            </w:r>
                            <w:r w:rsidRPr="00677738">
                              <w:rPr>
                                <w:rFonts w:ascii="Arial Narrow" w:hAnsi="Arial Narrow"/>
                                <w:sz w:val="16"/>
                                <w:szCs w:val="16"/>
                              </w:rPr>
                              <w:t>при</w:t>
                            </w:r>
                            <w:r w:rsidRPr="00677738">
                              <w:rPr>
                                <w:rFonts w:ascii="Arial Narrow" w:hAnsi="Arial Narrow"/>
                                <w:sz w:val="16"/>
                                <w:szCs w:val="16"/>
                                <w:lang w:val="en-US"/>
                              </w:rPr>
                              <w:t xml:space="preserve"> x </w:t>
                            </w:r>
                            <w:r w:rsidRPr="00677738">
                              <w:rPr>
                                <w:rFonts w:ascii="Cambria Math" w:hAnsi="Cambria Math" w:cs="Cambria Math"/>
                                <w:sz w:val="16"/>
                                <w:szCs w:val="16"/>
                                <w:lang w:val="en-US"/>
                              </w:rPr>
                              <w:t>∉</w:t>
                            </w:r>
                            <w:r w:rsidRPr="00677738">
                              <w:rPr>
                                <w:rFonts w:ascii="Arial Narrow" w:hAnsi="Arial Narrow"/>
                                <w:sz w:val="16"/>
                                <w:szCs w:val="16"/>
                                <w:lang w:val="en-US"/>
                              </w:rPr>
                              <w:t xml:space="preserve"> [a;d]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0ED96" id="Надпись 236" o:spid="_x0000_s1079" type="#_x0000_t202" style="position:absolute;left:0;text-align:left;margin-left:127.5pt;margin-top:6.75pt;width:245pt;height:102.75pt;z-index:377492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" stroked="f">
                <v:textbox>
                  <w:txbxContent>
                    <w:p w14:paraId="3AD458CD" w14:textId="77777777" w:rsidR="007D58AC" w:rsidRPr="00677738" w:rsidRDefault="007D58AC" w:rsidP="007D58AC">
                      <w:pPr>
                        <w:spacing w:line="360" w:lineRule="auto"/>
                        <w:rPr>
                          <w:rFonts w:ascii="Arial Narrow" w:hAnsi="Arial Narrow"/>
                          <w:sz w:val="16"/>
                          <w:szCs w:val="16"/>
                        </w:rPr>
                      </w:pPr>
                      <m:oMath>
                        <m:r>
                          <w:rPr>
                            <w:rFonts w:ascii="Cambria Math" w:hAnsi="Cambria Math"/>
                            <w:sz w:val="16"/>
                            <w:szCs w:val="16"/>
                          </w:rPr>
                          <m:t xml:space="preserve">1- </m:t>
                        </m:r>
                        <m:f>
                          <m:fPr>
                            <m:ctrlPr>
                              <w:rPr>
                                <w:rFonts w:ascii="Cambria Math" w:hAnsi="Cambria Math"/>
                                <w:i/>
                                <w:sz w:val="16"/>
                                <w:szCs w:val="16"/>
                              </w:rPr>
                            </m:ctrlPr>
                          </m:fPr>
                          <m:num>
                            <m:r>
                              <w:rPr>
                                <w:rFonts w:ascii="Cambria Math" w:hAnsi="Cambria Math"/>
                                <w:sz w:val="16"/>
                                <w:szCs w:val="16"/>
                                <w:lang w:val="en-US"/>
                              </w:rPr>
                              <m:t>b</m:t>
                            </m:r>
                            <m:r>
                              <w:rPr>
                                <w:rFonts w:ascii="Cambria Math" w:hAnsi="Cambria Math"/>
                                <w:sz w:val="16"/>
                                <w:szCs w:val="16"/>
                              </w:rPr>
                              <m:t>-</m:t>
                            </m:r>
                            <m:r>
                              <w:rPr>
                                <w:rFonts w:ascii="Cambria Math" w:hAnsi="Cambria Math"/>
                                <w:sz w:val="16"/>
                                <w:szCs w:val="16"/>
                                <w:lang w:val="en-US"/>
                              </w:rPr>
                              <m:t>x</m:t>
                            </m:r>
                          </m:num>
                          <m:den>
                            <m:r>
                              <w:rPr>
                                <w:rFonts w:ascii="Cambria Math" w:hAnsi="Cambria Math"/>
                                <w:sz w:val="16"/>
                                <w:szCs w:val="16"/>
                              </w:rPr>
                              <m:t>b-a</m:t>
                            </m:r>
                          </m:den>
                        </m:f>
                      </m:oMath>
                      <w:r w:rsidRPr="00677738">
                        <w:rPr>
                          <w:rFonts w:ascii="Arial Narrow" w:hAnsi="Arial Narrow"/>
                          <w:sz w:val="16"/>
                          <w:szCs w:val="16"/>
                        </w:rPr>
                        <w:t xml:space="preserve"> а≤</w:t>
                      </w:r>
                      <w:r w:rsidRPr="00677738">
                        <w:rPr>
                          <w:rFonts w:ascii="Arial Narrow" w:hAnsi="Arial Narrow"/>
                          <w:sz w:val="16"/>
                          <w:szCs w:val="16"/>
                          <w:lang w:val="en-US"/>
                        </w:rPr>
                        <w:t>x</w:t>
                      </w:r>
                      <w:r w:rsidRPr="00677738">
                        <w:rPr>
                          <w:rFonts w:ascii="Arial Narrow" w:hAnsi="Arial Narrow"/>
                          <w:sz w:val="16"/>
                          <w:szCs w:val="16"/>
                        </w:rPr>
                        <w:t xml:space="preserve"> ≤</w:t>
                      </w:r>
                      <w:r w:rsidRPr="00677738">
                        <w:rPr>
                          <w:rFonts w:ascii="Arial Narrow" w:hAnsi="Arial Narrow"/>
                          <w:sz w:val="16"/>
                          <w:szCs w:val="16"/>
                          <w:lang w:val="en-US"/>
                        </w:rPr>
                        <w:t>b</w:t>
                      </w:r>
                    </w:p>
                    <w:p w14:paraId="7F5F9134" w14:textId="77777777" w:rsidR="007D58AC" w:rsidRPr="00677738" w:rsidRDefault="007D58AC" w:rsidP="007D58AC">
                      <w:pPr>
                        <w:spacing w:line="360" w:lineRule="auto"/>
                        <w:rPr>
                          <w:rFonts w:ascii="Arial Narrow" w:hAnsi="Arial Narrow"/>
                          <w:sz w:val="16"/>
                          <w:szCs w:val="16"/>
                          <w:lang w:val="en-US"/>
                        </w:rPr>
                      </w:pPr>
                      <w:r w:rsidRPr="00677738">
                        <w:rPr>
                          <w:rFonts w:ascii="Arial Narrow" w:hAnsi="Arial Narrow"/>
                          <w:sz w:val="16"/>
                          <w:szCs w:val="16"/>
                        </w:rPr>
                        <w:t xml:space="preserve">1 , при </w:t>
                      </w:r>
                      <w:r w:rsidRPr="00677738">
                        <w:rPr>
                          <w:rFonts w:ascii="Arial Narrow" w:hAnsi="Arial Narrow"/>
                          <w:sz w:val="16"/>
                          <w:szCs w:val="16"/>
                          <w:lang w:val="es-ES"/>
                        </w:rPr>
                        <w:t>b</w:t>
                      </w:r>
                      <w:r w:rsidRPr="00677738">
                        <w:rPr>
                          <w:rFonts w:ascii="Arial Narrow" w:hAnsi="Arial Narrow"/>
                          <w:sz w:val="16"/>
                          <w:szCs w:val="16"/>
                        </w:rPr>
                        <w:t>≤</w:t>
                      </w:r>
                      <w:r w:rsidRPr="00677738">
                        <w:rPr>
                          <w:rFonts w:ascii="Arial Narrow" w:hAnsi="Arial Narrow"/>
                          <w:sz w:val="16"/>
                          <w:szCs w:val="16"/>
                          <w:lang w:val="en-US"/>
                        </w:rPr>
                        <w:t>x</w:t>
                      </w:r>
                      <w:r w:rsidRPr="00677738">
                        <w:rPr>
                          <w:rFonts w:ascii="Arial Narrow" w:hAnsi="Arial Narrow"/>
                          <w:sz w:val="16"/>
                          <w:szCs w:val="16"/>
                        </w:rPr>
                        <w:t xml:space="preserve"> ≤</w:t>
                      </w:r>
                      <w:r w:rsidRPr="00677738">
                        <w:rPr>
                          <w:rFonts w:ascii="Arial Narrow" w:hAnsi="Arial Narrow"/>
                          <w:sz w:val="16"/>
                          <w:szCs w:val="16"/>
                          <w:lang w:val="en-US"/>
                        </w:rPr>
                        <w:t>c</w:t>
                      </w:r>
                    </w:p>
                    <w:p w14:paraId="105264D7" w14:textId="77777777" w:rsidR="007D58AC" w:rsidRPr="00677738" w:rsidRDefault="007D58AC" w:rsidP="007D58AC">
                      <w:pPr>
                        <w:spacing w:line="360" w:lineRule="auto"/>
                        <w:rPr>
                          <w:rFonts w:ascii="Arial Narrow" w:hAnsi="Arial Narrow"/>
                          <w:sz w:val="16"/>
                          <w:szCs w:val="16"/>
                          <w:lang w:val="en-US"/>
                        </w:rPr>
                      </w:pPr>
                      <m:oMath>
                        <m:r>
                          <w:rPr>
                            <w:rFonts w:ascii="Cambria Math" w:hAnsi="Cambria Math"/>
                            <w:sz w:val="16"/>
                            <w:szCs w:val="16"/>
                            <w:lang w:val="en-US"/>
                          </w:rPr>
                          <m:t xml:space="preserve">1- </m:t>
                        </m:r>
                        <m:f>
                          <m:fPr>
                            <m:ctrlPr>
                              <w:rPr>
                                <w:rFonts w:ascii="Cambria Math" w:hAnsi="Cambria Math"/>
                                <w:i/>
                                <w:sz w:val="16"/>
                                <w:szCs w:val="16"/>
                              </w:rPr>
                            </m:ctrlPr>
                          </m:fPr>
                          <m:num>
                            <m:r>
                              <w:rPr>
                                <w:rFonts w:ascii="Cambria Math" w:hAnsi="Cambria Math"/>
                                <w:sz w:val="16"/>
                                <w:szCs w:val="16"/>
                                <w:lang w:val="en-US"/>
                              </w:rPr>
                              <m:t>x-c</m:t>
                            </m:r>
                          </m:num>
                          <m:den>
                            <m:r>
                              <w:rPr>
                                <w:rFonts w:ascii="Cambria Math" w:hAnsi="Cambria Math"/>
                                <w:sz w:val="16"/>
                                <w:szCs w:val="16"/>
                              </w:rPr>
                              <m:t>d</m:t>
                            </m:r>
                            <m:r>
                              <w:rPr>
                                <w:rFonts w:ascii="Cambria Math" w:hAnsi="Cambria Math"/>
                                <w:sz w:val="16"/>
                                <w:szCs w:val="16"/>
                                <w:lang w:val="en-US"/>
                              </w:rPr>
                              <m:t>-</m:t>
                            </m:r>
                            <m:r>
                              <w:rPr>
                                <w:rFonts w:ascii="Cambria Math" w:hAnsi="Cambria Math"/>
                                <w:sz w:val="16"/>
                                <w:szCs w:val="16"/>
                              </w:rPr>
                              <m:t>c</m:t>
                            </m:r>
                          </m:den>
                        </m:f>
                      </m:oMath>
                      <w:r w:rsidRPr="00677738">
                        <w:rPr>
                          <w:rFonts w:ascii="Arial Narrow" w:hAnsi="Arial Narrow"/>
                          <w:sz w:val="16"/>
                          <w:szCs w:val="16"/>
                          <w:lang w:val="en-US"/>
                        </w:rPr>
                        <w:t xml:space="preserve"> c≤x ≤d</w:t>
                      </w:r>
                    </w:p>
                    <w:p w14:paraId="43F343C7" w14:textId="77777777" w:rsidR="007D58AC" w:rsidRPr="00677738" w:rsidRDefault="007D58AC" w:rsidP="007D58AC">
                      <w:pPr>
                        <w:spacing w:line="360" w:lineRule="auto"/>
                        <w:rPr>
                          <w:rFonts w:ascii="Arial Narrow" w:hAnsi="Arial Narrow"/>
                          <w:sz w:val="16"/>
                          <w:szCs w:val="16"/>
                          <w:lang w:val="en-US"/>
                        </w:rPr>
                      </w:pPr>
                      <w:r w:rsidRPr="00677738">
                        <w:rPr>
                          <w:rFonts w:ascii="Arial Narrow" w:hAnsi="Arial Narrow"/>
                          <w:sz w:val="16"/>
                          <w:szCs w:val="16"/>
                          <w:lang w:val="en-US"/>
                        </w:rPr>
                        <w:t xml:space="preserve">0, </w:t>
                      </w:r>
                      <w:r w:rsidRPr="00677738">
                        <w:rPr>
                          <w:rFonts w:ascii="Arial Narrow" w:hAnsi="Arial Narrow"/>
                          <w:sz w:val="16"/>
                          <w:szCs w:val="16"/>
                        </w:rPr>
                        <w:t>при</w:t>
                      </w:r>
                      <w:r w:rsidRPr="00677738">
                        <w:rPr>
                          <w:rFonts w:ascii="Arial Narrow" w:hAnsi="Arial Narrow"/>
                          <w:sz w:val="16"/>
                          <w:szCs w:val="16"/>
                          <w:lang w:val="en-US"/>
                        </w:rPr>
                        <w:t xml:space="preserve"> x </w:t>
                      </w:r>
                      <w:r w:rsidRPr="00677738">
                        <w:rPr>
                          <w:rFonts w:ascii="Cambria Math" w:hAnsi="Cambria Math" w:cs="Cambria Math"/>
                          <w:sz w:val="16"/>
                          <w:szCs w:val="16"/>
                          <w:lang w:val="en-US"/>
                        </w:rPr>
                        <w:t>∉</w:t>
                      </w:r>
                      <w:r w:rsidRPr="00677738">
                        <w:rPr>
                          <w:rFonts w:ascii="Arial Narrow" w:hAnsi="Arial Narrow"/>
                          <w:sz w:val="16"/>
                          <w:szCs w:val="16"/>
                          <w:lang w:val="en-US"/>
                        </w:rPr>
                        <w:t xml:space="preserve"> [a;d]</w:t>
                      </w:r>
                    </w:p>
                  </w:txbxContent>
                </v:textbox>
              </v:shape>
            </w:pict>
          </mc:Fallback>
        </mc:AlternateContent>
      </w:r>
      <w:r w:rsidRPr="00C44692">
        <w:rPr>
          <w:rFonts w:ascii="Bookman Old Style" w:eastAsia="Times New Roman" w:hAnsi="Bookman Old Style" w:cs="Times New Roman"/>
          <w:noProof/>
          <w:color w:val="auto"/>
          <w:sz w:val="18"/>
          <w:szCs w:val="18"/>
          <w:highlight w:val="green"/>
          <w:lang w:bidi="ar-SA"/>
        </w:rPr>
        <mc:AlternateContent>
          <mc:Choice Requires="wps">
            <w:drawing>
              <wp:anchor distT="0" distB="0" distL="114300" distR="114300" simplePos="0" relativeHeight="377493310" behindDoc="0" locked="0" layoutInCell="1" allowOverlap="1" wp14:anchorId="6D877A5E" wp14:editId="06515996">
                <wp:simplePos x="0" y="0"/>
                <wp:positionH relativeFrom="column">
                  <wp:posOffset>1368425</wp:posOffset>
                </wp:positionH>
                <wp:positionV relativeFrom="paragraph">
                  <wp:posOffset>300355</wp:posOffset>
                </wp:positionV>
                <wp:extent cx="265430" cy="783590"/>
                <wp:effectExtent l="7620" t="11430" r="12700" b="5080"/>
                <wp:wrapNone/>
                <wp:docPr id="235" name="Левая фигурная скобка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783590"/>
                        </a:xfrm>
                        <a:prstGeom prst="leftBrace">
                          <a:avLst>
                            <a:gd name="adj1" fmla="val 97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C1C6" id="Левая фигурная скобка 235" o:spid="_x0000_s1026" type="#_x0000_t87" style="position:absolute;margin-left:107.75pt;margin-top:23.65pt;width:20.9pt;height:61.7pt;z-index:37749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" adj="716"/>
            </w:pict>
          </mc:Fallback>
        </mc:AlternateContent>
      </w:r>
    </w:p>
    <w:p w14:paraId="7FA036D6"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p>
    <w:p w14:paraId="4064B0C5" w14:textId="5EDDDECA" w:rsidR="007D58AC" w:rsidRPr="00C44692" w:rsidRDefault="007D58AC" w:rsidP="007D58AC">
      <w:pPr>
        <w:tabs>
          <w:tab w:val="left" w:pos="7485"/>
        </w:tabs>
        <w:spacing w:after="200" w:line="240" w:lineRule="auto"/>
        <w:ind w:left="720"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val="en-US" w:bidi="ar-SA"/>
        </w:rPr>
        <w:t>μ</w:t>
      </w:r>
      <w:r w:rsidRPr="00C44692">
        <w:rPr>
          <w:rFonts w:ascii="Bookman Old Style" w:eastAsia="Times New Roman" w:hAnsi="Bookman Old Style" w:cs="Times New Roman"/>
          <w:color w:val="auto"/>
          <w:sz w:val="18"/>
          <w:szCs w:val="18"/>
          <w:highlight w:val="green"/>
          <w:lang w:bidi="ar-SA"/>
        </w:rPr>
        <w:t>(</w:t>
      </w:r>
      <w:r w:rsidRPr="00C44692">
        <w:rPr>
          <w:rFonts w:ascii="Bookman Old Style" w:eastAsia="Times New Roman" w:hAnsi="Bookman Old Style" w:cs="Times New Roman"/>
          <w:color w:val="auto"/>
          <w:sz w:val="18"/>
          <w:szCs w:val="18"/>
          <w:highlight w:val="green"/>
          <w:lang w:val="en-US" w:bidi="ar-SA"/>
        </w:rPr>
        <w:t>x</w:t>
      </w:r>
      <w:r w:rsidRPr="00C44692">
        <w:rPr>
          <w:rFonts w:ascii="Bookman Old Style" w:eastAsia="Times New Roman" w:hAnsi="Bookman Old Style" w:cs="Times New Roman"/>
          <w:color w:val="auto"/>
          <w:sz w:val="18"/>
          <w:szCs w:val="18"/>
          <w:highlight w:val="green"/>
          <w:lang w:bidi="ar-SA"/>
        </w:rPr>
        <w:t>)</w:t>
      </w:r>
      <w:r w:rsidR="00995420" w:rsidRPr="00C44692">
        <w:rPr>
          <w:rFonts w:ascii="Bookman Old Style" w:eastAsia="Times New Roman" w:hAnsi="Bookman Old Style" w:cs="Times New Roman"/>
          <w:color w:val="auto"/>
          <w:sz w:val="18"/>
          <w:szCs w:val="18"/>
          <w:highlight w:val="green"/>
          <w:lang w:bidi="ar-SA"/>
        </w:rPr>
        <w:t>= =</w:t>
      </w:r>
      <w:r w:rsidRPr="00C44692">
        <w:rPr>
          <w:rFonts w:ascii="Bookman Old Style" w:eastAsia="Times New Roman" w:hAnsi="Bookman Old Style" w:cs="Times New Roman"/>
          <w:color w:val="auto"/>
          <w:sz w:val="18"/>
          <w:szCs w:val="18"/>
          <w:highlight w:val="green"/>
          <w:lang w:bidi="ar-SA"/>
        </w:rPr>
        <w:t xml:space="preserve"> = </w:t>
      </w:r>
      <w:r w:rsidRPr="00C44692">
        <w:rPr>
          <w:rFonts w:ascii="Bookman Old Style" w:eastAsia="Times New Roman" w:hAnsi="Bookman Old Style" w:cs="Times New Roman"/>
          <w:color w:val="auto"/>
          <w:sz w:val="18"/>
          <w:szCs w:val="18"/>
          <w:highlight w:val="green"/>
          <w:lang w:bidi="ar-SA"/>
        </w:rPr>
        <w:tab/>
        <w:t>(</w:t>
      </w:r>
      <w:r w:rsidR="007737D2"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4)</w:t>
      </w:r>
    </w:p>
    <w:p w14:paraId="71DE474F"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7762A86B"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u w:val="single"/>
          <w:lang w:bidi="ar-SA"/>
        </w:rPr>
      </w:pPr>
    </w:p>
    <w:p w14:paraId="1EE4017E"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2C19F28D"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7A7AD267"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54E6A8AF"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2FE237BD"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6. Методом экспертных оценок определяются интервалы значений для выбранных показателей. Они записываются в таблицу. Ниже представлен пример таблицы, в которую заносятся интервалы значений выбранных показателей. </w:t>
      </w:r>
    </w:p>
    <w:p w14:paraId="1481124C" w14:textId="77777777" w:rsidR="007D58AC" w:rsidRPr="00C44692" w:rsidRDefault="007D58AC" w:rsidP="007D58AC">
      <w:pPr>
        <w:spacing w:line="240" w:lineRule="auto"/>
        <w:ind w:firstLine="0"/>
        <w:jc w:val="right"/>
        <w:rPr>
          <w:rFonts w:ascii="Bookman Old Style" w:eastAsia="Times New Roman" w:hAnsi="Bookman Old Style" w:cs="Times New Roman"/>
          <w:b/>
          <w:i/>
          <w:color w:val="auto"/>
          <w:sz w:val="18"/>
          <w:szCs w:val="18"/>
          <w:highlight w:val="green"/>
          <w:lang w:bidi="ar-SA"/>
        </w:rPr>
      </w:pPr>
      <w:r w:rsidRPr="00C44692">
        <w:rPr>
          <w:rFonts w:ascii="Bookman Old Style" w:eastAsia="Times New Roman" w:hAnsi="Bookman Old Style" w:cs="Times New Roman"/>
          <w:b/>
          <w:i/>
          <w:color w:val="auto"/>
          <w:sz w:val="18"/>
          <w:szCs w:val="18"/>
          <w:highlight w:val="green"/>
          <w:lang w:bidi="ar-SA"/>
        </w:rPr>
        <w:t>Таблица  2.</w:t>
      </w:r>
    </w:p>
    <w:p w14:paraId="36A7AFC6" w14:textId="77777777" w:rsidR="007D58AC" w:rsidRPr="00C44692" w:rsidRDefault="007D58AC" w:rsidP="007D58AC">
      <w:pPr>
        <w:spacing w:line="240" w:lineRule="auto"/>
        <w:ind w:firstLine="0"/>
        <w:jc w:val="center"/>
        <w:rPr>
          <w:rFonts w:ascii="Bookman Old Style" w:eastAsia="Times New Roman" w:hAnsi="Bookman Old Style" w:cs="Times New Roman"/>
          <w:b/>
          <w:i/>
          <w:color w:val="auto"/>
          <w:sz w:val="18"/>
          <w:szCs w:val="18"/>
          <w:highlight w:val="green"/>
          <w:lang w:bidi="ar-SA"/>
        </w:rPr>
      </w:pPr>
      <w:r w:rsidRPr="00C44692">
        <w:rPr>
          <w:rFonts w:ascii="Bookman Old Style" w:eastAsia="Times New Roman" w:hAnsi="Bookman Old Style" w:cs="Times New Roman"/>
          <w:b/>
          <w:i/>
          <w:color w:val="auto"/>
          <w:sz w:val="18"/>
          <w:szCs w:val="18"/>
          <w:highlight w:val="green"/>
          <w:lang w:bidi="ar-SA"/>
        </w:rPr>
        <w:t xml:space="preserve">Интервалы значений для анализируемых показателей </w:t>
      </w:r>
      <w:r w:rsidRPr="00C44692">
        <w:rPr>
          <w:rFonts w:ascii="Bookman Old Style" w:eastAsia="Times New Roman" w:hAnsi="Bookman Old Style" w:cs="Times New Roman"/>
          <w:b/>
          <w:i/>
          <w:color w:val="auto"/>
          <w:sz w:val="18"/>
          <w:szCs w:val="18"/>
          <w:highlight w:val="green"/>
          <w:lang w:val="en-US" w:bidi="ar-SA"/>
        </w:rPr>
        <w:t>X</w:t>
      </w:r>
      <w:r w:rsidRPr="00C44692">
        <w:rPr>
          <w:rFonts w:ascii="Bookman Old Style" w:eastAsia="Times New Roman" w:hAnsi="Bookman Old Style" w:cs="Times New Roman"/>
          <w:b/>
          <w:i/>
          <w:color w:val="auto"/>
          <w:sz w:val="18"/>
          <w:szCs w:val="18"/>
          <w:highlight w:val="green"/>
          <w:lang w:bidi="ar-SA"/>
        </w:rPr>
        <w:t xml:space="preserve">1… </w:t>
      </w:r>
      <w:r w:rsidRPr="00C44692">
        <w:rPr>
          <w:rFonts w:ascii="Bookman Old Style" w:eastAsia="Times New Roman" w:hAnsi="Bookman Old Style" w:cs="Times New Roman"/>
          <w:b/>
          <w:i/>
          <w:color w:val="auto"/>
          <w:sz w:val="18"/>
          <w:szCs w:val="18"/>
          <w:highlight w:val="green"/>
          <w:lang w:val="en-US" w:bidi="ar-SA"/>
        </w:rPr>
        <w:t>Xn</w:t>
      </w:r>
      <w:r w:rsidRPr="00C44692">
        <w:rPr>
          <w:rFonts w:ascii="Bookman Old Style" w:eastAsiaTheme="minorEastAsia" w:hAnsi="Bookman Old Style" w:cs="Times New Roman"/>
          <w:b/>
          <w:i/>
          <w:color w:val="auto"/>
          <w:sz w:val="18"/>
          <w:szCs w:val="18"/>
          <w:highlight w:val="green"/>
          <w:vertAlign w:val="superscript"/>
          <w:lang w:val="en-US" w:bidi="ar-SA"/>
        </w:rPr>
        <w:footnoteReference w:id="214"/>
      </w:r>
    </w:p>
    <w:tbl>
      <w:tblPr>
        <w:tblStyle w:val="afc"/>
        <w:tblW w:w="7366" w:type="dxa"/>
        <w:tblLook w:val="04A0" w:firstRow="1" w:lastRow="0" w:firstColumn="1" w:lastColumn="0" w:noHBand="0" w:noVBand="1"/>
      </w:tblPr>
      <w:tblGrid>
        <w:gridCol w:w="1569"/>
        <w:gridCol w:w="1126"/>
        <w:gridCol w:w="1224"/>
        <w:gridCol w:w="1177"/>
        <w:gridCol w:w="1035"/>
        <w:gridCol w:w="1235"/>
      </w:tblGrid>
      <w:tr w:rsidR="007737D2" w:rsidRPr="00C44692" w14:paraId="1966AA25" w14:textId="77777777" w:rsidTr="00677738">
        <w:tc>
          <w:tcPr>
            <w:tcW w:w="1184" w:type="dxa"/>
          </w:tcPr>
          <w:p w14:paraId="5A0F0151"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lastRenderedPageBreak/>
              <w:t>Наименование показателя</w:t>
            </w:r>
          </w:p>
        </w:tc>
        <w:tc>
          <w:tcPr>
            <w:tcW w:w="1273" w:type="dxa"/>
          </w:tcPr>
          <w:p w14:paraId="0CB257B8"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Очень низкий</w:t>
            </w:r>
          </w:p>
        </w:tc>
        <w:tc>
          <w:tcPr>
            <w:tcW w:w="1414" w:type="dxa"/>
          </w:tcPr>
          <w:p w14:paraId="30DBF8C6"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Низкий</w:t>
            </w:r>
          </w:p>
        </w:tc>
        <w:tc>
          <w:tcPr>
            <w:tcW w:w="1274" w:type="dxa"/>
          </w:tcPr>
          <w:p w14:paraId="01E38FFC"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Средний</w:t>
            </w:r>
          </w:p>
        </w:tc>
        <w:tc>
          <w:tcPr>
            <w:tcW w:w="850" w:type="dxa"/>
          </w:tcPr>
          <w:p w14:paraId="1217780A"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Высокий</w:t>
            </w:r>
          </w:p>
        </w:tc>
        <w:tc>
          <w:tcPr>
            <w:tcW w:w="1371" w:type="dxa"/>
          </w:tcPr>
          <w:p w14:paraId="2964C1AC"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Очень высокий</w:t>
            </w:r>
          </w:p>
        </w:tc>
      </w:tr>
      <w:tr w:rsidR="007737D2" w:rsidRPr="00C44692" w14:paraId="089D65E7" w14:textId="77777777" w:rsidTr="00677738">
        <w:tc>
          <w:tcPr>
            <w:tcW w:w="1184" w:type="dxa"/>
          </w:tcPr>
          <w:p w14:paraId="129A0BEF"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lang w:val="en-US"/>
              </w:rPr>
              <w:t>X</w:t>
            </w:r>
            <w:r w:rsidRPr="00C44692">
              <w:rPr>
                <w:rFonts w:ascii="Bookman Old Style" w:hAnsi="Bookman Old Style" w:cs="Times New Roman"/>
                <w:color w:val="auto"/>
                <w:sz w:val="18"/>
                <w:szCs w:val="18"/>
                <w:highlight w:val="green"/>
              </w:rPr>
              <w:t>1</w:t>
            </w:r>
          </w:p>
        </w:tc>
        <w:tc>
          <w:tcPr>
            <w:tcW w:w="1273" w:type="dxa"/>
          </w:tcPr>
          <w:p w14:paraId="3AC89608"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[0, 0,65]</w:t>
            </w:r>
          </w:p>
        </w:tc>
        <w:tc>
          <w:tcPr>
            <w:tcW w:w="1414" w:type="dxa"/>
          </w:tcPr>
          <w:p w14:paraId="3C309250"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[0,5, 1,15]</w:t>
            </w:r>
          </w:p>
        </w:tc>
        <w:tc>
          <w:tcPr>
            <w:tcW w:w="1274" w:type="dxa"/>
          </w:tcPr>
          <w:p w14:paraId="2E69E5FF"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[1, 1,65]</w:t>
            </w:r>
          </w:p>
        </w:tc>
        <w:tc>
          <w:tcPr>
            <w:tcW w:w="850" w:type="dxa"/>
          </w:tcPr>
          <w:p w14:paraId="2FA946CC"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[1,5, 2,15]</w:t>
            </w:r>
          </w:p>
        </w:tc>
        <w:tc>
          <w:tcPr>
            <w:tcW w:w="1371" w:type="dxa"/>
          </w:tcPr>
          <w:p w14:paraId="0C0DCDD0" w14:textId="77777777" w:rsidR="007D58AC" w:rsidRPr="00C44692" w:rsidRDefault="007D58AC" w:rsidP="007D58AC">
            <w:pPr>
              <w:rPr>
                <w:rFonts w:ascii="Bookman Old Style" w:hAnsi="Bookman Old Style" w:cs="Times New Roman"/>
                <w:color w:val="auto"/>
                <w:sz w:val="18"/>
                <w:szCs w:val="18"/>
                <w:highlight w:val="green"/>
                <w:lang w:val="en-US"/>
              </w:rPr>
            </w:pPr>
            <w:r w:rsidRPr="00C44692">
              <w:rPr>
                <w:rFonts w:ascii="Bookman Old Style" w:hAnsi="Bookman Old Style" w:cs="Times New Roman"/>
                <w:color w:val="auto"/>
                <w:sz w:val="18"/>
                <w:szCs w:val="18"/>
                <w:highlight w:val="green"/>
              </w:rPr>
              <w:t>[2, 2</w:t>
            </w:r>
            <w:r w:rsidRPr="00C44692">
              <w:rPr>
                <w:rFonts w:ascii="Bookman Old Style" w:hAnsi="Bookman Old Style" w:cs="Times New Roman"/>
                <w:color w:val="auto"/>
                <w:sz w:val="18"/>
                <w:szCs w:val="18"/>
                <w:highlight w:val="green"/>
                <w:lang w:val="en-US"/>
              </w:rPr>
              <w:t>,65]</w:t>
            </w:r>
          </w:p>
        </w:tc>
      </w:tr>
      <w:tr w:rsidR="007737D2" w:rsidRPr="00C44692" w14:paraId="7A5772FF" w14:textId="77777777" w:rsidTr="00677738">
        <w:tc>
          <w:tcPr>
            <w:tcW w:w="1184" w:type="dxa"/>
          </w:tcPr>
          <w:p w14:paraId="195B1162" w14:textId="77777777" w:rsidR="007D58AC" w:rsidRPr="00C44692" w:rsidRDefault="007D58AC" w:rsidP="007D58AC">
            <w:pPr>
              <w:rPr>
                <w:rFonts w:ascii="Bookman Old Style" w:hAnsi="Bookman Old Style" w:cs="Times New Roman"/>
                <w:color w:val="auto"/>
                <w:sz w:val="18"/>
                <w:szCs w:val="18"/>
                <w:highlight w:val="green"/>
                <w:lang w:val="en-US"/>
              </w:rPr>
            </w:pPr>
            <w:r w:rsidRPr="00C44692">
              <w:rPr>
                <w:rFonts w:ascii="Bookman Old Style" w:hAnsi="Bookman Old Style" w:cs="Times New Roman"/>
                <w:color w:val="auto"/>
                <w:sz w:val="18"/>
                <w:szCs w:val="18"/>
                <w:highlight w:val="green"/>
                <w:lang w:val="en-US"/>
              </w:rPr>
              <w:t>…</w:t>
            </w:r>
          </w:p>
        </w:tc>
        <w:tc>
          <w:tcPr>
            <w:tcW w:w="1273" w:type="dxa"/>
          </w:tcPr>
          <w:p w14:paraId="55B6947F"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414" w:type="dxa"/>
          </w:tcPr>
          <w:p w14:paraId="586BB94E"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274" w:type="dxa"/>
          </w:tcPr>
          <w:p w14:paraId="37B0D820"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850" w:type="dxa"/>
          </w:tcPr>
          <w:p w14:paraId="166027F5"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371" w:type="dxa"/>
          </w:tcPr>
          <w:p w14:paraId="01E99DCD"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r>
      <w:tr w:rsidR="007737D2" w:rsidRPr="00C44692" w14:paraId="439729D2" w14:textId="77777777" w:rsidTr="00677738">
        <w:tc>
          <w:tcPr>
            <w:tcW w:w="1184" w:type="dxa"/>
          </w:tcPr>
          <w:p w14:paraId="07E3A351" w14:textId="77777777" w:rsidR="007D58AC" w:rsidRPr="00C44692" w:rsidRDefault="007D58AC" w:rsidP="007D58AC">
            <w:pPr>
              <w:rPr>
                <w:rFonts w:ascii="Bookman Old Style" w:hAnsi="Bookman Old Style" w:cs="Times New Roman"/>
                <w:color w:val="auto"/>
                <w:sz w:val="18"/>
                <w:szCs w:val="18"/>
                <w:highlight w:val="green"/>
                <w:lang w:val="en-US"/>
              </w:rPr>
            </w:pPr>
            <w:r w:rsidRPr="00C44692">
              <w:rPr>
                <w:rFonts w:ascii="Bookman Old Style" w:hAnsi="Bookman Old Style" w:cs="Times New Roman"/>
                <w:color w:val="auto"/>
                <w:sz w:val="18"/>
                <w:szCs w:val="18"/>
                <w:highlight w:val="green"/>
                <w:lang w:val="en-US"/>
              </w:rPr>
              <w:t>Xn</w:t>
            </w:r>
          </w:p>
        </w:tc>
        <w:tc>
          <w:tcPr>
            <w:tcW w:w="1273" w:type="dxa"/>
          </w:tcPr>
          <w:p w14:paraId="42FD1C96"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414" w:type="dxa"/>
          </w:tcPr>
          <w:p w14:paraId="033E8F3F"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274" w:type="dxa"/>
          </w:tcPr>
          <w:p w14:paraId="120A14D1"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850" w:type="dxa"/>
          </w:tcPr>
          <w:p w14:paraId="27CD60DC"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371" w:type="dxa"/>
          </w:tcPr>
          <w:p w14:paraId="0D09949E"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r>
    </w:tbl>
    <w:p w14:paraId="192C2E84"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val="en-US" w:bidi="ar-SA"/>
        </w:rPr>
      </w:pPr>
    </w:p>
    <w:p w14:paraId="4F012D88"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 Этап 7. Определяются параметры (вершины) трапециевидной функции </w:t>
      </w:r>
      <w:r w:rsidRPr="00C44692">
        <w:rPr>
          <w:rFonts w:ascii="Bookman Old Style" w:eastAsia="Times New Roman" w:hAnsi="Bookman Old Style" w:cs="Times New Roman"/>
          <w:color w:val="auto"/>
          <w:sz w:val="18"/>
          <w:szCs w:val="18"/>
          <w:highlight w:val="green"/>
          <w:lang w:val="en-US" w:bidi="ar-SA"/>
        </w:rPr>
        <w:t>a</w:t>
      </w:r>
      <w:r w:rsidRPr="00C44692">
        <w:rPr>
          <w:rFonts w:ascii="Bookman Old Style" w:eastAsia="Times New Roman" w:hAnsi="Bookman Old Style" w:cs="Times New Roman"/>
          <w:color w:val="auto"/>
          <w:sz w:val="18"/>
          <w:szCs w:val="18"/>
          <w:highlight w:val="green"/>
          <w:lang w:bidi="ar-SA"/>
        </w:rPr>
        <w:t>,</w:t>
      </w:r>
      <w:r w:rsidRPr="00C44692">
        <w:rPr>
          <w:rFonts w:ascii="Bookman Old Style" w:eastAsia="Times New Roman" w:hAnsi="Bookman Old Style" w:cs="Times New Roman"/>
          <w:color w:val="auto"/>
          <w:sz w:val="18"/>
          <w:szCs w:val="18"/>
          <w:highlight w:val="green"/>
          <w:lang w:val="en-US" w:bidi="ar-SA"/>
        </w:rPr>
        <w:t>b</w:t>
      </w:r>
      <w:r w:rsidRPr="00C44692">
        <w:rPr>
          <w:rFonts w:ascii="Bookman Old Style" w:eastAsia="Times New Roman" w:hAnsi="Bookman Old Style" w:cs="Times New Roman"/>
          <w:color w:val="auto"/>
          <w:sz w:val="18"/>
          <w:szCs w:val="18"/>
          <w:highlight w:val="green"/>
          <w:lang w:bidi="ar-SA"/>
        </w:rPr>
        <w:t>,</w:t>
      </w:r>
      <w:r w:rsidRPr="00C44692">
        <w:rPr>
          <w:rFonts w:ascii="Bookman Old Style" w:eastAsia="Times New Roman" w:hAnsi="Bookman Old Style" w:cs="Times New Roman"/>
          <w:color w:val="auto"/>
          <w:sz w:val="18"/>
          <w:szCs w:val="18"/>
          <w:highlight w:val="green"/>
          <w:lang w:val="en-US" w:bidi="ar-SA"/>
        </w:rPr>
        <w:t>c</w:t>
      </w:r>
      <w:r w:rsidRPr="00C44692">
        <w:rPr>
          <w:rFonts w:ascii="Bookman Old Style" w:eastAsia="Times New Roman" w:hAnsi="Bookman Old Style" w:cs="Times New Roman"/>
          <w:color w:val="auto"/>
          <w:sz w:val="18"/>
          <w:szCs w:val="18"/>
          <w:highlight w:val="green"/>
          <w:lang w:bidi="ar-SA"/>
        </w:rPr>
        <w:t>,</w:t>
      </w:r>
      <w:r w:rsidRPr="00C44692">
        <w:rPr>
          <w:rFonts w:ascii="Bookman Old Style" w:eastAsia="Times New Roman" w:hAnsi="Bookman Old Style" w:cs="Times New Roman"/>
          <w:color w:val="auto"/>
          <w:sz w:val="18"/>
          <w:szCs w:val="18"/>
          <w:highlight w:val="green"/>
          <w:lang w:val="en-US" w:bidi="ar-SA"/>
        </w:rPr>
        <w:t>d</w:t>
      </w:r>
      <w:r w:rsidRPr="00C44692">
        <w:rPr>
          <w:rFonts w:ascii="Bookman Old Style" w:eastAsia="Times New Roman" w:hAnsi="Bookman Old Style" w:cs="Times New Roman"/>
          <w:color w:val="auto"/>
          <w:sz w:val="18"/>
          <w:szCs w:val="18"/>
          <w:highlight w:val="green"/>
          <w:lang w:bidi="ar-SA"/>
        </w:rPr>
        <w:t xml:space="preserve"> по формуле дефаззификации среднего максимума</w:t>
      </w:r>
      <w:r w:rsidRPr="00C44692">
        <w:rPr>
          <w:rFonts w:ascii="Bookman Old Style" w:eastAsiaTheme="minorEastAsia" w:hAnsi="Bookman Old Style" w:cs="Times New Roman"/>
          <w:color w:val="auto"/>
          <w:sz w:val="18"/>
          <w:szCs w:val="18"/>
          <w:highlight w:val="green"/>
          <w:vertAlign w:val="superscript"/>
          <w:lang w:bidi="ar-SA"/>
        </w:rPr>
        <w:footnoteReference w:id="215"/>
      </w:r>
      <w:r w:rsidRPr="00C44692">
        <w:rPr>
          <w:rFonts w:ascii="Bookman Old Style" w:eastAsia="Times New Roman" w:hAnsi="Bookman Old Style" w:cs="Times New Roman"/>
          <w:color w:val="auto"/>
          <w:sz w:val="18"/>
          <w:szCs w:val="18"/>
          <w:highlight w:val="green"/>
          <w:lang w:bidi="ar-SA"/>
        </w:rPr>
        <w:t xml:space="preserve">: </w:t>
      </w:r>
    </w:p>
    <w:p w14:paraId="7B3CA15B" w14:textId="7960C864"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val="en-US" w:bidi="ar-SA"/>
        </w:rPr>
        <w:t>g</w:t>
      </w:r>
      <w:r w:rsidRPr="00C44692">
        <w:rPr>
          <w:rFonts w:ascii="Bookman Old Style" w:eastAsia="Times New Roman" w:hAnsi="Bookman Old Style" w:cs="Times New Roman"/>
          <w:color w:val="auto"/>
          <w:sz w:val="18"/>
          <w:szCs w:val="18"/>
          <w:highlight w:val="green"/>
          <w:lang w:bidi="ar-SA"/>
        </w:rPr>
        <w:t>=</w:t>
      </w:r>
      <m:oMath>
        <m:f>
          <m:fPr>
            <m:ctrlPr>
              <w:rPr>
                <w:rFonts w:ascii="Cambria Math" w:eastAsia="Times New Roman" w:hAnsi="Cambria Math" w:cs="Times New Roman"/>
                <w:i/>
                <w:color w:val="auto"/>
                <w:sz w:val="18"/>
                <w:szCs w:val="18"/>
                <w:highlight w:val="green"/>
                <w:lang w:val="en-US" w:bidi="ar-SA"/>
              </w:rPr>
            </m:ctrlPr>
          </m:fPr>
          <m:num>
            <m:r>
              <w:rPr>
                <w:rFonts w:ascii="Cambria Math" w:eastAsia="Times New Roman" w:hAnsi="Cambria Math" w:cs="Times New Roman"/>
                <w:color w:val="auto"/>
                <w:sz w:val="18"/>
                <w:szCs w:val="18"/>
                <w:highlight w:val="green"/>
                <w:lang w:val="en-US" w:bidi="ar-SA"/>
              </w:rPr>
              <m:t>Kja</m:t>
            </m:r>
            <m:r>
              <w:rPr>
                <w:rFonts w:ascii="Cambria Math" w:eastAsia="Times New Roman" w:hAnsi="Cambria Math" w:cs="Times New Roman"/>
                <w:color w:val="auto"/>
                <w:sz w:val="18"/>
                <w:szCs w:val="18"/>
                <w:highlight w:val="green"/>
                <w:lang w:bidi="ar-SA"/>
              </w:rPr>
              <m:t>+</m:t>
            </m:r>
            <m:r>
              <w:rPr>
                <w:rFonts w:ascii="Cambria Math" w:eastAsia="Times New Roman" w:hAnsi="Cambria Math" w:cs="Times New Roman"/>
                <w:color w:val="auto"/>
                <w:sz w:val="18"/>
                <w:szCs w:val="18"/>
                <w:highlight w:val="green"/>
                <w:lang w:val="en-US" w:bidi="ar-SA"/>
              </w:rPr>
              <m:t>Kjb</m:t>
            </m:r>
          </m:num>
          <m:den>
            <m:r>
              <w:rPr>
                <w:rFonts w:ascii="Cambria Math" w:eastAsia="Times New Roman" w:hAnsi="Cambria Math" w:cs="Times New Roman"/>
                <w:color w:val="auto"/>
                <w:sz w:val="18"/>
                <w:szCs w:val="18"/>
                <w:highlight w:val="green"/>
                <w:lang w:bidi="ar-SA"/>
              </w:rPr>
              <m:t>2</m:t>
            </m:r>
          </m:den>
        </m:f>
      </m:oMath>
      <w:r w:rsidRPr="00C44692">
        <w:rPr>
          <w:rFonts w:ascii="Bookman Old Style" w:eastAsia="Times New Roman" w:hAnsi="Bookman Old Style" w:cs="Times New Roman"/>
          <w:color w:val="auto"/>
          <w:sz w:val="18"/>
          <w:szCs w:val="18"/>
          <w:highlight w:val="green"/>
          <w:lang w:bidi="ar-SA"/>
        </w:rPr>
        <w:t xml:space="preserve"> (</w:t>
      </w:r>
      <w:r w:rsidR="007737D2"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5)</w:t>
      </w:r>
    </w:p>
    <w:p w14:paraId="60070FED"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09FAD849" w14:textId="77777777" w:rsidR="007D58AC" w:rsidRPr="00C44692" w:rsidRDefault="007D58AC" w:rsidP="007D58AC">
      <w:pPr>
        <w:spacing w:line="240" w:lineRule="auto"/>
        <w:ind w:firstLine="0"/>
        <w:jc w:val="right"/>
        <w:rPr>
          <w:rFonts w:ascii="Bookman Old Style" w:eastAsia="Times New Roman" w:hAnsi="Bookman Old Style" w:cs="Times New Roman"/>
          <w:b/>
          <w:i/>
          <w:color w:val="auto"/>
          <w:sz w:val="18"/>
          <w:szCs w:val="18"/>
          <w:highlight w:val="green"/>
          <w:lang w:bidi="ar-SA"/>
        </w:rPr>
      </w:pPr>
      <w:r w:rsidRPr="00C44692">
        <w:rPr>
          <w:rFonts w:ascii="Bookman Old Style" w:eastAsia="Times New Roman" w:hAnsi="Bookman Old Style" w:cs="Times New Roman"/>
          <w:b/>
          <w:i/>
          <w:color w:val="auto"/>
          <w:sz w:val="18"/>
          <w:szCs w:val="18"/>
          <w:highlight w:val="green"/>
          <w:lang w:bidi="ar-SA"/>
        </w:rPr>
        <w:t>Таблица 3.</w:t>
      </w:r>
    </w:p>
    <w:p w14:paraId="77480C2F" w14:textId="77777777" w:rsidR="007D58AC" w:rsidRPr="00C44692" w:rsidRDefault="007D58AC" w:rsidP="007D58AC">
      <w:pPr>
        <w:spacing w:line="240" w:lineRule="auto"/>
        <w:ind w:firstLine="0"/>
        <w:jc w:val="center"/>
        <w:rPr>
          <w:rFonts w:ascii="Bookman Old Style" w:eastAsia="Times New Roman" w:hAnsi="Bookman Old Style" w:cs="Times New Roman"/>
          <w:b/>
          <w:i/>
          <w:color w:val="auto"/>
          <w:sz w:val="18"/>
          <w:szCs w:val="18"/>
          <w:highlight w:val="green"/>
          <w:lang w:bidi="ar-SA"/>
        </w:rPr>
      </w:pPr>
      <w:r w:rsidRPr="00C44692">
        <w:rPr>
          <w:rFonts w:ascii="Bookman Old Style" w:eastAsia="Times New Roman" w:hAnsi="Bookman Old Style" w:cs="Times New Roman"/>
          <w:b/>
          <w:i/>
          <w:color w:val="auto"/>
          <w:sz w:val="18"/>
          <w:szCs w:val="18"/>
          <w:highlight w:val="green"/>
          <w:lang w:bidi="ar-SA"/>
        </w:rPr>
        <w:t xml:space="preserve">Параметры (вершины) трапециевидной функции </w:t>
      </w:r>
      <w:r w:rsidRPr="00C44692">
        <w:rPr>
          <w:rFonts w:ascii="Bookman Old Style" w:eastAsia="Times New Roman" w:hAnsi="Bookman Old Style" w:cs="Times New Roman"/>
          <w:b/>
          <w:i/>
          <w:color w:val="auto"/>
          <w:sz w:val="18"/>
          <w:szCs w:val="18"/>
          <w:highlight w:val="green"/>
          <w:lang w:val="en-US" w:bidi="ar-SA"/>
        </w:rPr>
        <w:t>a</w:t>
      </w:r>
      <w:r w:rsidRPr="00C44692">
        <w:rPr>
          <w:rFonts w:ascii="Bookman Old Style" w:eastAsia="Times New Roman" w:hAnsi="Bookman Old Style" w:cs="Times New Roman"/>
          <w:b/>
          <w:i/>
          <w:color w:val="auto"/>
          <w:sz w:val="18"/>
          <w:szCs w:val="18"/>
          <w:highlight w:val="green"/>
          <w:lang w:bidi="ar-SA"/>
        </w:rPr>
        <w:t>,</w:t>
      </w:r>
      <w:r w:rsidRPr="00C44692">
        <w:rPr>
          <w:rFonts w:ascii="Bookman Old Style" w:eastAsia="Times New Roman" w:hAnsi="Bookman Old Style" w:cs="Times New Roman"/>
          <w:b/>
          <w:i/>
          <w:color w:val="auto"/>
          <w:sz w:val="18"/>
          <w:szCs w:val="18"/>
          <w:highlight w:val="green"/>
          <w:lang w:val="en-US" w:bidi="ar-SA"/>
        </w:rPr>
        <w:t>b</w:t>
      </w:r>
      <w:r w:rsidRPr="00C44692">
        <w:rPr>
          <w:rFonts w:ascii="Bookman Old Style" w:eastAsia="Times New Roman" w:hAnsi="Bookman Old Style" w:cs="Times New Roman"/>
          <w:b/>
          <w:i/>
          <w:color w:val="auto"/>
          <w:sz w:val="18"/>
          <w:szCs w:val="18"/>
          <w:highlight w:val="green"/>
          <w:lang w:bidi="ar-SA"/>
        </w:rPr>
        <w:t>,</w:t>
      </w:r>
      <w:r w:rsidRPr="00C44692">
        <w:rPr>
          <w:rFonts w:ascii="Bookman Old Style" w:eastAsia="Times New Roman" w:hAnsi="Bookman Old Style" w:cs="Times New Roman"/>
          <w:b/>
          <w:i/>
          <w:color w:val="auto"/>
          <w:sz w:val="18"/>
          <w:szCs w:val="18"/>
          <w:highlight w:val="green"/>
          <w:lang w:val="en-US" w:bidi="ar-SA"/>
        </w:rPr>
        <w:t>c</w:t>
      </w:r>
      <w:r w:rsidRPr="00C44692">
        <w:rPr>
          <w:rFonts w:ascii="Bookman Old Style" w:eastAsia="Times New Roman" w:hAnsi="Bookman Old Style" w:cs="Times New Roman"/>
          <w:b/>
          <w:i/>
          <w:color w:val="auto"/>
          <w:sz w:val="18"/>
          <w:szCs w:val="18"/>
          <w:highlight w:val="green"/>
          <w:lang w:bidi="ar-SA"/>
        </w:rPr>
        <w:t>,</w:t>
      </w:r>
      <w:r w:rsidRPr="00C44692">
        <w:rPr>
          <w:rFonts w:ascii="Bookman Old Style" w:eastAsia="Times New Roman" w:hAnsi="Bookman Old Style" w:cs="Times New Roman"/>
          <w:b/>
          <w:i/>
          <w:color w:val="auto"/>
          <w:sz w:val="18"/>
          <w:szCs w:val="18"/>
          <w:highlight w:val="green"/>
          <w:lang w:val="en-US" w:bidi="ar-SA"/>
        </w:rPr>
        <w:t>d</w:t>
      </w:r>
      <w:r w:rsidRPr="00C44692">
        <w:rPr>
          <w:rFonts w:ascii="Bookman Old Style" w:eastAsia="Times New Roman" w:hAnsi="Bookman Old Style" w:cs="Times New Roman"/>
          <w:b/>
          <w:i/>
          <w:color w:val="auto"/>
          <w:sz w:val="18"/>
          <w:szCs w:val="18"/>
          <w:highlight w:val="green"/>
          <w:lang w:bidi="ar-SA"/>
        </w:rPr>
        <w:t xml:space="preserve">. для анализируемых показателей </w:t>
      </w:r>
      <w:r w:rsidRPr="00C44692">
        <w:rPr>
          <w:rFonts w:ascii="Bookman Old Style" w:eastAsia="Times New Roman" w:hAnsi="Bookman Old Style" w:cs="Times New Roman"/>
          <w:b/>
          <w:i/>
          <w:color w:val="auto"/>
          <w:sz w:val="18"/>
          <w:szCs w:val="18"/>
          <w:highlight w:val="green"/>
          <w:lang w:val="en-US" w:bidi="ar-SA"/>
        </w:rPr>
        <w:t>X</w:t>
      </w:r>
      <w:r w:rsidRPr="00C44692">
        <w:rPr>
          <w:rFonts w:ascii="Bookman Old Style" w:eastAsia="Times New Roman" w:hAnsi="Bookman Old Style" w:cs="Times New Roman"/>
          <w:b/>
          <w:i/>
          <w:color w:val="auto"/>
          <w:sz w:val="18"/>
          <w:szCs w:val="18"/>
          <w:highlight w:val="green"/>
          <w:lang w:bidi="ar-SA"/>
        </w:rPr>
        <w:t xml:space="preserve">1… </w:t>
      </w:r>
      <w:r w:rsidRPr="00C44692">
        <w:rPr>
          <w:rFonts w:ascii="Bookman Old Style" w:eastAsia="Times New Roman" w:hAnsi="Bookman Old Style" w:cs="Times New Roman"/>
          <w:b/>
          <w:i/>
          <w:color w:val="auto"/>
          <w:sz w:val="18"/>
          <w:szCs w:val="18"/>
          <w:highlight w:val="green"/>
          <w:lang w:val="en-US" w:bidi="ar-SA"/>
        </w:rPr>
        <w:t>Xn</w:t>
      </w:r>
      <w:r w:rsidRPr="00C44692">
        <w:rPr>
          <w:rFonts w:ascii="Bookman Old Style" w:eastAsiaTheme="minorEastAsia" w:hAnsi="Bookman Old Style" w:cs="Times New Roman"/>
          <w:b/>
          <w:i/>
          <w:color w:val="auto"/>
          <w:sz w:val="18"/>
          <w:szCs w:val="18"/>
          <w:highlight w:val="green"/>
          <w:vertAlign w:val="superscript"/>
          <w:lang w:val="en-US" w:bidi="ar-SA"/>
        </w:rPr>
        <w:footnoteReference w:id="216"/>
      </w:r>
    </w:p>
    <w:tbl>
      <w:tblPr>
        <w:tblStyle w:val="afc"/>
        <w:tblW w:w="4219" w:type="dxa"/>
        <w:tblLook w:val="04A0" w:firstRow="1" w:lastRow="0" w:firstColumn="1" w:lastColumn="0" w:noHBand="0" w:noVBand="1"/>
      </w:tblPr>
      <w:tblGrid>
        <w:gridCol w:w="2004"/>
        <w:gridCol w:w="656"/>
        <w:gridCol w:w="1559"/>
      </w:tblGrid>
      <w:tr w:rsidR="007D58AC" w:rsidRPr="00C44692" w14:paraId="648BA9E9" w14:textId="77777777" w:rsidTr="00252727">
        <w:trPr>
          <w:tblHeader/>
        </w:trPr>
        <w:tc>
          <w:tcPr>
            <w:tcW w:w="2004" w:type="dxa"/>
          </w:tcPr>
          <w:p w14:paraId="22085299" w14:textId="77777777" w:rsidR="007D58AC" w:rsidRPr="00C44692" w:rsidRDefault="007D58AC" w:rsidP="007D58AC">
            <w:pPr>
              <w:ind w:right="-55"/>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Наименование показателя</w:t>
            </w:r>
          </w:p>
        </w:tc>
        <w:tc>
          <w:tcPr>
            <w:tcW w:w="656" w:type="dxa"/>
          </w:tcPr>
          <w:p w14:paraId="3455843C" w14:textId="77777777" w:rsidR="007D58AC" w:rsidRPr="00C44692" w:rsidRDefault="007D58AC" w:rsidP="007D58AC">
            <w:pPr>
              <w:rPr>
                <w:rFonts w:ascii="Bookman Old Style" w:hAnsi="Bookman Old Style" w:cs="Times New Roman"/>
                <w:color w:val="auto"/>
                <w:sz w:val="18"/>
                <w:szCs w:val="18"/>
                <w:highlight w:val="green"/>
              </w:rPr>
            </w:pPr>
          </w:p>
        </w:tc>
        <w:tc>
          <w:tcPr>
            <w:tcW w:w="1559" w:type="dxa"/>
          </w:tcPr>
          <w:p w14:paraId="4FBEC4AB"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Очень низкий</w:t>
            </w:r>
          </w:p>
        </w:tc>
      </w:tr>
      <w:tr w:rsidR="007D58AC" w:rsidRPr="00C44692" w14:paraId="740E8CCC" w14:textId="77777777" w:rsidTr="00252727">
        <w:tc>
          <w:tcPr>
            <w:tcW w:w="2004" w:type="dxa"/>
            <w:vMerge w:val="restart"/>
          </w:tcPr>
          <w:p w14:paraId="5D024F05"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lang w:val="en-US"/>
              </w:rPr>
              <w:t>X</w:t>
            </w:r>
            <w:r w:rsidRPr="00C44692">
              <w:rPr>
                <w:rFonts w:ascii="Bookman Old Style" w:hAnsi="Bookman Old Style" w:cs="Times New Roman"/>
                <w:color w:val="auto"/>
                <w:sz w:val="18"/>
                <w:szCs w:val="18"/>
                <w:highlight w:val="green"/>
              </w:rPr>
              <w:t>1</w:t>
            </w:r>
          </w:p>
          <w:p w14:paraId="3C9E6AED" w14:textId="77777777" w:rsidR="007D58AC" w:rsidRPr="00C44692" w:rsidRDefault="007D58AC" w:rsidP="007D58AC">
            <w:pPr>
              <w:rPr>
                <w:rFonts w:ascii="Bookman Old Style" w:hAnsi="Bookman Old Style" w:cs="Times New Roman"/>
                <w:color w:val="auto"/>
                <w:sz w:val="18"/>
                <w:szCs w:val="18"/>
                <w:highlight w:val="green"/>
              </w:rPr>
            </w:pPr>
          </w:p>
        </w:tc>
        <w:tc>
          <w:tcPr>
            <w:tcW w:w="656" w:type="dxa"/>
          </w:tcPr>
          <w:p w14:paraId="2478E675"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lang w:val="en-US"/>
              </w:rPr>
              <w:t>A</w:t>
            </w:r>
          </w:p>
        </w:tc>
        <w:tc>
          <w:tcPr>
            <w:tcW w:w="1559" w:type="dxa"/>
          </w:tcPr>
          <w:p w14:paraId="4D2DE09C"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0</w:t>
            </w:r>
          </w:p>
        </w:tc>
      </w:tr>
      <w:tr w:rsidR="007D58AC" w:rsidRPr="00C44692" w14:paraId="4B9A7DE2" w14:textId="77777777" w:rsidTr="00252727">
        <w:tc>
          <w:tcPr>
            <w:tcW w:w="2004" w:type="dxa"/>
            <w:vMerge/>
          </w:tcPr>
          <w:p w14:paraId="6D3C5CED" w14:textId="77777777" w:rsidR="007D58AC" w:rsidRPr="00C44692" w:rsidRDefault="007D58AC" w:rsidP="007D58AC">
            <w:pPr>
              <w:rPr>
                <w:rFonts w:ascii="Bookman Old Style" w:hAnsi="Bookman Old Style" w:cs="Times New Roman"/>
                <w:color w:val="auto"/>
                <w:sz w:val="18"/>
                <w:szCs w:val="18"/>
                <w:highlight w:val="green"/>
              </w:rPr>
            </w:pPr>
          </w:p>
        </w:tc>
        <w:tc>
          <w:tcPr>
            <w:tcW w:w="656" w:type="dxa"/>
          </w:tcPr>
          <w:p w14:paraId="3FC5E2D0"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lang w:val="en-US"/>
              </w:rPr>
              <w:t>B</w:t>
            </w:r>
          </w:p>
        </w:tc>
        <w:tc>
          <w:tcPr>
            <w:tcW w:w="1559" w:type="dxa"/>
          </w:tcPr>
          <w:p w14:paraId="259B2300"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0,25</w:t>
            </w:r>
          </w:p>
        </w:tc>
      </w:tr>
      <w:tr w:rsidR="007D58AC" w:rsidRPr="00C44692" w14:paraId="2B36425F" w14:textId="77777777" w:rsidTr="00252727">
        <w:tc>
          <w:tcPr>
            <w:tcW w:w="2004" w:type="dxa"/>
            <w:vMerge/>
          </w:tcPr>
          <w:p w14:paraId="00DC1A80" w14:textId="77777777" w:rsidR="007D58AC" w:rsidRPr="00C44692" w:rsidRDefault="007D58AC" w:rsidP="007D58AC">
            <w:pPr>
              <w:rPr>
                <w:rFonts w:ascii="Bookman Old Style" w:hAnsi="Bookman Old Style" w:cs="Times New Roman"/>
                <w:color w:val="auto"/>
                <w:sz w:val="18"/>
                <w:szCs w:val="18"/>
                <w:highlight w:val="green"/>
              </w:rPr>
            </w:pPr>
          </w:p>
        </w:tc>
        <w:tc>
          <w:tcPr>
            <w:tcW w:w="656" w:type="dxa"/>
          </w:tcPr>
          <w:p w14:paraId="16F15A59"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lang w:val="en-US"/>
              </w:rPr>
              <w:t>C</w:t>
            </w:r>
          </w:p>
        </w:tc>
        <w:tc>
          <w:tcPr>
            <w:tcW w:w="1559" w:type="dxa"/>
          </w:tcPr>
          <w:p w14:paraId="4423C480"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0,4</w:t>
            </w:r>
          </w:p>
        </w:tc>
      </w:tr>
      <w:tr w:rsidR="007D58AC" w:rsidRPr="00C44692" w14:paraId="6C3023D3" w14:textId="77777777" w:rsidTr="00252727">
        <w:tc>
          <w:tcPr>
            <w:tcW w:w="2004" w:type="dxa"/>
            <w:vMerge/>
          </w:tcPr>
          <w:p w14:paraId="5B9D0CD4" w14:textId="77777777" w:rsidR="007D58AC" w:rsidRPr="00C44692" w:rsidRDefault="007D58AC" w:rsidP="007D58AC">
            <w:pPr>
              <w:rPr>
                <w:rFonts w:ascii="Bookman Old Style" w:hAnsi="Bookman Old Style" w:cs="Times New Roman"/>
                <w:color w:val="auto"/>
                <w:sz w:val="18"/>
                <w:szCs w:val="18"/>
                <w:highlight w:val="green"/>
              </w:rPr>
            </w:pPr>
          </w:p>
        </w:tc>
        <w:tc>
          <w:tcPr>
            <w:tcW w:w="656" w:type="dxa"/>
          </w:tcPr>
          <w:p w14:paraId="33020472"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lang w:val="en-US"/>
              </w:rPr>
              <w:t>D</w:t>
            </w:r>
          </w:p>
        </w:tc>
        <w:tc>
          <w:tcPr>
            <w:tcW w:w="1559" w:type="dxa"/>
          </w:tcPr>
          <w:p w14:paraId="6F7164AD"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0,65</w:t>
            </w:r>
          </w:p>
        </w:tc>
      </w:tr>
    </w:tbl>
    <w:p w14:paraId="0DDB53E9"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322EC7AB"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8. Рассчитываются в соответствии с функцией принадлежности  (4) уровни принадлежности фактических значений показателей заданным качественным классам. </w:t>
      </w:r>
    </w:p>
    <w:p w14:paraId="47AEC389"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9. Рассчитывается агрегированный показатель по формуле: </w:t>
      </w:r>
    </w:p>
    <w:p w14:paraId="16904580" w14:textId="1261BDB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ИПА = </w:t>
      </w:r>
      <m:oMath>
        <m:nary>
          <m:naryPr>
            <m:chr m:val="∑"/>
            <m:limLoc m:val="undOvr"/>
            <m:ctrlPr>
              <w:rPr>
                <w:rFonts w:ascii="Cambria Math" w:eastAsia="Times New Roman" w:hAnsi="Cambria Math" w:cs="Times New Roman"/>
                <w:i/>
                <w:color w:val="auto"/>
                <w:sz w:val="18"/>
                <w:szCs w:val="18"/>
                <w:highlight w:val="green"/>
                <w:lang w:bidi="ar-SA"/>
              </w:rPr>
            </m:ctrlPr>
          </m:naryPr>
          <m:sub>
            <m:r>
              <w:rPr>
                <w:rFonts w:ascii="Cambria Math" w:eastAsia="Times New Roman" w:hAnsi="Cambria Math" w:cs="Times New Roman"/>
                <w:color w:val="auto"/>
                <w:sz w:val="18"/>
                <w:szCs w:val="18"/>
                <w:highlight w:val="green"/>
                <w:lang w:bidi="ar-SA"/>
              </w:rPr>
              <m:t>i=1</m:t>
            </m:r>
          </m:sub>
          <m:sup>
            <m:r>
              <w:rPr>
                <w:rFonts w:ascii="Cambria Math" w:eastAsia="Times New Roman" w:hAnsi="Cambria Math" w:cs="Times New Roman"/>
                <w:color w:val="auto"/>
                <w:sz w:val="18"/>
                <w:szCs w:val="18"/>
                <w:highlight w:val="green"/>
                <w:lang w:bidi="ar-SA"/>
              </w:rPr>
              <m:t>n</m:t>
            </m:r>
          </m:sup>
          <m:e>
            <m:r>
              <w:rPr>
                <w:rFonts w:ascii="Cambria Math" w:eastAsia="Times New Roman" w:hAnsi="Cambria Math" w:cs="Times New Roman"/>
                <w:color w:val="auto"/>
                <w:sz w:val="18"/>
                <w:szCs w:val="18"/>
                <w:highlight w:val="green"/>
                <w:lang w:val="en-US" w:bidi="ar-SA"/>
              </w:rPr>
              <m:t>g</m:t>
            </m:r>
            <m:nary>
              <m:naryPr>
                <m:chr m:val="∑"/>
                <m:limLoc m:val="undOvr"/>
                <m:ctrlPr>
                  <w:rPr>
                    <w:rFonts w:ascii="Cambria Math" w:eastAsia="Times New Roman" w:hAnsi="Cambria Math" w:cs="Times New Roman"/>
                    <w:i/>
                    <w:color w:val="auto"/>
                    <w:sz w:val="18"/>
                    <w:szCs w:val="18"/>
                    <w:highlight w:val="green"/>
                    <w:lang w:bidi="ar-SA"/>
                  </w:rPr>
                </m:ctrlPr>
              </m:naryPr>
              <m:sub>
                <m:r>
                  <w:rPr>
                    <w:rFonts w:ascii="Cambria Math" w:eastAsia="Times New Roman" w:hAnsi="Cambria Math" w:cs="Times New Roman"/>
                    <w:color w:val="auto"/>
                    <w:sz w:val="18"/>
                    <w:szCs w:val="18"/>
                    <w:highlight w:val="green"/>
                    <w:lang w:bidi="ar-SA"/>
                  </w:rPr>
                  <m:t>j=1</m:t>
                </m:r>
              </m:sub>
              <m:sup>
                <m:r>
                  <w:rPr>
                    <w:rFonts w:ascii="Cambria Math" w:eastAsia="Times New Roman" w:hAnsi="Cambria Math" w:cs="Times New Roman"/>
                    <w:color w:val="auto"/>
                    <w:sz w:val="18"/>
                    <w:szCs w:val="18"/>
                    <w:highlight w:val="green"/>
                    <w:lang w:bidi="ar-SA"/>
                  </w:rPr>
                  <m:t>n</m:t>
                </m:r>
              </m:sup>
              <m:e>
                <m:r>
                  <w:rPr>
                    <w:rFonts w:ascii="Cambria Math" w:eastAsia="Times New Roman" w:hAnsi="Cambria Math" w:cs="Times New Roman"/>
                    <w:color w:val="auto"/>
                    <w:sz w:val="18"/>
                    <w:szCs w:val="18"/>
                    <w:highlight w:val="green"/>
                    <w:lang w:val="en-US" w:bidi="ar-SA"/>
                  </w:rPr>
                  <m:t>p</m:t>
                </m:r>
                <m:r>
                  <w:rPr>
                    <w:rFonts w:ascii="Cambria Math" w:eastAsia="Times New Roman" w:hAnsi="Cambria Math" w:cs="Times New Roman"/>
                    <w:color w:val="auto"/>
                    <w:sz w:val="18"/>
                    <w:szCs w:val="18"/>
                    <w:highlight w:val="green"/>
                    <w:lang w:bidi="ar-SA"/>
                  </w:rPr>
                  <m:t>λ</m:t>
                </m:r>
              </m:e>
            </m:nary>
          </m:e>
        </m:nary>
      </m:oMath>
      <w:r w:rsidRPr="00C44692">
        <w:rPr>
          <w:rFonts w:ascii="Bookman Old Style" w:eastAsia="Times New Roman" w:hAnsi="Bookman Old Style" w:cs="Times New Roman"/>
          <w:color w:val="auto"/>
          <w:sz w:val="18"/>
          <w:szCs w:val="18"/>
          <w:highlight w:val="green"/>
          <w:lang w:bidi="ar-SA"/>
        </w:rPr>
        <w:t>, (</w:t>
      </w:r>
      <w:r w:rsidR="007737D2"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6)</w:t>
      </w:r>
    </w:p>
    <w:p w14:paraId="37C6F41A"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где </w:t>
      </w:r>
      <w:r w:rsidRPr="00C44692">
        <w:rPr>
          <w:rFonts w:ascii="Bookman Old Style" w:eastAsia="Times New Roman" w:hAnsi="Bookman Old Style" w:cs="Times New Roman"/>
          <w:color w:val="auto"/>
          <w:sz w:val="18"/>
          <w:szCs w:val="18"/>
          <w:highlight w:val="green"/>
          <w:lang w:val="en-US" w:bidi="ar-SA"/>
        </w:rPr>
        <w:t>p</w:t>
      </w:r>
      <w:r w:rsidRPr="00C44692">
        <w:rPr>
          <w:rFonts w:ascii="Bookman Old Style" w:eastAsia="Times New Roman" w:hAnsi="Bookman Old Style" w:cs="Times New Roman"/>
          <w:color w:val="auto"/>
          <w:sz w:val="18"/>
          <w:szCs w:val="18"/>
          <w:highlight w:val="green"/>
          <w:lang w:bidi="ar-SA"/>
        </w:rPr>
        <w:t xml:space="preserve"> – вес </w:t>
      </w:r>
      <w:r w:rsidRPr="00C44692">
        <w:rPr>
          <w:rFonts w:ascii="Bookman Old Style" w:eastAsia="Times New Roman" w:hAnsi="Bookman Old Style" w:cs="Times New Roman"/>
          <w:color w:val="auto"/>
          <w:sz w:val="18"/>
          <w:szCs w:val="18"/>
          <w:highlight w:val="green"/>
          <w:lang w:val="en-US" w:bidi="ar-SA"/>
        </w:rPr>
        <w:t>i</w:t>
      </w:r>
      <w:r w:rsidRPr="00C44692">
        <w:rPr>
          <w:rFonts w:ascii="Bookman Old Style" w:eastAsia="Times New Roman" w:hAnsi="Bookman Old Style" w:cs="Times New Roman"/>
          <w:color w:val="auto"/>
          <w:sz w:val="18"/>
          <w:szCs w:val="18"/>
          <w:highlight w:val="green"/>
          <w:lang w:bidi="ar-SA"/>
        </w:rPr>
        <w:t xml:space="preserve">-го показателя в наборе ,λ – уровень принадлежности, рассчитанный с помощью формулы 4.9., </w:t>
      </w:r>
      <w:r w:rsidRPr="00C44692">
        <w:rPr>
          <w:rFonts w:ascii="Bookman Old Style" w:eastAsia="Times New Roman" w:hAnsi="Bookman Old Style" w:cs="Times New Roman"/>
          <w:color w:val="auto"/>
          <w:sz w:val="18"/>
          <w:szCs w:val="18"/>
          <w:highlight w:val="green"/>
          <w:lang w:val="en-US" w:bidi="ar-SA"/>
        </w:rPr>
        <w:t>g</w:t>
      </w:r>
      <w:r w:rsidRPr="00C44692">
        <w:rPr>
          <w:rFonts w:ascii="Bookman Old Style" w:eastAsia="Times New Roman" w:hAnsi="Bookman Old Style" w:cs="Times New Roman"/>
          <w:color w:val="auto"/>
          <w:sz w:val="18"/>
          <w:szCs w:val="18"/>
          <w:highlight w:val="green"/>
          <w:lang w:bidi="ar-SA"/>
        </w:rPr>
        <w:t xml:space="preserve">-  узловая точка , рассчитанная на этапе 7. </w:t>
      </w:r>
    </w:p>
    <w:p w14:paraId="668F508D"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Этап 10. Производится лингвистическое  распознавание степени адаптивности с учетом установленных интервалов:</w:t>
      </w:r>
    </w:p>
    <w:p w14:paraId="23121986" w14:textId="77777777" w:rsidR="007D58AC" w:rsidRPr="00C44692" w:rsidRDefault="007D58AC" w:rsidP="007D58AC">
      <w:pPr>
        <w:spacing w:after="200" w:line="240" w:lineRule="auto"/>
        <w:ind w:firstLine="0"/>
        <w:contextualSpacing/>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0≤ИПА &lt; 0,5 –высокая адаптивность</w:t>
      </w:r>
    </w:p>
    <w:p w14:paraId="0869FD87" w14:textId="77777777" w:rsidR="007D58AC" w:rsidRPr="00C44692" w:rsidRDefault="007D58AC" w:rsidP="007D58AC">
      <w:pPr>
        <w:spacing w:after="200" w:line="240" w:lineRule="auto"/>
        <w:ind w:firstLine="0"/>
        <w:contextualSpacing/>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0,5≤ИПА≤ 1средняя адаптивность</w:t>
      </w:r>
    </w:p>
    <w:p w14:paraId="652FE155" w14:textId="77777777" w:rsidR="007D58AC" w:rsidRPr="00C44692" w:rsidRDefault="007D58AC" w:rsidP="007D58AC">
      <w:pPr>
        <w:spacing w:after="200" w:line="240" w:lineRule="auto"/>
        <w:ind w:firstLine="0"/>
        <w:contextualSpacing/>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ИПА&gt; 1 – низкая адаптивность</w:t>
      </w:r>
    </w:p>
    <w:p w14:paraId="78E46A0B" w14:textId="77777777" w:rsidR="007D58AC" w:rsidRPr="00C44692" w:rsidRDefault="007D58AC" w:rsidP="007D58AC">
      <w:pPr>
        <w:spacing w:line="240" w:lineRule="auto"/>
        <w:ind w:firstLine="0"/>
        <w:jc w:val="left"/>
        <w:rPr>
          <w:rFonts w:ascii="Bookman Old Style" w:eastAsia="Times New Roman" w:hAnsi="Bookman Old Style" w:cs="Times New Roman"/>
          <w:i/>
          <w:color w:val="auto"/>
          <w:sz w:val="18"/>
          <w:szCs w:val="18"/>
          <w:highlight w:val="green"/>
          <w:lang w:bidi="ar-SA"/>
        </w:rPr>
      </w:pPr>
    </w:p>
    <w:p w14:paraId="6DC524F9"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u w:val="single"/>
          <w:lang w:bidi="ar-SA"/>
        </w:rPr>
      </w:pPr>
      <w:r w:rsidRPr="00C44692">
        <w:rPr>
          <w:rFonts w:ascii="Bookman Old Style" w:eastAsia="Times New Roman" w:hAnsi="Bookman Old Style" w:cs="Times New Roman"/>
          <w:color w:val="auto"/>
          <w:sz w:val="18"/>
          <w:szCs w:val="18"/>
          <w:highlight w:val="green"/>
          <w:u w:val="single"/>
          <w:lang w:bidi="ar-SA"/>
        </w:rPr>
        <w:t xml:space="preserve">Алгоритм оценки адаптивности с помощью метода нечеткой логики в случае трехуровневого классификатора </w:t>
      </w:r>
    </w:p>
    <w:p w14:paraId="3F2863C3"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1 . Выбор показателей для оценки адаптивности </w:t>
      </w:r>
    </w:p>
    <w:p w14:paraId="0B87FAB2"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2. Расчет фактических значений выбранных показателей за определенный период. </w:t>
      </w:r>
    </w:p>
    <w:p w14:paraId="7AA943BF"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Этап 3. Определение базового терм-множества Т для выбранных показателей. Пусть для данного случая базовое терм-множество определяется  тремы нечеткими переменными: «оптимистический прогноз», «базовый (средний) прогноз», «оптимистический прогноз»</w:t>
      </w:r>
    </w:p>
    <w:p w14:paraId="4A98E25C"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4. Этап 4  заключается в определении системы весов выбранных показателей, т.е. в сопоставлении каждому показателю Хi уровня его значимости для оценки ri. Если уровни значимости всех показателей </w:t>
      </w:r>
      <w:r w:rsidRPr="00C44692">
        <w:rPr>
          <w:rFonts w:ascii="Bookman Old Style" w:eastAsia="Times New Roman" w:hAnsi="Bookman Old Style" w:cs="Times New Roman"/>
          <w:color w:val="auto"/>
          <w:sz w:val="18"/>
          <w:szCs w:val="18"/>
          <w:highlight w:val="green"/>
          <w:lang w:bidi="ar-SA"/>
        </w:rPr>
        <w:lastRenderedPageBreak/>
        <w:t xml:space="preserve">принимаются как равнозначные, то коэффициент ri при расчетах будет равен 1/N. Мы принимаем уровни значимости всех показателей как равнозначные. </w:t>
      </w:r>
    </w:p>
    <w:p w14:paraId="6630B385" w14:textId="3B68FC5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Этап 5. На этом этапе происходит распознавание уровней принадлежности выбранных показателей, для чего строятся функции принадлежности µА (х) для каждого лингвистического терма из базового терм-множества T</w:t>
      </w:r>
      <w:r w:rsidR="00995420" w:rsidRPr="00C44692">
        <w:rPr>
          <w:rStyle w:val="af8"/>
          <w:rFonts w:ascii="Bookman Old Style" w:eastAsia="Times New Roman" w:hAnsi="Bookman Old Style" w:cs="Times New Roman"/>
          <w:color w:val="auto"/>
          <w:sz w:val="18"/>
          <w:szCs w:val="18"/>
          <w:highlight w:val="green"/>
          <w:lang w:bidi="ar-SA"/>
        </w:rPr>
        <w:footnoteReference w:id="217"/>
      </w:r>
      <w:r w:rsidRPr="00C44692">
        <w:rPr>
          <w:rFonts w:ascii="Bookman Old Style" w:eastAsia="Times New Roman" w:hAnsi="Bookman Old Style" w:cs="Times New Roman"/>
          <w:color w:val="auto"/>
          <w:sz w:val="18"/>
          <w:szCs w:val="18"/>
          <w:highlight w:val="green"/>
          <w:lang w:bidi="ar-SA"/>
        </w:rPr>
        <w:t xml:space="preserve"> . Если функция принадлежности треугольная , то она выглядит так: </w:t>
      </w:r>
    </w:p>
    <w:p w14:paraId="7563D5D2"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120ED7B2"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5E758B9F"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5E7A494C"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145AD017"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7AEDAFE9" w14:textId="11135B55" w:rsidR="007D58AC" w:rsidRPr="00C44692" w:rsidRDefault="007D58AC" w:rsidP="007D58AC">
      <w:pPr>
        <w:tabs>
          <w:tab w:val="left" w:pos="7485"/>
        </w:tabs>
        <w:spacing w:after="200" w:line="240" w:lineRule="auto"/>
        <w:ind w:left="720" w:firstLine="709"/>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noProof/>
          <w:color w:val="auto"/>
          <w:sz w:val="18"/>
          <w:szCs w:val="18"/>
          <w:highlight w:val="green"/>
          <w:lang w:bidi="ar-SA"/>
        </w:rPr>
        <mc:AlternateContent>
          <mc:Choice Requires="wpg">
            <w:drawing>
              <wp:anchor distT="0" distB="0" distL="114300" distR="114300" simplePos="0" relativeHeight="377495358" behindDoc="0" locked="0" layoutInCell="1" allowOverlap="1" wp14:anchorId="016E510D" wp14:editId="29AF1691">
                <wp:simplePos x="0" y="0"/>
                <wp:positionH relativeFrom="column">
                  <wp:posOffset>1508125</wp:posOffset>
                </wp:positionH>
                <wp:positionV relativeFrom="paragraph">
                  <wp:posOffset>-519430</wp:posOffset>
                </wp:positionV>
                <wp:extent cx="3161030" cy="1422400"/>
                <wp:effectExtent l="13970" t="3175" r="0" b="3175"/>
                <wp:wrapNone/>
                <wp:docPr id="232"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030" cy="1422400"/>
                          <a:chOff x="3402" y="14382"/>
                          <a:chExt cx="4978" cy="2240"/>
                        </a:xfrm>
                      </wpg:grpSpPr>
                      <wps:wsp>
                        <wps:cNvPr id="233" name="AutoShape 40"/>
                        <wps:cNvSpPr>
                          <a:spLocks/>
                        </wps:cNvSpPr>
                        <wps:spPr bwMode="auto">
                          <a:xfrm>
                            <a:off x="3402" y="14777"/>
                            <a:ext cx="418" cy="1234"/>
                          </a:xfrm>
                          <a:prstGeom prst="leftBrace">
                            <a:avLst>
                              <a:gd name="adj1" fmla="val 97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41"/>
                        <wps:cNvSpPr txBox="1">
                          <a:spLocks noChangeArrowheads="1"/>
                        </wps:cNvSpPr>
                        <wps:spPr bwMode="auto">
                          <a:xfrm>
                            <a:off x="4260" y="14382"/>
                            <a:ext cx="4120" cy="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C018E" w14:textId="77777777" w:rsidR="007D58AC" w:rsidRPr="00677738" w:rsidRDefault="007D58AC" w:rsidP="007D58AC">
                              <w:pPr>
                                <w:spacing w:line="360" w:lineRule="auto"/>
                                <w:rPr>
                                  <w:rFonts w:ascii="Arial Narrow" w:hAnsi="Arial Narrow"/>
                                  <w:sz w:val="16"/>
                                  <w:szCs w:val="16"/>
                                  <w:lang w:val="en-US"/>
                                </w:rPr>
                              </w:pPr>
                              <m:oMath>
                                <m:r>
                                  <w:rPr>
                                    <w:rFonts w:ascii="Cambria Math" w:hAnsi="Cambria Math"/>
                                    <w:sz w:val="16"/>
                                    <w:szCs w:val="16"/>
                                  </w:rPr>
                                  <m:t xml:space="preserve">1- </m:t>
                                </m:r>
                                <m:f>
                                  <m:fPr>
                                    <m:ctrlPr>
                                      <w:rPr>
                                        <w:rFonts w:ascii="Cambria Math" w:hAnsi="Cambria Math"/>
                                        <w:i/>
                                        <w:sz w:val="16"/>
                                        <w:szCs w:val="16"/>
                                      </w:rPr>
                                    </m:ctrlPr>
                                  </m:fPr>
                                  <m:num>
                                    <m:r>
                                      <w:rPr>
                                        <w:rFonts w:ascii="Cambria Math" w:hAnsi="Cambria Math"/>
                                        <w:sz w:val="16"/>
                                        <w:szCs w:val="16"/>
                                        <w:lang w:val="en-US"/>
                                      </w:rPr>
                                      <m:t>b</m:t>
                                    </m:r>
                                    <m:r>
                                      <w:rPr>
                                        <w:rFonts w:ascii="Cambria Math" w:hAnsi="Cambria Math"/>
                                        <w:sz w:val="16"/>
                                        <w:szCs w:val="16"/>
                                      </w:rPr>
                                      <m:t>-</m:t>
                                    </m:r>
                                    <m:r>
                                      <w:rPr>
                                        <w:rFonts w:ascii="Cambria Math" w:hAnsi="Cambria Math"/>
                                        <w:sz w:val="16"/>
                                        <w:szCs w:val="16"/>
                                        <w:lang w:val="en-US"/>
                                      </w:rPr>
                                      <m:t>x</m:t>
                                    </m:r>
                                  </m:num>
                                  <m:den>
                                    <m:r>
                                      <w:rPr>
                                        <w:rFonts w:ascii="Cambria Math" w:hAnsi="Cambria Math"/>
                                        <w:sz w:val="16"/>
                                        <w:szCs w:val="16"/>
                                      </w:rPr>
                                      <m:t>b-a</m:t>
                                    </m:r>
                                  </m:den>
                                </m:f>
                              </m:oMath>
                              <w:r w:rsidRPr="00677738">
                                <w:rPr>
                                  <w:rFonts w:ascii="Arial Narrow" w:hAnsi="Arial Narrow"/>
                                  <w:sz w:val="16"/>
                                  <w:szCs w:val="16"/>
                                </w:rPr>
                                <w:t xml:space="preserve"> а≤</w:t>
                              </w:r>
                              <w:r w:rsidRPr="00677738">
                                <w:rPr>
                                  <w:rFonts w:ascii="Arial Narrow" w:hAnsi="Arial Narrow"/>
                                  <w:sz w:val="16"/>
                                  <w:szCs w:val="16"/>
                                  <w:lang w:val="en-US"/>
                                </w:rPr>
                                <w:t>x</w:t>
                              </w:r>
                              <w:r w:rsidRPr="00677738">
                                <w:rPr>
                                  <w:rFonts w:ascii="Arial Narrow" w:hAnsi="Arial Narrow"/>
                                  <w:sz w:val="16"/>
                                  <w:szCs w:val="16"/>
                                </w:rPr>
                                <w:t xml:space="preserve"> ≤</w:t>
                              </w:r>
                              <w:r w:rsidRPr="00677738">
                                <w:rPr>
                                  <w:rFonts w:ascii="Arial Narrow" w:hAnsi="Arial Narrow"/>
                                  <w:sz w:val="16"/>
                                  <w:szCs w:val="16"/>
                                  <w:lang w:val="en-US"/>
                                </w:rPr>
                                <w:t>b</w:t>
                              </w:r>
                            </w:p>
                            <w:p w14:paraId="3E54A3BD" w14:textId="77777777" w:rsidR="007D58AC" w:rsidRPr="00677738" w:rsidRDefault="007D58AC" w:rsidP="007D58AC">
                              <w:pPr>
                                <w:spacing w:line="360" w:lineRule="auto"/>
                                <w:rPr>
                                  <w:rFonts w:ascii="Arial Narrow" w:hAnsi="Arial Narrow"/>
                                  <w:sz w:val="16"/>
                                  <w:szCs w:val="16"/>
                                </w:rPr>
                              </w:pPr>
                              <m:oMath>
                                <m:r>
                                  <w:rPr>
                                    <w:rFonts w:ascii="Cambria Math" w:hAnsi="Cambria Math"/>
                                    <w:sz w:val="16"/>
                                    <w:szCs w:val="16"/>
                                  </w:rPr>
                                  <m:t xml:space="preserve">1- </m:t>
                                </m:r>
                                <m:f>
                                  <m:fPr>
                                    <m:ctrlPr>
                                      <w:rPr>
                                        <w:rFonts w:ascii="Cambria Math" w:hAnsi="Cambria Math"/>
                                        <w:i/>
                                        <w:sz w:val="16"/>
                                        <w:szCs w:val="16"/>
                                      </w:rPr>
                                    </m:ctrlPr>
                                  </m:fPr>
                                  <m:num>
                                    <m:r>
                                      <w:rPr>
                                        <w:rFonts w:ascii="Cambria Math" w:hAnsi="Cambria Math"/>
                                        <w:sz w:val="16"/>
                                        <w:szCs w:val="16"/>
                                        <w:lang w:val="en-US"/>
                                      </w:rPr>
                                      <m:t>x</m:t>
                                    </m:r>
                                    <m:r>
                                      <w:rPr>
                                        <w:rFonts w:ascii="Cambria Math" w:hAnsi="Cambria Math"/>
                                        <w:sz w:val="16"/>
                                        <w:szCs w:val="16"/>
                                      </w:rPr>
                                      <m:t>-</m:t>
                                    </m:r>
                                    <m:r>
                                      <w:rPr>
                                        <w:rFonts w:ascii="Cambria Math" w:hAnsi="Cambria Math"/>
                                        <w:sz w:val="16"/>
                                        <w:szCs w:val="16"/>
                                        <w:lang w:val="en-US"/>
                                      </w:rPr>
                                      <m:t>b</m:t>
                                    </m:r>
                                  </m:num>
                                  <m:den>
                                    <m:r>
                                      <w:rPr>
                                        <w:rFonts w:ascii="Cambria Math" w:hAnsi="Cambria Math"/>
                                        <w:sz w:val="16"/>
                                        <w:szCs w:val="16"/>
                                      </w:rPr>
                                      <m:t>b-c</m:t>
                                    </m:r>
                                  </m:den>
                                </m:f>
                              </m:oMath>
                              <w:r w:rsidRPr="00677738">
                                <w:rPr>
                                  <w:rFonts w:ascii="Arial Narrow" w:hAnsi="Arial Narrow"/>
                                  <w:sz w:val="16"/>
                                  <w:szCs w:val="16"/>
                                </w:rPr>
                                <w:t xml:space="preserve"> </w:t>
                              </w:r>
                              <w:r w:rsidRPr="00677738">
                                <w:rPr>
                                  <w:rFonts w:ascii="Arial Narrow" w:hAnsi="Arial Narrow"/>
                                  <w:sz w:val="16"/>
                                  <w:szCs w:val="16"/>
                                  <w:lang w:val="en-US"/>
                                </w:rPr>
                                <w:t>b</w:t>
                              </w:r>
                              <w:r w:rsidRPr="00677738">
                                <w:rPr>
                                  <w:rFonts w:ascii="Arial Narrow" w:hAnsi="Arial Narrow"/>
                                  <w:sz w:val="16"/>
                                  <w:szCs w:val="16"/>
                                </w:rPr>
                                <w:t>≤</w:t>
                              </w:r>
                              <w:r w:rsidRPr="00677738">
                                <w:rPr>
                                  <w:rFonts w:ascii="Arial Narrow" w:hAnsi="Arial Narrow"/>
                                  <w:sz w:val="16"/>
                                  <w:szCs w:val="16"/>
                                  <w:lang w:val="en-US"/>
                                </w:rPr>
                                <w:t>x</w:t>
                              </w:r>
                              <w:r w:rsidRPr="00677738">
                                <w:rPr>
                                  <w:rFonts w:ascii="Arial Narrow" w:hAnsi="Arial Narrow"/>
                                  <w:sz w:val="16"/>
                                  <w:szCs w:val="16"/>
                                </w:rPr>
                                <w:t xml:space="preserve"> ≤</w:t>
                              </w:r>
                              <w:r w:rsidRPr="00677738">
                                <w:rPr>
                                  <w:rFonts w:ascii="Arial Narrow" w:hAnsi="Arial Narrow"/>
                                  <w:sz w:val="16"/>
                                  <w:szCs w:val="16"/>
                                  <w:lang w:val="en-US"/>
                                </w:rPr>
                                <w:t>c</w:t>
                              </w:r>
                            </w:p>
                            <w:p w14:paraId="501A6CDD" w14:textId="77777777" w:rsidR="007D58AC" w:rsidRPr="00677738" w:rsidRDefault="007D58AC" w:rsidP="007D58AC">
                              <w:pPr>
                                <w:spacing w:line="360" w:lineRule="auto"/>
                                <w:rPr>
                                  <w:rFonts w:ascii="Arial Narrow" w:hAnsi="Arial Narrow"/>
                                  <w:sz w:val="16"/>
                                  <w:szCs w:val="16"/>
                                </w:rPr>
                              </w:pPr>
                              <w:r w:rsidRPr="00677738">
                                <w:rPr>
                                  <w:rFonts w:ascii="Arial Narrow" w:hAnsi="Arial Narrow"/>
                                  <w:sz w:val="16"/>
                                  <w:szCs w:val="16"/>
                                </w:rPr>
                                <w:t>0, в остальных случаях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E510D" id="Группа 232" o:spid="_x0000_s1080" style="position:absolute;left:0;text-align:left;margin-left:118.75pt;margin-top:-40.9pt;width:248.9pt;height:112pt;z-index:377495358" coordorigin="3402,14382" coordsize="4978,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0" o:spid="_x0000_s1081" type="#_x0000_t87" style="position:absolute;left:3402;top:14777;width:418;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" adj="716"/>
                <v:shape id="_x0000_s1082" type="#_x0000_t202" style="position:absolute;left:4260;top:14382;width:412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667C018E" w14:textId="77777777" w:rsidR="007D58AC" w:rsidRPr="00677738" w:rsidRDefault="007D58AC" w:rsidP="007D58AC">
                        <w:pPr>
                          <w:spacing w:line="360" w:lineRule="auto"/>
                          <w:rPr>
                            <w:rFonts w:ascii="Arial Narrow" w:hAnsi="Arial Narrow"/>
                            <w:sz w:val="16"/>
                            <w:szCs w:val="16"/>
                            <w:lang w:val="en-US"/>
                          </w:rPr>
                        </w:pPr>
                        <m:oMath>
                          <m:r>
                            <w:rPr>
                              <w:rFonts w:ascii="Cambria Math" w:hAnsi="Cambria Math"/>
                              <w:sz w:val="16"/>
                              <w:szCs w:val="16"/>
                            </w:rPr>
                            <m:t xml:space="preserve">1- </m:t>
                          </m:r>
                          <m:f>
                            <m:fPr>
                              <m:ctrlPr>
                                <w:rPr>
                                  <w:rFonts w:ascii="Cambria Math" w:hAnsi="Cambria Math"/>
                                  <w:i/>
                                  <w:sz w:val="16"/>
                                  <w:szCs w:val="16"/>
                                </w:rPr>
                              </m:ctrlPr>
                            </m:fPr>
                            <m:num>
                              <m:r>
                                <w:rPr>
                                  <w:rFonts w:ascii="Cambria Math" w:hAnsi="Cambria Math"/>
                                  <w:sz w:val="16"/>
                                  <w:szCs w:val="16"/>
                                  <w:lang w:val="en-US"/>
                                </w:rPr>
                                <m:t>b</m:t>
                              </m:r>
                              <m:r>
                                <w:rPr>
                                  <w:rFonts w:ascii="Cambria Math" w:hAnsi="Cambria Math"/>
                                  <w:sz w:val="16"/>
                                  <w:szCs w:val="16"/>
                                </w:rPr>
                                <m:t>-</m:t>
                              </m:r>
                              <m:r>
                                <w:rPr>
                                  <w:rFonts w:ascii="Cambria Math" w:hAnsi="Cambria Math"/>
                                  <w:sz w:val="16"/>
                                  <w:szCs w:val="16"/>
                                  <w:lang w:val="en-US"/>
                                </w:rPr>
                                <m:t>x</m:t>
                              </m:r>
                            </m:num>
                            <m:den>
                              <m:r>
                                <w:rPr>
                                  <w:rFonts w:ascii="Cambria Math" w:hAnsi="Cambria Math"/>
                                  <w:sz w:val="16"/>
                                  <w:szCs w:val="16"/>
                                </w:rPr>
                                <m:t>b-a</m:t>
                              </m:r>
                            </m:den>
                          </m:f>
                        </m:oMath>
                        <w:r w:rsidRPr="00677738">
                          <w:rPr>
                            <w:rFonts w:ascii="Arial Narrow" w:hAnsi="Arial Narrow"/>
                            <w:sz w:val="16"/>
                            <w:szCs w:val="16"/>
                          </w:rPr>
                          <w:t xml:space="preserve"> а≤</w:t>
                        </w:r>
                        <w:r w:rsidRPr="00677738">
                          <w:rPr>
                            <w:rFonts w:ascii="Arial Narrow" w:hAnsi="Arial Narrow"/>
                            <w:sz w:val="16"/>
                            <w:szCs w:val="16"/>
                            <w:lang w:val="en-US"/>
                          </w:rPr>
                          <w:t>x</w:t>
                        </w:r>
                        <w:r w:rsidRPr="00677738">
                          <w:rPr>
                            <w:rFonts w:ascii="Arial Narrow" w:hAnsi="Arial Narrow"/>
                            <w:sz w:val="16"/>
                            <w:szCs w:val="16"/>
                          </w:rPr>
                          <w:t xml:space="preserve"> ≤</w:t>
                        </w:r>
                        <w:r w:rsidRPr="00677738">
                          <w:rPr>
                            <w:rFonts w:ascii="Arial Narrow" w:hAnsi="Arial Narrow"/>
                            <w:sz w:val="16"/>
                            <w:szCs w:val="16"/>
                            <w:lang w:val="en-US"/>
                          </w:rPr>
                          <w:t>b</w:t>
                        </w:r>
                      </w:p>
                      <w:p w14:paraId="3E54A3BD" w14:textId="77777777" w:rsidR="007D58AC" w:rsidRPr="00677738" w:rsidRDefault="007D58AC" w:rsidP="007D58AC">
                        <w:pPr>
                          <w:spacing w:line="360" w:lineRule="auto"/>
                          <w:rPr>
                            <w:rFonts w:ascii="Arial Narrow" w:hAnsi="Arial Narrow"/>
                            <w:sz w:val="16"/>
                            <w:szCs w:val="16"/>
                          </w:rPr>
                        </w:pPr>
                        <m:oMath>
                          <m:r>
                            <w:rPr>
                              <w:rFonts w:ascii="Cambria Math" w:hAnsi="Cambria Math"/>
                              <w:sz w:val="16"/>
                              <w:szCs w:val="16"/>
                            </w:rPr>
                            <m:t xml:space="preserve">1- </m:t>
                          </m:r>
                          <m:f>
                            <m:fPr>
                              <m:ctrlPr>
                                <w:rPr>
                                  <w:rFonts w:ascii="Cambria Math" w:hAnsi="Cambria Math"/>
                                  <w:i/>
                                  <w:sz w:val="16"/>
                                  <w:szCs w:val="16"/>
                                </w:rPr>
                              </m:ctrlPr>
                            </m:fPr>
                            <m:num>
                              <m:r>
                                <w:rPr>
                                  <w:rFonts w:ascii="Cambria Math" w:hAnsi="Cambria Math"/>
                                  <w:sz w:val="16"/>
                                  <w:szCs w:val="16"/>
                                  <w:lang w:val="en-US"/>
                                </w:rPr>
                                <m:t>x</m:t>
                              </m:r>
                              <m:r>
                                <w:rPr>
                                  <w:rFonts w:ascii="Cambria Math" w:hAnsi="Cambria Math"/>
                                  <w:sz w:val="16"/>
                                  <w:szCs w:val="16"/>
                                </w:rPr>
                                <m:t>-</m:t>
                              </m:r>
                              <m:r>
                                <w:rPr>
                                  <w:rFonts w:ascii="Cambria Math" w:hAnsi="Cambria Math"/>
                                  <w:sz w:val="16"/>
                                  <w:szCs w:val="16"/>
                                  <w:lang w:val="en-US"/>
                                </w:rPr>
                                <m:t>b</m:t>
                              </m:r>
                            </m:num>
                            <m:den>
                              <m:r>
                                <w:rPr>
                                  <w:rFonts w:ascii="Cambria Math" w:hAnsi="Cambria Math"/>
                                  <w:sz w:val="16"/>
                                  <w:szCs w:val="16"/>
                                </w:rPr>
                                <m:t>b-c</m:t>
                              </m:r>
                            </m:den>
                          </m:f>
                        </m:oMath>
                        <w:r w:rsidRPr="00677738">
                          <w:rPr>
                            <w:rFonts w:ascii="Arial Narrow" w:hAnsi="Arial Narrow"/>
                            <w:sz w:val="16"/>
                            <w:szCs w:val="16"/>
                          </w:rPr>
                          <w:t xml:space="preserve"> </w:t>
                        </w:r>
                        <w:r w:rsidRPr="00677738">
                          <w:rPr>
                            <w:rFonts w:ascii="Arial Narrow" w:hAnsi="Arial Narrow"/>
                            <w:sz w:val="16"/>
                            <w:szCs w:val="16"/>
                            <w:lang w:val="en-US"/>
                          </w:rPr>
                          <w:t>b</w:t>
                        </w:r>
                        <w:r w:rsidRPr="00677738">
                          <w:rPr>
                            <w:rFonts w:ascii="Arial Narrow" w:hAnsi="Arial Narrow"/>
                            <w:sz w:val="16"/>
                            <w:szCs w:val="16"/>
                          </w:rPr>
                          <w:t>≤</w:t>
                        </w:r>
                        <w:r w:rsidRPr="00677738">
                          <w:rPr>
                            <w:rFonts w:ascii="Arial Narrow" w:hAnsi="Arial Narrow"/>
                            <w:sz w:val="16"/>
                            <w:szCs w:val="16"/>
                            <w:lang w:val="en-US"/>
                          </w:rPr>
                          <w:t>x</w:t>
                        </w:r>
                        <w:r w:rsidRPr="00677738">
                          <w:rPr>
                            <w:rFonts w:ascii="Arial Narrow" w:hAnsi="Arial Narrow"/>
                            <w:sz w:val="16"/>
                            <w:szCs w:val="16"/>
                          </w:rPr>
                          <w:t xml:space="preserve"> ≤</w:t>
                        </w:r>
                        <w:r w:rsidRPr="00677738">
                          <w:rPr>
                            <w:rFonts w:ascii="Arial Narrow" w:hAnsi="Arial Narrow"/>
                            <w:sz w:val="16"/>
                            <w:szCs w:val="16"/>
                            <w:lang w:val="en-US"/>
                          </w:rPr>
                          <w:t>c</w:t>
                        </w:r>
                      </w:p>
                      <w:p w14:paraId="501A6CDD" w14:textId="77777777" w:rsidR="007D58AC" w:rsidRPr="00677738" w:rsidRDefault="007D58AC" w:rsidP="007D58AC">
                        <w:pPr>
                          <w:spacing w:line="360" w:lineRule="auto"/>
                          <w:rPr>
                            <w:rFonts w:ascii="Arial Narrow" w:hAnsi="Arial Narrow"/>
                            <w:sz w:val="16"/>
                            <w:szCs w:val="16"/>
                          </w:rPr>
                        </w:pPr>
                        <w:r w:rsidRPr="00677738">
                          <w:rPr>
                            <w:rFonts w:ascii="Arial Narrow" w:hAnsi="Arial Narrow"/>
                            <w:sz w:val="16"/>
                            <w:szCs w:val="16"/>
                          </w:rPr>
                          <w:t>0, в остальных случаях</w:t>
                        </w:r>
                      </w:p>
                    </w:txbxContent>
                  </v:textbox>
                </v:shape>
              </v:group>
            </w:pict>
          </mc:Fallback>
        </mc:AlternateContent>
      </w:r>
      <w:r w:rsidRPr="00C44692">
        <w:rPr>
          <w:rFonts w:ascii="Bookman Old Style" w:eastAsia="Times New Roman" w:hAnsi="Bookman Old Style" w:cs="Times New Roman"/>
          <w:color w:val="auto"/>
          <w:sz w:val="18"/>
          <w:szCs w:val="18"/>
          <w:highlight w:val="green"/>
          <w:lang w:val="en-US" w:bidi="ar-SA"/>
        </w:rPr>
        <w:t>μ</w:t>
      </w:r>
      <w:r w:rsidRPr="00C44692">
        <w:rPr>
          <w:rFonts w:ascii="Bookman Old Style" w:eastAsia="Times New Roman" w:hAnsi="Bookman Old Style" w:cs="Times New Roman"/>
          <w:color w:val="auto"/>
          <w:sz w:val="18"/>
          <w:szCs w:val="18"/>
          <w:highlight w:val="green"/>
          <w:lang w:bidi="ar-SA"/>
        </w:rPr>
        <w:t>(</w:t>
      </w:r>
      <w:r w:rsidRPr="00C44692">
        <w:rPr>
          <w:rFonts w:ascii="Bookman Old Style" w:eastAsia="Times New Roman" w:hAnsi="Bookman Old Style" w:cs="Times New Roman"/>
          <w:color w:val="auto"/>
          <w:sz w:val="18"/>
          <w:szCs w:val="18"/>
          <w:highlight w:val="green"/>
          <w:lang w:val="en-US" w:bidi="ar-SA"/>
        </w:rPr>
        <w:t>x</w:t>
      </w:r>
      <w:r w:rsidRPr="00C44692">
        <w:rPr>
          <w:rFonts w:ascii="Bookman Old Style" w:eastAsia="Times New Roman" w:hAnsi="Bookman Old Style" w:cs="Times New Roman"/>
          <w:color w:val="auto"/>
          <w:sz w:val="18"/>
          <w:szCs w:val="18"/>
          <w:highlight w:val="green"/>
          <w:lang w:bidi="ar-SA"/>
        </w:rPr>
        <w:t>)</w:t>
      </w:r>
      <w:r w:rsidR="007D6045" w:rsidRPr="00C44692">
        <w:rPr>
          <w:rFonts w:ascii="Bookman Old Style" w:eastAsia="Times New Roman" w:hAnsi="Bookman Old Style" w:cs="Times New Roman"/>
          <w:color w:val="auto"/>
          <w:sz w:val="18"/>
          <w:szCs w:val="18"/>
          <w:highlight w:val="green"/>
          <w:lang w:bidi="ar-SA"/>
        </w:rPr>
        <w:t>= =</w:t>
      </w:r>
      <w:r w:rsidRPr="00C44692">
        <w:rPr>
          <w:rFonts w:ascii="Bookman Old Style" w:eastAsia="Times New Roman" w:hAnsi="Bookman Old Style" w:cs="Times New Roman"/>
          <w:color w:val="auto"/>
          <w:sz w:val="18"/>
          <w:szCs w:val="18"/>
          <w:highlight w:val="green"/>
          <w:lang w:bidi="ar-SA"/>
        </w:rPr>
        <w:t xml:space="preserve"> = </w:t>
      </w:r>
      <w:r w:rsidRPr="00C44692">
        <w:rPr>
          <w:rFonts w:ascii="Bookman Old Style" w:eastAsia="Times New Roman" w:hAnsi="Bookman Old Style" w:cs="Times New Roman"/>
          <w:color w:val="auto"/>
          <w:sz w:val="18"/>
          <w:szCs w:val="18"/>
          <w:highlight w:val="green"/>
          <w:lang w:bidi="ar-SA"/>
        </w:rPr>
        <w:tab/>
        <w:t>(</w:t>
      </w:r>
      <w:r w:rsidR="007737D2"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7)</w:t>
      </w:r>
    </w:p>
    <w:p w14:paraId="0B826845"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24E6E4D4"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u w:val="single"/>
          <w:lang w:bidi="ar-SA"/>
        </w:rPr>
      </w:pPr>
    </w:p>
    <w:p w14:paraId="48E5509D"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20526856"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147961CB"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0FA96537"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709CB8DB"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6. Методом экспертных оценок определяются интервалы значений для выбранных показателей. Они записываются в таблицу. Ниже представлен пример таблицы, в которую заносятся интервалы значений выбранных показателей. </w:t>
      </w:r>
    </w:p>
    <w:p w14:paraId="476CAD82" w14:textId="77777777" w:rsidR="007D58AC" w:rsidRPr="00C44692" w:rsidRDefault="007D58AC" w:rsidP="007D58AC">
      <w:pPr>
        <w:spacing w:line="240" w:lineRule="auto"/>
        <w:ind w:firstLine="0"/>
        <w:jc w:val="right"/>
        <w:rPr>
          <w:rFonts w:ascii="Bookman Old Style" w:eastAsia="Times New Roman" w:hAnsi="Bookman Old Style" w:cs="Times New Roman"/>
          <w:b/>
          <w:i/>
          <w:color w:val="auto"/>
          <w:sz w:val="18"/>
          <w:szCs w:val="18"/>
          <w:highlight w:val="green"/>
          <w:lang w:bidi="ar-SA"/>
        </w:rPr>
      </w:pPr>
      <w:r w:rsidRPr="00C44692">
        <w:rPr>
          <w:rFonts w:ascii="Bookman Old Style" w:eastAsia="Times New Roman" w:hAnsi="Bookman Old Style" w:cs="Times New Roman"/>
          <w:b/>
          <w:i/>
          <w:color w:val="auto"/>
          <w:sz w:val="18"/>
          <w:szCs w:val="18"/>
          <w:highlight w:val="green"/>
          <w:lang w:bidi="ar-SA"/>
        </w:rPr>
        <w:t>Таблица 4</w:t>
      </w:r>
    </w:p>
    <w:p w14:paraId="2F49291F" w14:textId="77777777" w:rsidR="007D58AC" w:rsidRPr="00C44692" w:rsidRDefault="007D58AC" w:rsidP="007D58AC">
      <w:pPr>
        <w:spacing w:line="240" w:lineRule="auto"/>
        <w:ind w:firstLine="0"/>
        <w:jc w:val="center"/>
        <w:rPr>
          <w:rFonts w:ascii="Bookman Old Style" w:eastAsia="Times New Roman" w:hAnsi="Bookman Old Style" w:cs="Times New Roman"/>
          <w:b/>
          <w:i/>
          <w:color w:val="auto"/>
          <w:sz w:val="18"/>
          <w:szCs w:val="18"/>
          <w:highlight w:val="green"/>
          <w:lang w:bidi="ar-SA"/>
        </w:rPr>
      </w:pPr>
      <w:r w:rsidRPr="00C44692">
        <w:rPr>
          <w:rFonts w:ascii="Bookman Old Style" w:eastAsia="Times New Roman" w:hAnsi="Bookman Old Style" w:cs="Times New Roman"/>
          <w:b/>
          <w:i/>
          <w:color w:val="auto"/>
          <w:sz w:val="18"/>
          <w:szCs w:val="18"/>
          <w:highlight w:val="green"/>
          <w:lang w:bidi="ar-SA"/>
        </w:rPr>
        <w:t xml:space="preserve">Интервалы значений для анализируемых показателей </w:t>
      </w:r>
      <w:r w:rsidRPr="00C44692">
        <w:rPr>
          <w:rFonts w:ascii="Bookman Old Style" w:eastAsia="Times New Roman" w:hAnsi="Bookman Old Style" w:cs="Times New Roman"/>
          <w:b/>
          <w:i/>
          <w:color w:val="auto"/>
          <w:sz w:val="18"/>
          <w:szCs w:val="18"/>
          <w:highlight w:val="green"/>
          <w:lang w:val="en-US" w:bidi="ar-SA"/>
        </w:rPr>
        <w:t>X</w:t>
      </w:r>
      <w:r w:rsidRPr="00C44692">
        <w:rPr>
          <w:rFonts w:ascii="Bookman Old Style" w:eastAsia="Times New Roman" w:hAnsi="Bookman Old Style" w:cs="Times New Roman"/>
          <w:b/>
          <w:i/>
          <w:color w:val="auto"/>
          <w:sz w:val="18"/>
          <w:szCs w:val="18"/>
          <w:highlight w:val="green"/>
          <w:lang w:bidi="ar-SA"/>
        </w:rPr>
        <w:t xml:space="preserve">1… </w:t>
      </w:r>
      <w:r w:rsidRPr="00C44692">
        <w:rPr>
          <w:rFonts w:ascii="Bookman Old Style" w:eastAsia="Times New Roman" w:hAnsi="Bookman Old Style" w:cs="Times New Roman"/>
          <w:b/>
          <w:i/>
          <w:color w:val="auto"/>
          <w:sz w:val="18"/>
          <w:szCs w:val="18"/>
          <w:highlight w:val="green"/>
          <w:lang w:val="en-US" w:bidi="ar-SA"/>
        </w:rPr>
        <w:t>Xn</w:t>
      </w:r>
      <w:r w:rsidRPr="00C44692">
        <w:rPr>
          <w:rFonts w:ascii="Bookman Old Style" w:eastAsiaTheme="minorEastAsia" w:hAnsi="Bookman Old Style" w:cs="Times New Roman"/>
          <w:b/>
          <w:i/>
          <w:color w:val="auto"/>
          <w:sz w:val="18"/>
          <w:szCs w:val="18"/>
          <w:highlight w:val="green"/>
          <w:vertAlign w:val="superscript"/>
          <w:lang w:val="en-US" w:bidi="ar-SA"/>
        </w:rPr>
        <w:footnoteReference w:id="218"/>
      </w:r>
    </w:p>
    <w:tbl>
      <w:tblPr>
        <w:tblStyle w:val="afc"/>
        <w:tblW w:w="5949" w:type="dxa"/>
        <w:tblLook w:val="04A0" w:firstRow="1" w:lastRow="0" w:firstColumn="1" w:lastColumn="0" w:noHBand="0" w:noVBand="1"/>
      </w:tblPr>
      <w:tblGrid>
        <w:gridCol w:w="1568"/>
        <w:gridCol w:w="1955"/>
        <w:gridCol w:w="1012"/>
        <w:gridCol w:w="1889"/>
      </w:tblGrid>
      <w:tr w:rsidR="007D58AC" w:rsidRPr="00C44692" w14:paraId="5820D6EB" w14:textId="77777777" w:rsidTr="00677738">
        <w:tc>
          <w:tcPr>
            <w:tcW w:w="1184" w:type="dxa"/>
          </w:tcPr>
          <w:p w14:paraId="24BB5C63"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Наименование показателя</w:t>
            </w:r>
          </w:p>
        </w:tc>
        <w:tc>
          <w:tcPr>
            <w:tcW w:w="1646" w:type="dxa"/>
          </w:tcPr>
          <w:p w14:paraId="42D3F870"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Пессимистический</w:t>
            </w:r>
          </w:p>
        </w:tc>
        <w:tc>
          <w:tcPr>
            <w:tcW w:w="1418" w:type="dxa"/>
          </w:tcPr>
          <w:p w14:paraId="58EEBC8C"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 xml:space="preserve">Базовый </w:t>
            </w:r>
          </w:p>
        </w:tc>
        <w:tc>
          <w:tcPr>
            <w:tcW w:w="1701" w:type="dxa"/>
          </w:tcPr>
          <w:p w14:paraId="59C43B39"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 xml:space="preserve">Оптимистический </w:t>
            </w:r>
          </w:p>
        </w:tc>
      </w:tr>
      <w:tr w:rsidR="007D58AC" w:rsidRPr="00C44692" w14:paraId="7AC9342F" w14:textId="77777777" w:rsidTr="00677738">
        <w:tc>
          <w:tcPr>
            <w:tcW w:w="1184" w:type="dxa"/>
          </w:tcPr>
          <w:p w14:paraId="7EE1CDB5"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lang w:val="en-US"/>
              </w:rPr>
              <w:t>X</w:t>
            </w:r>
            <w:r w:rsidRPr="00C44692">
              <w:rPr>
                <w:rFonts w:ascii="Bookman Old Style" w:hAnsi="Bookman Old Style" w:cs="Times New Roman"/>
                <w:color w:val="auto"/>
                <w:sz w:val="18"/>
                <w:szCs w:val="18"/>
                <w:highlight w:val="green"/>
              </w:rPr>
              <w:t>1</w:t>
            </w:r>
          </w:p>
        </w:tc>
        <w:tc>
          <w:tcPr>
            <w:tcW w:w="1646" w:type="dxa"/>
          </w:tcPr>
          <w:p w14:paraId="379D9EE0"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[0, 0,65]</w:t>
            </w:r>
          </w:p>
        </w:tc>
        <w:tc>
          <w:tcPr>
            <w:tcW w:w="1418" w:type="dxa"/>
          </w:tcPr>
          <w:p w14:paraId="34E4D69C"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[0,5, 1,15]</w:t>
            </w:r>
          </w:p>
        </w:tc>
        <w:tc>
          <w:tcPr>
            <w:tcW w:w="1701" w:type="dxa"/>
          </w:tcPr>
          <w:p w14:paraId="4A09F357"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[1, 1,65]</w:t>
            </w:r>
          </w:p>
        </w:tc>
      </w:tr>
      <w:tr w:rsidR="007D58AC" w:rsidRPr="00C44692" w14:paraId="542DF261" w14:textId="77777777" w:rsidTr="00677738">
        <w:tc>
          <w:tcPr>
            <w:tcW w:w="1184" w:type="dxa"/>
          </w:tcPr>
          <w:p w14:paraId="13E3D847"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646" w:type="dxa"/>
          </w:tcPr>
          <w:p w14:paraId="26ECD02B"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418" w:type="dxa"/>
          </w:tcPr>
          <w:p w14:paraId="65FADA2F"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701" w:type="dxa"/>
          </w:tcPr>
          <w:p w14:paraId="639131BC"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r>
      <w:tr w:rsidR="007D58AC" w:rsidRPr="00C44692" w14:paraId="49A594B1" w14:textId="77777777" w:rsidTr="00677738">
        <w:tc>
          <w:tcPr>
            <w:tcW w:w="1184" w:type="dxa"/>
          </w:tcPr>
          <w:p w14:paraId="01B86176"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lang w:val="en-US"/>
              </w:rPr>
              <w:t>Xn</w:t>
            </w:r>
          </w:p>
        </w:tc>
        <w:tc>
          <w:tcPr>
            <w:tcW w:w="1646" w:type="dxa"/>
          </w:tcPr>
          <w:p w14:paraId="197FA6C3"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418" w:type="dxa"/>
          </w:tcPr>
          <w:p w14:paraId="512D57D7"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c>
          <w:tcPr>
            <w:tcW w:w="1701" w:type="dxa"/>
          </w:tcPr>
          <w:p w14:paraId="538FAB25" w14:textId="77777777" w:rsidR="007D58AC" w:rsidRPr="00C44692" w:rsidRDefault="007D58AC" w:rsidP="007D58AC">
            <w:pPr>
              <w:rPr>
                <w:rFonts w:ascii="Bookman Old Style" w:hAnsi="Bookman Old Style" w:cs="Times New Roman"/>
                <w:color w:val="auto"/>
                <w:sz w:val="18"/>
                <w:szCs w:val="18"/>
                <w:highlight w:val="green"/>
              </w:rPr>
            </w:pPr>
            <w:r w:rsidRPr="00C44692">
              <w:rPr>
                <w:rFonts w:ascii="Bookman Old Style" w:hAnsi="Bookman Old Style" w:cs="Times New Roman"/>
                <w:color w:val="auto"/>
                <w:sz w:val="18"/>
                <w:szCs w:val="18"/>
                <w:highlight w:val="green"/>
              </w:rPr>
              <w:t>…</w:t>
            </w:r>
          </w:p>
        </w:tc>
      </w:tr>
    </w:tbl>
    <w:p w14:paraId="70461381"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val="en-US" w:bidi="ar-SA"/>
        </w:rPr>
      </w:pPr>
    </w:p>
    <w:p w14:paraId="4B672776"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 Этап 7. Определяются параметры треугольной функции по формуле дефаззификации среднего максимума: </w:t>
      </w:r>
    </w:p>
    <w:p w14:paraId="4F61AD69" w14:textId="17346A49"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val="en-US" w:bidi="ar-SA"/>
        </w:rPr>
        <w:t>g</w:t>
      </w:r>
      <w:r w:rsidRPr="00C44692">
        <w:rPr>
          <w:rFonts w:ascii="Bookman Old Style" w:eastAsia="Times New Roman" w:hAnsi="Bookman Old Style" w:cs="Times New Roman"/>
          <w:color w:val="auto"/>
          <w:sz w:val="18"/>
          <w:szCs w:val="18"/>
          <w:highlight w:val="green"/>
          <w:lang w:bidi="ar-SA"/>
        </w:rPr>
        <w:t>=</w:t>
      </w:r>
      <m:oMath>
        <m:f>
          <m:fPr>
            <m:ctrlPr>
              <w:rPr>
                <w:rFonts w:ascii="Cambria Math" w:eastAsia="Times New Roman" w:hAnsi="Cambria Math" w:cs="Times New Roman"/>
                <w:i/>
                <w:color w:val="auto"/>
                <w:sz w:val="18"/>
                <w:szCs w:val="18"/>
                <w:highlight w:val="green"/>
                <w:lang w:val="en-US" w:bidi="ar-SA"/>
              </w:rPr>
            </m:ctrlPr>
          </m:fPr>
          <m:num>
            <m:r>
              <w:rPr>
                <w:rFonts w:ascii="Cambria Math" w:eastAsia="Times New Roman" w:hAnsi="Cambria Math" w:cs="Times New Roman"/>
                <w:color w:val="auto"/>
                <w:sz w:val="18"/>
                <w:szCs w:val="18"/>
                <w:highlight w:val="green"/>
                <w:lang w:val="en-US" w:bidi="ar-SA"/>
              </w:rPr>
              <m:t>Kja</m:t>
            </m:r>
            <m:r>
              <w:rPr>
                <w:rFonts w:ascii="Cambria Math" w:eastAsia="Times New Roman" w:hAnsi="Cambria Math" w:cs="Times New Roman"/>
                <w:color w:val="auto"/>
                <w:sz w:val="18"/>
                <w:szCs w:val="18"/>
                <w:highlight w:val="green"/>
                <w:lang w:bidi="ar-SA"/>
              </w:rPr>
              <m:t>+</m:t>
            </m:r>
            <m:r>
              <w:rPr>
                <w:rFonts w:ascii="Cambria Math" w:eastAsia="Times New Roman" w:hAnsi="Cambria Math" w:cs="Times New Roman"/>
                <w:color w:val="auto"/>
                <w:sz w:val="18"/>
                <w:szCs w:val="18"/>
                <w:highlight w:val="green"/>
                <w:lang w:val="en-US" w:bidi="ar-SA"/>
              </w:rPr>
              <m:t>Kjb</m:t>
            </m:r>
          </m:num>
          <m:den>
            <m:r>
              <w:rPr>
                <w:rFonts w:ascii="Cambria Math" w:eastAsia="Times New Roman" w:hAnsi="Cambria Math" w:cs="Times New Roman"/>
                <w:color w:val="auto"/>
                <w:sz w:val="18"/>
                <w:szCs w:val="18"/>
                <w:highlight w:val="green"/>
                <w:lang w:bidi="ar-SA"/>
              </w:rPr>
              <m:t>2</m:t>
            </m:r>
          </m:den>
        </m:f>
      </m:oMath>
      <w:r w:rsidRPr="00C44692">
        <w:rPr>
          <w:rFonts w:ascii="Bookman Old Style" w:eastAsia="Times New Roman" w:hAnsi="Bookman Old Style" w:cs="Times New Roman"/>
          <w:color w:val="auto"/>
          <w:sz w:val="18"/>
          <w:szCs w:val="18"/>
          <w:highlight w:val="green"/>
          <w:lang w:bidi="ar-SA"/>
        </w:rPr>
        <w:t>(</w:t>
      </w:r>
      <w:r w:rsidR="007737D2"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8)</w:t>
      </w:r>
    </w:p>
    <w:p w14:paraId="71468349" w14:textId="77777777" w:rsidR="007D58AC" w:rsidRPr="00C44692" w:rsidRDefault="007D58AC" w:rsidP="007D58AC">
      <w:pPr>
        <w:spacing w:line="240" w:lineRule="auto"/>
        <w:ind w:firstLine="0"/>
        <w:jc w:val="left"/>
        <w:rPr>
          <w:rFonts w:ascii="Bookman Old Style" w:eastAsia="Times New Roman" w:hAnsi="Bookman Old Style" w:cs="Times New Roman"/>
          <w:color w:val="auto"/>
          <w:sz w:val="18"/>
          <w:szCs w:val="18"/>
          <w:highlight w:val="green"/>
          <w:lang w:bidi="ar-SA"/>
        </w:rPr>
      </w:pPr>
    </w:p>
    <w:p w14:paraId="3927882C"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lastRenderedPageBreak/>
        <w:t xml:space="preserve">Этап 8. Рассчитываются в соответствии с функцией принадлежности  (4) уровни принадлежности фактических значений показателей заданным качественным классам. </w:t>
      </w:r>
    </w:p>
    <w:p w14:paraId="3C9FD52E"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9. Рассчитывается агрегированный показатель по формуле: </w:t>
      </w:r>
    </w:p>
    <w:p w14:paraId="5AC20D57" w14:textId="79134EE3"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ИПА = </w:t>
      </w:r>
      <m:oMath>
        <m:nary>
          <m:naryPr>
            <m:chr m:val="∑"/>
            <m:limLoc m:val="undOvr"/>
            <m:ctrlPr>
              <w:rPr>
                <w:rFonts w:ascii="Cambria Math" w:eastAsia="Times New Roman" w:hAnsi="Cambria Math" w:cs="Times New Roman"/>
                <w:i/>
                <w:color w:val="auto"/>
                <w:sz w:val="18"/>
                <w:szCs w:val="18"/>
                <w:highlight w:val="green"/>
                <w:lang w:bidi="ar-SA"/>
              </w:rPr>
            </m:ctrlPr>
          </m:naryPr>
          <m:sub>
            <m:r>
              <w:rPr>
                <w:rFonts w:ascii="Cambria Math" w:eastAsia="Times New Roman" w:hAnsi="Cambria Math" w:cs="Times New Roman"/>
                <w:color w:val="auto"/>
                <w:sz w:val="18"/>
                <w:szCs w:val="18"/>
                <w:highlight w:val="green"/>
                <w:lang w:bidi="ar-SA"/>
              </w:rPr>
              <m:t>i=1</m:t>
            </m:r>
          </m:sub>
          <m:sup>
            <m:r>
              <w:rPr>
                <w:rFonts w:ascii="Cambria Math" w:eastAsia="Times New Roman" w:hAnsi="Cambria Math" w:cs="Times New Roman"/>
                <w:color w:val="auto"/>
                <w:sz w:val="18"/>
                <w:szCs w:val="18"/>
                <w:highlight w:val="green"/>
                <w:lang w:bidi="ar-SA"/>
              </w:rPr>
              <m:t>n</m:t>
            </m:r>
          </m:sup>
          <m:e>
            <m:r>
              <w:rPr>
                <w:rFonts w:ascii="Cambria Math" w:eastAsia="Times New Roman" w:hAnsi="Cambria Math" w:cs="Times New Roman"/>
                <w:color w:val="auto"/>
                <w:sz w:val="18"/>
                <w:szCs w:val="18"/>
                <w:highlight w:val="green"/>
                <w:lang w:val="en-US" w:bidi="ar-SA"/>
              </w:rPr>
              <m:t>p</m:t>
            </m:r>
            <m:nary>
              <m:naryPr>
                <m:chr m:val="∑"/>
                <m:limLoc m:val="undOvr"/>
                <m:ctrlPr>
                  <w:rPr>
                    <w:rFonts w:ascii="Cambria Math" w:eastAsia="Times New Roman" w:hAnsi="Cambria Math" w:cs="Times New Roman"/>
                    <w:i/>
                    <w:color w:val="auto"/>
                    <w:sz w:val="18"/>
                    <w:szCs w:val="18"/>
                    <w:highlight w:val="green"/>
                    <w:lang w:bidi="ar-SA"/>
                  </w:rPr>
                </m:ctrlPr>
              </m:naryPr>
              <m:sub>
                <m:r>
                  <w:rPr>
                    <w:rFonts w:ascii="Cambria Math" w:eastAsia="Times New Roman" w:hAnsi="Cambria Math" w:cs="Times New Roman"/>
                    <w:color w:val="auto"/>
                    <w:sz w:val="18"/>
                    <w:szCs w:val="18"/>
                    <w:highlight w:val="green"/>
                    <w:lang w:bidi="ar-SA"/>
                  </w:rPr>
                  <m:t>j=1</m:t>
                </m:r>
              </m:sub>
              <m:sup>
                <m:r>
                  <w:rPr>
                    <w:rFonts w:ascii="Cambria Math" w:eastAsia="Times New Roman" w:hAnsi="Cambria Math" w:cs="Times New Roman"/>
                    <w:color w:val="auto"/>
                    <w:sz w:val="18"/>
                    <w:szCs w:val="18"/>
                    <w:highlight w:val="green"/>
                    <w:lang w:bidi="ar-SA"/>
                  </w:rPr>
                  <m:t>n</m:t>
                </m:r>
              </m:sup>
              <m:e>
                <m:r>
                  <w:rPr>
                    <w:rFonts w:ascii="Cambria Math" w:eastAsia="Times New Roman" w:hAnsi="Cambria Math" w:cs="Times New Roman"/>
                    <w:color w:val="auto"/>
                    <w:sz w:val="18"/>
                    <w:szCs w:val="18"/>
                    <w:highlight w:val="green"/>
                    <w:lang w:val="en-US" w:bidi="ar-SA"/>
                  </w:rPr>
                  <m:t>g</m:t>
                </m:r>
                <m:r>
                  <w:rPr>
                    <w:rFonts w:ascii="Cambria Math" w:eastAsia="Times New Roman" w:hAnsi="Cambria Math" w:cs="Times New Roman"/>
                    <w:color w:val="auto"/>
                    <w:sz w:val="18"/>
                    <w:szCs w:val="18"/>
                    <w:highlight w:val="green"/>
                    <w:lang w:bidi="ar-SA"/>
                  </w:rPr>
                  <m:t>λ</m:t>
                </m:r>
              </m:e>
            </m:nary>
          </m:e>
        </m:nary>
      </m:oMath>
      <w:r w:rsidRPr="00C44692">
        <w:rPr>
          <w:rFonts w:ascii="Bookman Old Style" w:eastAsia="Times New Roman" w:hAnsi="Bookman Old Style" w:cs="Times New Roman"/>
          <w:color w:val="auto"/>
          <w:sz w:val="18"/>
          <w:szCs w:val="18"/>
          <w:highlight w:val="green"/>
          <w:lang w:bidi="ar-SA"/>
        </w:rPr>
        <w:t>, (</w:t>
      </w:r>
      <w:r w:rsidR="007737D2" w:rsidRPr="00C44692">
        <w:rPr>
          <w:rFonts w:ascii="Bookman Old Style" w:eastAsia="Times New Roman" w:hAnsi="Bookman Old Style" w:cs="Times New Roman"/>
          <w:color w:val="auto"/>
          <w:sz w:val="18"/>
          <w:szCs w:val="18"/>
          <w:highlight w:val="green"/>
          <w:lang w:bidi="ar-SA"/>
        </w:rPr>
        <w:t>7.</w:t>
      </w:r>
      <w:r w:rsidRPr="00C44692">
        <w:rPr>
          <w:rFonts w:ascii="Bookman Old Style" w:eastAsia="Times New Roman" w:hAnsi="Bookman Old Style" w:cs="Times New Roman"/>
          <w:color w:val="auto"/>
          <w:sz w:val="18"/>
          <w:szCs w:val="18"/>
          <w:highlight w:val="green"/>
          <w:lang w:bidi="ar-SA"/>
        </w:rPr>
        <w:t>9)</w:t>
      </w:r>
    </w:p>
    <w:p w14:paraId="6186B552"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где </w:t>
      </w:r>
      <w:r w:rsidRPr="00C44692">
        <w:rPr>
          <w:rFonts w:ascii="Bookman Old Style" w:eastAsia="Times New Roman" w:hAnsi="Bookman Old Style" w:cs="Times New Roman"/>
          <w:color w:val="auto"/>
          <w:sz w:val="18"/>
          <w:szCs w:val="18"/>
          <w:highlight w:val="green"/>
          <w:lang w:val="en-US" w:bidi="ar-SA"/>
        </w:rPr>
        <w:t>p</w:t>
      </w:r>
      <w:r w:rsidRPr="00C44692">
        <w:rPr>
          <w:rFonts w:ascii="Bookman Old Style" w:eastAsia="Times New Roman" w:hAnsi="Bookman Old Style" w:cs="Times New Roman"/>
          <w:color w:val="auto"/>
          <w:sz w:val="18"/>
          <w:szCs w:val="18"/>
          <w:highlight w:val="green"/>
          <w:lang w:bidi="ar-SA"/>
        </w:rPr>
        <w:t xml:space="preserve"> – вес </w:t>
      </w:r>
      <w:r w:rsidRPr="00C44692">
        <w:rPr>
          <w:rFonts w:ascii="Bookman Old Style" w:eastAsia="Times New Roman" w:hAnsi="Bookman Old Style" w:cs="Times New Roman"/>
          <w:color w:val="auto"/>
          <w:sz w:val="18"/>
          <w:szCs w:val="18"/>
          <w:highlight w:val="green"/>
          <w:lang w:val="en-US" w:bidi="ar-SA"/>
        </w:rPr>
        <w:t>i</w:t>
      </w:r>
      <w:r w:rsidRPr="00C44692">
        <w:rPr>
          <w:rFonts w:ascii="Bookman Old Style" w:eastAsia="Times New Roman" w:hAnsi="Bookman Old Style" w:cs="Times New Roman"/>
          <w:color w:val="auto"/>
          <w:sz w:val="18"/>
          <w:szCs w:val="18"/>
          <w:highlight w:val="green"/>
          <w:lang w:bidi="ar-SA"/>
        </w:rPr>
        <w:t xml:space="preserve">-го показателя в наборе ,λ – уровень принадлежности, рассчитанный с помощью формулы (4), </w:t>
      </w:r>
      <w:r w:rsidRPr="00C44692">
        <w:rPr>
          <w:rFonts w:ascii="Bookman Old Style" w:eastAsia="Times New Roman" w:hAnsi="Bookman Old Style" w:cs="Times New Roman"/>
          <w:color w:val="auto"/>
          <w:sz w:val="18"/>
          <w:szCs w:val="18"/>
          <w:highlight w:val="green"/>
          <w:lang w:val="en-US" w:bidi="ar-SA"/>
        </w:rPr>
        <w:t>g</w:t>
      </w:r>
      <w:r w:rsidRPr="00C44692">
        <w:rPr>
          <w:rFonts w:ascii="Bookman Old Style" w:eastAsia="Times New Roman" w:hAnsi="Bookman Old Style" w:cs="Times New Roman"/>
          <w:color w:val="auto"/>
          <w:sz w:val="18"/>
          <w:szCs w:val="18"/>
          <w:highlight w:val="green"/>
          <w:lang w:bidi="ar-SA"/>
        </w:rPr>
        <w:t xml:space="preserve">-  узловая точка , рассчитанная на этапе 7. </w:t>
      </w:r>
    </w:p>
    <w:p w14:paraId="07E6E827" w14:textId="77777777" w:rsidR="007D58AC" w:rsidRPr="00C44692" w:rsidRDefault="007D58AC" w:rsidP="007D58AC">
      <w:pPr>
        <w:spacing w:line="240" w:lineRule="auto"/>
        <w:ind w:firstLine="0"/>
        <w:rPr>
          <w:rFonts w:ascii="Bookman Old Style" w:eastAsia="Times New Roman" w:hAnsi="Bookman Old Style" w:cs="Times New Roman"/>
          <w:i/>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Этап 10. Производится лингвистическое  распознавание степени адаптивности с учетом установленных интервалов. </w:t>
      </w:r>
    </w:p>
    <w:p w14:paraId="4064E015"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0≤ИПА &lt; 0,5 –высокая адаптивность</w:t>
      </w:r>
    </w:p>
    <w:p w14:paraId="78F55D24"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0,5≤ИПА≤ 1средняя адаптивность</w:t>
      </w:r>
    </w:p>
    <w:p w14:paraId="78033446" w14:textId="77777777" w:rsidR="007D58AC" w:rsidRPr="00C44692" w:rsidRDefault="007D58AC" w:rsidP="007D58AC">
      <w:pPr>
        <w:spacing w:after="200" w:line="240" w:lineRule="auto"/>
        <w:ind w:firstLine="0"/>
        <w:contextualSpacing/>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ИПА&gt; 1 – низкая адаптивность</w:t>
      </w:r>
    </w:p>
    <w:p w14:paraId="2DF9478F"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u w:val="single"/>
          <w:lang w:bidi="ar-SA"/>
        </w:rPr>
      </w:pPr>
      <w:r w:rsidRPr="00C44692">
        <w:rPr>
          <w:rFonts w:ascii="Bookman Old Style" w:eastAsia="Times New Roman" w:hAnsi="Bookman Old Style" w:cs="Times New Roman"/>
          <w:color w:val="auto"/>
          <w:sz w:val="18"/>
          <w:szCs w:val="18"/>
          <w:highlight w:val="green"/>
          <w:u w:val="single"/>
          <w:lang w:bidi="ar-SA"/>
        </w:rPr>
        <w:t xml:space="preserve"> Выбор и обоснование показателей для расчета интегрального показателя адаптивности </w:t>
      </w:r>
    </w:p>
    <w:p w14:paraId="4F3B029A"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Рассмотрим, как происходит выбор показателей для расчета интегрального показателя адаптивности.  </w:t>
      </w:r>
    </w:p>
    <w:p w14:paraId="25DFBCFE" w14:textId="77777777" w:rsidR="007D58AC" w:rsidRPr="00C44692" w:rsidRDefault="007D58AC" w:rsidP="007D58AC">
      <w:pPr>
        <w:spacing w:line="240" w:lineRule="auto"/>
        <w:ind w:firstLine="709"/>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В процессе разработки стратегии развития экономических субъектов на определяются цели разных уровней и определяются показатели, которые помогают определить, достигнута ли цель. </w:t>
      </w:r>
    </w:p>
    <w:p w14:paraId="13621718"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Цели и показатели должны соответствовать </w:t>
      </w:r>
      <w:r w:rsidRPr="00C44692">
        <w:rPr>
          <w:rFonts w:ascii="Bookman Old Style" w:eastAsia="Times New Roman" w:hAnsi="Bookman Old Style" w:cs="Times New Roman"/>
          <w:color w:val="auto"/>
          <w:sz w:val="18"/>
          <w:szCs w:val="18"/>
          <w:highlight w:val="green"/>
          <w:lang w:val="en-US" w:bidi="ar-SA"/>
        </w:rPr>
        <w:t>SMART</w:t>
      </w:r>
      <w:r w:rsidRPr="00C44692">
        <w:rPr>
          <w:rFonts w:ascii="Bookman Old Style" w:eastAsia="Times New Roman" w:hAnsi="Bookman Old Style" w:cs="Times New Roman"/>
          <w:color w:val="auto"/>
          <w:sz w:val="18"/>
          <w:szCs w:val="18"/>
          <w:highlight w:val="green"/>
          <w:lang w:bidi="ar-SA"/>
        </w:rPr>
        <w:t xml:space="preserve"> модели :</w:t>
      </w:r>
    </w:p>
    <w:p w14:paraId="351CBDC0"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Быть конкретными , прозрачными и понятными;</w:t>
      </w:r>
    </w:p>
    <w:p w14:paraId="2AA833E9"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Быть измеримыми</w:t>
      </w:r>
      <w:r w:rsidRPr="00C44692">
        <w:rPr>
          <w:rFonts w:ascii="Bookman Old Style" w:eastAsiaTheme="minorHAnsi" w:hAnsi="Bookman Old Style" w:cs="Times New Roman"/>
          <w:color w:val="auto"/>
          <w:sz w:val="18"/>
          <w:szCs w:val="18"/>
          <w:highlight w:val="green"/>
          <w:lang w:val="en-US" w:eastAsia="en-US" w:bidi="ar-SA"/>
        </w:rPr>
        <w:t>;</w:t>
      </w:r>
    </w:p>
    <w:p w14:paraId="11DC3E39"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Быть достижимыми</w:t>
      </w:r>
      <w:r w:rsidRPr="00C44692">
        <w:rPr>
          <w:rFonts w:ascii="Bookman Old Style" w:eastAsiaTheme="minorHAnsi" w:hAnsi="Bookman Old Style" w:cs="Times New Roman"/>
          <w:color w:val="auto"/>
          <w:sz w:val="18"/>
          <w:szCs w:val="18"/>
          <w:highlight w:val="green"/>
          <w:lang w:val="en-US" w:eastAsia="en-US" w:bidi="ar-SA"/>
        </w:rPr>
        <w:t>;</w:t>
      </w:r>
    </w:p>
    <w:p w14:paraId="494BDC9C"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Быть адекватными условиям внешней и внутренней среды;</w:t>
      </w:r>
    </w:p>
    <w:p w14:paraId="7E5B2695"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 xml:space="preserve">Быть актуальными на рассматриваемом временном промежутке. </w:t>
      </w:r>
    </w:p>
    <w:p w14:paraId="09E42123" w14:textId="77777777" w:rsidR="007D58AC" w:rsidRPr="00C44692" w:rsidRDefault="007D58AC" w:rsidP="007D58AC">
      <w:pPr>
        <w:spacing w:after="200" w:line="240" w:lineRule="auto"/>
        <w:ind w:firstLine="0"/>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ab/>
        <w:t xml:space="preserve">На основе этих показателей с помощью выбранных методов можно измерить адаптивность экономического субъекта.  </w:t>
      </w:r>
    </w:p>
    <w:p w14:paraId="0FD7EAB3" w14:textId="77777777" w:rsidR="007D58AC" w:rsidRPr="00C44692" w:rsidRDefault="007D58AC" w:rsidP="007D58AC">
      <w:pPr>
        <w:spacing w:after="200" w:line="240" w:lineRule="auto"/>
        <w:ind w:firstLine="709"/>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Показатели для проверки достижения цели можно найти следующим образом:</w:t>
      </w:r>
    </w:p>
    <w:p w14:paraId="6953843B" w14:textId="79866897" w:rsidR="007D58AC" w:rsidRPr="00C44692" w:rsidRDefault="007D58AC" w:rsidP="007D6045">
      <w:pPr>
        <w:numPr>
          <w:ilvl w:val="0"/>
          <w:numId w:val="174"/>
        </w:numPr>
        <w:spacing w:after="200" w:line="240" w:lineRule="auto"/>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 xml:space="preserve">По результатам проведенного финансового анализа предприятий отрасли выбираются значимые показатели , характеризующие состояние  предприятия с учетом отраслевой </w:t>
      </w:r>
      <w:r w:rsidR="007D6045" w:rsidRPr="00C44692">
        <w:rPr>
          <w:rFonts w:ascii="Bookman Old Style" w:eastAsiaTheme="minorHAnsi" w:hAnsi="Bookman Old Style" w:cs="Times New Roman"/>
          <w:color w:val="auto"/>
          <w:sz w:val="18"/>
          <w:szCs w:val="18"/>
          <w:highlight w:val="green"/>
          <w:lang w:eastAsia="en-US" w:bidi="ar-SA"/>
        </w:rPr>
        <w:t>специфики</w:t>
      </w:r>
      <w:r w:rsidRPr="00C44692">
        <w:rPr>
          <w:rFonts w:ascii="Bookman Old Style" w:eastAsiaTheme="minorHAnsi" w:hAnsi="Bookman Old Style" w:cs="Times New Roman"/>
          <w:color w:val="auto"/>
          <w:sz w:val="18"/>
          <w:szCs w:val="18"/>
          <w:highlight w:val="green"/>
          <w:lang w:eastAsia="en-US" w:bidi="ar-SA"/>
        </w:rPr>
        <w:t xml:space="preserve">; </w:t>
      </w:r>
    </w:p>
    <w:p w14:paraId="4404B5E8"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На микроуровне показатели могут быть установлены и зафиксированы по итогам стратегических сессий в карте стратегических целей;</w:t>
      </w:r>
    </w:p>
    <w:p w14:paraId="03C36365" w14:textId="77777777"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На макроуровне (национальная экономика), например, могут использоваться прогнозы устойчивого развития национальной экономики, содержащие перечень показателей для мониторинга ;</w:t>
      </w:r>
    </w:p>
    <w:p w14:paraId="79C8D28F" w14:textId="020DEE05" w:rsidR="007D58AC" w:rsidRPr="00C44692" w:rsidRDefault="007D58AC">
      <w:pPr>
        <w:numPr>
          <w:ilvl w:val="0"/>
          <w:numId w:val="174"/>
        </w:numPr>
        <w:spacing w:after="200" w:line="240" w:lineRule="auto"/>
        <w:contextualSpacing/>
        <w:jc w:val="left"/>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Выбор показателей, которые характеризуют адаптивность экономического субъекта, может  производиться на основе результатов корреляционного и/или финансового анализа;</w:t>
      </w:r>
    </w:p>
    <w:p w14:paraId="2842B2FC"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Ниже описаны показатели, которые рекомендуется  использовать для оценки адаптивности экономических субъектов на разных уровнях.</w:t>
      </w:r>
    </w:p>
    <w:p w14:paraId="21D92AEA" w14:textId="4666395A" w:rsidR="007D58AC" w:rsidRPr="00C44692" w:rsidRDefault="007737D2" w:rsidP="007737D2">
      <w:pPr>
        <w:spacing w:after="200" w:line="240" w:lineRule="auto"/>
        <w:ind w:firstLine="0"/>
        <w:contextualSpacing/>
        <w:jc w:val="center"/>
        <w:rPr>
          <w:rFonts w:ascii="Bookman Old Style" w:eastAsiaTheme="minorHAnsi" w:hAnsi="Bookman Old Style" w:cs="Times New Roman"/>
          <w:i/>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1.</w:t>
      </w:r>
      <w:r w:rsidR="007D58AC" w:rsidRPr="00C44692">
        <w:rPr>
          <w:rFonts w:ascii="Bookman Old Style" w:eastAsiaTheme="minorHAnsi" w:hAnsi="Bookman Old Style" w:cs="Times New Roman"/>
          <w:color w:val="auto"/>
          <w:sz w:val="18"/>
          <w:szCs w:val="18"/>
          <w:highlight w:val="green"/>
          <w:lang w:eastAsia="en-US" w:bidi="ar-SA"/>
        </w:rPr>
        <w:t>Показатели, которые можно использовать для оценки адаптивности предприятия</w:t>
      </w:r>
    </w:p>
    <w:p w14:paraId="235023C8" w14:textId="5C6F45BD"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i/>
          <w:color w:val="auto"/>
          <w:sz w:val="18"/>
          <w:szCs w:val="18"/>
          <w:highlight w:val="green"/>
          <w:lang w:bidi="ar-SA"/>
        </w:rPr>
        <w:tab/>
      </w:r>
      <w:r w:rsidRPr="00C44692">
        <w:rPr>
          <w:rFonts w:ascii="Bookman Old Style" w:eastAsia="Times New Roman" w:hAnsi="Bookman Old Style" w:cs="Times New Roman"/>
          <w:color w:val="auto"/>
          <w:sz w:val="18"/>
          <w:szCs w:val="18"/>
          <w:highlight w:val="green"/>
          <w:lang w:bidi="ar-SA"/>
        </w:rPr>
        <w:t xml:space="preserve">Для расчета интегрального коэффициента адаптивности экономических субъектов разных уровней предлагается использовать систему сбалансированных показателей, описанную в концепции </w:t>
      </w:r>
      <w:r w:rsidRPr="00C44692">
        <w:rPr>
          <w:rFonts w:ascii="Bookman Old Style" w:eastAsia="Times New Roman" w:hAnsi="Bookman Old Style" w:cs="Times New Roman"/>
          <w:color w:val="auto"/>
          <w:sz w:val="18"/>
          <w:szCs w:val="18"/>
          <w:highlight w:val="green"/>
          <w:lang w:bidi="ar-SA"/>
        </w:rPr>
        <w:lastRenderedPageBreak/>
        <w:t>Нортона Д. и Каплана Р</w:t>
      </w:r>
      <w:r w:rsidRPr="00C44692">
        <w:rPr>
          <w:rFonts w:ascii="Bookman Old Style" w:eastAsia="Times New Roman" w:hAnsi="Bookman Old Style" w:cs="Times New Roman"/>
          <w:i/>
          <w:color w:val="auto"/>
          <w:sz w:val="18"/>
          <w:szCs w:val="18"/>
          <w:highlight w:val="green"/>
          <w:lang w:bidi="ar-SA"/>
        </w:rPr>
        <w:t>.</w:t>
      </w:r>
      <w:r w:rsidR="00995420" w:rsidRPr="00C44692">
        <w:rPr>
          <w:rStyle w:val="af8"/>
          <w:rFonts w:ascii="Bookman Old Style" w:eastAsia="Times New Roman" w:hAnsi="Bookman Old Style" w:cs="Times New Roman"/>
          <w:i/>
          <w:color w:val="auto"/>
          <w:sz w:val="18"/>
          <w:szCs w:val="18"/>
          <w:highlight w:val="green"/>
          <w:lang w:bidi="ar-SA"/>
        </w:rPr>
        <w:footnoteReference w:id="219"/>
      </w:r>
      <w:r w:rsidRPr="00C44692">
        <w:rPr>
          <w:rFonts w:ascii="Bookman Old Style" w:eastAsia="Times New Roman" w:hAnsi="Bookman Old Style" w:cs="Times New Roman"/>
          <w:color w:val="auto"/>
          <w:sz w:val="18"/>
          <w:szCs w:val="18"/>
          <w:highlight w:val="green"/>
          <w:lang w:bidi="ar-SA"/>
        </w:rPr>
        <w:t xml:space="preserve">.  Концепция Нортона и Каплана предполагает, что предприятие развивается по четырем проекциям: финансы, рынок и клиенты (или маркетинговая проекция), внутренние бизнес-процессы инновации и персонал. Каждой проекции соответствует система целей и показателей, с помощью которых можно проверить, достигнута ли цель. В рамках разработки карты стратегических целей на предприятии силами ключевых фигур (собственники, топ-менеджмент) разрабатывается система сбалансированных показателей, значения которых и участвуют в расчетах. </w:t>
      </w:r>
    </w:p>
    <w:p w14:paraId="54798227"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ab/>
        <w:t>На основе концепции сбалансированных показателей Нортона и Каплана рекомендуется выбрать , а затем  рассчитывать показатели по следующим проекциям</w:t>
      </w:r>
      <w:r w:rsidRPr="00C44692">
        <w:rPr>
          <w:rFonts w:ascii="Bookman Old Style" w:eastAsiaTheme="minorEastAsia" w:hAnsi="Bookman Old Style" w:cs="Times New Roman"/>
          <w:color w:val="auto"/>
          <w:sz w:val="18"/>
          <w:szCs w:val="18"/>
          <w:highlight w:val="green"/>
          <w:vertAlign w:val="superscript"/>
          <w:lang w:bidi="ar-SA"/>
        </w:rPr>
        <w:footnoteReference w:id="220"/>
      </w:r>
      <w:r w:rsidRPr="00C44692">
        <w:rPr>
          <w:rFonts w:ascii="Bookman Old Style" w:eastAsia="Times New Roman" w:hAnsi="Bookman Old Style" w:cs="Times New Roman"/>
          <w:color w:val="auto"/>
          <w:sz w:val="18"/>
          <w:szCs w:val="18"/>
          <w:highlight w:val="green"/>
          <w:lang w:bidi="ar-SA"/>
        </w:rPr>
        <w:t>:</w:t>
      </w:r>
    </w:p>
    <w:p w14:paraId="5482EB7B" w14:textId="77777777" w:rsidR="007D58AC" w:rsidRPr="00C44692" w:rsidRDefault="007D58AC">
      <w:pPr>
        <w:numPr>
          <w:ilvl w:val="0"/>
          <w:numId w:val="171"/>
        </w:numPr>
        <w:spacing w:line="240" w:lineRule="auto"/>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Финансы (рентабельность активов, рентабельность основной деятельности, коэффициент текущей ликвидности, темп роста прибыли);</w:t>
      </w:r>
    </w:p>
    <w:p w14:paraId="3D90BB4E" w14:textId="77777777" w:rsidR="007D58AC" w:rsidRPr="00C44692" w:rsidRDefault="007D58AC">
      <w:pPr>
        <w:numPr>
          <w:ilvl w:val="0"/>
          <w:numId w:val="171"/>
        </w:numPr>
        <w:spacing w:line="240" w:lineRule="auto"/>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Рынок и клиенты (доля рынка, рентабельность продаж, коэффициент оборачиваемости оборотных активов, коэффициент оборачиваемости запасов);</w:t>
      </w:r>
    </w:p>
    <w:p w14:paraId="746E6F35" w14:textId="77777777" w:rsidR="007D58AC" w:rsidRPr="00C44692" w:rsidRDefault="007D58AC">
      <w:pPr>
        <w:numPr>
          <w:ilvl w:val="0"/>
          <w:numId w:val="171"/>
        </w:numPr>
        <w:spacing w:line="240" w:lineRule="auto"/>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Внутренние бизнес-процессы (рентабельность основных средств, рентабельность трудовых ресурсов, фондоотдача, материалоотдача);</w:t>
      </w:r>
    </w:p>
    <w:p w14:paraId="4BAD3638" w14:textId="77777777" w:rsidR="007D58AC" w:rsidRPr="00C44692" w:rsidRDefault="007D58AC">
      <w:pPr>
        <w:numPr>
          <w:ilvl w:val="0"/>
          <w:numId w:val="171"/>
        </w:numPr>
        <w:spacing w:line="240" w:lineRule="auto"/>
        <w:jc w:val="left"/>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Инновации и персонал (коэффициент текучести кадров, доля  квалифицированных кадров в общей численности персонала, доля сотрудников с высшим образованием в общей численности персонала, доля расходов на НИОКР, энерговооруженность, фондовооруженность).</w:t>
      </w:r>
    </w:p>
    <w:p w14:paraId="4F05E6D2" w14:textId="77777777" w:rsidR="007D58AC" w:rsidRPr="00C44692" w:rsidRDefault="007D58AC" w:rsidP="007D58AC">
      <w:pPr>
        <w:spacing w:line="240" w:lineRule="auto"/>
        <w:ind w:left="720"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В качестве источника информации следует ориентироваться на официальную отчетность предприятий. </w:t>
      </w:r>
    </w:p>
    <w:p w14:paraId="3074F662" w14:textId="15598C79" w:rsidR="007D58AC" w:rsidRPr="00C44692" w:rsidRDefault="007D58AC" w:rsidP="007D58AC">
      <w:pPr>
        <w:spacing w:line="240" w:lineRule="auto"/>
        <w:ind w:left="720"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Для оценки адаптивности можно также использовать подход , который основан на концепции финансовой устойчивости. Для этого на этапе выбора показателей для анализа проводится корреляционный анализ с учетом специфики выбранной отрасли.    </w:t>
      </w:r>
    </w:p>
    <w:p w14:paraId="276EA958" w14:textId="77777777" w:rsidR="007737D2" w:rsidRPr="00C44692" w:rsidRDefault="007737D2" w:rsidP="007D58AC">
      <w:pPr>
        <w:spacing w:line="240" w:lineRule="auto"/>
        <w:ind w:left="720" w:firstLine="0"/>
        <w:rPr>
          <w:rFonts w:ascii="Bookman Old Style" w:eastAsia="Times New Roman" w:hAnsi="Bookman Old Style" w:cs="Times New Roman"/>
          <w:color w:val="auto"/>
          <w:sz w:val="18"/>
          <w:szCs w:val="18"/>
          <w:highlight w:val="green"/>
          <w:lang w:bidi="ar-SA"/>
        </w:rPr>
      </w:pPr>
    </w:p>
    <w:p w14:paraId="121CDD41" w14:textId="344A79EF" w:rsidR="007D58AC" w:rsidRPr="00C44692" w:rsidRDefault="007737D2" w:rsidP="007737D2">
      <w:pPr>
        <w:pStyle w:val="afb"/>
        <w:spacing w:line="240" w:lineRule="auto"/>
        <w:rPr>
          <w:rFonts w:ascii="Bookman Old Style" w:hAnsi="Bookman Old Style" w:cs="Times New Roman"/>
          <w:i/>
          <w:sz w:val="18"/>
          <w:szCs w:val="18"/>
          <w:highlight w:val="green"/>
        </w:rPr>
      </w:pPr>
      <w:r w:rsidRPr="00C44692">
        <w:rPr>
          <w:rFonts w:ascii="Bookman Old Style" w:hAnsi="Bookman Old Style" w:cs="Times New Roman"/>
          <w:sz w:val="18"/>
          <w:szCs w:val="18"/>
          <w:highlight w:val="green"/>
        </w:rPr>
        <w:t>2.</w:t>
      </w:r>
      <w:r w:rsidR="007D58AC" w:rsidRPr="00C44692">
        <w:rPr>
          <w:rFonts w:ascii="Bookman Old Style" w:hAnsi="Bookman Old Style" w:cs="Times New Roman"/>
          <w:sz w:val="18"/>
          <w:szCs w:val="18"/>
          <w:highlight w:val="green"/>
        </w:rPr>
        <w:t>Показатели, которые можно использовать для оценки адаптивности отрасли</w:t>
      </w:r>
    </w:p>
    <w:p w14:paraId="7860BD4F"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ab/>
        <w:t xml:space="preserve">Для оценки интегрального показателя адаптивности для отрасли целесообразно использовать среднеотраслевые показатели по перечисленным выше проекциям. Источником прогнозных значений ключевых показателей развития отрасли может являться также стратегический план развития отрасли. </w:t>
      </w:r>
    </w:p>
    <w:p w14:paraId="324B7078" w14:textId="77777777" w:rsidR="007D58AC" w:rsidRPr="00C44692" w:rsidRDefault="007D58AC" w:rsidP="007D58AC">
      <w:pPr>
        <w:spacing w:after="200" w:line="240" w:lineRule="auto"/>
        <w:ind w:firstLine="0"/>
        <w:contextualSpacing/>
        <w:rPr>
          <w:rFonts w:ascii="Bookman Old Style" w:eastAsiaTheme="minorHAnsi" w:hAnsi="Bookman Old Style" w:cs="Times New Roman"/>
          <w:color w:val="auto"/>
          <w:sz w:val="18"/>
          <w:szCs w:val="18"/>
          <w:highlight w:val="green"/>
          <w:lang w:eastAsia="en-US" w:bidi="ar-SA"/>
        </w:rPr>
      </w:pPr>
    </w:p>
    <w:p w14:paraId="13266D4F" w14:textId="47D1AE5A" w:rsidR="007D58AC" w:rsidRPr="00C44692" w:rsidRDefault="007737D2" w:rsidP="007737D2">
      <w:pPr>
        <w:numPr>
          <w:ilvl w:val="3"/>
          <w:numId w:val="128"/>
        </w:numPr>
        <w:tabs>
          <w:tab w:val="num" w:pos="284"/>
        </w:tabs>
        <w:spacing w:after="200" w:line="240" w:lineRule="auto"/>
        <w:ind w:hanging="45"/>
        <w:contextualSpacing/>
        <w:jc w:val="center"/>
        <w:rPr>
          <w:rFonts w:ascii="Bookman Old Style" w:eastAsiaTheme="minorHAnsi" w:hAnsi="Bookman Old Style" w:cs="Times New Roman"/>
          <w:i/>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 xml:space="preserve">3. </w:t>
      </w:r>
      <w:r w:rsidR="007D58AC" w:rsidRPr="00C44692">
        <w:rPr>
          <w:rFonts w:ascii="Bookman Old Style" w:eastAsiaTheme="minorHAnsi" w:hAnsi="Bookman Old Style" w:cs="Times New Roman"/>
          <w:color w:val="auto"/>
          <w:sz w:val="18"/>
          <w:szCs w:val="18"/>
          <w:highlight w:val="green"/>
          <w:lang w:eastAsia="en-US" w:bidi="ar-SA"/>
        </w:rPr>
        <w:t>Показатели, которые можно использовать для оценки адаптивности региона</w:t>
      </w:r>
    </w:p>
    <w:p w14:paraId="443C2EA4" w14:textId="77777777" w:rsidR="007D58AC" w:rsidRPr="00C44692" w:rsidRDefault="007D58AC" w:rsidP="007D58AC">
      <w:pPr>
        <w:spacing w:after="200" w:line="240" w:lineRule="auto"/>
        <w:ind w:firstLine="0"/>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lastRenderedPageBreak/>
        <w:tab/>
        <w:t>Для оценки интегрального показателя адаптивности региона предлагается использовать приведенные ниже показатели по следующим проекциям: экономическая, рыночная, экологическая, социальная, инновационная:</w:t>
      </w:r>
    </w:p>
    <w:p w14:paraId="53D6133B" w14:textId="77777777" w:rsidR="007D58AC" w:rsidRPr="00C44692" w:rsidRDefault="007D58AC">
      <w:pPr>
        <w:numPr>
          <w:ilvl w:val="0"/>
          <w:numId w:val="172"/>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Экономическая проекция: валовый региональный продукт (ВРП) на душу населения, темпы экономического роста региона;индекс физического объема промышленной продукции; степень износа основных производственных фондов; производительность труда; доля убыточных предприятий; соотношение темпов роста потребления и инвестиций в основной капитал; доля иностранных инвестиций в экономику региона; индекс физического объема инвестиций (в % к прошлому году).</w:t>
      </w:r>
    </w:p>
    <w:p w14:paraId="56ACAD7A" w14:textId="77777777" w:rsidR="007D58AC" w:rsidRPr="00C44692" w:rsidRDefault="007D58AC">
      <w:pPr>
        <w:numPr>
          <w:ilvl w:val="0"/>
          <w:numId w:val="172"/>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Рыночная проекция: показатели: кредиторской и дебиторской задолженности региона; доля экспорта природных ресурсов; темпы роста / сокращения импортозамещающих производств в регионе.</w:t>
      </w:r>
    </w:p>
    <w:p w14:paraId="39880281" w14:textId="77777777" w:rsidR="007D58AC" w:rsidRPr="00C44692" w:rsidRDefault="007D58AC">
      <w:pPr>
        <w:numPr>
          <w:ilvl w:val="0"/>
          <w:numId w:val="172"/>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Экологическая проекция :</w:t>
      </w:r>
      <w:r w:rsidRPr="00C44692">
        <w:rPr>
          <w:rFonts w:ascii="Bookman Old Style" w:eastAsia="Times New Roman" w:hAnsi="Bookman Old Style" w:cs="Times New Roman"/>
          <w:color w:val="333333"/>
          <w:sz w:val="18"/>
          <w:szCs w:val="18"/>
          <w:highlight w:val="green"/>
          <w:shd w:val="clear" w:color="auto" w:fill="FFFFFF"/>
          <w:lang w:bidi="ar-SA"/>
        </w:rPr>
        <w:t xml:space="preserve"> </w:t>
      </w:r>
      <w:r w:rsidRPr="00C44692">
        <w:rPr>
          <w:rFonts w:ascii="Bookman Old Style" w:eastAsia="Times New Roman" w:hAnsi="Bookman Old Style" w:cs="Times New Roman"/>
          <w:color w:val="auto"/>
          <w:sz w:val="18"/>
          <w:szCs w:val="18"/>
          <w:highlight w:val="green"/>
          <w:lang w:bidi="ar-SA"/>
        </w:rPr>
        <w:t>уровень экологической загрязненности и дискомфортности климата в регионе; инвестиции в охрану окружающей среды (% от ВРП); количество техногенных и природных аварий.</w:t>
      </w:r>
    </w:p>
    <w:p w14:paraId="31D4D8E5" w14:textId="77777777" w:rsidR="007D58AC" w:rsidRPr="00C44692" w:rsidRDefault="007D58AC">
      <w:pPr>
        <w:numPr>
          <w:ilvl w:val="0"/>
          <w:numId w:val="172"/>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Социальная проекция: средняя продолжительность жизни; индекс образования; уровень безработицы в регионе; количество зарегистрированных преступлений на 100 тыс. чел.; рождаемость/смертность.</w:t>
      </w:r>
    </w:p>
    <w:p w14:paraId="4D918E5A" w14:textId="77777777" w:rsidR="007D58AC" w:rsidRPr="00C44692" w:rsidRDefault="007D58AC">
      <w:pPr>
        <w:numPr>
          <w:ilvl w:val="0"/>
          <w:numId w:val="172"/>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Инновационная проекция: удельный вес инновационной продукции в общем объеме производства (в %); доля инновационноактивных предприятий в общей численности предприятий региона; количество патентов и свидетельств, полученных регионом.</w:t>
      </w:r>
    </w:p>
    <w:p w14:paraId="640EDF45" w14:textId="77777777" w:rsidR="007D58AC" w:rsidRPr="00C44692" w:rsidRDefault="007D58AC" w:rsidP="007D58AC">
      <w:pPr>
        <w:spacing w:line="240" w:lineRule="auto"/>
        <w:ind w:firstLine="0"/>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Источником прогнозных значений ключевых показателей развития региона может являться также стратегический план развития региона. </w:t>
      </w:r>
    </w:p>
    <w:p w14:paraId="29984C55" w14:textId="59C6550D" w:rsidR="007D58AC" w:rsidRPr="00C44692" w:rsidRDefault="007737D2" w:rsidP="007737D2">
      <w:pPr>
        <w:numPr>
          <w:ilvl w:val="3"/>
          <w:numId w:val="128"/>
        </w:numPr>
        <w:tabs>
          <w:tab w:val="num" w:pos="284"/>
        </w:tabs>
        <w:spacing w:after="200" w:line="240" w:lineRule="auto"/>
        <w:ind w:hanging="45"/>
        <w:contextualSpacing/>
        <w:rPr>
          <w:rFonts w:ascii="Bookman Old Style" w:eastAsiaTheme="minorHAnsi" w:hAnsi="Bookman Old Style" w:cs="Times New Roman"/>
          <w:color w:val="auto"/>
          <w:sz w:val="18"/>
          <w:szCs w:val="18"/>
          <w:highlight w:val="green"/>
          <w:lang w:eastAsia="en-US" w:bidi="ar-SA"/>
        </w:rPr>
      </w:pPr>
      <w:r w:rsidRPr="00C44692">
        <w:rPr>
          <w:rFonts w:ascii="Bookman Old Style" w:eastAsiaTheme="minorHAnsi" w:hAnsi="Bookman Old Style" w:cs="Times New Roman"/>
          <w:color w:val="auto"/>
          <w:sz w:val="18"/>
          <w:szCs w:val="18"/>
          <w:highlight w:val="green"/>
          <w:lang w:eastAsia="en-US" w:bidi="ar-SA"/>
        </w:rPr>
        <w:t>.</w:t>
      </w:r>
      <w:r w:rsidR="007D58AC" w:rsidRPr="00C44692">
        <w:rPr>
          <w:rFonts w:ascii="Bookman Old Style" w:eastAsiaTheme="minorHAnsi" w:hAnsi="Bookman Old Style" w:cs="Times New Roman"/>
          <w:color w:val="auto"/>
          <w:sz w:val="18"/>
          <w:szCs w:val="18"/>
          <w:highlight w:val="green"/>
          <w:lang w:eastAsia="en-US" w:bidi="ar-SA"/>
        </w:rPr>
        <w:t>Для оценки интегрального показателя адаптивности национальной экономики предлагается использовать следующие показатели по следующим проекциям: экономическая, рыночная, экологическая, социальная, инновационная:</w:t>
      </w:r>
    </w:p>
    <w:p w14:paraId="52B532CB" w14:textId="77777777" w:rsidR="007D58AC" w:rsidRPr="00C44692" w:rsidRDefault="007D58AC">
      <w:pPr>
        <w:numPr>
          <w:ilvl w:val="0"/>
          <w:numId w:val="173"/>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Экономическая проекция: валовый национальный /внутренний продукт  на душу населения, темпы экономического роста ;индекс физического объема промышленной продукции; степень износа основных производственных фондов; производительность труда; доля убыточных предприятий; соотношение темпов роста потребления и инвестиций в основной капитал; доля иностранных инвестиций в экономику страны; индекс физического объема инвестиций (в % к прошлому году);уровень инфляции.</w:t>
      </w:r>
    </w:p>
    <w:p w14:paraId="0C6A6E64" w14:textId="77777777" w:rsidR="007D58AC" w:rsidRPr="00C44692" w:rsidRDefault="007D58AC">
      <w:pPr>
        <w:numPr>
          <w:ilvl w:val="0"/>
          <w:numId w:val="173"/>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 xml:space="preserve">Рыночная проекция: доля экспорта природных ресурсов; темпы роста / сокращения импортозамещающих производств в национальной экономике; экспортная, импортная, внешнеторговая квоты; долговая нагрузка/ответственность (внешний долг/ВВП). </w:t>
      </w:r>
    </w:p>
    <w:p w14:paraId="6A19A13B" w14:textId="77777777" w:rsidR="007D58AC" w:rsidRPr="00C44692" w:rsidRDefault="007D58AC">
      <w:pPr>
        <w:numPr>
          <w:ilvl w:val="0"/>
          <w:numId w:val="173"/>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Экологическая проекция :</w:t>
      </w:r>
      <w:r w:rsidRPr="00C44692">
        <w:rPr>
          <w:rFonts w:ascii="Bookman Old Style" w:eastAsia="Times New Roman" w:hAnsi="Bookman Old Style" w:cs="Times New Roman"/>
          <w:color w:val="333333"/>
          <w:sz w:val="18"/>
          <w:szCs w:val="18"/>
          <w:highlight w:val="green"/>
          <w:shd w:val="clear" w:color="auto" w:fill="FFFFFF"/>
          <w:lang w:bidi="ar-SA"/>
        </w:rPr>
        <w:t xml:space="preserve"> </w:t>
      </w:r>
      <w:r w:rsidRPr="00C44692">
        <w:rPr>
          <w:rFonts w:ascii="Bookman Old Style" w:eastAsia="Times New Roman" w:hAnsi="Bookman Old Style" w:cs="Times New Roman"/>
          <w:color w:val="auto"/>
          <w:sz w:val="18"/>
          <w:szCs w:val="18"/>
          <w:highlight w:val="green"/>
          <w:lang w:bidi="ar-SA"/>
        </w:rPr>
        <w:t xml:space="preserve">уровень экологической загрязненности и дискомфортности климата в стране; </w:t>
      </w:r>
      <w:r w:rsidRPr="00C44692">
        <w:rPr>
          <w:rFonts w:ascii="Bookman Old Style" w:eastAsia="Times New Roman" w:hAnsi="Bookman Old Style" w:cs="Times New Roman"/>
          <w:color w:val="auto"/>
          <w:sz w:val="18"/>
          <w:szCs w:val="18"/>
          <w:highlight w:val="green"/>
          <w:lang w:bidi="ar-SA"/>
        </w:rPr>
        <w:lastRenderedPageBreak/>
        <w:t>инвестиции в охрану окружающей среды (% от ВВП); количество техногенных и природных аварий.</w:t>
      </w:r>
    </w:p>
    <w:p w14:paraId="744B4965" w14:textId="77777777" w:rsidR="007D58AC" w:rsidRPr="00C44692" w:rsidRDefault="007D58AC">
      <w:pPr>
        <w:numPr>
          <w:ilvl w:val="0"/>
          <w:numId w:val="173"/>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Социальная проекция: средняя продолжительность жизни; индекс образования; уровень безработицы ; количество зарегистрированных преступлений на 100 тыс. чел.; рождаемость/смертность; доля расходов на образование (% от ВВП); удельные затраты на заработную плату.</w:t>
      </w:r>
    </w:p>
    <w:p w14:paraId="074B964A" w14:textId="77777777" w:rsidR="007D58AC" w:rsidRPr="00C44692" w:rsidRDefault="007D58AC">
      <w:pPr>
        <w:numPr>
          <w:ilvl w:val="0"/>
          <w:numId w:val="173"/>
        </w:numPr>
        <w:spacing w:line="240" w:lineRule="auto"/>
        <w:rPr>
          <w:rFonts w:ascii="Bookman Old Style" w:eastAsia="Times New Roman" w:hAnsi="Bookman Old Style" w:cs="Times New Roman"/>
          <w:color w:val="auto"/>
          <w:sz w:val="18"/>
          <w:szCs w:val="18"/>
          <w:highlight w:val="green"/>
          <w:lang w:bidi="ar-SA"/>
        </w:rPr>
      </w:pPr>
      <w:r w:rsidRPr="00C44692">
        <w:rPr>
          <w:rFonts w:ascii="Bookman Old Style" w:eastAsia="Times New Roman" w:hAnsi="Bookman Old Style" w:cs="Times New Roman"/>
          <w:color w:val="auto"/>
          <w:sz w:val="18"/>
          <w:szCs w:val="18"/>
          <w:highlight w:val="green"/>
          <w:lang w:bidi="ar-SA"/>
        </w:rPr>
        <w:t>Инновационная проекция: удельный вес инновационной продукции в общем объеме производства (в %); доля инновационноактивных предприятий в общей численности предприятий ; количество патентов и свидетельств, полученных в стране за рассматриваемый период.</w:t>
      </w:r>
    </w:p>
    <w:p w14:paraId="79D14C40" w14:textId="4F6291DB" w:rsidR="007D58AC" w:rsidRPr="007D58AC" w:rsidRDefault="007D58AC" w:rsidP="007D58AC">
      <w:pPr>
        <w:spacing w:after="200" w:line="240" w:lineRule="auto"/>
        <w:ind w:firstLine="0"/>
        <w:rPr>
          <w:rFonts w:ascii="Bookman Old Style" w:eastAsia="Times New Roman" w:hAnsi="Bookman Old Style" w:cs="Times New Roman"/>
          <w:color w:val="auto"/>
          <w:sz w:val="18"/>
          <w:szCs w:val="18"/>
          <w:lang w:bidi="ar-SA"/>
        </w:rPr>
      </w:pPr>
      <w:r w:rsidRPr="00C44692">
        <w:rPr>
          <w:rFonts w:ascii="Bookman Old Style" w:eastAsia="Times New Roman" w:hAnsi="Bookman Old Style" w:cs="Times New Roman"/>
          <w:color w:val="auto"/>
          <w:sz w:val="18"/>
          <w:szCs w:val="18"/>
          <w:highlight w:val="green"/>
          <w:lang w:bidi="ar-SA"/>
        </w:rPr>
        <w:tab/>
        <w:t>Источником прогнозных значений ключевых показателей развития национальной экономики может являться стратегический план развития национальной экономики. Источником направлений развития и показателей является также документ об устойчивом развитии мировой экономики, разрабатываемый ООН</w:t>
      </w:r>
      <w:r w:rsidR="007D6045" w:rsidRPr="00C44692">
        <w:rPr>
          <w:rStyle w:val="af8"/>
          <w:rFonts w:ascii="Bookman Old Style" w:eastAsia="Times New Roman" w:hAnsi="Bookman Old Style" w:cs="Times New Roman"/>
          <w:color w:val="auto"/>
          <w:sz w:val="18"/>
          <w:szCs w:val="18"/>
          <w:highlight w:val="green"/>
          <w:lang w:bidi="ar-SA"/>
        </w:rPr>
        <w:footnoteReference w:id="221"/>
      </w:r>
      <w:r w:rsidRPr="00C44692">
        <w:rPr>
          <w:rFonts w:ascii="Bookman Old Style" w:eastAsia="Times New Roman" w:hAnsi="Bookman Old Style" w:cs="Times New Roman"/>
          <w:color w:val="auto"/>
          <w:sz w:val="18"/>
          <w:szCs w:val="18"/>
          <w:highlight w:val="green"/>
          <w:lang w:bidi="ar-SA"/>
        </w:rPr>
        <w:t>].</w:t>
      </w:r>
      <w:r w:rsidRPr="007D58AC">
        <w:rPr>
          <w:rFonts w:ascii="Bookman Old Style" w:eastAsia="Times New Roman" w:hAnsi="Bookman Old Style" w:cs="Times New Roman"/>
          <w:color w:val="auto"/>
          <w:sz w:val="18"/>
          <w:szCs w:val="18"/>
          <w:lang w:bidi="ar-SA"/>
        </w:rPr>
        <w:t xml:space="preserve"> </w:t>
      </w:r>
    </w:p>
    <w:p w14:paraId="6BACE29A" w14:textId="77777777" w:rsidR="007D58AC" w:rsidRPr="007737D2" w:rsidRDefault="007D58AC" w:rsidP="007D58AC">
      <w:pPr>
        <w:pStyle w:val="4c"/>
        <w:keepNext/>
        <w:keepLines/>
        <w:shd w:val="clear" w:color="auto" w:fill="auto"/>
        <w:spacing w:before="0" w:after="140" w:line="274" w:lineRule="exact"/>
        <w:ind w:firstLine="0"/>
        <w:jc w:val="left"/>
        <w:rPr>
          <w:rStyle w:val="4d"/>
          <w:rFonts w:ascii="Bookman Old Style" w:hAnsi="Bookman Old Style"/>
          <w:b/>
          <w:bCs/>
          <w:sz w:val="18"/>
          <w:szCs w:val="18"/>
        </w:rPr>
      </w:pPr>
    </w:p>
    <w:p w14:paraId="0B31B967" w14:textId="21037CCD" w:rsidR="00350D42" w:rsidRPr="007737D2" w:rsidRDefault="008E6F64">
      <w:pPr>
        <w:pStyle w:val="4c"/>
        <w:keepNext/>
        <w:keepLines/>
        <w:shd w:val="clear" w:color="auto" w:fill="auto"/>
        <w:spacing w:before="0" w:after="140" w:line="274" w:lineRule="exact"/>
        <w:ind w:firstLine="0"/>
        <w:jc w:val="center"/>
        <w:rPr>
          <w:rFonts w:ascii="Bookman Old Style" w:hAnsi="Bookman Old Style"/>
          <w:sz w:val="18"/>
          <w:szCs w:val="18"/>
        </w:rPr>
      </w:pPr>
      <w:r w:rsidRPr="007737D2">
        <w:rPr>
          <w:rStyle w:val="4d"/>
          <w:rFonts w:ascii="Bookman Old Style" w:hAnsi="Bookman Old Style"/>
          <w:b/>
          <w:bCs/>
          <w:sz w:val="18"/>
          <w:szCs w:val="18"/>
        </w:rPr>
        <w:t>Выводы</w:t>
      </w:r>
      <w:bookmarkEnd w:id="121"/>
      <w:bookmarkEnd w:id="122"/>
    </w:p>
    <w:p w14:paraId="0DA25C78" w14:textId="77777777" w:rsidR="00350D42" w:rsidRPr="003868D6" w:rsidRDefault="008E6F64">
      <w:pPr>
        <w:pStyle w:val="111"/>
        <w:shd w:val="clear" w:color="auto" w:fill="auto"/>
        <w:spacing w:before="0" w:after="0" w:line="250" w:lineRule="exact"/>
        <w:ind w:firstLine="320"/>
        <w:jc w:val="both"/>
        <w:rPr>
          <w:rFonts w:ascii="Bookman Old Style" w:hAnsi="Bookman Old Style"/>
          <w:sz w:val="18"/>
          <w:szCs w:val="18"/>
        </w:rPr>
      </w:pPr>
      <w:r w:rsidRPr="003868D6">
        <w:rPr>
          <w:rStyle w:val="113"/>
          <w:rFonts w:ascii="Bookman Old Style" w:hAnsi="Bookman Old Style"/>
          <w:sz w:val="18"/>
          <w:szCs w:val="18"/>
        </w:rPr>
        <w:t>Адаптация — это процесс приспособления хозяйственной систе</w:t>
      </w:r>
      <w:r w:rsidRPr="003868D6">
        <w:rPr>
          <w:rStyle w:val="113"/>
          <w:rFonts w:ascii="Bookman Old Style" w:hAnsi="Bookman Old Style"/>
          <w:sz w:val="18"/>
          <w:szCs w:val="18"/>
        </w:rPr>
        <w:softHyphen/>
        <w:t>мы к изменениям, возникающим во внешней и внутренней среде ее функционирования посредством выработки особых адаптацион</w:t>
      </w:r>
      <w:r w:rsidRPr="003868D6">
        <w:rPr>
          <w:rStyle w:val="113"/>
          <w:rFonts w:ascii="Bookman Old Style" w:hAnsi="Bookman Old Style"/>
          <w:sz w:val="18"/>
          <w:szCs w:val="18"/>
        </w:rPr>
        <w:softHyphen/>
        <w:t>ных механизмов. При этом изменения не обязательно могут быть связаны с кризисными явлениями.</w:t>
      </w:r>
    </w:p>
    <w:p w14:paraId="28C215FA" w14:textId="30A6360E" w:rsidR="00350D42" w:rsidRPr="003868D6" w:rsidRDefault="008E6F64">
      <w:pPr>
        <w:pStyle w:val="111"/>
        <w:shd w:val="clear" w:color="auto" w:fill="auto"/>
        <w:spacing w:before="0" w:after="0" w:line="250" w:lineRule="exact"/>
        <w:ind w:firstLine="320"/>
        <w:jc w:val="both"/>
        <w:rPr>
          <w:rFonts w:ascii="Bookman Old Style" w:hAnsi="Bookman Old Style"/>
          <w:sz w:val="18"/>
          <w:szCs w:val="18"/>
        </w:rPr>
      </w:pPr>
      <w:r w:rsidRPr="003868D6">
        <w:rPr>
          <w:rStyle w:val="113"/>
          <w:rFonts w:ascii="Bookman Old Style" w:hAnsi="Bookman Old Style"/>
          <w:sz w:val="18"/>
          <w:szCs w:val="18"/>
        </w:rPr>
        <w:t>Механизм адаптации — это ресурсное обеспечение процесса приспособления хозяйственной системы к изменениям краткосроч</w:t>
      </w:r>
      <w:r w:rsidRPr="003868D6">
        <w:rPr>
          <w:rStyle w:val="113"/>
          <w:rFonts w:ascii="Bookman Old Style" w:hAnsi="Bookman Old Style"/>
          <w:sz w:val="18"/>
          <w:szCs w:val="18"/>
        </w:rPr>
        <w:softHyphen/>
        <w:t>ного и долгосрочного характера, происходящим во внешней и внутренней среде. Изменения, как правило, связаны с циклическими колебаниями, которые характерны для любой системы.</w:t>
      </w:r>
    </w:p>
    <w:p w14:paraId="38D1DC01" w14:textId="77777777" w:rsidR="00350D42" w:rsidRPr="003868D6" w:rsidRDefault="008E6F64">
      <w:pPr>
        <w:pStyle w:val="111"/>
        <w:shd w:val="clear" w:color="auto" w:fill="auto"/>
        <w:spacing w:before="0" w:after="0" w:line="250" w:lineRule="exact"/>
        <w:ind w:firstLine="320"/>
        <w:jc w:val="both"/>
        <w:rPr>
          <w:rFonts w:ascii="Bookman Old Style" w:hAnsi="Bookman Old Style"/>
          <w:sz w:val="18"/>
          <w:szCs w:val="18"/>
        </w:rPr>
      </w:pPr>
      <w:r w:rsidRPr="003868D6">
        <w:rPr>
          <w:rStyle w:val="113"/>
          <w:rFonts w:ascii="Bookman Old Style" w:hAnsi="Bookman Old Style"/>
          <w:sz w:val="18"/>
          <w:szCs w:val="18"/>
        </w:rPr>
        <w:t>Механизмы адаптации можно классифицировать по следующим критериям: уровень экономики, субъект национальной экономики, поведенческий механизм, соответствие закону, продолжительность, специфика.</w:t>
      </w:r>
    </w:p>
    <w:p w14:paraId="65F1F771" w14:textId="77777777" w:rsidR="00350D42" w:rsidRPr="003868D6" w:rsidRDefault="008E6F64">
      <w:pPr>
        <w:pStyle w:val="111"/>
        <w:shd w:val="clear" w:color="auto" w:fill="auto"/>
        <w:spacing w:before="0" w:after="0" w:line="250" w:lineRule="exact"/>
        <w:ind w:firstLine="320"/>
        <w:jc w:val="both"/>
        <w:rPr>
          <w:rFonts w:ascii="Bookman Old Style" w:hAnsi="Bookman Old Style"/>
          <w:sz w:val="18"/>
          <w:szCs w:val="18"/>
        </w:rPr>
      </w:pPr>
      <w:r w:rsidRPr="003868D6">
        <w:rPr>
          <w:rStyle w:val="113"/>
          <w:rFonts w:ascii="Bookman Old Style" w:hAnsi="Bookman Old Style"/>
          <w:sz w:val="18"/>
          <w:szCs w:val="18"/>
        </w:rPr>
        <w:t>Свойство, связанное со способностью хозяйственной системы адаптироваться к изменениям, называется адаптивностью.</w:t>
      </w:r>
    </w:p>
    <w:p w14:paraId="0EAE852B" w14:textId="397DF82A" w:rsidR="00350D42" w:rsidRPr="003868D6" w:rsidRDefault="008E6F64">
      <w:pPr>
        <w:pStyle w:val="111"/>
        <w:shd w:val="clear" w:color="auto" w:fill="auto"/>
        <w:spacing w:before="0" w:after="401" w:line="250" w:lineRule="exact"/>
        <w:ind w:firstLine="320"/>
        <w:jc w:val="both"/>
        <w:rPr>
          <w:rFonts w:ascii="Bookman Old Style" w:hAnsi="Bookman Old Style"/>
          <w:sz w:val="18"/>
          <w:szCs w:val="18"/>
        </w:rPr>
      </w:pPr>
      <w:r w:rsidRPr="003868D6">
        <w:rPr>
          <w:rStyle w:val="113"/>
          <w:rFonts w:ascii="Bookman Old Style" w:hAnsi="Bookman Old Style"/>
          <w:sz w:val="18"/>
          <w:szCs w:val="18"/>
        </w:rPr>
        <w:t>Адаптивность можно классифицировать по следующим критериям: субъект национальной экономики, уровень экономики, степень.</w:t>
      </w:r>
    </w:p>
    <w:p w14:paraId="5837714D" w14:textId="77777777" w:rsidR="00350D42" w:rsidRPr="007737D2" w:rsidRDefault="008E6F64">
      <w:pPr>
        <w:pStyle w:val="4c"/>
        <w:keepNext/>
        <w:keepLines/>
        <w:shd w:val="clear" w:color="auto" w:fill="auto"/>
        <w:spacing w:before="0" w:after="184" w:line="274" w:lineRule="exact"/>
        <w:ind w:firstLine="0"/>
        <w:jc w:val="center"/>
        <w:rPr>
          <w:rFonts w:ascii="Bookman Old Style" w:hAnsi="Bookman Old Style"/>
          <w:sz w:val="18"/>
          <w:szCs w:val="18"/>
        </w:rPr>
      </w:pPr>
      <w:bookmarkStart w:id="128" w:name="bookmark110"/>
      <w:r w:rsidRPr="007737D2">
        <w:rPr>
          <w:rStyle w:val="4d"/>
          <w:rFonts w:ascii="Bookman Old Style" w:hAnsi="Bookman Old Style"/>
          <w:b/>
          <w:bCs/>
          <w:sz w:val="18"/>
          <w:szCs w:val="18"/>
        </w:rPr>
        <w:lastRenderedPageBreak/>
        <w:t>Практикум</w:t>
      </w:r>
      <w:bookmarkEnd w:id="128"/>
    </w:p>
    <w:p w14:paraId="62027707" w14:textId="77777777" w:rsidR="00350D42" w:rsidRPr="007737D2" w:rsidRDefault="008E6F64">
      <w:pPr>
        <w:pStyle w:val="111"/>
        <w:shd w:val="clear" w:color="auto" w:fill="auto"/>
        <w:spacing w:before="0" w:after="102" w:line="194" w:lineRule="exact"/>
        <w:rPr>
          <w:rFonts w:ascii="Bookman Old Style" w:hAnsi="Bookman Old Style"/>
          <w:sz w:val="18"/>
          <w:szCs w:val="18"/>
        </w:rPr>
      </w:pPr>
      <w:r w:rsidRPr="007737D2">
        <w:rPr>
          <w:rStyle w:val="113"/>
          <w:rFonts w:ascii="Bookman Old Style" w:hAnsi="Bookman Old Style"/>
          <w:b/>
          <w:bCs/>
          <w:sz w:val="18"/>
          <w:szCs w:val="18"/>
        </w:rPr>
        <w:t>Вопросы и задания для самоконтроля</w:t>
      </w:r>
    </w:p>
    <w:p w14:paraId="139D4281" w14:textId="77777777" w:rsidR="00350D42" w:rsidRPr="007737D2" w:rsidRDefault="008E6F64">
      <w:pPr>
        <w:pStyle w:val="2c"/>
        <w:numPr>
          <w:ilvl w:val="0"/>
          <w:numId w:val="136"/>
        </w:numPr>
        <w:shd w:val="clear" w:color="auto" w:fill="auto"/>
        <w:tabs>
          <w:tab w:val="left" w:pos="595"/>
        </w:tabs>
        <w:spacing w:before="0" w:line="216" w:lineRule="exact"/>
        <w:ind w:firstLine="320"/>
      </w:pPr>
      <w:r w:rsidRPr="007737D2">
        <w:rPr>
          <w:rStyle w:val="2d"/>
        </w:rPr>
        <w:t>Определите понятия «адаптация», «адаптационный механизм».</w:t>
      </w:r>
    </w:p>
    <w:p w14:paraId="130D051D" w14:textId="77777777" w:rsidR="00350D42" w:rsidRPr="007737D2" w:rsidRDefault="008E6F64">
      <w:pPr>
        <w:pStyle w:val="2c"/>
        <w:numPr>
          <w:ilvl w:val="0"/>
          <w:numId w:val="136"/>
        </w:numPr>
        <w:shd w:val="clear" w:color="auto" w:fill="auto"/>
        <w:tabs>
          <w:tab w:val="left" w:pos="595"/>
        </w:tabs>
        <w:spacing w:before="0" w:line="216" w:lineRule="exact"/>
        <w:ind w:firstLine="320"/>
      </w:pPr>
      <w:r w:rsidRPr="007737D2">
        <w:rPr>
          <w:rStyle w:val="2d"/>
        </w:rPr>
        <w:t>Какие научные подходы существуют к определению понятия «адап</w:t>
      </w:r>
      <w:r w:rsidRPr="007737D2">
        <w:rPr>
          <w:rStyle w:val="2d"/>
        </w:rPr>
        <w:softHyphen/>
        <w:t>тация»?</w:t>
      </w:r>
    </w:p>
    <w:p w14:paraId="7589F07D" w14:textId="77777777" w:rsidR="00350D42" w:rsidRPr="007737D2" w:rsidRDefault="008E6F64">
      <w:pPr>
        <w:pStyle w:val="2c"/>
        <w:numPr>
          <w:ilvl w:val="0"/>
          <w:numId w:val="136"/>
        </w:numPr>
        <w:shd w:val="clear" w:color="auto" w:fill="auto"/>
        <w:tabs>
          <w:tab w:val="left" w:pos="595"/>
        </w:tabs>
        <w:spacing w:before="0" w:line="216" w:lineRule="exact"/>
        <w:ind w:firstLine="320"/>
      </w:pPr>
      <w:r w:rsidRPr="007737D2">
        <w:rPr>
          <w:rStyle w:val="2d"/>
        </w:rPr>
        <w:t>Приведите примеры адаптационных механизмов экономических субъектов.</w:t>
      </w:r>
    </w:p>
    <w:p w14:paraId="47DBEC23" w14:textId="77777777" w:rsidR="00350D42" w:rsidRPr="007737D2" w:rsidRDefault="008E6F64">
      <w:pPr>
        <w:pStyle w:val="2c"/>
        <w:numPr>
          <w:ilvl w:val="0"/>
          <w:numId w:val="136"/>
        </w:numPr>
        <w:shd w:val="clear" w:color="auto" w:fill="auto"/>
        <w:tabs>
          <w:tab w:val="left" w:pos="599"/>
        </w:tabs>
        <w:spacing w:before="0" w:line="216" w:lineRule="exact"/>
        <w:ind w:firstLine="320"/>
      </w:pPr>
      <w:r w:rsidRPr="007737D2">
        <w:rPr>
          <w:rStyle w:val="2d"/>
        </w:rPr>
        <w:t>Каковы особенности механизма институциональных изменений?</w:t>
      </w:r>
    </w:p>
    <w:p w14:paraId="5AFED6F3" w14:textId="77777777" w:rsidR="00350D42" w:rsidRPr="007737D2" w:rsidRDefault="008E6F64">
      <w:pPr>
        <w:pStyle w:val="2c"/>
        <w:numPr>
          <w:ilvl w:val="0"/>
          <w:numId w:val="136"/>
        </w:numPr>
        <w:shd w:val="clear" w:color="auto" w:fill="auto"/>
        <w:tabs>
          <w:tab w:val="left" w:pos="595"/>
        </w:tabs>
        <w:spacing w:before="0" w:line="216" w:lineRule="exact"/>
        <w:ind w:firstLine="320"/>
      </w:pPr>
      <w:r w:rsidRPr="007737D2">
        <w:rPr>
          <w:rStyle w:val="2d"/>
        </w:rPr>
        <w:t>Приведите примеры функционирования механизма институцио</w:t>
      </w:r>
      <w:r w:rsidRPr="007737D2">
        <w:rPr>
          <w:rStyle w:val="2d"/>
        </w:rPr>
        <w:softHyphen/>
        <w:t>нальных изменений в экономике.</w:t>
      </w:r>
    </w:p>
    <w:p w14:paraId="7D89191E" w14:textId="77777777" w:rsidR="00350D42" w:rsidRPr="007737D2" w:rsidRDefault="008E6F64">
      <w:pPr>
        <w:pStyle w:val="2c"/>
        <w:numPr>
          <w:ilvl w:val="0"/>
          <w:numId w:val="136"/>
        </w:numPr>
        <w:shd w:val="clear" w:color="auto" w:fill="auto"/>
        <w:tabs>
          <w:tab w:val="left" w:pos="595"/>
        </w:tabs>
        <w:spacing w:before="0" w:after="138" w:line="216" w:lineRule="exact"/>
        <w:ind w:firstLine="320"/>
      </w:pPr>
      <w:r w:rsidRPr="007737D2">
        <w:rPr>
          <w:rStyle w:val="2d"/>
        </w:rPr>
        <w:t>Напишите эссе на тему «Способы повышения конкурентоспособности российской экономики». Руководствуйтесь методическими рекомендациями по написанию эссе, приведенными в приложении 1.</w:t>
      </w:r>
    </w:p>
    <w:p w14:paraId="0F9582DF" w14:textId="77777777" w:rsidR="00350D42" w:rsidRPr="007737D2" w:rsidRDefault="008E6F64">
      <w:pPr>
        <w:pStyle w:val="111"/>
        <w:shd w:val="clear" w:color="auto" w:fill="auto"/>
        <w:spacing w:before="0" w:after="102" w:line="194" w:lineRule="exact"/>
        <w:rPr>
          <w:rFonts w:ascii="Bookman Old Style" w:hAnsi="Bookman Old Style"/>
          <w:sz w:val="18"/>
          <w:szCs w:val="18"/>
        </w:rPr>
      </w:pPr>
      <w:r w:rsidRPr="007737D2">
        <w:rPr>
          <w:rStyle w:val="113"/>
          <w:rFonts w:ascii="Bookman Old Style" w:hAnsi="Bookman Old Style"/>
          <w:b/>
          <w:bCs/>
          <w:sz w:val="18"/>
          <w:szCs w:val="18"/>
        </w:rPr>
        <w:t>Деловая игра «Инвестиционная сессия»</w:t>
      </w:r>
    </w:p>
    <w:p w14:paraId="75CA58EF" w14:textId="7CC40A4F" w:rsidR="00350D42" w:rsidRPr="007737D2" w:rsidRDefault="008E6F64">
      <w:pPr>
        <w:pStyle w:val="2c"/>
        <w:shd w:val="clear" w:color="auto" w:fill="auto"/>
        <w:spacing w:before="0" w:line="216" w:lineRule="exact"/>
        <w:ind w:firstLine="320"/>
      </w:pPr>
      <w:r w:rsidRPr="007737D2">
        <w:rPr>
          <w:rStyle w:val="2d"/>
        </w:rPr>
        <w:t>В игре участвуют три группы: представители бизнеса, представители Центрального банка РФ, представители кредиторов и инвесторов. Представители бизнеса представляют на инвестиционной сессии концепции своих проектов. Представители кредиторов и инвесторов оценивают идеи проектов с точки зрения заранее разработанных критериев (объем финансирования, схема финансирования, соответствие кредитной и инвестиционной полити</w:t>
      </w:r>
      <w:r w:rsidRPr="007737D2">
        <w:rPr>
          <w:rStyle w:val="2d"/>
        </w:rPr>
        <w:softHyphen/>
        <w:t>ке и т. д.). Центральный банк РФ оценивает идеи проектов с точки зрения соответствия интересам экономики. Для оценки рисков проекта можно использовать Методику оценки рисков долгосрочного финансирования инвестиционных проектов (приложение 2).</w:t>
      </w:r>
    </w:p>
    <w:p w14:paraId="14F6F5C9" w14:textId="77777777" w:rsidR="00252399" w:rsidRDefault="00252399">
      <w:pPr>
        <w:pStyle w:val="111"/>
        <w:shd w:val="clear" w:color="auto" w:fill="auto"/>
        <w:spacing w:before="0" w:after="75" w:line="194" w:lineRule="exact"/>
        <w:rPr>
          <w:rStyle w:val="113"/>
          <w:rFonts w:ascii="Bookman Old Style" w:hAnsi="Bookman Old Style"/>
          <w:b/>
          <w:bCs/>
          <w:sz w:val="18"/>
          <w:szCs w:val="18"/>
        </w:rPr>
      </w:pPr>
      <w:bookmarkStart w:id="129" w:name="bookmark111"/>
    </w:p>
    <w:p w14:paraId="6EC2C44E" w14:textId="72ED4EDA" w:rsidR="00350D42" w:rsidRPr="00C44692" w:rsidRDefault="008E6F64">
      <w:pPr>
        <w:pStyle w:val="111"/>
        <w:shd w:val="clear" w:color="auto" w:fill="auto"/>
        <w:spacing w:before="0" w:after="75" w:line="194" w:lineRule="exact"/>
        <w:rPr>
          <w:rStyle w:val="113"/>
          <w:rFonts w:ascii="Bookman Old Style" w:hAnsi="Bookman Old Style"/>
          <w:b/>
          <w:bCs/>
          <w:sz w:val="18"/>
          <w:szCs w:val="18"/>
          <w:highlight w:val="green"/>
        </w:rPr>
      </w:pPr>
      <w:r w:rsidRPr="00C44692">
        <w:rPr>
          <w:rStyle w:val="113"/>
          <w:rFonts w:ascii="Bookman Old Style" w:hAnsi="Bookman Old Style"/>
          <w:b/>
          <w:bCs/>
          <w:sz w:val="18"/>
          <w:szCs w:val="18"/>
          <w:highlight w:val="green"/>
        </w:rPr>
        <w:t>Задания</w:t>
      </w:r>
      <w:bookmarkEnd w:id="129"/>
    </w:p>
    <w:p w14:paraId="0047A6E9" w14:textId="6E206BE2" w:rsidR="00252399" w:rsidRPr="00C44692" w:rsidRDefault="00252399" w:rsidP="00252399">
      <w:pPr>
        <w:pStyle w:val="111"/>
        <w:shd w:val="clear" w:color="auto" w:fill="auto"/>
        <w:spacing w:before="0" w:after="75" w:line="194" w:lineRule="exact"/>
        <w:jc w:val="left"/>
        <w:rPr>
          <w:rStyle w:val="113"/>
          <w:rFonts w:ascii="Bookman Old Style" w:hAnsi="Bookman Old Style"/>
          <w:b/>
          <w:bCs/>
          <w:sz w:val="18"/>
          <w:szCs w:val="18"/>
          <w:highlight w:val="green"/>
        </w:rPr>
      </w:pPr>
    </w:p>
    <w:p w14:paraId="6CD7AB3E" w14:textId="6F9567FA" w:rsidR="00252399" w:rsidRPr="00C44692" w:rsidRDefault="00252399">
      <w:pPr>
        <w:pStyle w:val="111"/>
        <w:numPr>
          <w:ilvl w:val="0"/>
          <w:numId w:val="176"/>
        </w:numPr>
        <w:shd w:val="clear" w:color="auto" w:fill="auto"/>
        <w:spacing w:before="0" w:after="75" w:line="194" w:lineRule="exact"/>
        <w:jc w:val="both"/>
        <w:rPr>
          <w:rStyle w:val="113"/>
          <w:rFonts w:ascii="Bookman Old Style" w:hAnsi="Bookman Old Style"/>
          <w:b/>
          <w:bCs/>
          <w:color w:val="000000"/>
          <w:sz w:val="18"/>
          <w:szCs w:val="18"/>
          <w:highlight w:val="green"/>
        </w:rPr>
      </w:pPr>
      <w:r w:rsidRPr="00C44692">
        <w:rPr>
          <w:rStyle w:val="113"/>
          <w:rFonts w:ascii="Bookman Old Style" w:hAnsi="Bookman Old Style"/>
          <w:sz w:val="18"/>
          <w:szCs w:val="18"/>
          <w:highlight w:val="green"/>
        </w:rPr>
        <w:t xml:space="preserve">Ниже приведен кейс анализ состояния российской экономики за определённые период. Выделите механизмы адаптации экономических субъектов и определите их вид. </w:t>
      </w:r>
    </w:p>
    <w:p w14:paraId="51C2E28C" w14:textId="66D68373" w:rsidR="000C10B4" w:rsidRPr="00C44692" w:rsidRDefault="000C10B4" w:rsidP="000C10B4">
      <w:pPr>
        <w:pStyle w:val="111"/>
        <w:shd w:val="clear" w:color="auto" w:fill="auto"/>
        <w:spacing w:before="0" w:after="75" w:line="194" w:lineRule="exact"/>
        <w:jc w:val="both"/>
        <w:rPr>
          <w:rFonts w:ascii="Bookman Old Style" w:hAnsi="Bookman Old Style"/>
          <w:sz w:val="18"/>
          <w:szCs w:val="18"/>
          <w:highlight w:val="green"/>
        </w:rPr>
      </w:pPr>
      <w:r w:rsidRPr="00C44692">
        <w:rPr>
          <w:rFonts w:ascii="Bookman Old Style" w:hAnsi="Bookman Old Style"/>
          <w:sz w:val="18"/>
          <w:szCs w:val="18"/>
          <w:highlight w:val="green"/>
        </w:rPr>
        <w:t xml:space="preserve">Начиная с 2014 г. предпринимательский сектор был вынужден приспосабливаться к новым экономическим условиям, которые были вызваны геополитической ситуацией и наложением санкций на экономику России. В результате ослабления рубля некоторые отрасли получили ценовое преимущество, что позволило им нарастить экспорт и привлечь инвестиции в ряд несырьевых отраслей. При этом существенного роста экспорта в несырьевых отраслях достичь не удалось. Инвестиционный спрос продолжил сокращаться. Неопределенность экономической политики в условиях сохраняющейся геополитической напряженности и санкций послужила причиной продолжающегося снижения инвестиций в частном секторе на фоне роста капитальных издержек и сокращения потребительского спроса. Вплоть до 2018 года инвестиционная активность остается невысокой : в 2017 году прирост составляет 4,8 % , в 2018 – 4, 3 % в то время как в 2015 году наблюдалось падение инвестиций в основ-ной капитал </w:t>
      </w:r>
      <w:r w:rsidRPr="00C44692">
        <w:rPr>
          <w:rFonts w:ascii="Bookman Old Style" w:hAnsi="Bookman Old Style"/>
          <w:sz w:val="18"/>
          <w:szCs w:val="18"/>
          <w:highlight w:val="green"/>
        </w:rPr>
        <w:lastRenderedPageBreak/>
        <w:t>на  10,9 % (в % к предыдущему году)  и в 2016 году – 0, 9 % (в % к предыдущему году]</w:t>
      </w:r>
      <w:r w:rsidR="00AA1368" w:rsidRPr="00C44692">
        <w:rPr>
          <w:rStyle w:val="af8"/>
          <w:rFonts w:ascii="Bookman Old Style" w:hAnsi="Bookman Old Style"/>
          <w:sz w:val="18"/>
          <w:szCs w:val="18"/>
          <w:highlight w:val="green"/>
        </w:rPr>
        <w:footnoteReference w:id="222"/>
      </w:r>
      <w:r w:rsidRPr="00C44692">
        <w:rPr>
          <w:rFonts w:ascii="Bookman Old Style" w:hAnsi="Bookman Old Style"/>
          <w:sz w:val="18"/>
          <w:szCs w:val="18"/>
          <w:highlight w:val="green"/>
        </w:rPr>
        <w:t>.</w:t>
      </w:r>
    </w:p>
    <w:p w14:paraId="03AA2487" w14:textId="663548CB" w:rsidR="000C10B4" w:rsidRPr="00C44692" w:rsidRDefault="0051302C">
      <w:pPr>
        <w:pStyle w:val="111"/>
        <w:numPr>
          <w:ilvl w:val="0"/>
          <w:numId w:val="176"/>
        </w:numPr>
        <w:shd w:val="clear" w:color="auto" w:fill="auto"/>
        <w:spacing w:before="0" w:after="75" w:line="194" w:lineRule="exact"/>
        <w:jc w:val="both"/>
        <w:rPr>
          <w:rFonts w:ascii="Bookman Old Style" w:hAnsi="Bookman Old Style"/>
          <w:b w:val="0"/>
          <w:bCs w:val="0"/>
          <w:color w:val="231F20"/>
          <w:sz w:val="18"/>
          <w:szCs w:val="18"/>
          <w:highlight w:val="green"/>
        </w:rPr>
      </w:pPr>
      <w:r w:rsidRPr="00C44692">
        <w:rPr>
          <w:rFonts w:ascii="Bookman Old Style" w:hAnsi="Bookman Old Style"/>
          <w:b w:val="0"/>
          <w:bCs w:val="0"/>
          <w:color w:val="231F20"/>
          <w:sz w:val="18"/>
          <w:szCs w:val="18"/>
          <w:highlight w:val="green"/>
        </w:rPr>
        <w:t xml:space="preserve">Ниже приведено описание особенностей адаптации рынка труда в определенный период. Постарайтесь определить, какой механизм адаптации был характерен для рынка туда в описываемый период времени. </w:t>
      </w:r>
    </w:p>
    <w:p w14:paraId="2B9EB63F" w14:textId="543DA107" w:rsidR="0051302C" w:rsidRPr="00AA1368" w:rsidRDefault="0051302C" w:rsidP="0051302C">
      <w:pPr>
        <w:pStyle w:val="111"/>
        <w:shd w:val="clear" w:color="auto" w:fill="auto"/>
        <w:spacing w:before="0" w:after="75" w:line="194" w:lineRule="exact"/>
        <w:jc w:val="both"/>
        <w:rPr>
          <w:rFonts w:ascii="Bookman Old Style" w:hAnsi="Bookman Old Style"/>
          <w:sz w:val="18"/>
          <w:szCs w:val="18"/>
        </w:rPr>
      </w:pPr>
      <w:r w:rsidRPr="00C44692">
        <w:rPr>
          <w:rFonts w:ascii="Bookman Old Style" w:hAnsi="Bookman Old Style"/>
          <w:sz w:val="18"/>
          <w:szCs w:val="18"/>
          <w:highlight w:val="green"/>
        </w:rPr>
        <w:t>В 2015 г. в самом начале геополитического кризиса после введения международных санкций на рынке труда наблюдалась следующая ситуация. В первой половине 2015 г. происходило падение реальной заработной платы на фоне всплеска инфляции и снижения спроса на рабочую силу. Сокращение составило в среднем 8,5%, при этом зарплата бюджетников сократилась на 10% ввиду того, что в Федеральном бюджете 2015 года не была предусмотрена индексация. Рынок труда адаптировался к новым изменениям без существенного роста безработицы под влиянием следующих факторов: 1) наличие трудовых мигрантов, отъезд которых ввиду ситуации на валютном рынке сгладил ситуацию с безработицей среди коренного населения; 2) неофициальная занятость; 3) возможный перевод работников на неполную занятость (официально это сложно зафиксировать</w:t>
      </w:r>
      <w:r w:rsidRPr="0051302C">
        <w:rPr>
          <w:rFonts w:ascii="Bookman Old Style" w:hAnsi="Bookman Old Style"/>
          <w:sz w:val="18"/>
          <w:szCs w:val="18"/>
        </w:rPr>
        <w:t xml:space="preserve"> и подтвердить) </w:t>
      </w:r>
      <w:r w:rsidR="00AA1368">
        <w:rPr>
          <w:rStyle w:val="af8"/>
          <w:rFonts w:ascii="Bookman Old Style" w:hAnsi="Bookman Old Style"/>
          <w:sz w:val="18"/>
          <w:szCs w:val="18"/>
        </w:rPr>
        <w:footnoteReference w:id="223"/>
      </w:r>
      <w:r w:rsidR="00AA1368" w:rsidRPr="00AA1368">
        <w:rPr>
          <w:rFonts w:ascii="Bookman Old Style" w:hAnsi="Bookman Old Style"/>
          <w:sz w:val="18"/>
          <w:szCs w:val="18"/>
        </w:rPr>
        <w:t>.</w:t>
      </w:r>
    </w:p>
    <w:p w14:paraId="6208C3D5" w14:textId="77777777" w:rsidR="00350D42" w:rsidRPr="007737D2" w:rsidRDefault="008E6F64">
      <w:pPr>
        <w:pStyle w:val="4c"/>
        <w:keepNext/>
        <w:keepLines/>
        <w:shd w:val="clear" w:color="auto" w:fill="auto"/>
        <w:spacing w:before="0" w:after="139" w:line="274" w:lineRule="exact"/>
        <w:ind w:firstLine="0"/>
        <w:jc w:val="center"/>
        <w:rPr>
          <w:rFonts w:ascii="Bookman Old Style" w:hAnsi="Bookman Old Style"/>
          <w:sz w:val="18"/>
          <w:szCs w:val="18"/>
        </w:rPr>
      </w:pPr>
      <w:bookmarkStart w:id="132" w:name="bookmark112"/>
      <w:r w:rsidRPr="007737D2">
        <w:rPr>
          <w:rStyle w:val="4d"/>
          <w:rFonts w:ascii="Bookman Old Style" w:hAnsi="Bookman Old Style"/>
          <w:b/>
          <w:bCs/>
          <w:sz w:val="18"/>
          <w:szCs w:val="18"/>
        </w:rPr>
        <w:t>Литература</w:t>
      </w:r>
      <w:bookmarkEnd w:id="132"/>
    </w:p>
    <w:p w14:paraId="054DA80F" w14:textId="77777777" w:rsidR="00350D42" w:rsidRPr="007737D2" w:rsidRDefault="008E6F64">
      <w:pPr>
        <w:pStyle w:val="2c"/>
        <w:numPr>
          <w:ilvl w:val="0"/>
          <w:numId w:val="138"/>
        </w:numPr>
        <w:shd w:val="clear" w:color="auto" w:fill="auto"/>
        <w:tabs>
          <w:tab w:val="left" w:pos="579"/>
        </w:tabs>
        <w:spacing w:before="0" w:line="226" w:lineRule="exact"/>
        <w:ind w:firstLine="320"/>
      </w:pPr>
      <w:r w:rsidRPr="007737D2">
        <w:rPr>
          <w:rStyle w:val="2d"/>
        </w:rPr>
        <w:t>Письмо Банка России от 04.09.2013 № 172-Т «О приоритетных мерах при осуществлении банковского надзора».</w:t>
      </w:r>
    </w:p>
    <w:p w14:paraId="0F350D96" w14:textId="77777777" w:rsidR="00350D42" w:rsidRPr="007737D2" w:rsidRDefault="008E6F64">
      <w:pPr>
        <w:pStyle w:val="2c"/>
        <w:numPr>
          <w:ilvl w:val="0"/>
          <w:numId w:val="138"/>
        </w:numPr>
        <w:shd w:val="clear" w:color="auto" w:fill="auto"/>
        <w:tabs>
          <w:tab w:val="left" w:pos="579"/>
        </w:tabs>
        <w:spacing w:before="0" w:line="226" w:lineRule="exact"/>
        <w:ind w:firstLine="320"/>
      </w:pPr>
      <w:r w:rsidRPr="007737D2">
        <w:rPr>
          <w:rStyle w:val="2d"/>
        </w:rPr>
        <w:t>Взаимодействие государства и бизнеса. Гл. 6 : учеб. пособие / отв. ред. Е. И. Марковская. — СПб. : Изд.-во СПбГЭУ, 2014.</w:t>
      </w:r>
    </w:p>
    <w:p w14:paraId="0156E792" w14:textId="77777777" w:rsidR="00350D42" w:rsidRPr="007737D2" w:rsidRDefault="008E6F64">
      <w:pPr>
        <w:pStyle w:val="2c"/>
        <w:numPr>
          <w:ilvl w:val="0"/>
          <w:numId w:val="138"/>
        </w:numPr>
        <w:shd w:val="clear" w:color="auto" w:fill="auto"/>
        <w:tabs>
          <w:tab w:val="left" w:pos="579"/>
        </w:tabs>
        <w:spacing w:before="0" w:line="226" w:lineRule="exact"/>
        <w:ind w:firstLine="320"/>
      </w:pPr>
      <w:r w:rsidRPr="007737D2">
        <w:rPr>
          <w:rStyle w:val="285pt0"/>
          <w:sz w:val="18"/>
          <w:szCs w:val="18"/>
          <w:lang w:val="ru-RU" w:eastAsia="ru-RU" w:bidi="ru-RU"/>
        </w:rPr>
        <w:t>Галушко, Е. С.</w:t>
      </w:r>
      <w:r w:rsidRPr="007737D2">
        <w:rPr>
          <w:rStyle w:val="285pt"/>
          <w:sz w:val="18"/>
          <w:szCs w:val="18"/>
        </w:rPr>
        <w:t xml:space="preserve"> </w:t>
      </w:r>
      <w:r w:rsidRPr="007737D2">
        <w:rPr>
          <w:rStyle w:val="2d"/>
        </w:rPr>
        <w:t>Обоснование организационно-экономического меха</w:t>
      </w:r>
      <w:r w:rsidRPr="007737D2">
        <w:rPr>
          <w:rStyle w:val="2d"/>
        </w:rPr>
        <w:softHyphen/>
        <w:t xml:space="preserve">низма адаптации предприятия / Е. С. Галушко, С. А. Галушко // Вестник СевНТУ. — Серия Экономика и финансы. — 2012. — Сб. 130. — С. 43—47. </w:t>
      </w:r>
      <w:r w:rsidRPr="007737D2">
        <w:rPr>
          <w:rStyle w:val="2d"/>
          <w:lang w:val="en-US" w:eastAsia="en-US" w:bidi="en-US"/>
        </w:rPr>
        <w:t xml:space="preserve">URL: </w:t>
      </w:r>
      <w:hyperlink r:id="rId157" w:history="1">
        <w:r w:rsidRPr="007737D2">
          <w:rPr>
            <w:rStyle w:val="2d"/>
            <w:lang w:val="en-US" w:eastAsia="en-US" w:bidi="en-US"/>
          </w:rPr>
          <w:t>http://sevntu.com.ua/jspui/bitstream/123456789/5515/1/130_07.pdf</w:t>
        </w:r>
      </w:hyperlink>
      <w:r w:rsidRPr="007737D2">
        <w:rPr>
          <w:rStyle w:val="2d"/>
          <w:lang w:val="en-US" w:eastAsia="en-US" w:bidi="en-US"/>
        </w:rPr>
        <w:t>.</w:t>
      </w:r>
    </w:p>
    <w:p w14:paraId="7DFE88BA" w14:textId="77777777" w:rsidR="00350D42" w:rsidRPr="007737D2" w:rsidRDefault="008E6F64">
      <w:pPr>
        <w:pStyle w:val="2c"/>
        <w:numPr>
          <w:ilvl w:val="0"/>
          <w:numId w:val="138"/>
        </w:numPr>
        <w:shd w:val="clear" w:color="auto" w:fill="auto"/>
        <w:tabs>
          <w:tab w:val="left" w:pos="579"/>
        </w:tabs>
        <w:spacing w:before="0" w:line="226" w:lineRule="exact"/>
        <w:ind w:firstLine="320"/>
      </w:pPr>
      <w:r w:rsidRPr="007737D2">
        <w:rPr>
          <w:rStyle w:val="2d"/>
        </w:rPr>
        <w:t>Доклад Стиглица. О реформе валютно-финансовой системы: уроки глобального кризиса. Доклад комиссии финансовых экспертов ООН. — М. : Международные отношения, 2010.</w:t>
      </w:r>
    </w:p>
    <w:p w14:paraId="28D04CB9" w14:textId="77777777" w:rsidR="00350D42" w:rsidRPr="007737D2" w:rsidRDefault="008E6F64">
      <w:pPr>
        <w:pStyle w:val="2c"/>
        <w:numPr>
          <w:ilvl w:val="0"/>
          <w:numId w:val="138"/>
        </w:numPr>
        <w:shd w:val="clear" w:color="auto" w:fill="auto"/>
        <w:tabs>
          <w:tab w:val="left" w:pos="579"/>
        </w:tabs>
        <w:spacing w:before="0" w:line="226" w:lineRule="exact"/>
        <w:ind w:firstLine="320"/>
      </w:pPr>
      <w:r w:rsidRPr="007737D2">
        <w:rPr>
          <w:rStyle w:val="285pt0"/>
          <w:sz w:val="18"/>
          <w:szCs w:val="18"/>
          <w:lang w:val="ru-RU" w:eastAsia="ru-RU" w:bidi="ru-RU"/>
        </w:rPr>
        <w:t>Зяблицкая, Н. В.</w:t>
      </w:r>
      <w:r w:rsidRPr="007737D2">
        <w:rPr>
          <w:rStyle w:val="285pt"/>
          <w:sz w:val="18"/>
          <w:szCs w:val="18"/>
        </w:rPr>
        <w:t xml:space="preserve"> </w:t>
      </w:r>
      <w:r w:rsidRPr="007737D2">
        <w:rPr>
          <w:rStyle w:val="2d"/>
        </w:rPr>
        <w:t>Оценка адаптационных возможностей промышлен</w:t>
      </w:r>
      <w:r w:rsidRPr="007737D2">
        <w:rPr>
          <w:rStyle w:val="2d"/>
        </w:rPr>
        <w:softHyphen/>
        <w:t>ных предприятий : монография / Н. В. Зяблицкая. — Новосибирск : Приобье, 2005.</w:t>
      </w:r>
    </w:p>
    <w:p w14:paraId="5A1C0BAE" w14:textId="77777777" w:rsidR="00350D42" w:rsidRPr="007737D2" w:rsidRDefault="008E6F64">
      <w:pPr>
        <w:pStyle w:val="2c"/>
        <w:numPr>
          <w:ilvl w:val="0"/>
          <w:numId w:val="138"/>
        </w:numPr>
        <w:shd w:val="clear" w:color="auto" w:fill="auto"/>
        <w:tabs>
          <w:tab w:val="left" w:pos="579"/>
        </w:tabs>
        <w:spacing w:before="0" w:line="226" w:lineRule="exact"/>
        <w:ind w:firstLine="320"/>
      </w:pPr>
      <w:r w:rsidRPr="007737D2">
        <w:rPr>
          <w:rStyle w:val="285pt0"/>
          <w:sz w:val="18"/>
          <w:szCs w:val="18"/>
          <w:lang w:val="ru-RU" w:eastAsia="ru-RU" w:bidi="ru-RU"/>
        </w:rPr>
        <w:t>Марковская, Е. И.</w:t>
      </w:r>
      <w:r w:rsidRPr="007737D2">
        <w:rPr>
          <w:rStyle w:val="285pt"/>
          <w:sz w:val="18"/>
          <w:szCs w:val="18"/>
        </w:rPr>
        <w:t xml:space="preserve"> </w:t>
      </w:r>
      <w:r w:rsidRPr="007737D2">
        <w:rPr>
          <w:rStyle w:val="2d"/>
        </w:rPr>
        <w:t>Адаптационные механизмы российского рынка тру</w:t>
      </w:r>
      <w:r w:rsidRPr="007737D2">
        <w:rPr>
          <w:rStyle w:val="2d"/>
        </w:rPr>
        <w:softHyphen/>
        <w:t xml:space="preserve">да в условиях кризиса / Е. И. Марковская // Экономическая </w:t>
      </w:r>
      <w:r w:rsidRPr="007737D2">
        <w:rPr>
          <w:rStyle w:val="2d"/>
        </w:rPr>
        <w:lastRenderedPageBreak/>
        <w:t>психология: со</w:t>
      </w:r>
      <w:r w:rsidRPr="007737D2">
        <w:rPr>
          <w:rStyle w:val="2d"/>
        </w:rPr>
        <w:softHyphen/>
        <w:t>временные проблемы и перспективы развития: Материалы 10-й юбилейной межд. науч.-практ. конф. — СПб. : Изд-во СПбГУЭФ, 2010. — С. 159—164.</w:t>
      </w:r>
    </w:p>
    <w:p w14:paraId="00F8EE14" w14:textId="77777777" w:rsidR="00350D42" w:rsidRPr="007737D2" w:rsidRDefault="008E6F64">
      <w:pPr>
        <w:pStyle w:val="2c"/>
        <w:numPr>
          <w:ilvl w:val="0"/>
          <w:numId w:val="138"/>
        </w:numPr>
        <w:shd w:val="clear" w:color="auto" w:fill="auto"/>
        <w:tabs>
          <w:tab w:val="left" w:pos="579"/>
        </w:tabs>
        <w:spacing w:before="0" w:line="226" w:lineRule="exact"/>
        <w:ind w:firstLine="320"/>
      </w:pPr>
      <w:r w:rsidRPr="007737D2">
        <w:rPr>
          <w:rStyle w:val="285pt0"/>
          <w:sz w:val="18"/>
          <w:szCs w:val="18"/>
          <w:lang w:val="ru-RU" w:eastAsia="ru-RU" w:bidi="ru-RU"/>
        </w:rPr>
        <w:t>Марковская, Е. И.</w:t>
      </w:r>
      <w:r w:rsidRPr="007737D2">
        <w:rPr>
          <w:rStyle w:val="285pt"/>
          <w:sz w:val="18"/>
          <w:szCs w:val="18"/>
        </w:rPr>
        <w:t xml:space="preserve"> </w:t>
      </w:r>
      <w:r w:rsidRPr="007737D2">
        <w:rPr>
          <w:rStyle w:val="2d"/>
        </w:rPr>
        <w:t>Адаптация модели финансово-экономического управления к изменениям условий внешней среды / Е. И. Марковская // Аудит и финансовый анализ. — 2013. — № 3. — С. 121—123.</w:t>
      </w:r>
    </w:p>
    <w:p w14:paraId="68D21CE7" w14:textId="77777777" w:rsidR="00350D42" w:rsidRPr="007737D2" w:rsidRDefault="008E6F64">
      <w:pPr>
        <w:pStyle w:val="2c"/>
        <w:numPr>
          <w:ilvl w:val="0"/>
          <w:numId w:val="138"/>
        </w:numPr>
        <w:shd w:val="clear" w:color="auto" w:fill="auto"/>
        <w:tabs>
          <w:tab w:val="left" w:pos="579"/>
        </w:tabs>
        <w:spacing w:before="0" w:line="226" w:lineRule="exact"/>
        <w:ind w:firstLine="320"/>
      </w:pPr>
      <w:r w:rsidRPr="007737D2">
        <w:rPr>
          <w:rStyle w:val="285pt0"/>
          <w:sz w:val="18"/>
          <w:szCs w:val="18"/>
          <w:lang w:val="ru-RU" w:eastAsia="ru-RU" w:bidi="ru-RU"/>
        </w:rPr>
        <w:t>Марковская</w:t>
      </w:r>
      <w:r w:rsidRPr="007737D2">
        <w:rPr>
          <w:rStyle w:val="2d"/>
        </w:rPr>
        <w:t xml:space="preserve">, </w:t>
      </w:r>
      <w:r w:rsidRPr="007737D2">
        <w:rPr>
          <w:rStyle w:val="285pt0"/>
          <w:sz w:val="18"/>
          <w:szCs w:val="18"/>
          <w:lang w:val="ru-RU" w:eastAsia="ru-RU" w:bidi="ru-RU"/>
        </w:rPr>
        <w:t>Е. И.</w:t>
      </w:r>
      <w:r w:rsidRPr="007737D2">
        <w:rPr>
          <w:rStyle w:val="285pt"/>
          <w:sz w:val="18"/>
          <w:szCs w:val="18"/>
        </w:rPr>
        <w:t xml:space="preserve"> </w:t>
      </w:r>
      <w:r w:rsidRPr="007737D2">
        <w:rPr>
          <w:rStyle w:val="2d"/>
        </w:rPr>
        <w:t>Актуальные проблемы организации финансирова</w:t>
      </w:r>
      <w:r w:rsidRPr="007737D2">
        <w:rPr>
          <w:rStyle w:val="2d"/>
        </w:rPr>
        <w:softHyphen/>
        <w:t>ния инвестиционных проектов предприятий малого и среднего бизнеса / Е. И. Марковская // IX Межд. науч.-практ. конф. «Менеджмент малого и среднего бизнеса: управление проектами» : тезисы докладов. — Севасто</w:t>
      </w:r>
      <w:r w:rsidRPr="007737D2">
        <w:rPr>
          <w:rStyle w:val="2d"/>
        </w:rPr>
        <w:softHyphen/>
        <w:t>поль : Изд-во СевНТУ, 2010. — С. 41—42.</w:t>
      </w:r>
    </w:p>
    <w:p w14:paraId="5FABA721" w14:textId="77777777" w:rsidR="00350D42" w:rsidRPr="007737D2" w:rsidRDefault="008E6F64">
      <w:pPr>
        <w:pStyle w:val="2c"/>
        <w:numPr>
          <w:ilvl w:val="0"/>
          <w:numId w:val="138"/>
        </w:numPr>
        <w:shd w:val="clear" w:color="auto" w:fill="auto"/>
        <w:tabs>
          <w:tab w:val="left" w:pos="579"/>
        </w:tabs>
        <w:spacing w:before="0" w:line="226" w:lineRule="exact"/>
        <w:ind w:firstLine="320"/>
        <w:sectPr w:rsidR="00350D42" w:rsidRPr="007737D2">
          <w:footerReference w:type="even" r:id="rId158"/>
          <w:footerReference w:type="default" r:id="rId159"/>
          <w:footerReference w:type="first" r:id="rId160"/>
          <w:pgSz w:w="8789" w:h="13493"/>
          <w:pgMar w:top="881" w:right="1075" w:bottom="1243" w:left="1070" w:header="0" w:footer="3" w:gutter="0"/>
          <w:cols w:space="720"/>
          <w:noEndnote/>
          <w:titlePg/>
          <w:docGrid w:linePitch="360"/>
        </w:sectPr>
      </w:pPr>
      <w:r w:rsidRPr="007737D2">
        <w:rPr>
          <w:rStyle w:val="285pt0"/>
          <w:sz w:val="18"/>
          <w:szCs w:val="18"/>
          <w:lang w:val="ru-RU" w:eastAsia="ru-RU" w:bidi="ru-RU"/>
        </w:rPr>
        <w:t>Марковская, Е. И.</w:t>
      </w:r>
      <w:r w:rsidRPr="007737D2">
        <w:rPr>
          <w:rStyle w:val="285pt"/>
          <w:sz w:val="18"/>
          <w:szCs w:val="18"/>
        </w:rPr>
        <w:t xml:space="preserve"> </w:t>
      </w:r>
      <w:r w:rsidRPr="007737D2">
        <w:rPr>
          <w:rStyle w:val="2d"/>
        </w:rPr>
        <w:t>Государственное регулирование в обеспечении инновационной активности реального сектора российской экономики / Е. И. Марковская // Проблемы современной экономики : сборник матери</w:t>
      </w:r>
      <w:r w:rsidRPr="007737D2">
        <w:rPr>
          <w:rStyle w:val="2d"/>
        </w:rPr>
        <w:softHyphen/>
        <w:t xml:space="preserve">алов III Международной научно-практической конференции. В 2 ч. Ч. 1 / </w:t>
      </w:r>
    </w:p>
    <w:p w14:paraId="573780CB" w14:textId="77777777" w:rsidR="00350D42" w:rsidRPr="007737D2" w:rsidRDefault="008E6F64">
      <w:pPr>
        <w:pStyle w:val="2c"/>
        <w:shd w:val="clear" w:color="auto" w:fill="auto"/>
        <w:tabs>
          <w:tab w:val="left" w:pos="579"/>
        </w:tabs>
        <w:spacing w:before="0" w:line="226" w:lineRule="exact"/>
        <w:ind w:firstLine="320"/>
      </w:pPr>
      <w:r w:rsidRPr="007737D2">
        <w:rPr>
          <w:rStyle w:val="2d"/>
        </w:rPr>
        <w:lastRenderedPageBreak/>
        <w:t>под общ. ред. Ж. А. Мингалевой, С. С. Чернова. — Новосибирск, 2011. — С. 320—325.</w:t>
      </w:r>
    </w:p>
    <w:p w14:paraId="0754C37E" w14:textId="77777777" w:rsidR="00350D42" w:rsidRPr="007737D2" w:rsidRDefault="008E6F64">
      <w:pPr>
        <w:pStyle w:val="2c"/>
        <w:numPr>
          <w:ilvl w:val="0"/>
          <w:numId w:val="138"/>
        </w:numPr>
        <w:shd w:val="clear" w:color="auto" w:fill="auto"/>
        <w:tabs>
          <w:tab w:val="left" w:pos="673"/>
        </w:tabs>
        <w:spacing w:before="0" w:line="216" w:lineRule="exact"/>
        <w:ind w:firstLine="340"/>
      </w:pPr>
      <w:r w:rsidRPr="007737D2">
        <w:rPr>
          <w:rStyle w:val="285pt0"/>
          <w:sz w:val="18"/>
          <w:szCs w:val="18"/>
          <w:lang w:val="ru-RU" w:eastAsia="ru-RU" w:bidi="ru-RU"/>
        </w:rPr>
        <w:t>Марковская</w:t>
      </w:r>
      <w:r w:rsidRPr="007737D2">
        <w:rPr>
          <w:rStyle w:val="2f4"/>
        </w:rPr>
        <w:t xml:space="preserve">, </w:t>
      </w:r>
      <w:r w:rsidRPr="007737D2">
        <w:rPr>
          <w:rStyle w:val="285pt0"/>
          <w:sz w:val="18"/>
          <w:szCs w:val="18"/>
          <w:lang w:val="ru-RU" w:eastAsia="ru-RU" w:bidi="ru-RU"/>
        </w:rPr>
        <w:t>Е. И.</w:t>
      </w:r>
      <w:r w:rsidRPr="007737D2">
        <w:rPr>
          <w:rStyle w:val="285pt"/>
          <w:sz w:val="18"/>
          <w:szCs w:val="18"/>
        </w:rPr>
        <w:t xml:space="preserve"> </w:t>
      </w:r>
      <w:r w:rsidRPr="007737D2">
        <w:rPr>
          <w:rStyle w:val="2d"/>
        </w:rPr>
        <w:t>Механизмы адаптации российских банков в ус</w:t>
      </w:r>
      <w:r w:rsidRPr="007737D2">
        <w:rPr>
          <w:rStyle w:val="2d"/>
        </w:rPr>
        <w:softHyphen/>
        <w:t>ловиях циклического развития экономики / Е. И. Марковская // Аудит и финансовый анализ. — 2013. — № 2. — С. 126—129.</w:t>
      </w:r>
    </w:p>
    <w:p w14:paraId="59DC60C9" w14:textId="77777777" w:rsidR="00350D42" w:rsidRPr="007737D2" w:rsidRDefault="008E6F64">
      <w:pPr>
        <w:pStyle w:val="2c"/>
        <w:numPr>
          <w:ilvl w:val="0"/>
          <w:numId w:val="138"/>
        </w:numPr>
        <w:shd w:val="clear" w:color="auto" w:fill="auto"/>
        <w:tabs>
          <w:tab w:val="left" w:pos="663"/>
        </w:tabs>
        <w:spacing w:before="0" w:line="216" w:lineRule="exact"/>
        <w:ind w:firstLine="340"/>
      </w:pPr>
      <w:r w:rsidRPr="007737D2">
        <w:rPr>
          <w:rStyle w:val="285pt0"/>
          <w:sz w:val="18"/>
          <w:szCs w:val="18"/>
          <w:lang w:val="ru-RU" w:eastAsia="ru-RU" w:bidi="ru-RU"/>
        </w:rPr>
        <w:t>Марковская</w:t>
      </w:r>
      <w:r w:rsidRPr="007737D2">
        <w:rPr>
          <w:rStyle w:val="2f4"/>
        </w:rPr>
        <w:t xml:space="preserve">, </w:t>
      </w:r>
      <w:r w:rsidRPr="007737D2">
        <w:rPr>
          <w:rStyle w:val="285pt0"/>
          <w:sz w:val="18"/>
          <w:szCs w:val="18"/>
          <w:lang w:val="ru-RU" w:eastAsia="ru-RU" w:bidi="ru-RU"/>
        </w:rPr>
        <w:t>Е. И.</w:t>
      </w:r>
      <w:r w:rsidRPr="007737D2">
        <w:rPr>
          <w:rStyle w:val="285pt"/>
          <w:sz w:val="18"/>
          <w:szCs w:val="18"/>
        </w:rPr>
        <w:t xml:space="preserve"> </w:t>
      </w:r>
      <w:r w:rsidRPr="007737D2">
        <w:rPr>
          <w:rStyle w:val="2d"/>
        </w:rPr>
        <w:t>Организация финансирования инвестиционных проектов: теория и практика / Е. И. Марковская. — СПб. : Изд-во политех</w:t>
      </w:r>
      <w:r w:rsidRPr="007737D2">
        <w:rPr>
          <w:rStyle w:val="2d"/>
        </w:rPr>
        <w:softHyphen/>
        <w:t>нического ун-та, 2013.</w:t>
      </w:r>
    </w:p>
    <w:p w14:paraId="7679D8B5" w14:textId="77777777" w:rsidR="00350D42" w:rsidRPr="007737D2" w:rsidRDefault="008E6F64">
      <w:pPr>
        <w:pStyle w:val="2c"/>
        <w:numPr>
          <w:ilvl w:val="0"/>
          <w:numId w:val="138"/>
        </w:numPr>
        <w:shd w:val="clear" w:color="auto" w:fill="auto"/>
        <w:tabs>
          <w:tab w:val="left" w:pos="668"/>
        </w:tabs>
        <w:spacing w:before="0" w:line="216" w:lineRule="exact"/>
        <w:ind w:firstLine="340"/>
      </w:pPr>
      <w:r w:rsidRPr="007737D2">
        <w:rPr>
          <w:rStyle w:val="285pt0"/>
          <w:sz w:val="18"/>
          <w:szCs w:val="18"/>
          <w:lang w:val="ru-RU" w:eastAsia="ru-RU" w:bidi="ru-RU"/>
        </w:rPr>
        <w:t>Марковская</w:t>
      </w:r>
      <w:r w:rsidRPr="007737D2">
        <w:rPr>
          <w:rStyle w:val="2f4"/>
        </w:rPr>
        <w:t xml:space="preserve">, </w:t>
      </w:r>
      <w:r w:rsidRPr="007737D2">
        <w:rPr>
          <w:rStyle w:val="285pt0"/>
          <w:sz w:val="18"/>
          <w:szCs w:val="18"/>
          <w:lang w:val="ru-RU" w:eastAsia="ru-RU" w:bidi="ru-RU"/>
        </w:rPr>
        <w:t>Е. И.</w:t>
      </w:r>
      <w:r w:rsidRPr="007737D2">
        <w:rPr>
          <w:rStyle w:val="285pt"/>
          <w:sz w:val="18"/>
          <w:szCs w:val="18"/>
        </w:rPr>
        <w:t xml:space="preserve"> </w:t>
      </w:r>
      <w:r w:rsidRPr="007737D2">
        <w:rPr>
          <w:rStyle w:val="2d"/>
        </w:rPr>
        <w:t>Основные виды механизмов адаптации хозяй</w:t>
      </w:r>
      <w:r w:rsidRPr="007737D2">
        <w:rPr>
          <w:rStyle w:val="2d"/>
        </w:rPr>
        <w:softHyphen/>
        <w:t>ствующих субъектов в российской экономике / Е. И. Марковская // Аудит и финансовый анализ. —2013. — № 1. — С. 273—277.</w:t>
      </w:r>
    </w:p>
    <w:p w14:paraId="3B7B81DA" w14:textId="77777777" w:rsidR="00350D42" w:rsidRPr="007737D2" w:rsidRDefault="008E6F64">
      <w:pPr>
        <w:pStyle w:val="2c"/>
        <w:numPr>
          <w:ilvl w:val="0"/>
          <w:numId w:val="138"/>
        </w:numPr>
        <w:shd w:val="clear" w:color="auto" w:fill="auto"/>
        <w:tabs>
          <w:tab w:val="left" w:pos="673"/>
        </w:tabs>
        <w:spacing w:before="0" w:line="216" w:lineRule="exact"/>
        <w:ind w:firstLine="340"/>
      </w:pPr>
      <w:r w:rsidRPr="007737D2">
        <w:rPr>
          <w:rStyle w:val="285pt0"/>
          <w:sz w:val="18"/>
          <w:szCs w:val="18"/>
          <w:lang w:val="ru-RU" w:eastAsia="ru-RU" w:bidi="ru-RU"/>
        </w:rPr>
        <w:t>Марковская</w:t>
      </w:r>
      <w:r w:rsidRPr="007737D2">
        <w:rPr>
          <w:rStyle w:val="2f4"/>
        </w:rPr>
        <w:t xml:space="preserve">, </w:t>
      </w:r>
      <w:r w:rsidRPr="007737D2">
        <w:rPr>
          <w:rStyle w:val="285pt0"/>
          <w:sz w:val="18"/>
          <w:szCs w:val="18"/>
          <w:lang w:val="ru-RU" w:eastAsia="ru-RU" w:bidi="ru-RU"/>
        </w:rPr>
        <w:t>Е. И.</w:t>
      </w:r>
      <w:r w:rsidRPr="007737D2">
        <w:rPr>
          <w:rStyle w:val="285pt"/>
          <w:sz w:val="18"/>
          <w:szCs w:val="18"/>
        </w:rPr>
        <w:t xml:space="preserve"> </w:t>
      </w:r>
      <w:r w:rsidRPr="007737D2">
        <w:rPr>
          <w:rStyle w:val="2d"/>
        </w:rPr>
        <w:t>Управление процессом принятия инвестиционных решений в холдинговых компаниях / Е. И. Марковская, В. В. Холодкова // Ученые записки Санкт-Петербургской АУЭ. — 2006. — Вып. 1 (13). — С. 124—128.</w:t>
      </w:r>
    </w:p>
    <w:p w14:paraId="0C3169D5" w14:textId="77777777" w:rsidR="00350D42" w:rsidRPr="007737D2" w:rsidRDefault="008E6F64">
      <w:pPr>
        <w:pStyle w:val="2c"/>
        <w:numPr>
          <w:ilvl w:val="0"/>
          <w:numId w:val="138"/>
        </w:numPr>
        <w:shd w:val="clear" w:color="auto" w:fill="auto"/>
        <w:tabs>
          <w:tab w:val="left" w:pos="668"/>
        </w:tabs>
        <w:spacing w:before="0" w:line="216" w:lineRule="exact"/>
        <w:ind w:firstLine="340"/>
      </w:pPr>
      <w:r w:rsidRPr="007737D2">
        <w:rPr>
          <w:rStyle w:val="285pt0"/>
          <w:sz w:val="18"/>
          <w:szCs w:val="18"/>
          <w:lang w:val="ru-RU" w:eastAsia="ru-RU" w:bidi="ru-RU"/>
        </w:rPr>
        <w:t>Марковская</w:t>
      </w:r>
      <w:r w:rsidRPr="007737D2">
        <w:rPr>
          <w:rStyle w:val="2f4"/>
        </w:rPr>
        <w:t xml:space="preserve">, </w:t>
      </w:r>
      <w:r w:rsidRPr="007737D2">
        <w:rPr>
          <w:rStyle w:val="285pt0"/>
          <w:sz w:val="18"/>
          <w:szCs w:val="18"/>
          <w:lang w:val="ru-RU" w:eastAsia="ru-RU" w:bidi="ru-RU"/>
        </w:rPr>
        <w:t>Е. И</w:t>
      </w:r>
      <w:r w:rsidRPr="007737D2">
        <w:rPr>
          <w:rStyle w:val="2f4"/>
        </w:rPr>
        <w:t>.</w:t>
      </w:r>
      <w:r w:rsidRPr="007737D2">
        <w:rPr>
          <w:rStyle w:val="2d"/>
        </w:rPr>
        <w:t xml:space="preserve"> Управление процессом принятия инвестиционных решений / Е. И. Марковская, В. В. Холодкова // Профессия — директор. — 2007. — № 2. — С. 50—53.</w:t>
      </w:r>
    </w:p>
    <w:p w14:paraId="5EB5B77D" w14:textId="77777777" w:rsidR="00350D42" w:rsidRPr="007737D2" w:rsidRDefault="008E6F64">
      <w:pPr>
        <w:pStyle w:val="2c"/>
        <w:numPr>
          <w:ilvl w:val="0"/>
          <w:numId w:val="138"/>
        </w:numPr>
        <w:shd w:val="clear" w:color="auto" w:fill="auto"/>
        <w:tabs>
          <w:tab w:val="left" w:pos="668"/>
        </w:tabs>
        <w:spacing w:before="0" w:line="216" w:lineRule="exact"/>
        <w:ind w:firstLine="340"/>
      </w:pPr>
      <w:r w:rsidRPr="007737D2">
        <w:rPr>
          <w:rStyle w:val="285pt0"/>
          <w:sz w:val="18"/>
          <w:szCs w:val="18"/>
          <w:lang w:val="ru-RU" w:eastAsia="ru-RU" w:bidi="ru-RU"/>
        </w:rPr>
        <w:t>Марковская</w:t>
      </w:r>
      <w:r w:rsidRPr="007737D2">
        <w:rPr>
          <w:rStyle w:val="2f4"/>
        </w:rPr>
        <w:t xml:space="preserve">, </w:t>
      </w:r>
      <w:r w:rsidRPr="007737D2">
        <w:rPr>
          <w:rStyle w:val="285pt0"/>
          <w:sz w:val="18"/>
          <w:szCs w:val="18"/>
          <w:lang w:val="ru-RU" w:eastAsia="ru-RU" w:bidi="ru-RU"/>
        </w:rPr>
        <w:t>Е. И.</w:t>
      </w:r>
      <w:r w:rsidRPr="007737D2">
        <w:rPr>
          <w:rStyle w:val="285pt"/>
          <w:sz w:val="18"/>
          <w:szCs w:val="18"/>
        </w:rPr>
        <w:t xml:space="preserve"> </w:t>
      </w:r>
      <w:r w:rsidRPr="007737D2">
        <w:rPr>
          <w:rStyle w:val="2d"/>
        </w:rPr>
        <w:t>Эволюция стандартов оценки достаточности капитала как адаптационный механизм банковской системы в условиях финансового кризиса / Е. И. Марковская // Общественные науки. — 2011. — № 6. — С. 460—470.</w:t>
      </w:r>
    </w:p>
    <w:p w14:paraId="7C4D2F91" w14:textId="77777777" w:rsidR="00350D42" w:rsidRPr="007737D2" w:rsidRDefault="008E6F64">
      <w:pPr>
        <w:pStyle w:val="2c"/>
        <w:numPr>
          <w:ilvl w:val="0"/>
          <w:numId w:val="138"/>
        </w:numPr>
        <w:shd w:val="clear" w:color="auto" w:fill="auto"/>
        <w:tabs>
          <w:tab w:val="left" w:pos="663"/>
        </w:tabs>
        <w:spacing w:before="0" w:line="216" w:lineRule="exact"/>
        <w:ind w:firstLine="340"/>
      </w:pPr>
      <w:r w:rsidRPr="007737D2">
        <w:rPr>
          <w:rStyle w:val="285pt0"/>
          <w:sz w:val="18"/>
          <w:szCs w:val="18"/>
          <w:lang w:val="ru-RU" w:eastAsia="ru-RU" w:bidi="ru-RU"/>
        </w:rPr>
        <w:t>Пастухова</w:t>
      </w:r>
      <w:r w:rsidRPr="007737D2">
        <w:rPr>
          <w:rStyle w:val="2f4"/>
        </w:rPr>
        <w:t xml:space="preserve">, </w:t>
      </w:r>
      <w:r w:rsidRPr="007737D2">
        <w:rPr>
          <w:rStyle w:val="285pt0"/>
          <w:sz w:val="18"/>
          <w:szCs w:val="18"/>
          <w:lang w:val="ru-RU" w:eastAsia="ru-RU" w:bidi="ru-RU"/>
        </w:rPr>
        <w:t>Е. А.</w:t>
      </w:r>
      <w:r w:rsidRPr="007737D2">
        <w:rPr>
          <w:rStyle w:val="285pt"/>
          <w:sz w:val="18"/>
          <w:szCs w:val="18"/>
        </w:rPr>
        <w:t xml:space="preserve"> </w:t>
      </w:r>
      <w:r w:rsidRPr="007737D2">
        <w:rPr>
          <w:rStyle w:val="2d"/>
        </w:rPr>
        <w:t>Адаптация экономической системы к изменениям среды // Современные наукоемкие технологии. — 2006. — № 5. — С. 70—78.</w:t>
      </w:r>
    </w:p>
    <w:p w14:paraId="3826C2DD" w14:textId="77777777" w:rsidR="00350D42" w:rsidRPr="007737D2" w:rsidRDefault="008E6F64">
      <w:pPr>
        <w:pStyle w:val="2c"/>
        <w:numPr>
          <w:ilvl w:val="0"/>
          <w:numId w:val="138"/>
        </w:numPr>
        <w:shd w:val="clear" w:color="auto" w:fill="auto"/>
        <w:tabs>
          <w:tab w:val="left" w:pos="668"/>
        </w:tabs>
        <w:spacing w:before="0" w:line="216" w:lineRule="exact"/>
        <w:ind w:firstLine="340"/>
      </w:pPr>
      <w:r w:rsidRPr="007737D2">
        <w:rPr>
          <w:rStyle w:val="2d"/>
        </w:rPr>
        <w:t>Психология адаптации и социальная среда: современные подходы, проблемы, перспективы / отв. ред. Л. Г. Дикая, А. Л. Журавлев. — М. : Ин-т психологии РАН, 2007.</w:t>
      </w:r>
    </w:p>
    <w:p w14:paraId="420E756C" w14:textId="77777777" w:rsidR="00350D42" w:rsidRPr="007737D2" w:rsidRDefault="008E6F64">
      <w:pPr>
        <w:pStyle w:val="2c"/>
        <w:numPr>
          <w:ilvl w:val="0"/>
          <w:numId w:val="138"/>
        </w:numPr>
        <w:shd w:val="clear" w:color="auto" w:fill="auto"/>
        <w:tabs>
          <w:tab w:val="left" w:pos="668"/>
        </w:tabs>
        <w:spacing w:before="0" w:line="216" w:lineRule="exact"/>
        <w:ind w:firstLine="340"/>
      </w:pPr>
      <w:r w:rsidRPr="007737D2">
        <w:rPr>
          <w:rStyle w:val="2d"/>
        </w:rPr>
        <w:t>Современные проблемы адаптации субъектов хозяйственной деятель</w:t>
      </w:r>
      <w:r w:rsidRPr="007737D2">
        <w:rPr>
          <w:rStyle w:val="2d"/>
        </w:rPr>
        <w:softHyphen/>
        <w:t>ности : науч. записки Санкт-Петербургского государственного университета экономики и финансов / под науч. ред. С. Г. Ковалева, Э. И. Колчинского. — СПб. : Изд-во СПбГУЭФ, 2004.</w:t>
      </w:r>
    </w:p>
    <w:p w14:paraId="3FBB819B" w14:textId="77777777" w:rsidR="00350D42" w:rsidRPr="007737D2" w:rsidRDefault="008E6F64">
      <w:pPr>
        <w:pStyle w:val="2c"/>
        <w:numPr>
          <w:ilvl w:val="0"/>
          <w:numId w:val="138"/>
        </w:numPr>
        <w:shd w:val="clear" w:color="auto" w:fill="auto"/>
        <w:tabs>
          <w:tab w:val="left" w:pos="668"/>
        </w:tabs>
        <w:spacing w:before="0" w:line="216" w:lineRule="exact"/>
        <w:ind w:firstLine="340"/>
      </w:pPr>
      <w:r w:rsidRPr="007737D2">
        <w:rPr>
          <w:rStyle w:val="2d"/>
        </w:rPr>
        <w:t>Современные проблемы социально-экономической адаптации субъек</w:t>
      </w:r>
      <w:r w:rsidRPr="007737D2">
        <w:rPr>
          <w:rStyle w:val="2d"/>
        </w:rPr>
        <w:softHyphen/>
        <w:t>тов хозяйственной деятельности : сб. статей / под науч. ред. С. Г. Ковалева,</w:t>
      </w:r>
    </w:p>
    <w:p w14:paraId="1767FB31" w14:textId="77777777" w:rsidR="00350D42" w:rsidRDefault="008E6F64">
      <w:pPr>
        <w:pStyle w:val="2c"/>
        <w:shd w:val="clear" w:color="auto" w:fill="auto"/>
        <w:tabs>
          <w:tab w:val="left" w:pos="289"/>
          <w:tab w:val="left" w:pos="586"/>
        </w:tabs>
        <w:spacing w:before="0" w:line="216" w:lineRule="exact"/>
        <w:sectPr w:rsidR="00350D42">
          <w:footerReference w:type="even" r:id="rId161"/>
          <w:footerReference w:type="default" r:id="rId162"/>
          <w:footerReference w:type="first" r:id="rId163"/>
          <w:pgSz w:w="8789" w:h="13493"/>
          <w:pgMar w:top="881" w:right="1075" w:bottom="1243" w:left="1070" w:header="0" w:footer="3" w:gutter="0"/>
          <w:cols w:space="720"/>
          <w:noEndnote/>
          <w:titlePg/>
          <w:docGrid w:linePitch="360"/>
        </w:sectPr>
      </w:pPr>
      <w:r w:rsidRPr="007737D2">
        <w:rPr>
          <w:rStyle w:val="2d"/>
        </w:rPr>
        <w:t>Э.</w:t>
      </w:r>
      <w:r w:rsidRPr="007737D2">
        <w:tab/>
      </w:r>
      <w:r w:rsidRPr="007737D2">
        <w:rPr>
          <w:rStyle w:val="2d"/>
        </w:rPr>
        <w:t>Х. Локшиной. — СПб. : Изд-во СПбГУЭФ, 2005</w:t>
      </w:r>
      <w:r>
        <w:rPr>
          <w:rStyle w:val="2d"/>
        </w:rPr>
        <w:t>.</w:t>
      </w:r>
    </w:p>
    <w:p w14:paraId="0B1C3F27" w14:textId="77777777" w:rsidR="00350D42" w:rsidRDefault="00350D42">
      <w:pPr>
        <w:spacing w:line="240" w:lineRule="exact"/>
        <w:rPr>
          <w:sz w:val="19"/>
          <w:szCs w:val="19"/>
        </w:rPr>
      </w:pPr>
    </w:p>
    <w:p w14:paraId="55AF5F0F" w14:textId="77777777" w:rsidR="00350D42" w:rsidRDefault="00350D42">
      <w:pPr>
        <w:spacing w:line="240" w:lineRule="exact"/>
        <w:rPr>
          <w:sz w:val="19"/>
          <w:szCs w:val="19"/>
        </w:rPr>
      </w:pPr>
    </w:p>
    <w:p w14:paraId="43DE9C83" w14:textId="77777777" w:rsidR="00350D42" w:rsidRDefault="00350D42">
      <w:pPr>
        <w:spacing w:line="240" w:lineRule="exact"/>
        <w:rPr>
          <w:sz w:val="19"/>
          <w:szCs w:val="19"/>
        </w:rPr>
      </w:pPr>
    </w:p>
    <w:p w14:paraId="4E27342B" w14:textId="77777777" w:rsidR="00350D42" w:rsidRDefault="00350D42">
      <w:pPr>
        <w:spacing w:before="56" w:after="56" w:line="240" w:lineRule="exact"/>
        <w:rPr>
          <w:sz w:val="19"/>
          <w:szCs w:val="19"/>
        </w:rPr>
      </w:pPr>
    </w:p>
    <w:p w14:paraId="510922A6" w14:textId="77777777" w:rsidR="00350D42" w:rsidRDefault="00350D42">
      <w:pPr>
        <w:rPr>
          <w:sz w:val="2"/>
          <w:szCs w:val="2"/>
        </w:rPr>
        <w:sectPr w:rsidR="00350D42">
          <w:pgSz w:w="8789" w:h="13493"/>
          <w:pgMar w:top="991" w:right="0" w:bottom="1226" w:left="0" w:header="0" w:footer="3" w:gutter="0"/>
          <w:cols w:space="720"/>
          <w:noEndnote/>
          <w:docGrid w:linePitch="360"/>
        </w:sectPr>
      </w:pPr>
    </w:p>
    <w:p w14:paraId="668309A7" w14:textId="77777777" w:rsidR="00350D42" w:rsidRDefault="008E6F64">
      <w:pPr>
        <w:pStyle w:val="39"/>
        <w:keepNext/>
        <w:keepLines/>
        <w:shd w:val="clear" w:color="auto" w:fill="auto"/>
        <w:spacing w:after="433"/>
      </w:pPr>
      <w:bookmarkStart w:id="133" w:name="bookmark113"/>
      <w:bookmarkStart w:id="134" w:name="bookmark114"/>
      <w:r>
        <w:rPr>
          <w:rStyle w:val="3a"/>
          <w:b/>
          <w:bCs/>
        </w:rPr>
        <w:t>Глоссарий</w:t>
      </w:r>
      <w:bookmarkEnd w:id="133"/>
      <w:bookmarkEnd w:id="134"/>
    </w:p>
    <w:p w14:paraId="4C163338" w14:textId="77777777" w:rsidR="00350D42" w:rsidRDefault="008E6F64">
      <w:pPr>
        <w:pStyle w:val="2c"/>
        <w:shd w:val="clear" w:color="auto" w:fill="auto"/>
        <w:spacing w:before="0"/>
        <w:ind w:firstLine="320"/>
      </w:pPr>
      <w:r>
        <w:rPr>
          <w:rStyle w:val="2d"/>
        </w:rPr>
        <w:t>Адаптация — процесс приспособления хозяйственной систе</w:t>
      </w:r>
      <w:r>
        <w:rPr>
          <w:rStyle w:val="2d"/>
        </w:rPr>
        <w:softHyphen/>
        <w:t>мы к изменениям, возникающим во внешней и внутренней средах ее функционирования посредством выработки особых адаптацион</w:t>
      </w:r>
      <w:r>
        <w:rPr>
          <w:rStyle w:val="2d"/>
        </w:rPr>
        <w:softHyphen/>
        <w:t>ных механизмов. При этом изменения не обязательно могут быть связаны с кризисными явлениями.</w:t>
      </w:r>
    </w:p>
    <w:p w14:paraId="0AB7C63C" w14:textId="77777777" w:rsidR="00350D42" w:rsidRDefault="008E6F64">
      <w:pPr>
        <w:pStyle w:val="2c"/>
        <w:shd w:val="clear" w:color="auto" w:fill="auto"/>
        <w:spacing w:before="0"/>
        <w:ind w:firstLine="320"/>
      </w:pPr>
      <w:r>
        <w:rPr>
          <w:rStyle w:val="2d"/>
        </w:rPr>
        <w:t>Адаптивность — свойство, связанное со способностью хозяй</w:t>
      </w:r>
      <w:r>
        <w:rPr>
          <w:rStyle w:val="2d"/>
        </w:rPr>
        <w:softHyphen/>
        <w:t>ственной системы приспосабливаться к изменениям.</w:t>
      </w:r>
    </w:p>
    <w:p w14:paraId="473CABEF" w14:textId="77777777" w:rsidR="00350D42" w:rsidRDefault="008E6F64">
      <w:pPr>
        <w:pStyle w:val="2c"/>
        <w:shd w:val="clear" w:color="auto" w:fill="auto"/>
        <w:spacing w:before="0"/>
        <w:ind w:firstLine="320"/>
      </w:pPr>
      <w:r>
        <w:rPr>
          <w:rStyle w:val="2d"/>
        </w:rPr>
        <w:t>Аренда — передача лицу на определенных договором условиях во временное пользование и за определенную плату государствен</w:t>
      </w:r>
      <w:r>
        <w:rPr>
          <w:rStyle w:val="2d"/>
        </w:rPr>
        <w:softHyphen/>
        <w:t>ное, муниципальное и иное имущество. Традиционные договоры аренды предполагают возвратность предмета арендных отношений, причем правомочие по распоряжению имуществом сохраняется за собственником и не передается частному партнеру.</w:t>
      </w:r>
    </w:p>
    <w:p w14:paraId="7D9CDC3E" w14:textId="77777777" w:rsidR="00350D42" w:rsidRDefault="008E6F64">
      <w:pPr>
        <w:pStyle w:val="2c"/>
        <w:shd w:val="clear" w:color="auto" w:fill="auto"/>
        <w:spacing w:before="0"/>
        <w:ind w:firstLine="320"/>
      </w:pPr>
      <w:r>
        <w:rPr>
          <w:rStyle w:val="2d"/>
        </w:rPr>
        <w:t>Бизнес-инкубатор — организация, решающая задачи поддерж</w:t>
      </w:r>
      <w:r>
        <w:rPr>
          <w:rStyle w:val="2d"/>
        </w:rPr>
        <w:softHyphen/>
        <w:t>ки вновь созданных малых предприятий и начинающих предпри</w:t>
      </w:r>
      <w:r>
        <w:rPr>
          <w:rStyle w:val="2d"/>
        </w:rPr>
        <w:softHyphen/>
        <w:t>нимателей, которые хотят, но не имеют возможности начать свое дело, связанные с оказанием им помощи в создании жизнеспособ</w:t>
      </w:r>
      <w:r>
        <w:rPr>
          <w:rStyle w:val="2d"/>
        </w:rPr>
        <w:softHyphen/>
        <w:t>ных коммерчески выгодных продуктов и эффективных производств на базе их идей, в том числе путем предоставления в аренду поме</w:t>
      </w:r>
      <w:r>
        <w:rPr>
          <w:rStyle w:val="2d"/>
        </w:rPr>
        <w:softHyphen/>
        <w:t>щений и оказания консультационных, бухгалтерских и юридиче</w:t>
      </w:r>
      <w:r>
        <w:rPr>
          <w:rStyle w:val="2d"/>
        </w:rPr>
        <w:softHyphen/>
        <w:t>ских услуг.</w:t>
      </w:r>
    </w:p>
    <w:p w14:paraId="05BA305C" w14:textId="77777777" w:rsidR="00350D42" w:rsidRDefault="008E6F64">
      <w:pPr>
        <w:pStyle w:val="2c"/>
        <w:shd w:val="clear" w:color="auto" w:fill="auto"/>
        <w:spacing w:before="0"/>
        <w:ind w:firstLine="320"/>
      </w:pPr>
      <w:r>
        <w:rPr>
          <w:rStyle w:val="2d"/>
        </w:rPr>
        <w:t xml:space="preserve">Государственно-частное партнерство (ГЧП) </w:t>
      </w:r>
      <w:r w:rsidRPr="000E0C7E">
        <w:rPr>
          <w:rStyle w:val="2f4"/>
          <w:lang w:eastAsia="en-US" w:bidi="en-US"/>
        </w:rPr>
        <w:t>(</w:t>
      </w:r>
      <w:r>
        <w:rPr>
          <w:rStyle w:val="2f4"/>
          <w:lang w:val="en-US" w:eastAsia="en-US" w:bidi="en-US"/>
        </w:rPr>
        <w:t>Public</w:t>
      </w:r>
      <w:r w:rsidRPr="000E0C7E">
        <w:rPr>
          <w:rStyle w:val="2f4"/>
          <w:lang w:eastAsia="en-US" w:bidi="en-US"/>
        </w:rPr>
        <w:t>-</w:t>
      </w:r>
      <w:r>
        <w:rPr>
          <w:rStyle w:val="2f4"/>
          <w:lang w:val="en-US" w:eastAsia="en-US" w:bidi="en-US"/>
        </w:rPr>
        <w:t>Private</w:t>
      </w:r>
      <w:r w:rsidRPr="000E0C7E">
        <w:rPr>
          <w:rStyle w:val="2f4"/>
          <w:lang w:eastAsia="en-US" w:bidi="en-US"/>
        </w:rPr>
        <w:t xml:space="preserve"> </w:t>
      </w:r>
      <w:r>
        <w:rPr>
          <w:rStyle w:val="2f4"/>
          <w:lang w:val="en-US" w:eastAsia="en-US" w:bidi="en-US"/>
        </w:rPr>
        <w:t>Partnership</w:t>
      </w:r>
      <w:r w:rsidRPr="000E0C7E">
        <w:rPr>
          <w:rStyle w:val="2f4"/>
          <w:lang w:eastAsia="en-US" w:bidi="en-US"/>
        </w:rPr>
        <w:t xml:space="preserve">, </w:t>
      </w:r>
      <w:r>
        <w:rPr>
          <w:rStyle w:val="2f4"/>
          <w:lang w:val="en-US" w:eastAsia="en-US" w:bidi="en-US"/>
        </w:rPr>
        <w:t>PPP</w:t>
      </w:r>
      <w:r w:rsidRPr="000E0C7E">
        <w:rPr>
          <w:rStyle w:val="2f4"/>
          <w:lang w:eastAsia="en-US" w:bidi="en-US"/>
        </w:rPr>
        <w:t>)</w:t>
      </w:r>
      <w:r w:rsidRPr="000E0C7E">
        <w:rPr>
          <w:rStyle w:val="2d"/>
          <w:lang w:eastAsia="en-US" w:bidi="en-US"/>
        </w:rPr>
        <w:t xml:space="preserve"> </w:t>
      </w:r>
      <w:r>
        <w:rPr>
          <w:rStyle w:val="2d"/>
        </w:rPr>
        <w:t>— совокупность форм средне- и долгосрочного взаимодействия государства и бизнеса для решения общественно значимых задач на взаимовыгодных условиях.</w:t>
      </w:r>
    </w:p>
    <w:p w14:paraId="52DDFA62" w14:textId="77777777" w:rsidR="00350D42" w:rsidRDefault="008E6F64">
      <w:pPr>
        <w:pStyle w:val="2c"/>
        <w:shd w:val="clear" w:color="auto" w:fill="auto"/>
        <w:spacing w:before="0"/>
        <w:ind w:firstLine="320"/>
      </w:pPr>
      <w:r>
        <w:rPr>
          <w:rStyle w:val="2d"/>
        </w:rPr>
        <w:t>Государственные закупки — процесс приобретения на бюджет</w:t>
      </w:r>
      <w:r>
        <w:rPr>
          <w:rStyle w:val="2d"/>
        </w:rPr>
        <w:softHyphen/>
        <w:t>ные средства товаров, услуг и работ для удовлетворения государ</w:t>
      </w:r>
      <w:r>
        <w:rPr>
          <w:rStyle w:val="2d"/>
        </w:rPr>
        <w:softHyphen/>
        <w:t>ственных нужд.</w:t>
      </w:r>
    </w:p>
    <w:p w14:paraId="28DB6DF3" w14:textId="77777777" w:rsidR="00350D42" w:rsidRDefault="008E6F64">
      <w:pPr>
        <w:pStyle w:val="2c"/>
        <w:shd w:val="clear" w:color="auto" w:fill="auto"/>
        <w:spacing w:before="0"/>
        <w:ind w:firstLine="320"/>
      </w:pPr>
      <w:r>
        <w:rPr>
          <w:rStyle w:val="2d"/>
        </w:rPr>
        <w:t>Государственные или муниципальные преференции — пре</w:t>
      </w:r>
      <w:r>
        <w:rPr>
          <w:rStyle w:val="2d"/>
        </w:rPr>
        <w:softHyphen/>
        <w:t>доставление федеральными органами исполнительной власти, ор</w:t>
      </w:r>
      <w:r>
        <w:rPr>
          <w:rStyle w:val="2d"/>
        </w:rPr>
        <w:softHyphen/>
        <w:t>ганами государственной власти субъектов РФ, органами местного самоуправления, иными осуществляющими функции указанных органов органами или организациями отдельным хозяйствующим субъектам преимущества, которое обеспечивает им более выгодные условия деятельности путем передачи государственного или муни</w:t>
      </w:r>
      <w:r>
        <w:rPr>
          <w:rStyle w:val="2d"/>
        </w:rPr>
        <w:softHyphen/>
        <w:t>ципального имущества, иных объектов гражданских прав либо пре</w:t>
      </w:r>
      <w:r>
        <w:rPr>
          <w:rStyle w:val="2d"/>
        </w:rPr>
        <w:softHyphen/>
        <w:t>доставления имущественных льгот.</w:t>
      </w:r>
    </w:p>
    <w:p w14:paraId="0515CFC8" w14:textId="77777777" w:rsidR="00350D42" w:rsidRDefault="008E6F64">
      <w:pPr>
        <w:pStyle w:val="111"/>
        <w:shd w:val="clear" w:color="auto" w:fill="auto"/>
        <w:spacing w:before="0" w:after="0" w:line="250" w:lineRule="exact"/>
        <w:ind w:firstLine="320"/>
        <w:jc w:val="both"/>
      </w:pPr>
      <w:r>
        <w:rPr>
          <w:rStyle w:val="113"/>
          <w:b/>
          <w:bCs/>
        </w:rPr>
        <w:lastRenderedPageBreak/>
        <w:t>Доминирующее положение — положение хозяйствующего субъекта (группы лиц) или нескольких хозяйствующих субъектов (групп лиц) на рынке определенного товара, дающее такому хозяй</w:t>
      </w:r>
      <w:r>
        <w:rPr>
          <w:rStyle w:val="113"/>
          <w:b/>
          <w:bCs/>
        </w:rPr>
        <w:softHyphen/>
        <w:t>ствующему субъекту (группе лиц) или таким хозяйствующим субъ</w:t>
      </w:r>
      <w:r>
        <w:rPr>
          <w:rStyle w:val="113"/>
          <w:b/>
          <w:bCs/>
        </w:rPr>
        <w:softHyphen/>
        <w:t>ектам (группам лиц) возможность 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w:t>
      </w:r>
      <w:r>
        <w:rPr>
          <w:rStyle w:val="113"/>
          <w:b/>
          <w:bCs/>
        </w:rPr>
        <w:softHyphen/>
        <w:t>ющих субъектов, и (или) затруднять доступ на этот товарный ры</w:t>
      </w:r>
      <w:r>
        <w:rPr>
          <w:rStyle w:val="113"/>
          <w:b/>
          <w:bCs/>
        </w:rPr>
        <w:softHyphen/>
        <w:t>нок другим хозяйствующим субъектам.</w:t>
      </w:r>
    </w:p>
    <w:p w14:paraId="30D0F097" w14:textId="77777777" w:rsidR="00350D42" w:rsidRDefault="008E6F64">
      <w:pPr>
        <w:pStyle w:val="111"/>
        <w:shd w:val="clear" w:color="auto" w:fill="auto"/>
        <w:spacing w:before="0" w:after="0" w:line="250" w:lineRule="exact"/>
        <w:ind w:firstLine="320"/>
        <w:jc w:val="both"/>
      </w:pPr>
      <w:r>
        <w:rPr>
          <w:rStyle w:val="113"/>
          <w:b/>
          <w:bCs/>
        </w:rPr>
        <w:t>Контракты — административный договор, заключаемый между государством (органом местного самоуправления) и частной фир</w:t>
      </w:r>
      <w:r>
        <w:rPr>
          <w:rStyle w:val="113"/>
          <w:b/>
          <w:bCs/>
        </w:rPr>
        <w:softHyphen/>
        <w:t>мой на осуществление определенных общественно необходимых и полезных видов деятельности (контракты на выполнение работ, оказание общественных услуг, управление, поставку продукции для государственных нужд, оказание технической помощи и т. д.).</w:t>
      </w:r>
    </w:p>
    <w:p w14:paraId="5AAAAEE4" w14:textId="77777777" w:rsidR="00350D42" w:rsidRDefault="008E6F64">
      <w:pPr>
        <w:pStyle w:val="111"/>
        <w:shd w:val="clear" w:color="auto" w:fill="auto"/>
        <w:spacing w:before="0" w:after="0" w:line="250" w:lineRule="exact"/>
        <w:ind w:firstLine="320"/>
        <w:jc w:val="both"/>
      </w:pPr>
      <w:r>
        <w:rPr>
          <w:rStyle w:val="113"/>
          <w:b/>
          <w:bCs/>
        </w:rPr>
        <w:t>Концессия (концессионное соглашение) — специфическая форма отношений между государством и частным партнером, при которой государство (муниципальное образование) в рамках партнерских отношений, оставаясь полноправным собственником имущества, составляющего предмет концессионного соглашения, уполномочивает частного партнера выполнять в течение опреде</w:t>
      </w:r>
      <w:r>
        <w:rPr>
          <w:rStyle w:val="113"/>
          <w:b/>
          <w:bCs/>
        </w:rPr>
        <w:softHyphen/>
        <w:t>ленного срока оговариваемые в соглашении функции и наделяет его с этой целью соответствующими правомочиями, необходимы</w:t>
      </w:r>
      <w:r>
        <w:rPr>
          <w:rStyle w:val="113"/>
          <w:b/>
          <w:bCs/>
        </w:rPr>
        <w:softHyphen/>
        <w:t>ми для обеспечения нормального функционирования объекта кон</w:t>
      </w:r>
      <w:r>
        <w:rPr>
          <w:rStyle w:val="113"/>
          <w:b/>
          <w:bCs/>
        </w:rPr>
        <w:softHyphen/>
        <w:t>цессии. За пользование государственной или муниципальной соб</w:t>
      </w:r>
      <w:r>
        <w:rPr>
          <w:rStyle w:val="113"/>
          <w:b/>
          <w:bCs/>
        </w:rPr>
        <w:softHyphen/>
        <w:t>ственностью концессионер вносит плату на условиях, оговоренных в концессионном соглашении. Право же собственности на вырабо</w:t>
      </w:r>
      <w:r>
        <w:rPr>
          <w:rStyle w:val="113"/>
          <w:b/>
          <w:bCs/>
        </w:rPr>
        <w:softHyphen/>
        <w:t>танную по концессии продукцию передается концессионеру.</w:t>
      </w:r>
    </w:p>
    <w:p w14:paraId="61043918" w14:textId="77777777" w:rsidR="00350D42" w:rsidRDefault="008E6F64">
      <w:pPr>
        <w:pStyle w:val="111"/>
        <w:shd w:val="clear" w:color="auto" w:fill="auto"/>
        <w:spacing w:before="0" w:after="0" w:line="250" w:lineRule="exact"/>
        <w:ind w:firstLine="320"/>
        <w:jc w:val="both"/>
      </w:pPr>
      <w:r>
        <w:rPr>
          <w:rStyle w:val="113"/>
          <w:b/>
          <w:bCs/>
        </w:rPr>
        <w:t>Лизинг — долгосрочная аренда имущества с последующим пра</w:t>
      </w:r>
      <w:r>
        <w:rPr>
          <w:rStyle w:val="113"/>
          <w:b/>
          <w:bCs/>
        </w:rPr>
        <w:softHyphen/>
        <w:t>вом выкупа, обладающая некоторыми налоговыми преференциями.</w:t>
      </w:r>
    </w:p>
    <w:p w14:paraId="7A0F2681" w14:textId="77777777" w:rsidR="00350D42" w:rsidRDefault="008E6F64">
      <w:pPr>
        <w:pStyle w:val="111"/>
        <w:shd w:val="clear" w:color="auto" w:fill="auto"/>
        <w:spacing w:before="0" w:after="0" w:line="250" w:lineRule="exact"/>
        <w:ind w:firstLine="320"/>
        <w:jc w:val="both"/>
      </w:pPr>
      <w:r>
        <w:rPr>
          <w:rStyle w:val="113"/>
          <w:b/>
          <w:bCs/>
        </w:rPr>
        <w:t>Межсекторное социальное партнерство — конструктивное взаимодействие организаций из двух или трех секторов (государ</w:t>
      </w:r>
      <w:r>
        <w:rPr>
          <w:rStyle w:val="113"/>
          <w:b/>
          <w:bCs/>
        </w:rPr>
        <w:softHyphen/>
        <w:t>ство, бизнес, НКО) при решении социальных проблем, обеспечи</w:t>
      </w:r>
      <w:r>
        <w:rPr>
          <w:rStyle w:val="113"/>
          <w:b/>
          <w:bCs/>
        </w:rPr>
        <w:softHyphen/>
        <w:t>вающее синергетический эффект от «сложения» разных ресурсов и «выгодное» каждой из сторон и населению.</w:t>
      </w:r>
    </w:p>
    <w:p w14:paraId="32452C6F" w14:textId="77777777" w:rsidR="00350D42" w:rsidRDefault="008E6F64">
      <w:pPr>
        <w:pStyle w:val="111"/>
        <w:shd w:val="clear" w:color="auto" w:fill="auto"/>
        <w:spacing w:before="0" w:after="0" w:line="250" w:lineRule="exact"/>
        <w:ind w:firstLine="320"/>
        <w:jc w:val="both"/>
      </w:pPr>
      <w:r>
        <w:rPr>
          <w:rStyle w:val="113"/>
          <w:b/>
          <w:bCs/>
        </w:rPr>
        <w:t>Монетарная политика — оказание влияния на экономику пу</w:t>
      </w:r>
      <w:r>
        <w:rPr>
          <w:rStyle w:val="113"/>
          <w:b/>
          <w:bCs/>
        </w:rPr>
        <w:softHyphen/>
        <w:t>тем изменения предложения денег и параметров конъюнктуры де</w:t>
      </w:r>
      <w:r>
        <w:rPr>
          <w:rStyle w:val="113"/>
          <w:b/>
          <w:bCs/>
        </w:rPr>
        <w:softHyphen/>
        <w:t>нежного рынка.</w:t>
      </w:r>
    </w:p>
    <w:p w14:paraId="22C664AF" w14:textId="77777777" w:rsidR="00350D42" w:rsidRDefault="008E6F64">
      <w:pPr>
        <w:pStyle w:val="111"/>
        <w:shd w:val="clear" w:color="auto" w:fill="auto"/>
        <w:spacing w:before="0" w:after="0" w:line="250" w:lineRule="exact"/>
        <w:ind w:firstLine="320"/>
        <w:jc w:val="both"/>
      </w:pPr>
      <w:r>
        <w:rPr>
          <w:rStyle w:val="113"/>
          <w:b/>
          <w:bCs/>
        </w:rPr>
        <w:t>Научный парк — объединение малых научно-технических пред</w:t>
      </w:r>
      <w:r>
        <w:rPr>
          <w:rStyle w:val="113"/>
          <w:b/>
          <w:bCs/>
        </w:rPr>
        <w:softHyphen/>
        <w:t>приятий с целью стимулирования инновационной деятельности.</w:t>
      </w:r>
    </w:p>
    <w:p w14:paraId="3011568E" w14:textId="77777777" w:rsidR="00350D42" w:rsidRDefault="008E6F64">
      <w:pPr>
        <w:pStyle w:val="111"/>
        <w:shd w:val="clear" w:color="auto" w:fill="auto"/>
        <w:spacing w:before="0" w:after="0" w:line="250" w:lineRule="exact"/>
        <w:ind w:firstLine="320"/>
        <w:jc w:val="both"/>
      </w:pPr>
      <w:r>
        <w:rPr>
          <w:rStyle w:val="113"/>
          <w:b/>
          <w:bCs/>
        </w:rPr>
        <w:t>Недобросовестная конкуренция: 1) распространение ложных, неточных или искаженных сведений, которые могут причинить убытки хозяйствующему субъекту либо нанести ущерб его дело</w:t>
      </w:r>
      <w:r>
        <w:rPr>
          <w:rStyle w:val="113"/>
          <w:b/>
          <w:bCs/>
        </w:rPr>
        <w:softHyphen/>
        <w:t>вой репутации; 2) введение в заблуждение в отношении характера, способа и места производства, потребительских свойств, качества и количества товара или в отношении его производителей; 3) не</w:t>
      </w:r>
      <w:r>
        <w:rPr>
          <w:rStyle w:val="113"/>
          <w:b/>
          <w:bCs/>
        </w:rPr>
        <w:softHyphen/>
        <w:t>корректное сравнение хозяйствующим субъектом производимых или реализуемых им товаров с товарами, производимыми или реа</w:t>
      </w:r>
      <w:r>
        <w:rPr>
          <w:rStyle w:val="113"/>
          <w:b/>
          <w:bCs/>
        </w:rPr>
        <w:softHyphen/>
        <w:t>лизуемыми другими хозяйствующими субъектами; 4) продажа, об</w:t>
      </w:r>
      <w:r>
        <w:rPr>
          <w:rStyle w:val="113"/>
          <w:b/>
          <w:bCs/>
        </w:rPr>
        <w:softHyphen/>
        <w:t>мен или иное введение в оборот товара, если при этом незаконно использовались результаты интеллектуальной деятельности и при</w:t>
      </w:r>
      <w:r>
        <w:rPr>
          <w:rStyle w:val="113"/>
          <w:b/>
          <w:bCs/>
        </w:rPr>
        <w:softHyphen/>
        <w:t>равненные к ним средства индивидуализации юридического лица, средства индивидуализации продукции, работ, услуг; 5) незакон</w:t>
      </w:r>
      <w:r>
        <w:rPr>
          <w:rStyle w:val="113"/>
          <w:b/>
          <w:bCs/>
        </w:rPr>
        <w:softHyphen/>
        <w:t>ное получение, использование, разглашение информации, состав</w:t>
      </w:r>
      <w:r>
        <w:rPr>
          <w:rStyle w:val="113"/>
          <w:b/>
          <w:bCs/>
        </w:rPr>
        <w:softHyphen/>
        <w:t>ляющей коммерческую, служебную или иную охраняемую законом тайну; 6) приобретение и использование исключительного права на средства индивидуализации юридического лица, средства инди</w:t>
      </w:r>
      <w:r>
        <w:rPr>
          <w:rStyle w:val="113"/>
          <w:b/>
          <w:bCs/>
        </w:rPr>
        <w:softHyphen/>
        <w:t>видуализации продукции, работ или услуг.</w:t>
      </w:r>
    </w:p>
    <w:p w14:paraId="24325C48" w14:textId="77777777" w:rsidR="00350D42" w:rsidRDefault="008E6F64">
      <w:pPr>
        <w:pStyle w:val="111"/>
        <w:shd w:val="clear" w:color="auto" w:fill="auto"/>
        <w:spacing w:before="0" w:after="0" w:line="254" w:lineRule="exact"/>
        <w:ind w:firstLine="320"/>
        <w:jc w:val="both"/>
      </w:pPr>
      <w:r>
        <w:rPr>
          <w:rStyle w:val="113"/>
          <w:b/>
          <w:bCs/>
        </w:rPr>
        <w:lastRenderedPageBreak/>
        <w:t>Нефакторные доходы — получение человеком или группами домохозяйств доходов, не связанных непосредственно с участием в общественном производстве. Это различные трансферты в денеж</w:t>
      </w:r>
      <w:r>
        <w:rPr>
          <w:rStyle w:val="113"/>
          <w:b/>
          <w:bCs/>
        </w:rPr>
        <w:softHyphen/>
        <w:t>ной или натуральной форме, а также возможность удовлетворения различных потребностей человека — в благоприятной экологиче</w:t>
      </w:r>
      <w:r>
        <w:rPr>
          <w:rStyle w:val="113"/>
          <w:b/>
          <w:bCs/>
        </w:rPr>
        <w:softHyphen/>
        <w:t>ской среде, в сохранении здоровья, в духовных ценностях и т. п.</w:t>
      </w:r>
    </w:p>
    <w:p w14:paraId="3B0AEFB4" w14:textId="77777777" w:rsidR="00350D42" w:rsidRDefault="008E6F64">
      <w:pPr>
        <w:pStyle w:val="111"/>
        <w:shd w:val="clear" w:color="auto" w:fill="auto"/>
        <w:spacing w:before="0" w:after="0" w:line="254" w:lineRule="exact"/>
        <w:ind w:firstLine="320"/>
        <w:jc w:val="both"/>
      </w:pPr>
      <w:r>
        <w:rPr>
          <w:rStyle w:val="113"/>
          <w:b/>
          <w:bCs/>
        </w:rPr>
        <w:t>Общественная ценность ПНС — совокупность экономических издержек его производства, квазиприбыли и внешних эффектов, со</w:t>
      </w:r>
      <w:r>
        <w:rPr>
          <w:rStyle w:val="113"/>
          <w:b/>
          <w:bCs/>
        </w:rPr>
        <w:softHyphen/>
        <w:t>провождающих воспроизводство ПНС в целом.</w:t>
      </w:r>
    </w:p>
    <w:p w14:paraId="2D9A930D" w14:textId="77777777" w:rsidR="00350D42" w:rsidRDefault="008E6F64">
      <w:pPr>
        <w:pStyle w:val="111"/>
        <w:shd w:val="clear" w:color="auto" w:fill="auto"/>
        <w:spacing w:before="0" w:after="0" w:line="254" w:lineRule="exact"/>
        <w:ind w:firstLine="320"/>
        <w:jc w:val="both"/>
      </w:pPr>
      <w:r>
        <w:rPr>
          <w:rStyle w:val="113"/>
          <w:b/>
          <w:bCs/>
        </w:rPr>
        <w:t>Продукт некоммерческого сектора (ПНС) — услуга неком</w:t>
      </w:r>
      <w:r>
        <w:rPr>
          <w:rStyle w:val="113"/>
          <w:b/>
          <w:bCs/>
        </w:rPr>
        <w:softHyphen/>
        <w:t>мерческих организаций по производству и реализации различных общественных благ и товаров индивидуального потребления, удов</w:t>
      </w:r>
      <w:r>
        <w:rPr>
          <w:rStyle w:val="113"/>
          <w:b/>
          <w:bCs/>
        </w:rPr>
        <w:softHyphen/>
        <w:t>летворяющих частные и некоторые всеобщие потребности нужда</w:t>
      </w:r>
      <w:r>
        <w:rPr>
          <w:rStyle w:val="113"/>
          <w:b/>
          <w:bCs/>
        </w:rPr>
        <w:softHyphen/>
        <w:t>ющихся домохозяйств, а также в некоторой степени коммерческого сектора, государства и других некоммерческих организаций, кото</w:t>
      </w:r>
      <w:r>
        <w:rPr>
          <w:rStyle w:val="113"/>
          <w:b/>
          <w:bCs/>
        </w:rPr>
        <w:softHyphen/>
        <w:t>рые не могут производиться на обычных рыночных условиях, а так</w:t>
      </w:r>
      <w:r>
        <w:rPr>
          <w:rStyle w:val="113"/>
          <w:b/>
          <w:bCs/>
        </w:rPr>
        <w:softHyphen/>
        <w:t>же государством в виде общественных благ.</w:t>
      </w:r>
    </w:p>
    <w:p w14:paraId="1E081837" w14:textId="77777777" w:rsidR="00350D42" w:rsidRDefault="008E6F64">
      <w:pPr>
        <w:pStyle w:val="111"/>
        <w:shd w:val="clear" w:color="auto" w:fill="auto"/>
        <w:spacing w:before="0" w:after="0" w:line="254" w:lineRule="exact"/>
        <w:ind w:firstLine="320"/>
        <w:jc w:val="both"/>
      </w:pPr>
      <w:r>
        <w:rPr>
          <w:rStyle w:val="113"/>
          <w:b/>
          <w:bCs/>
        </w:rPr>
        <w:t>Продукт неполитического некоммерческого действия (ПННД) — ПНС, удовлетворяющий неполитические потребности общества не</w:t>
      </w:r>
      <w:r>
        <w:rPr>
          <w:rStyle w:val="113"/>
          <w:b/>
          <w:bCs/>
        </w:rPr>
        <w:softHyphen/>
        <w:t>коммерческим способом.</w:t>
      </w:r>
    </w:p>
    <w:p w14:paraId="3795BC30" w14:textId="77777777" w:rsidR="00350D42" w:rsidRDefault="008E6F64">
      <w:pPr>
        <w:pStyle w:val="111"/>
        <w:shd w:val="clear" w:color="auto" w:fill="auto"/>
        <w:spacing w:before="0" w:after="0" w:line="254" w:lineRule="exact"/>
        <w:ind w:firstLine="320"/>
        <w:jc w:val="both"/>
      </w:pPr>
      <w:r>
        <w:rPr>
          <w:rStyle w:val="113"/>
          <w:b/>
          <w:bCs/>
        </w:rPr>
        <w:t>Продукт политического действия (ППД) — услуга по дости</w:t>
      </w:r>
      <w:r>
        <w:rPr>
          <w:rStyle w:val="113"/>
          <w:b/>
          <w:bCs/>
        </w:rPr>
        <w:softHyphen/>
        <w:t>жению определенной политической цели силами некоммерческих организаций.</w:t>
      </w:r>
    </w:p>
    <w:p w14:paraId="06615ED9" w14:textId="77777777" w:rsidR="00350D42" w:rsidRDefault="008E6F64">
      <w:pPr>
        <w:pStyle w:val="111"/>
        <w:shd w:val="clear" w:color="auto" w:fill="auto"/>
        <w:spacing w:before="0" w:after="0" w:line="254" w:lineRule="exact"/>
        <w:ind w:firstLine="320"/>
        <w:jc w:val="both"/>
        <w:sectPr w:rsidR="00350D42">
          <w:type w:val="continuous"/>
          <w:pgSz w:w="8789" w:h="13493"/>
          <w:pgMar w:top="991" w:right="1075" w:bottom="1226" w:left="1071" w:header="0" w:footer="3" w:gutter="0"/>
          <w:cols w:space="720"/>
          <w:noEndnote/>
          <w:docGrid w:linePitch="360"/>
        </w:sectPr>
      </w:pPr>
      <w:r>
        <w:rPr>
          <w:rStyle w:val="113"/>
          <w:b/>
          <w:bCs/>
        </w:rPr>
        <w:t>Социальное партнерство — цивилизованная система обще</w:t>
      </w:r>
      <w:r>
        <w:rPr>
          <w:rStyle w:val="113"/>
          <w:b/>
          <w:bCs/>
        </w:rPr>
        <w:softHyphen/>
        <w:t>ственных отношений по поводу воспроизводства продукта неком</w:t>
      </w:r>
      <w:r>
        <w:rPr>
          <w:rStyle w:val="113"/>
          <w:b/>
          <w:bCs/>
        </w:rPr>
        <w:softHyphen/>
        <w:t>мерческого сектора, строящаяся на согласовании и защите инте</w:t>
      </w:r>
      <w:r>
        <w:rPr>
          <w:rStyle w:val="113"/>
          <w:b/>
          <w:bCs/>
        </w:rPr>
        <w:softHyphen/>
        <w:t>ресов его участников — потребителей продукта некоммерческого сектора, некоммерческих организаций, инвесторов из коммерче</w:t>
      </w:r>
      <w:r>
        <w:rPr>
          <w:rStyle w:val="113"/>
          <w:b/>
          <w:bCs/>
        </w:rPr>
        <w:softHyphen/>
        <w:t>ского сектора либо зарубежных благотворительных фондов, орга</w:t>
      </w:r>
      <w:r>
        <w:rPr>
          <w:rStyle w:val="113"/>
          <w:b/>
          <w:bCs/>
        </w:rPr>
        <w:softHyphen/>
        <w:t>нов государственной власти и местного самоуправления на осно</w:t>
      </w:r>
      <w:r>
        <w:rPr>
          <w:rStyle w:val="113"/>
          <w:b/>
          <w:bCs/>
        </w:rPr>
        <w:softHyphen/>
        <w:t xml:space="preserve">ве договоров, соглашений, достижения компромисса, консенсуса </w:t>
      </w:r>
    </w:p>
    <w:p w14:paraId="60806367" w14:textId="77777777" w:rsidR="00350D42" w:rsidRDefault="008E6F64">
      <w:pPr>
        <w:pStyle w:val="111"/>
        <w:shd w:val="clear" w:color="auto" w:fill="auto"/>
        <w:spacing w:before="0" w:after="0" w:line="254" w:lineRule="exact"/>
        <w:ind w:firstLine="320"/>
        <w:jc w:val="both"/>
      </w:pPr>
      <w:r>
        <w:rPr>
          <w:rStyle w:val="113"/>
          <w:b/>
          <w:bCs/>
        </w:rPr>
        <w:lastRenderedPageBreak/>
        <w:t>по актуальным проблемам экономической и социально-политиче</w:t>
      </w:r>
      <w:r>
        <w:rPr>
          <w:rStyle w:val="113"/>
          <w:b/>
          <w:bCs/>
        </w:rPr>
        <w:softHyphen/>
        <w:t>ской жизни общества.</w:t>
      </w:r>
    </w:p>
    <w:p w14:paraId="38724594" w14:textId="77777777" w:rsidR="00350D42" w:rsidRDefault="008E6F64">
      <w:pPr>
        <w:pStyle w:val="111"/>
        <w:shd w:val="clear" w:color="auto" w:fill="auto"/>
        <w:spacing w:before="0" w:after="0" w:line="250" w:lineRule="exact"/>
        <w:ind w:firstLine="320"/>
        <w:jc w:val="both"/>
      </w:pPr>
      <w:r>
        <w:rPr>
          <w:rStyle w:val="113"/>
          <w:b/>
          <w:bCs/>
        </w:rPr>
        <w:t xml:space="preserve">Технополис (от греч. </w:t>
      </w:r>
      <w:r>
        <w:rPr>
          <w:rStyle w:val="112"/>
          <w:lang w:val="en-US" w:eastAsia="en-US" w:bidi="en-US"/>
        </w:rPr>
        <w:t>techni</w:t>
      </w:r>
      <w:r w:rsidRPr="000E0C7E">
        <w:rPr>
          <w:rStyle w:val="113"/>
          <w:b/>
          <w:bCs/>
          <w:lang w:eastAsia="en-US" w:bidi="en-US"/>
        </w:rPr>
        <w:t xml:space="preserve"> </w:t>
      </w:r>
      <w:r>
        <w:rPr>
          <w:rStyle w:val="113"/>
          <w:b/>
          <w:bCs/>
        </w:rPr>
        <w:t xml:space="preserve">— искусство и </w:t>
      </w:r>
      <w:r>
        <w:rPr>
          <w:rStyle w:val="112"/>
          <w:lang w:val="en-US" w:eastAsia="en-US" w:bidi="en-US"/>
        </w:rPr>
        <w:t>polis</w:t>
      </w:r>
      <w:r w:rsidRPr="000E0C7E">
        <w:rPr>
          <w:rStyle w:val="113"/>
          <w:b/>
          <w:bCs/>
          <w:lang w:eastAsia="en-US" w:bidi="en-US"/>
        </w:rPr>
        <w:t xml:space="preserve"> </w:t>
      </w:r>
      <w:r>
        <w:rPr>
          <w:rStyle w:val="113"/>
          <w:b/>
          <w:bCs/>
        </w:rPr>
        <w:t>— город) — одна из форм свободных экономических зон, создаваемых для активиза</w:t>
      </w:r>
      <w:r>
        <w:rPr>
          <w:rStyle w:val="113"/>
          <w:b/>
          <w:bCs/>
        </w:rPr>
        <w:softHyphen/>
        <w:t>ции, ускорения инновационных процессов, способствования бы</w:t>
      </w:r>
      <w:r>
        <w:rPr>
          <w:rStyle w:val="113"/>
          <w:b/>
          <w:bCs/>
        </w:rPr>
        <w:softHyphen/>
        <w:t>строму и эффектному применению технико-технологических нов</w:t>
      </w:r>
      <w:r>
        <w:rPr>
          <w:rStyle w:val="113"/>
          <w:b/>
          <w:bCs/>
        </w:rPr>
        <w:softHyphen/>
        <w:t>шеств.</w:t>
      </w:r>
    </w:p>
    <w:p w14:paraId="12E40C78" w14:textId="77777777" w:rsidR="00350D42" w:rsidRDefault="008E6F64">
      <w:pPr>
        <w:pStyle w:val="111"/>
        <w:shd w:val="clear" w:color="auto" w:fill="auto"/>
        <w:spacing w:before="0" w:after="0" w:line="250" w:lineRule="exact"/>
        <w:ind w:firstLine="320"/>
        <w:jc w:val="both"/>
      </w:pPr>
      <w:r>
        <w:rPr>
          <w:rStyle w:val="113"/>
          <w:b/>
          <w:bCs/>
        </w:rPr>
        <w:t>Тред-юнионистская модель социального партнерства — ци</w:t>
      </w:r>
      <w:r>
        <w:rPr>
          <w:rStyle w:val="113"/>
          <w:b/>
          <w:bCs/>
        </w:rPr>
        <w:softHyphen/>
        <w:t>вилизованная система общественных отношений в социально</w:t>
      </w:r>
      <w:r>
        <w:rPr>
          <w:rStyle w:val="113"/>
          <w:b/>
          <w:bCs/>
        </w:rPr>
        <w:softHyphen/>
        <w:t>трудовой сфере, строящаяся на согласовании и защите интересов работников, предпринимателей, органов государственной власти и местного самоуправления на основе договоров, соглашений, до</w:t>
      </w:r>
      <w:r>
        <w:rPr>
          <w:rStyle w:val="113"/>
          <w:b/>
          <w:bCs/>
        </w:rPr>
        <w:softHyphen/>
        <w:t>стижения компромисса, консенсуса по актуальным проблемам эко</w:t>
      </w:r>
      <w:r>
        <w:rPr>
          <w:rStyle w:val="113"/>
          <w:b/>
          <w:bCs/>
        </w:rPr>
        <w:softHyphen/>
        <w:t>номической и социально-политической жизни общества.</w:t>
      </w:r>
    </w:p>
    <w:p w14:paraId="51BF18EE" w14:textId="77777777" w:rsidR="00350D42" w:rsidRDefault="008E6F64">
      <w:pPr>
        <w:pStyle w:val="111"/>
        <w:shd w:val="clear" w:color="auto" w:fill="auto"/>
        <w:spacing w:before="0" w:after="0" w:line="250" w:lineRule="exact"/>
        <w:ind w:firstLine="320"/>
        <w:jc w:val="both"/>
      </w:pPr>
      <w:r>
        <w:rPr>
          <w:rStyle w:val="113"/>
          <w:b/>
          <w:bCs/>
        </w:rPr>
        <w:t>Трипартизм — трехстороннее сотрудничество между наемными работниками, предпринимателями и государством.</w:t>
      </w:r>
    </w:p>
    <w:p w14:paraId="2B2C4B4A" w14:textId="77777777" w:rsidR="00350D42" w:rsidRDefault="008E6F64">
      <w:pPr>
        <w:pStyle w:val="111"/>
        <w:shd w:val="clear" w:color="auto" w:fill="auto"/>
        <w:spacing w:before="0" w:after="0" w:line="250" w:lineRule="exact"/>
        <w:ind w:firstLine="320"/>
        <w:jc w:val="both"/>
      </w:pPr>
      <w:r>
        <w:rPr>
          <w:rStyle w:val="113"/>
          <w:b/>
          <w:bCs/>
        </w:rPr>
        <w:t>Фискальная политика — воздействие государства на экономи</w:t>
      </w:r>
      <w:r>
        <w:rPr>
          <w:rStyle w:val="113"/>
          <w:b/>
          <w:bCs/>
        </w:rPr>
        <w:softHyphen/>
        <w:t>ку посредством формирования и изменения величины и структуры государственных расходов, объема трансфертных выплат и системы налогообложения.</w:t>
      </w:r>
    </w:p>
    <w:p w14:paraId="5D510DC7" w14:textId="77777777" w:rsidR="00350D42" w:rsidRDefault="008E6F64">
      <w:pPr>
        <w:pStyle w:val="111"/>
        <w:shd w:val="clear" w:color="auto" w:fill="auto"/>
        <w:spacing w:before="0" w:after="0" w:line="250" w:lineRule="exact"/>
        <w:ind w:firstLine="320"/>
        <w:jc w:val="both"/>
        <w:sectPr w:rsidR="00350D42">
          <w:footerReference w:type="even" r:id="rId164"/>
          <w:footerReference w:type="default" r:id="rId165"/>
          <w:pgSz w:w="8789" w:h="13493"/>
          <w:pgMar w:top="991" w:right="1075" w:bottom="1226" w:left="1071" w:header="0" w:footer="3" w:gutter="0"/>
          <w:cols w:space="720"/>
          <w:noEndnote/>
          <w:titlePg/>
          <w:docGrid w:linePitch="360"/>
        </w:sectPr>
      </w:pPr>
      <w:r>
        <w:rPr>
          <w:rStyle w:val="113"/>
          <w:b/>
          <w:bCs/>
        </w:rPr>
        <w:t>Экономическая концентрация — сделки, иные действия, осу</w:t>
      </w:r>
      <w:r>
        <w:rPr>
          <w:rStyle w:val="113"/>
          <w:b/>
          <w:bCs/>
        </w:rPr>
        <w:softHyphen/>
        <w:t>ществление которых оказывает влияние на состояние конкуренции.</w:t>
      </w:r>
    </w:p>
    <w:p w14:paraId="098A7878" w14:textId="77777777" w:rsidR="00350D42" w:rsidRDefault="00350D42">
      <w:pPr>
        <w:spacing w:line="240" w:lineRule="exact"/>
        <w:rPr>
          <w:sz w:val="19"/>
          <w:szCs w:val="19"/>
        </w:rPr>
      </w:pPr>
    </w:p>
    <w:p w14:paraId="203C39A9" w14:textId="77777777" w:rsidR="00350D42" w:rsidRDefault="00350D42">
      <w:pPr>
        <w:spacing w:line="240" w:lineRule="exact"/>
        <w:rPr>
          <w:sz w:val="19"/>
          <w:szCs w:val="19"/>
        </w:rPr>
      </w:pPr>
    </w:p>
    <w:p w14:paraId="417CC65C" w14:textId="77777777" w:rsidR="00350D42" w:rsidRDefault="00350D42">
      <w:pPr>
        <w:spacing w:line="240" w:lineRule="exact"/>
        <w:rPr>
          <w:sz w:val="19"/>
          <w:szCs w:val="19"/>
        </w:rPr>
      </w:pPr>
    </w:p>
    <w:p w14:paraId="6AD29993" w14:textId="77777777" w:rsidR="00350D42" w:rsidRDefault="00350D42">
      <w:pPr>
        <w:spacing w:before="45" w:after="45" w:line="240" w:lineRule="exact"/>
        <w:rPr>
          <w:sz w:val="19"/>
          <w:szCs w:val="19"/>
        </w:rPr>
      </w:pPr>
    </w:p>
    <w:p w14:paraId="2C5A9AA8" w14:textId="77777777" w:rsidR="00350D42" w:rsidRDefault="00350D42">
      <w:pPr>
        <w:rPr>
          <w:sz w:val="2"/>
          <w:szCs w:val="2"/>
        </w:rPr>
        <w:sectPr w:rsidR="00350D42">
          <w:pgSz w:w="8789" w:h="13493"/>
          <w:pgMar w:top="924" w:right="0" w:bottom="1105" w:left="0" w:header="0" w:footer="3" w:gutter="0"/>
          <w:cols w:space="720"/>
          <w:noEndnote/>
          <w:docGrid w:linePitch="360"/>
        </w:sectPr>
      </w:pPr>
    </w:p>
    <w:p w14:paraId="2AEBFB6B" w14:textId="77777777" w:rsidR="00350D42" w:rsidRDefault="008E6F64">
      <w:pPr>
        <w:pStyle w:val="3f8"/>
        <w:keepNext/>
        <w:keepLines/>
        <w:shd w:val="clear" w:color="auto" w:fill="auto"/>
      </w:pPr>
      <w:bookmarkStart w:id="135" w:name="bookmark115"/>
      <w:r>
        <w:rPr>
          <w:rStyle w:val="3f9"/>
          <w:i/>
          <w:iCs/>
        </w:rPr>
        <w:t>Приложение 1</w:t>
      </w:r>
      <w:bookmarkEnd w:id="135"/>
    </w:p>
    <w:p w14:paraId="3A19104A" w14:textId="77777777" w:rsidR="00350D42" w:rsidRDefault="008E6F64">
      <w:pPr>
        <w:pStyle w:val="39"/>
        <w:keepNext/>
        <w:keepLines/>
        <w:shd w:val="clear" w:color="auto" w:fill="auto"/>
        <w:spacing w:after="330" w:line="432" w:lineRule="exact"/>
      </w:pPr>
      <w:bookmarkStart w:id="136" w:name="bookmark116"/>
      <w:r>
        <w:rPr>
          <w:rStyle w:val="3a"/>
          <w:b/>
          <w:bCs/>
        </w:rPr>
        <w:t>Учебно-методический комплекс по дисциплине</w:t>
      </w:r>
      <w:r>
        <w:rPr>
          <w:rStyle w:val="3a"/>
          <w:b/>
          <w:bCs/>
        </w:rPr>
        <w:br/>
        <w:t>«Взаимодействие государства и бизнеса»</w:t>
      </w:r>
      <w:bookmarkEnd w:id="136"/>
    </w:p>
    <w:p w14:paraId="6E92A73E" w14:textId="77777777" w:rsidR="00350D42" w:rsidRDefault="008E6F64">
      <w:pPr>
        <w:pStyle w:val="111"/>
        <w:numPr>
          <w:ilvl w:val="0"/>
          <w:numId w:val="139"/>
        </w:numPr>
        <w:shd w:val="clear" w:color="auto" w:fill="auto"/>
        <w:tabs>
          <w:tab w:val="left" w:pos="1609"/>
        </w:tabs>
        <w:spacing w:before="0" w:after="96" w:line="194" w:lineRule="exact"/>
        <w:ind w:left="1320"/>
        <w:jc w:val="left"/>
      </w:pPr>
      <w:r>
        <w:rPr>
          <w:rStyle w:val="113"/>
          <w:b/>
          <w:bCs/>
        </w:rPr>
        <w:t>Цели и задачи изучения дисциплины</w:t>
      </w:r>
    </w:p>
    <w:p w14:paraId="0B26F6DA" w14:textId="77777777" w:rsidR="00350D42" w:rsidRDefault="008E6F64">
      <w:pPr>
        <w:pStyle w:val="111"/>
        <w:shd w:val="clear" w:color="auto" w:fill="auto"/>
        <w:spacing w:before="0" w:after="0" w:line="250" w:lineRule="exact"/>
        <w:ind w:firstLine="320"/>
        <w:jc w:val="both"/>
      </w:pPr>
      <w:r>
        <w:rPr>
          <w:rStyle w:val="113"/>
          <w:b/>
          <w:bCs/>
        </w:rPr>
        <w:t>Дисциплина «Взаимодействие государства и бизнеса» состоит из семи тем, сгруппированных в четыре раздела.</w:t>
      </w:r>
    </w:p>
    <w:p w14:paraId="70D8D073" w14:textId="77777777" w:rsidR="00350D42" w:rsidRDefault="008E6F64">
      <w:pPr>
        <w:pStyle w:val="90"/>
        <w:shd w:val="clear" w:color="auto" w:fill="auto"/>
        <w:spacing w:line="250" w:lineRule="exact"/>
      </w:pPr>
      <w:r>
        <w:rPr>
          <w:rStyle w:val="91"/>
          <w:b/>
          <w:bCs/>
          <w:i/>
          <w:iCs/>
        </w:rPr>
        <w:t>Раздел I. Теоретические и методологические основы взаимо</w:t>
      </w:r>
      <w:r>
        <w:rPr>
          <w:rStyle w:val="91"/>
          <w:b/>
          <w:bCs/>
          <w:i/>
          <w:iCs/>
        </w:rPr>
        <w:softHyphen/>
        <w:t>действия государства и бизнеса</w:t>
      </w:r>
    </w:p>
    <w:p w14:paraId="48C1C204" w14:textId="77777777" w:rsidR="00350D42" w:rsidRDefault="008E6F64">
      <w:pPr>
        <w:pStyle w:val="111"/>
        <w:shd w:val="clear" w:color="auto" w:fill="auto"/>
        <w:spacing w:before="0" w:after="0" w:line="250" w:lineRule="exact"/>
        <w:ind w:firstLine="320"/>
        <w:jc w:val="both"/>
      </w:pPr>
      <w:r>
        <w:rPr>
          <w:rStyle w:val="113"/>
          <w:b/>
          <w:bCs/>
        </w:rPr>
        <w:t>Изучение этого раздела позволяет студентам сформировать представления об основах взаимодействия государства и бизнеса и методологии исследования взаимоотношений данных субъек</w:t>
      </w:r>
      <w:r>
        <w:rPr>
          <w:rStyle w:val="113"/>
          <w:b/>
          <w:bCs/>
        </w:rPr>
        <w:softHyphen/>
        <w:t>тов, выявить систему связей, принципов и инструментов такого взаимодействия и, кроме того, понять сущность взаимоотношений государства и бизнеса, которые имеют определяющее значение для формирования основных способов их взаимодействия.</w:t>
      </w:r>
    </w:p>
    <w:p w14:paraId="4C3CDF35" w14:textId="77777777" w:rsidR="00350D42" w:rsidRDefault="008E6F64">
      <w:pPr>
        <w:pStyle w:val="90"/>
        <w:shd w:val="clear" w:color="auto" w:fill="auto"/>
        <w:spacing w:line="250" w:lineRule="exact"/>
      </w:pPr>
      <w:r>
        <w:rPr>
          <w:rStyle w:val="91"/>
          <w:b/>
          <w:bCs/>
          <w:i/>
          <w:iCs/>
        </w:rPr>
        <w:t xml:space="preserve">Раздел </w:t>
      </w:r>
      <w:r>
        <w:rPr>
          <w:rStyle w:val="91"/>
          <w:b/>
          <w:bCs/>
          <w:i/>
          <w:iCs/>
          <w:lang w:val="en-US" w:eastAsia="en-US" w:bidi="en-US"/>
        </w:rPr>
        <w:t>II</w:t>
      </w:r>
      <w:r w:rsidRPr="000E0C7E">
        <w:rPr>
          <w:rStyle w:val="91"/>
          <w:b/>
          <w:bCs/>
          <w:i/>
          <w:iCs/>
          <w:lang w:eastAsia="en-US" w:bidi="en-US"/>
        </w:rPr>
        <w:t xml:space="preserve">. </w:t>
      </w:r>
      <w:r>
        <w:rPr>
          <w:rStyle w:val="91"/>
          <w:b/>
          <w:bCs/>
          <w:i/>
          <w:iCs/>
        </w:rPr>
        <w:t>Основные способы и механизмы взаимодействия го</w:t>
      </w:r>
      <w:r>
        <w:rPr>
          <w:rStyle w:val="91"/>
          <w:b/>
          <w:bCs/>
          <w:i/>
          <w:iCs/>
        </w:rPr>
        <w:softHyphen/>
        <w:t>сударства и бизнеса</w:t>
      </w:r>
    </w:p>
    <w:p w14:paraId="564BC03B" w14:textId="77777777" w:rsidR="00350D42" w:rsidRDefault="008E6F64">
      <w:pPr>
        <w:pStyle w:val="111"/>
        <w:shd w:val="clear" w:color="auto" w:fill="auto"/>
        <w:spacing w:before="0" w:after="0" w:line="250" w:lineRule="exact"/>
        <w:ind w:firstLine="320"/>
        <w:jc w:val="both"/>
      </w:pPr>
      <w:r>
        <w:rPr>
          <w:rStyle w:val="113"/>
          <w:b/>
          <w:bCs/>
        </w:rPr>
        <w:t>Материал данного раздела формирует у студентов комплекс зна</w:t>
      </w:r>
      <w:r>
        <w:rPr>
          <w:rStyle w:val="113"/>
          <w:b/>
          <w:bCs/>
        </w:rPr>
        <w:softHyphen/>
        <w:t>ний о характерных особенностях государственного администриро</w:t>
      </w:r>
      <w:r>
        <w:rPr>
          <w:rStyle w:val="113"/>
          <w:b/>
          <w:bCs/>
        </w:rPr>
        <w:softHyphen/>
        <w:t>вания, конструктивного диалога в целях достижения консенсуса между государством и бизнесом, лоббирования, взаимовыгодного экономического сотрудничества, коррупции, а также позволяет понять интерес бизнес-структур к участию в формировании соот</w:t>
      </w:r>
      <w:r>
        <w:rPr>
          <w:rStyle w:val="113"/>
          <w:b/>
          <w:bCs/>
        </w:rPr>
        <w:softHyphen/>
        <w:t>ветствующей политики государства по отношению к бизнесу и вли</w:t>
      </w:r>
      <w:r>
        <w:rPr>
          <w:rStyle w:val="113"/>
          <w:b/>
          <w:bCs/>
        </w:rPr>
        <w:softHyphen/>
        <w:t>янию на формирование условий применения соответствующих способов государственного регулирования. При этом следует иметь в виду, что интересы бизнеса отражают как частные интересы от</w:t>
      </w:r>
      <w:r>
        <w:rPr>
          <w:rStyle w:val="113"/>
          <w:b/>
          <w:bCs/>
        </w:rPr>
        <w:softHyphen/>
        <w:t>дельных предпринимателей, так и общие интересы, представляе</w:t>
      </w:r>
      <w:r>
        <w:rPr>
          <w:rStyle w:val="113"/>
          <w:b/>
          <w:bCs/>
        </w:rPr>
        <w:softHyphen/>
        <w:t>мые государством.</w:t>
      </w:r>
    </w:p>
    <w:p w14:paraId="331A7851" w14:textId="77777777" w:rsidR="00350D42" w:rsidRDefault="008E6F64">
      <w:pPr>
        <w:pStyle w:val="90"/>
        <w:shd w:val="clear" w:color="auto" w:fill="auto"/>
        <w:spacing w:line="250" w:lineRule="exact"/>
      </w:pPr>
      <w:r>
        <w:rPr>
          <w:rStyle w:val="91"/>
          <w:b/>
          <w:bCs/>
          <w:i/>
          <w:iCs/>
        </w:rPr>
        <w:t>Раздел III. Специфика взаимоотношений власти, бизнеса и общества</w:t>
      </w:r>
    </w:p>
    <w:p w14:paraId="19868FF3" w14:textId="77777777" w:rsidR="00350D42" w:rsidRDefault="008E6F64">
      <w:pPr>
        <w:pStyle w:val="111"/>
        <w:shd w:val="clear" w:color="auto" w:fill="auto"/>
        <w:spacing w:before="0" w:after="0" w:line="250" w:lineRule="exact"/>
        <w:ind w:firstLine="320"/>
        <w:jc w:val="both"/>
      </w:pPr>
      <w:r>
        <w:rPr>
          <w:rStyle w:val="113"/>
          <w:b/>
          <w:bCs/>
        </w:rPr>
        <w:t>Анализ материала данного раздела позволяет понять суть про</w:t>
      </w:r>
      <w:r>
        <w:rPr>
          <w:rStyle w:val="113"/>
          <w:b/>
          <w:bCs/>
        </w:rPr>
        <w:softHyphen/>
        <w:t>блем, возникающих в процессе взаимодействия государства и биз</w:t>
      </w:r>
      <w:r>
        <w:rPr>
          <w:rStyle w:val="113"/>
          <w:b/>
          <w:bCs/>
        </w:rPr>
        <w:softHyphen/>
        <w:t>неса, и сконцентрировать особое внимание на том обстоятельстве, что под государством необходимо понимать не только Российскую Федерацию, но и субъекты РФ, и муниципальные образования, вли</w:t>
      </w:r>
      <w:r>
        <w:rPr>
          <w:rStyle w:val="113"/>
          <w:b/>
          <w:bCs/>
        </w:rPr>
        <w:softHyphen/>
        <w:t>яние которых на бизнес иногда не менее значимо, чем влияние Рос</w:t>
      </w:r>
      <w:r>
        <w:rPr>
          <w:rStyle w:val="113"/>
          <w:b/>
          <w:bCs/>
        </w:rPr>
        <w:softHyphen/>
        <w:t>сийской Федерации в целом. Кроме того, студенты изучают основу отношений государства, бизнеса и общества, которая построена на взаимодействии, взаимосвязи интересов всех сторон.</w:t>
      </w:r>
    </w:p>
    <w:p w14:paraId="5A4D0C8E" w14:textId="77777777" w:rsidR="00350D42" w:rsidRDefault="008E6F64">
      <w:pPr>
        <w:pStyle w:val="90"/>
        <w:shd w:val="clear" w:color="auto" w:fill="auto"/>
        <w:spacing w:line="250" w:lineRule="exact"/>
      </w:pPr>
      <w:r>
        <w:rPr>
          <w:rStyle w:val="91"/>
          <w:b/>
          <w:bCs/>
          <w:i/>
          <w:iCs/>
        </w:rPr>
        <w:t>Раздел IV. Институциональная структура взаимодействия государства и бизнеса</w:t>
      </w:r>
    </w:p>
    <w:p w14:paraId="58E79507" w14:textId="77777777" w:rsidR="00350D42" w:rsidRDefault="008E6F64">
      <w:pPr>
        <w:pStyle w:val="111"/>
        <w:shd w:val="clear" w:color="auto" w:fill="auto"/>
        <w:spacing w:before="0" w:after="0" w:line="250" w:lineRule="exact"/>
        <w:ind w:firstLine="320"/>
        <w:jc w:val="both"/>
      </w:pPr>
      <w:r>
        <w:rPr>
          <w:rStyle w:val="113"/>
          <w:b/>
          <w:bCs/>
        </w:rPr>
        <w:lastRenderedPageBreak/>
        <w:t>Знакомство с темами четвертого раздела дает возможность по</w:t>
      </w:r>
      <w:r>
        <w:rPr>
          <w:rStyle w:val="113"/>
          <w:b/>
          <w:bCs/>
        </w:rPr>
        <w:softHyphen/>
        <w:t>нять значение институциональных основ взаимодействия государ</w:t>
      </w:r>
      <w:r>
        <w:rPr>
          <w:rStyle w:val="113"/>
          <w:b/>
          <w:bCs/>
        </w:rPr>
        <w:softHyphen/>
        <w:t>ства и бизнеса, выявить особенности инвестиционного климата в Российской Федерации и определить характер поведения государ</w:t>
      </w:r>
      <w:r>
        <w:rPr>
          <w:rStyle w:val="113"/>
          <w:b/>
          <w:bCs/>
        </w:rPr>
        <w:softHyphen/>
        <w:t>ства и бизнеса в условиях циклического развития.</w:t>
      </w:r>
    </w:p>
    <w:p w14:paraId="474D0788" w14:textId="77777777" w:rsidR="00350D42" w:rsidRDefault="008E6F64">
      <w:pPr>
        <w:pStyle w:val="111"/>
        <w:shd w:val="clear" w:color="auto" w:fill="auto"/>
        <w:spacing w:before="0" w:after="0" w:line="250" w:lineRule="exact"/>
        <w:ind w:firstLine="320"/>
        <w:jc w:val="both"/>
      </w:pPr>
      <w:r>
        <w:rPr>
          <w:rStyle w:val="113"/>
          <w:b/>
          <w:bCs/>
        </w:rPr>
        <w:t>Важнейшей теоретической целью изучения дисциплины «Взаи</w:t>
      </w:r>
      <w:r>
        <w:rPr>
          <w:rStyle w:val="113"/>
          <w:b/>
          <w:bCs/>
        </w:rPr>
        <w:softHyphen/>
        <w:t>модействие государства и бизнеса» является формирование у сту</w:t>
      </w:r>
      <w:r>
        <w:rPr>
          <w:rStyle w:val="113"/>
          <w:b/>
          <w:bCs/>
        </w:rPr>
        <w:softHyphen/>
        <w:t>дентов целостного представления о механизме взаимодействия государства и бизнеса, об основных проблемах, возникающих в процессе такого взаимодействия. Практическая цель состоит в вы</w:t>
      </w:r>
      <w:r>
        <w:rPr>
          <w:rStyle w:val="113"/>
          <w:b/>
          <w:bCs/>
        </w:rPr>
        <w:softHyphen/>
        <w:t>работке у обучающихся элементарных навыков принятия решений.</w:t>
      </w:r>
    </w:p>
    <w:p w14:paraId="7126CC03" w14:textId="77777777" w:rsidR="00350D42" w:rsidRDefault="008E6F64">
      <w:pPr>
        <w:pStyle w:val="111"/>
        <w:shd w:val="clear" w:color="auto" w:fill="auto"/>
        <w:spacing w:before="0" w:after="0" w:line="250" w:lineRule="exact"/>
        <w:ind w:firstLine="320"/>
        <w:jc w:val="both"/>
      </w:pPr>
      <w:r>
        <w:rPr>
          <w:rStyle w:val="113"/>
          <w:b/>
          <w:bCs/>
        </w:rPr>
        <w:t>Для достижения поставленных целей студентам необходимо:</w:t>
      </w:r>
    </w:p>
    <w:p w14:paraId="786D8699" w14:textId="77777777" w:rsidR="00350D42" w:rsidRDefault="008E6F64">
      <w:pPr>
        <w:pStyle w:val="111"/>
        <w:numPr>
          <w:ilvl w:val="0"/>
          <w:numId w:val="131"/>
        </w:numPr>
        <w:shd w:val="clear" w:color="auto" w:fill="auto"/>
        <w:tabs>
          <w:tab w:val="left" w:pos="630"/>
        </w:tabs>
        <w:spacing w:before="0" w:after="0" w:line="250" w:lineRule="exact"/>
        <w:ind w:firstLine="320"/>
        <w:jc w:val="both"/>
      </w:pPr>
      <w:r>
        <w:rPr>
          <w:rStyle w:val="113"/>
          <w:b/>
          <w:bCs/>
        </w:rPr>
        <w:t>изучить и осмыслить понятийный аппарат теоретических ос</w:t>
      </w:r>
      <w:r>
        <w:rPr>
          <w:rStyle w:val="113"/>
          <w:b/>
          <w:bCs/>
        </w:rPr>
        <w:softHyphen/>
        <w:t>нов государственного регулирования экономики;</w:t>
      </w:r>
    </w:p>
    <w:p w14:paraId="1CD190FF" w14:textId="77777777" w:rsidR="00350D42" w:rsidRDefault="008E6F64">
      <w:pPr>
        <w:pStyle w:val="111"/>
        <w:numPr>
          <w:ilvl w:val="0"/>
          <w:numId w:val="131"/>
        </w:numPr>
        <w:shd w:val="clear" w:color="auto" w:fill="auto"/>
        <w:tabs>
          <w:tab w:val="left" w:pos="625"/>
        </w:tabs>
        <w:spacing w:before="0" w:after="0" w:line="250" w:lineRule="exact"/>
        <w:ind w:firstLine="320"/>
        <w:jc w:val="both"/>
      </w:pPr>
      <w:r>
        <w:rPr>
          <w:rStyle w:val="113"/>
          <w:b/>
          <w:bCs/>
        </w:rPr>
        <w:t>овладеть методологией исследования процессов взаимодей</w:t>
      </w:r>
      <w:r>
        <w:rPr>
          <w:rStyle w:val="113"/>
          <w:b/>
          <w:bCs/>
        </w:rPr>
        <w:softHyphen/>
        <w:t>ствия государства и бизнеса;</w:t>
      </w:r>
    </w:p>
    <w:p w14:paraId="2EB45264" w14:textId="77777777" w:rsidR="00350D42" w:rsidRDefault="008E6F64">
      <w:pPr>
        <w:pStyle w:val="111"/>
        <w:numPr>
          <w:ilvl w:val="0"/>
          <w:numId w:val="131"/>
        </w:numPr>
        <w:shd w:val="clear" w:color="auto" w:fill="auto"/>
        <w:tabs>
          <w:tab w:val="left" w:pos="630"/>
        </w:tabs>
        <w:spacing w:before="0" w:after="0" w:line="250" w:lineRule="exact"/>
        <w:ind w:firstLine="320"/>
        <w:jc w:val="both"/>
      </w:pPr>
      <w:r>
        <w:rPr>
          <w:rStyle w:val="113"/>
          <w:b/>
          <w:bCs/>
        </w:rPr>
        <w:t>выявить систему связей, принципов и инструментов такого взаимодействия;</w:t>
      </w:r>
    </w:p>
    <w:p w14:paraId="56C9924E" w14:textId="77777777" w:rsidR="00350D42" w:rsidRDefault="008E6F64">
      <w:pPr>
        <w:pStyle w:val="111"/>
        <w:numPr>
          <w:ilvl w:val="0"/>
          <w:numId w:val="131"/>
        </w:numPr>
        <w:shd w:val="clear" w:color="auto" w:fill="auto"/>
        <w:tabs>
          <w:tab w:val="left" w:pos="625"/>
        </w:tabs>
        <w:spacing w:before="0" w:after="0" w:line="250" w:lineRule="exact"/>
        <w:ind w:firstLine="320"/>
        <w:jc w:val="both"/>
      </w:pPr>
      <w:r>
        <w:rPr>
          <w:rStyle w:val="113"/>
          <w:b/>
          <w:bCs/>
        </w:rPr>
        <w:t>развить способности к оценке способов взаимодействия вла</w:t>
      </w:r>
      <w:r>
        <w:rPr>
          <w:rStyle w:val="113"/>
          <w:b/>
          <w:bCs/>
        </w:rPr>
        <w:softHyphen/>
        <w:t>сти и бизнеса;</w:t>
      </w:r>
    </w:p>
    <w:p w14:paraId="0DFE9B39" w14:textId="77777777" w:rsidR="00350D42" w:rsidRDefault="008E6F64">
      <w:pPr>
        <w:pStyle w:val="111"/>
        <w:numPr>
          <w:ilvl w:val="0"/>
          <w:numId w:val="131"/>
        </w:numPr>
        <w:shd w:val="clear" w:color="auto" w:fill="auto"/>
        <w:tabs>
          <w:tab w:val="left" w:pos="630"/>
        </w:tabs>
        <w:spacing w:before="0" w:after="0" w:line="250" w:lineRule="exact"/>
        <w:ind w:firstLine="320"/>
        <w:jc w:val="both"/>
      </w:pPr>
      <w:r>
        <w:rPr>
          <w:rStyle w:val="113"/>
          <w:b/>
          <w:bCs/>
        </w:rPr>
        <w:t>освоить закономерности развития экономических отноше</w:t>
      </w:r>
      <w:r>
        <w:rPr>
          <w:rStyle w:val="113"/>
          <w:b/>
          <w:bCs/>
        </w:rPr>
        <w:softHyphen/>
        <w:t>ний между государством и бизнесом;</w:t>
      </w:r>
    </w:p>
    <w:p w14:paraId="7B9587DC" w14:textId="77777777" w:rsidR="00350D42" w:rsidRDefault="008E6F64">
      <w:pPr>
        <w:pStyle w:val="111"/>
        <w:numPr>
          <w:ilvl w:val="0"/>
          <w:numId w:val="131"/>
        </w:numPr>
        <w:shd w:val="clear" w:color="auto" w:fill="auto"/>
        <w:tabs>
          <w:tab w:val="left" w:pos="630"/>
        </w:tabs>
        <w:spacing w:before="0" w:after="0" w:line="250" w:lineRule="exact"/>
        <w:ind w:firstLine="320"/>
        <w:jc w:val="both"/>
      </w:pPr>
      <w:r>
        <w:rPr>
          <w:rStyle w:val="113"/>
          <w:b/>
          <w:bCs/>
        </w:rPr>
        <w:t>сформировать понимание сущности проблем, возникающих в процессе взаимодействия государства и бизнеса;</w:t>
      </w:r>
    </w:p>
    <w:p w14:paraId="3289FEEE" w14:textId="77777777" w:rsidR="00350D42" w:rsidRDefault="008E6F64">
      <w:pPr>
        <w:pStyle w:val="111"/>
        <w:numPr>
          <w:ilvl w:val="0"/>
          <w:numId w:val="131"/>
        </w:numPr>
        <w:shd w:val="clear" w:color="auto" w:fill="auto"/>
        <w:tabs>
          <w:tab w:val="left" w:pos="630"/>
        </w:tabs>
        <w:spacing w:before="0" w:after="0" w:line="250" w:lineRule="exact"/>
        <w:ind w:firstLine="320"/>
        <w:jc w:val="both"/>
      </w:pPr>
      <w:r>
        <w:rPr>
          <w:rStyle w:val="113"/>
          <w:b/>
          <w:bCs/>
        </w:rPr>
        <w:t>приобрести навыки самостоятельного анализа состояния конкуренции на товарных рынках, определения долей хозяйствую</w:t>
      </w:r>
      <w:r>
        <w:rPr>
          <w:rStyle w:val="113"/>
          <w:b/>
          <w:bCs/>
        </w:rPr>
        <w:softHyphen/>
        <w:t>щих субъектов на рынках товаров, работ, услуг;</w:t>
      </w:r>
    </w:p>
    <w:p w14:paraId="7305BB9C" w14:textId="77777777" w:rsidR="00350D42" w:rsidRDefault="008E6F64">
      <w:pPr>
        <w:pStyle w:val="111"/>
        <w:numPr>
          <w:ilvl w:val="0"/>
          <w:numId w:val="131"/>
        </w:numPr>
        <w:shd w:val="clear" w:color="auto" w:fill="auto"/>
        <w:tabs>
          <w:tab w:val="left" w:pos="625"/>
        </w:tabs>
        <w:spacing w:before="0" w:after="0" w:line="250" w:lineRule="exact"/>
        <w:ind w:firstLine="320"/>
        <w:jc w:val="both"/>
      </w:pPr>
      <w:r>
        <w:rPr>
          <w:rStyle w:val="113"/>
          <w:b/>
          <w:bCs/>
        </w:rPr>
        <w:t>сформировать четкое представление об институциональных основах взаимодействия государства и бизнеса;</w:t>
      </w:r>
    </w:p>
    <w:p w14:paraId="3DFB56FE" w14:textId="77777777" w:rsidR="00350D42" w:rsidRDefault="008E6F64">
      <w:pPr>
        <w:pStyle w:val="111"/>
        <w:numPr>
          <w:ilvl w:val="0"/>
          <w:numId w:val="131"/>
        </w:numPr>
        <w:shd w:val="clear" w:color="auto" w:fill="auto"/>
        <w:tabs>
          <w:tab w:val="left" w:pos="625"/>
        </w:tabs>
        <w:spacing w:before="0" w:after="0" w:line="250" w:lineRule="exact"/>
        <w:ind w:firstLine="320"/>
        <w:jc w:val="both"/>
      </w:pPr>
      <w:r>
        <w:rPr>
          <w:rStyle w:val="113"/>
          <w:b/>
          <w:bCs/>
        </w:rPr>
        <w:t>выявить особенности инвестиционного климата в Россий</w:t>
      </w:r>
      <w:r>
        <w:rPr>
          <w:rStyle w:val="113"/>
          <w:b/>
          <w:bCs/>
        </w:rPr>
        <w:softHyphen/>
        <w:t>ской Федерации;</w:t>
      </w:r>
    </w:p>
    <w:p w14:paraId="6E4529E9" w14:textId="77777777" w:rsidR="00350D42" w:rsidRDefault="008E6F64">
      <w:pPr>
        <w:pStyle w:val="111"/>
        <w:numPr>
          <w:ilvl w:val="0"/>
          <w:numId w:val="131"/>
        </w:numPr>
        <w:shd w:val="clear" w:color="auto" w:fill="auto"/>
        <w:tabs>
          <w:tab w:val="left" w:pos="630"/>
        </w:tabs>
        <w:spacing w:before="0" w:after="0" w:line="250" w:lineRule="exact"/>
        <w:ind w:firstLine="320"/>
        <w:jc w:val="both"/>
      </w:pPr>
      <w:r>
        <w:rPr>
          <w:rStyle w:val="113"/>
          <w:b/>
          <w:bCs/>
        </w:rPr>
        <w:t xml:space="preserve">развить представления о характере поведения государства и бизнеса в условиях циклического развития. </w:t>
      </w:r>
      <w:r>
        <w:rPr>
          <w:rStyle w:val="113"/>
          <w:b/>
          <w:bCs/>
          <w:vertAlign w:val="superscript"/>
        </w:rPr>
        <w:footnoteReference w:id="224"/>
      </w:r>
    </w:p>
    <w:p w14:paraId="6E65AF1A" w14:textId="77777777" w:rsidR="00350D42" w:rsidRDefault="008E6F64">
      <w:pPr>
        <w:pStyle w:val="111"/>
        <w:shd w:val="clear" w:color="auto" w:fill="auto"/>
        <w:spacing w:before="0" w:after="0" w:line="250" w:lineRule="exact"/>
        <w:ind w:firstLine="320"/>
        <w:jc w:val="both"/>
      </w:pPr>
      <w:r>
        <w:rPr>
          <w:rStyle w:val="113"/>
          <w:b/>
          <w:bCs/>
        </w:rPr>
        <w:t>Для эффективного изучения данной дисциплины требуются зна</w:t>
      </w:r>
      <w:r>
        <w:rPr>
          <w:rStyle w:val="113"/>
          <w:b/>
          <w:bCs/>
        </w:rPr>
        <w:softHyphen/>
        <w:t>ния, умения и навыки, полученные по дисциплинам «Экономиче</w:t>
      </w:r>
      <w:r>
        <w:rPr>
          <w:rStyle w:val="113"/>
          <w:b/>
          <w:bCs/>
        </w:rPr>
        <w:softHyphen/>
        <w:t>ская теория» и «Макроэкономика».</w:t>
      </w:r>
    </w:p>
    <w:p w14:paraId="4DFB622B" w14:textId="77777777" w:rsidR="00350D42" w:rsidRDefault="008E6F64">
      <w:pPr>
        <w:pStyle w:val="111"/>
        <w:shd w:val="clear" w:color="auto" w:fill="auto"/>
        <w:spacing w:before="0" w:after="97" w:line="250" w:lineRule="exact"/>
        <w:ind w:firstLine="320"/>
        <w:jc w:val="both"/>
      </w:pPr>
      <w:r>
        <w:rPr>
          <w:rStyle w:val="113"/>
          <w:b/>
          <w:bCs/>
        </w:rPr>
        <w:t>В свою очередь, освоение дисциплины «Взаимодействие госу</w:t>
      </w:r>
      <w:r>
        <w:rPr>
          <w:rStyle w:val="113"/>
          <w:b/>
          <w:bCs/>
        </w:rPr>
        <w:softHyphen/>
        <w:t>дарства и бизнеса» необходимо для таких учебных дисциплин, как «Институциональная экономика», «Экономика России» и др. Кроме того, изучение данной дисциплины предшествует подготовке вы</w:t>
      </w:r>
      <w:r>
        <w:rPr>
          <w:rStyle w:val="113"/>
          <w:b/>
          <w:bCs/>
        </w:rPr>
        <w:softHyphen/>
        <w:t>пускной квалификационной работы на степень бакалавра эконо</w:t>
      </w:r>
      <w:r>
        <w:rPr>
          <w:rStyle w:val="113"/>
          <w:b/>
          <w:bCs/>
        </w:rPr>
        <w:softHyphen/>
        <w:t>мики, сдаче итогового государственного междисциплинарного эк</w:t>
      </w:r>
      <w:r>
        <w:rPr>
          <w:rStyle w:val="113"/>
          <w:b/>
          <w:bCs/>
        </w:rPr>
        <w:softHyphen/>
        <w:t>замена.</w:t>
      </w:r>
    </w:p>
    <w:p w14:paraId="3FF1F0D9" w14:textId="77777777" w:rsidR="00350D42" w:rsidRDefault="008E6F64">
      <w:pPr>
        <w:pStyle w:val="111"/>
        <w:numPr>
          <w:ilvl w:val="0"/>
          <w:numId w:val="137"/>
        </w:numPr>
        <w:shd w:val="clear" w:color="auto" w:fill="auto"/>
        <w:tabs>
          <w:tab w:val="left" w:pos="1230"/>
        </w:tabs>
        <w:spacing w:before="0" w:after="0" w:line="278" w:lineRule="exact"/>
        <w:ind w:firstLine="960"/>
        <w:jc w:val="left"/>
      </w:pPr>
      <w:r>
        <w:rPr>
          <w:rStyle w:val="113"/>
          <w:b/>
          <w:bCs/>
        </w:rPr>
        <w:t>Объем дисциплины и виды учебной работы Общая трудоемкость дисциплины составляет пять зачетных еди</w:t>
      </w:r>
      <w:r>
        <w:rPr>
          <w:rStyle w:val="113"/>
          <w:b/>
          <w:bCs/>
        </w:rPr>
        <w:softHyphen/>
        <w:t xml:space="preserve">ниц (табл. П.1.1). </w:t>
      </w:r>
      <w:r>
        <w:rPr>
          <w:rStyle w:val="113"/>
          <w:b/>
          <w:bCs/>
          <w:vertAlign w:val="superscript"/>
        </w:rPr>
        <w:footnoteReference w:id="225"/>
      </w:r>
    </w:p>
    <w:p w14:paraId="3FB19DE2" w14:textId="77777777" w:rsidR="00350D42" w:rsidRDefault="008E6F64">
      <w:pPr>
        <w:pStyle w:val="2f6"/>
        <w:framePr w:w="6581" w:wrap="notBeside" w:vAnchor="text" w:hAnchor="text" w:xAlign="center" w:y="1"/>
        <w:shd w:val="clear" w:color="auto" w:fill="auto"/>
        <w:jc w:val="left"/>
      </w:pPr>
      <w:r>
        <w:rPr>
          <w:rStyle w:val="2f7"/>
          <w:i/>
          <w:iCs/>
        </w:rPr>
        <w:lastRenderedPageBreak/>
        <w:t>Таблица П.1.1</w:t>
      </w:r>
    </w:p>
    <w:p w14:paraId="1C02B3E8" w14:textId="77777777" w:rsidR="00350D42" w:rsidRDefault="008E6F64">
      <w:pPr>
        <w:pStyle w:val="3f2"/>
        <w:framePr w:w="6581" w:wrap="notBeside" w:vAnchor="text" w:hAnchor="text" w:xAlign="center" w:y="1"/>
        <w:shd w:val="clear" w:color="auto" w:fill="auto"/>
        <w:spacing w:line="194" w:lineRule="exact"/>
        <w:jc w:val="left"/>
      </w:pPr>
      <w:r>
        <w:rPr>
          <w:rStyle w:val="3f3"/>
          <w:b/>
          <w:bCs/>
        </w:rPr>
        <w:t>Распределение объема дисциплины по видам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3"/>
        <w:gridCol w:w="1373"/>
        <w:gridCol w:w="1277"/>
        <w:gridCol w:w="1488"/>
      </w:tblGrid>
      <w:tr w:rsidR="00350D42" w14:paraId="4782683F" w14:textId="77777777">
        <w:trPr>
          <w:trHeight w:hRule="exact" w:val="331"/>
          <w:jc w:val="center"/>
        </w:trPr>
        <w:tc>
          <w:tcPr>
            <w:tcW w:w="3816" w:type="dxa"/>
            <w:gridSpan w:val="2"/>
            <w:vMerge w:val="restart"/>
            <w:tcBorders>
              <w:top w:val="single" w:sz="4" w:space="0" w:color="auto"/>
              <w:left w:val="single" w:sz="4" w:space="0" w:color="auto"/>
            </w:tcBorders>
            <w:shd w:val="clear" w:color="auto" w:fill="FFFFFF"/>
          </w:tcPr>
          <w:p w14:paraId="2EBC85BA"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Вид учебной работы</w:t>
            </w:r>
          </w:p>
        </w:tc>
        <w:tc>
          <w:tcPr>
            <w:tcW w:w="1277" w:type="dxa"/>
            <w:vMerge w:val="restart"/>
            <w:tcBorders>
              <w:top w:val="single" w:sz="4" w:space="0" w:color="auto"/>
              <w:left w:val="single" w:sz="4" w:space="0" w:color="auto"/>
            </w:tcBorders>
            <w:shd w:val="clear" w:color="auto" w:fill="FFFFFF"/>
          </w:tcPr>
          <w:p w14:paraId="1162FE20"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Всего часов</w:t>
            </w:r>
          </w:p>
        </w:tc>
        <w:tc>
          <w:tcPr>
            <w:tcW w:w="1488" w:type="dxa"/>
            <w:tcBorders>
              <w:top w:val="single" w:sz="4" w:space="0" w:color="auto"/>
              <w:left w:val="single" w:sz="4" w:space="0" w:color="auto"/>
              <w:right w:val="single" w:sz="4" w:space="0" w:color="auto"/>
            </w:tcBorders>
            <w:shd w:val="clear" w:color="auto" w:fill="FFFFFF"/>
            <w:vAlign w:val="bottom"/>
          </w:tcPr>
          <w:p w14:paraId="1DBBC507"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Семестр</w:t>
            </w:r>
          </w:p>
        </w:tc>
      </w:tr>
      <w:tr w:rsidR="00350D42" w14:paraId="1239230B" w14:textId="77777777">
        <w:trPr>
          <w:trHeight w:hRule="exact" w:val="322"/>
          <w:jc w:val="center"/>
        </w:trPr>
        <w:tc>
          <w:tcPr>
            <w:tcW w:w="3816" w:type="dxa"/>
            <w:gridSpan w:val="2"/>
            <w:vMerge/>
            <w:tcBorders>
              <w:left w:val="single" w:sz="4" w:space="0" w:color="auto"/>
            </w:tcBorders>
            <w:shd w:val="clear" w:color="auto" w:fill="FFFFFF"/>
          </w:tcPr>
          <w:p w14:paraId="70E61665" w14:textId="77777777" w:rsidR="00350D42" w:rsidRDefault="00350D42">
            <w:pPr>
              <w:framePr w:w="6581" w:wrap="notBeside" w:vAnchor="text" w:hAnchor="text" w:xAlign="center" w:y="1"/>
            </w:pPr>
          </w:p>
        </w:tc>
        <w:tc>
          <w:tcPr>
            <w:tcW w:w="1277" w:type="dxa"/>
            <w:vMerge/>
            <w:tcBorders>
              <w:left w:val="single" w:sz="4" w:space="0" w:color="auto"/>
            </w:tcBorders>
            <w:shd w:val="clear" w:color="auto" w:fill="FFFFFF"/>
          </w:tcPr>
          <w:p w14:paraId="45F614E8" w14:textId="77777777" w:rsidR="00350D42" w:rsidRDefault="00350D42">
            <w:pPr>
              <w:framePr w:w="6581" w:wrap="notBeside" w:vAnchor="text" w:hAnchor="text" w:xAlign="center" w:y="1"/>
            </w:pPr>
          </w:p>
        </w:tc>
        <w:tc>
          <w:tcPr>
            <w:tcW w:w="1488" w:type="dxa"/>
            <w:tcBorders>
              <w:top w:val="single" w:sz="4" w:space="0" w:color="auto"/>
              <w:left w:val="single" w:sz="4" w:space="0" w:color="auto"/>
              <w:right w:val="single" w:sz="4" w:space="0" w:color="auto"/>
            </w:tcBorders>
            <w:shd w:val="clear" w:color="auto" w:fill="FFFFFF"/>
            <w:vAlign w:val="bottom"/>
          </w:tcPr>
          <w:p w14:paraId="0C8CD7A2"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7</w:t>
            </w:r>
          </w:p>
        </w:tc>
      </w:tr>
      <w:tr w:rsidR="00350D42" w14:paraId="69FD78CD" w14:textId="77777777">
        <w:trPr>
          <w:trHeight w:hRule="exact" w:val="326"/>
          <w:jc w:val="center"/>
        </w:trPr>
        <w:tc>
          <w:tcPr>
            <w:tcW w:w="3816" w:type="dxa"/>
            <w:gridSpan w:val="2"/>
            <w:tcBorders>
              <w:top w:val="single" w:sz="4" w:space="0" w:color="auto"/>
              <w:left w:val="single" w:sz="4" w:space="0" w:color="auto"/>
            </w:tcBorders>
            <w:shd w:val="clear" w:color="auto" w:fill="FFFFFF"/>
            <w:vAlign w:val="bottom"/>
          </w:tcPr>
          <w:p w14:paraId="3502118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Аудиторные занятия (всего)</w:t>
            </w:r>
          </w:p>
        </w:tc>
        <w:tc>
          <w:tcPr>
            <w:tcW w:w="1277" w:type="dxa"/>
            <w:tcBorders>
              <w:top w:val="single" w:sz="4" w:space="0" w:color="auto"/>
              <w:left w:val="single" w:sz="4" w:space="0" w:color="auto"/>
            </w:tcBorders>
            <w:shd w:val="clear" w:color="auto" w:fill="FFFFFF"/>
            <w:vAlign w:val="bottom"/>
          </w:tcPr>
          <w:p w14:paraId="2B6701D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c>
          <w:tcPr>
            <w:tcW w:w="1488" w:type="dxa"/>
            <w:tcBorders>
              <w:top w:val="single" w:sz="4" w:space="0" w:color="auto"/>
              <w:left w:val="single" w:sz="4" w:space="0" w:color="auto"/>
              <w:right w:val="single" w:sz="4" w:space="0" w:color="auto"/>
            </w:tcBorders>
            <w:shd w:val="clear" w:color="auto" w:fill="FFFFFF"/>
            <w:vAlign w:val="bottom"/>
          </w:tcPr>
          <w:p w14:paraId="29BD9B5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r>
      <w:tr w:rsidR="00350D42" w14:paraId="5533B9B7" w14:textId="77777777">
        <w:trPr>
          <w:trHeight w:hRule="exact" w:val="326"/>
          <w:jc w:val="center"/>
        </w:trPr>
        <w:tc>
          <w:tcPr>
            <w:tcW w:w="6581" w:type="dxa"/>
            <w:gridSpan w:val="4"/>
            <w:tcBorders>
              <w:top w:val="single" w:sz="4" w:space="0" w:color="auto"/>
              <w:left w:val="single" w:sz="4" w:space="0" w:color="auto"/>
              <w:right w:val="single" w:sz="4" w:space="0" w:color="auto"/>
            </w:tcBorders>
            <w:shd w:val="clear" w:color="auto" w:fill="FFFFFF"/>
            <w:vAlign w:val="center"/>
          </w:tcPr>
          <w:p w14:paraId="3C1037A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в том числе:</w:t>
            </w:r>
          </w:p>
        </w:tc>
      </w:tr>
      <w:tr w:rsidR="00350D42" w14:paraId="40E0666A" w14:textId="77777777">
        <w:trPr>
          <w:trHeight w:hRule="exact" w:val="326"/>
          <w:jc w:val="center"/>
        </w:trPr>
        <w:tc>
          <w:tcPr>
            <w:tcW w:w="3816" w:type="dxa"/>
            <w:gridSpan w:val="2"/>
            <w:tcBorders>
              <w:top w:val="single" w:sz="4" w:space="0" w:color="auto"/>
              <w:left w:val="single" w:sz="4" w:space="0" w:color="auto"/>
            </w:tcBorders>
            <w:shd w:val="clear" w:color="auto" w:fill="FFFFFF"/>
            <w:vAlign w:val="bottom"/>
          </w:tcPr>
          <w:p w14:paraId="3C68763A"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лекции</w:t>
            </w:r>
          </w:p>
        </w:tc>
        <w:tc>
          <w:tcPr>
            <w:tcW w:w="1277" w:type="dxa"/>
            <w:tcBorders>
              <w:top w:val="single" w:sz="4" w:space="0" w:color="auto"/>
              <w:left w:val="single" w:sz="4" w:space="0" w:color="auto"/>
            </w:tcBorders>
            <w:shd w:val="clear" w:color="auto" w:fill="FFFFFF"/>
            <w:vAlign w:val="bottom"/>
          </w:tcPr>
          <w:p w14:paraId="0E8C534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40</w:t>
            </w:r>
          </w:p>
        </w:tc>
        <w:tc>
          <w:tcPr>
            <w:tcW w:w="1488" w:type="dxa"/>
            <w:tcBorders>
              <w:top w:val="single" w:sz="4" w:space="0" w:color="auto"/>
              <w:left w:val="single" w:sz="4" w:space="0" w:color="auto"/>
              <w:right w:val="single" w:sz="4" w:space="0" w:color="auto"/>
            </w:tcBorders>
            <w:shd w:val="clear" w:color="auto" w:fill="FFFFFF"/>
            <w:vAlign w:val="bottom"/>
          </w:tcPr>
          <w:p w14:paraId="3862C9B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40</w:t>
            </w:r>
          </w:p>
        </w:tc>
      </w:tr>
      <w:tr w:rsidR="00350D42" w14:paraId="676C6A2D" w14:textId="77777777">
        <w:trPr>
          <w:trHeight w:hRule="exact" w:val="326"/>
          <w:jc w:val="center"/>
        </w:trPr>
        <w:tc>
          <w:tcPr>
            <w:tcW w:w="3816" w:type="dxa"/>
            <w:gridSpan w:val="2"/>
            <w:tcBorders>
              <w:top w:val="single" w:sz="4" w:space="0" w:color="auto"/>
              <w:left w:val="single" w:sz="4" w:space="0" w:color="auto"/>
            </w:tcBorders>
            <w:shd w:val="clear" w:color="auto" w:fill="FFFFFF"/>
            <w:vAlign w:val="bottom"/>
          </w:tcPr>
          <w:p w14:paraId="7BC5C58C"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семинары</w:t>
            </w:r>
          </w:p>
        </w:tc>
        <w:tc>
          <w:tcPr>
            <w:tcW w:w="1277" w:type="dxa"/>
            <w:tcBorders>
              <w:top w:val="single" w:sz="4" w:space="0" w:color="auto"/>
              <w:left w:val="single" w:sz="4" w:space="0" w:color="auto"/>
            </w:tcBorders>
            <w:shd w:val="clear" w:color="auto" w:fill="FFFFFF"/>
            <w:vAlign w:val="bottom"/>
          </w:tcPr>
          <w:p w14:paraId="6D38924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30</w:t>
            </w:r>
          </w:p>
        </w:tc>
        <w:tc>
          <w:tcPr>
            <w:tcW w:w="1488" w:type="dxa"/>
            <w:tcBorders>
              <w:top w:val="single" w:sz="4" w:space="0" w:color="auto"/>
              <w:left w:val="single" w:sz="4" w:space="0" w:color="auto"/>
              <w:right w:val="single" w:sz="4" w:space="0" w:color="auto"/>
            </w:tcBorders>
            <w:shd w:val="clear" w:color="auto" w:fill="FFFFFF"/>
            <w:vAlign w:val="bottom"/>
          </w:tcPr>
          <w:p w14:paraId="2E50A8E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30</w:t>
            </w:r>
          </w:p>
        </w:tc>
      </w:tr>
      <w:tr w:rsidR="00350D42" w14:paraId="4B9D5FCF" w14:textId="77777777">
        <w:trPr>
          <w:trHeight w:hRule="exact" w:val="322"/>
          <w:jc w:val="center"/>
        </w:trPr>
        <w:tc>
          <w:tcPr>
            <w:tcW w:w="3816" w:type="dxa"/>
            <w:gridSpan w:val="2"/>
            <w:tcBorders>
              <w:top w:val="single" w:sz="4" w:space="0" w:color="auto"/>
              <w:left w:val="single" w:sz="4" w:space="0" w:color="auto"/>
            </w:tcBorders>
            <w:shd w:val="clear" w:color="auto" w:fill="FFFFFF"/>
            <w:vAlign w:val="center"/>
          </w:tcPr>
          <w:p w14:paraId="45322C6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самостоятельная работа (всего)</w:t>
            </w:r>
          </w:p>
        </w:tc>
        <w:tc>
          <w:tcPr>
            <w:tcW w:w="1277" w:type="dxa"/>
            <w:tcBorders>
              <w:top w:val="single" w:sz="4" w:space="0" w:color="auto"/>
              <w:left w:val="single" w:sz="4" w:space="0" w:color="auto"/>
            </w:tcBorders>
            <w:shd w:val="clear" w:color="auto" w:fill="FFFFFF"/>
            <w:vAlign w:val="bottom"/>
          </w:tcPr>
          <w:p w14:paraId="30DDF5A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110</w:t>
            </w:r>
          </w:p>
        </w:tc>
        <w:tc>
          <w:tcPr>
            <w:tcW w:w="1488" w:type="dxa"/>
            <w:tcBorders>
              <w:top w:val="single" w:sz="4" w:space="0" w:color="auto"/>
              <w:left w:val="single" w:sz="4" w:space="0" w:color="auto"/>
              <w:right w:val="single" w:sz="4" w:space="0" w:color="auto"/>
            </w:tcBorders>
            <w:shd w:val="clear" w:color="auto" w:fill="FFFFFF"/>
            <w:vAlign w:val="bottom"/>
          </w:tcPr>
          <w:p w14:paraId="4E270FF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110</w:t>
            </w:r>
          </w:p>
        </w:tc>
      </w:tr>
      <w:tr w:rsidR="00350D42" w14:paraId="6DAAF5B4" w14:textId="77777777">
        <w:trPr>
          <w:trHeight w:hRule="exact" w:val="326"/>
          <w:jc w:val="center"/>
        </w:trPr>
        <w:tc>
          <w:tcPr>
            <w:tcW w:w="6581" w:type="dxa"/>
            <w:gridSpan w:val="4"/>
            <w:tcBorders>
              <w:top w:val="single" w:sz="4" w:space="0" w:color="auto"/>
              <w:left w:val="single" w:sz="4" w:space="0" w:color="auto"/>
              <w:right w:val="single" w:sz="4" w:space="0" w:color="auto"/>
            </w:tcBorders>
            <w:shd w:val="clear" w:color="auto" w:fill="FFFFFF"/>
            <w:vAlign w:val="center"/>
          </w:tcPr>
          <w:p w14:paraId="6F716E8C"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в том числе:</w:t>
            </w:r>
          </w:p>
        </w:tc>
      </w:tr>
      <w:tr w:rsidR="00350D42" w14:paraId="26676FBC" w14:textId="77777777">
        <w:trPr>
          <w:trHeight w:hRule="exact" w:val="326"/>
          <w:jc w:val="center"/>
        </w:trPr>
        <w:tc>
          <w:tcPr>
            <w:tcW w:w="3816" w:type="dxa"/>
            <w:gridSpan w:val="2"/>
            <w:tcBorders>
              <w:top w:val="single" w:sz="4" w:space="0" w:color="auto"/>
              <w:left w:val="single" w:sz="4" w:space="0" w:color="auto"/>
            </w:tcBorders>
            <w:shd w:val="clear" w:color="auto" w:fill="FFFFFF"/>
            <w:vAlign w:val="bottom"/>
          </w:tcPr>
          <w:p w14:paraId="52A0FC8A"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две контрольные точки</w:t>
            </w:r>
          </w:p>
        </w:tc>
        <w:tc>
          <w:tcPr>
            <w:tcW w:w="1277" w:type="dxa"/>
            <w:tcBorders>
              <w:top w:val="single" w:sz="4" w:space="0" w:color="auto"/>
              <w:left w:val="single" w:sz="4" w:space="0" w:color="auto"/>
            </w:tcBorders>
            <w:shd w:val="clear" w:color="auto" w:fill="FFFFFF"/>
            <w:vAlign w:val="bottom"/>
          </w:tcPr>
          <w:p w14:paraId="0505279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w:t>
            </w:r>
          </w:p>
        </w:tc>
        <w:tc>
          <w:tcPr>
            <w:tcW w:w="1488" w:type="dxa"/>
            <w:tcBorders>
              <w:top w:val="single" w:sz="4" w:space="0" w:color="auto"/>
              <w:left w:val="single" w:sz="4" w:space="0" w:color="auto"/>
              <w:right w:val="single" w:sz="4" w:space="0" w:color="auto"/>
            </w:tcBorders>
            <w:shd w:val="clear" w:color="auto" w:fill="FFFFFF"/>
            <w:vAlign w:val="bottom"/>
          </w:tcPr>
          <w:p w14:paraId="31CD273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w:t>
            </w:r>
          </w:p>
        </w:tc>
      </w:tr>
      <w:tr w:rsidR="00350D42" w14:paraId="0D25F408" w14:textId="77777777">
        <w:trPr>
          <w:trHeight w:hRule="exact" w:val="326"/>
          <w:jc w:val="center"/>
        </w:trPr>
        <w:tc>
          <w:tcPr>
            <w:tcW w:w="3816" w:type="dxa"/>
            <w:gridSpan w:val="2"/>
            <w:tcBorders>
              <w:top w:val="single" w:sz="4" w:space="0" w:color="auto"/>
              <w:left w:val="single" w:sz="4" w:space="0" w:color="auto"/>
            </w:tcBorders>
            <w:shd w:val="clear" w:color="auto" w:fill="FFFFFF"/>
            <w:vAlign w:val="center"/>
          </w:tcPr>
          <w:p w14:paraId="69363C9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Самостоятельная работа студентов</w:t>
            </w:r>
          </w:p>
        </w:tc>
        <w:tc>
          <w:tcPr>
            <w:tcW w:w="1277" w:type="dxa"/>
            <w:tcBorders>
              <w:top w:val="single" w:sz="4" w:space="0" w:color="auto"/>
              <w:left w:val="single" w:sz="4" w:space="0" w:color="auto"/>
            </w:tcBorders>
            <w:shd w:val="clear" w:color="auto" w:fill="FFFFFF"/>
            <w:vAlign w:val="bottom"/>
          </w:tcPr>
          <w:p w14:paraId="60BF36A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68</w:t>
            </w:r>
          </w:p>
        </w:tc>
        <w:tc>
          <w:tcPr>
            <w:tcW w:w="1488" w:type="dxa"/>
            <w:tcBorders>
              <w:top w:val="single" w:sz="4" w:space="0" w:color="auto"/>
              <w:left w:val="single" w:sz="4" w:space="0" w:color="auto"/>
              <w:right w:val="single" w:sz="4" w:space="0" w:color="auto"/>
            </w:tcBorders>
            <w:shd w:val="clear" w:color="auto" w:fill="FFFFFF"/>
            <w:vAlign w:val="bottom"/>
          </w:tcPr>
          <w:p w14:paraId="22A0C80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68</w:t>
            </w:r>
          </w:p>
        </w:tc>
      </w:tr>
      <w:tr w:rsidR="00350D42" w14:paraId="66BA9B0D" w14:textId="77777777">
        <w:trPr>
          <w:trHeight w:hRule="exact" w:val="322"/>
          <w:jc w:val="center"/>
        </w:trPr>
        <w:tc>
          <w:tcPr>
            <w:tcW w:w="6581" w:type="dxa"/>
            <w:gridSpan w:val="4"/>
            <w:tcBorders>
              <w:top w:val="single" w:sz="4" w:space="0" w:color="auto"/>
              <w:left w:val="single" w:sz="4" w:space="0" w:color="auto"/>
              <w:right w:val="single" w:sz="4" w:space="0" w:color="auto"/>
            </w:tcBorders>
            <w:shd w:val="clear" w:color="auto" w:fill="FFFFFF"/>
            <w:vAlign w:val="center"/>
          </w:tcPr>
          <w:p w14:paraId="040FA1B0"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в том числе:</w:t>
            </w:r>
          </w:p>
        </w:tc>
      </w:tr>
      <w:tr w:rsidR="00350D42" w14:paraId="6E3651A2" w14:textId="77777777">
        <w:trPr>
          <w:trHeight w:hRule="exact" w:val="326"/>
          <w:jc w:val="center"/>
        </w:trPr>
        <w:tc>
          <w:tcPr>
            <w:tcW w:w="3816" w:type="dxa"/>
            <w:gridSpan w:val="2"/>
            <w:tcBorders>
              <w:top w:val="single" w:sz="4" w:space="0" w:color="auto"/>
              <w:left w:val="single" w:sz="4" w:space="0" w:color="auto"/>
            </w:tcBorders>
            <w:shd w:val="clear" w:color="auto" w:fill="FFFFFF"/>
            <w:vAlign w:val="bottom"/>
          </w:tcPr>
          <w:p w14:paraId="1FDB31D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презентация</w:t>
            </w:r>
          </w:p>
        </w:tc>
        <w:tc>
          <w:tcPr>
            <w:tcW w:w="1277" w:type="dxa"/>
            <w:tcBorders>
              <w:top w:val="single" w:sz="4" w:space="0" w:color="auto"/>
              <w:left w:val="single" w:sz="4" w:space="0" w:color="auto"/>
            </w:tcBorders>
            <w:shd w:val="clear" w:color="auto" w:fill="FFFFFF"/>
            <w:vAlign w:val="bottom"/>
          </w:tcPr>
          <w:p w14:paraId="3712EE9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68</w:t>
            </w:r>
          </w:p>
        </w:tc>
        <w:tc>
          <w:tcPr>
            <w:tcW w:w="1488" w:type="dxa"/>
            <w:tcBorders>
              <w:top w:val="single" w:sz="4" w:space="0" w:color="auto"/>
              <w:left w:val="single" w:sz="4" w:space="0" w:color="auto"/>
              <w:right w:val="single" w:sz="4" w:space="0" w:color="auto"/>
            </w:tcBorders>
            <w:shd w:val="clear" w:color="auto" w:fill="FFFFFF"/>
            <w:vAlign w:val="bottom"/>
          </w:tcPr>
          <w:p w14:paraId="6C575A7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68</w:t>
            </w:r>
          </w:p>
        </w:tc>
      </w:tr>
      <w:tr w:rsidR="00350D42" w14:paraId="732D3878" w14:textId="77777777">
        <w:trPr>
          <w:trHeight w:hRule="exact" w:val="547"/>
          <w:jc w:val="center"/>
        </w:trPr>
        <w:tc>
          <w:tcPr>
            <w:tcW w:w="3816" w:type="dxa"/>
            <w:gridSpan w:val="2"/>
            <w:tcBorders>
              <w:top w:val="single" w:sz="4" w:space="0" w:color="auto"/>
              <w:left w:val="single" w:sz="4" w:space="0" w:color="auto"/>
            </w:tcBorders>
            <w:shd w:val="clear" w:color="auto" w:fill="FFFFFF"/>
            <w:vAlign w:val="bottom"/>
          </w:tcPr>
          <w:p w14:paraId="34E69BEE"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вид промежуточной аттестации (диффе</w:t>
            </w:r>
            <w:r>
              <w:rPr>
                <w:rStyle w:val="275pt0"/>
              </w:rPr>
              <w:softHyphen/>
              <w:t>ренцированный зачет)</w:t>
            </w:r>
          </w:p>
        </w:tc>
        <w:tc>
          <w:tcPr>
            <w:tcW w:w="1277" w:type="dxa"/>
            <w:tcBorders>
              <w:top w:val="single" w:sz="4" w:space="0" w:color="auto"/>
              <w:left w:val="single" w:sz="4" w:space="0" w:color="auto"/>
            </w:tcBorders>
            <w:shd w:val="clear" w:color="auto" w:fill="FFFFFF"/>
          </w:tcPr>
          <w:p w14:paraId="0DF8B87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36</w:t>
            </w:r>
          </w:p>
        </w:tc>
        <w:tc>
          <w:tcPr>
            <w:tcW w:w="1488" w:type="dxa"/>
            <w:tcBorders>
              <w:top w:val="single" w:sz="4" w:space="0" w:color="auto"/>
              <w:left w:val="single" w:sz="4" w:space="0" w:color="auto"/>
              <w:right w:val="single" w:sz="4" w:space="0" w:color="auto"/>
            </w:tcBorders>
            <w:shd w:val="clear" w:color="auto" w:fill="FFFFFF"/>
          </w:tcPr>
          <w:p w14:paraId="19C9F0F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36</w:t>
            </w:r>
          </w:p>
        </w:tc>
      </w:tr>
      <w:tr w:rsidR="00350D42" w14:paraId="52BB13BB" w14:textId="77777777">
        <w:trPr>
          <w:trHeight w:hRule="exact" w:val="322"/>
          <w:jc w:val="center"/>
        </w:trPr>
        <w:tc>
          <w:tcPr>
            <w:tcW w:w="2443" w:type="dxa"/>
            <w:vMerge w:val="restart"/>
            <w:tcBorders>
              <w:top w:val="single" w:sz="4" w:space="0" w:color="auto"/>
              <w:left w:val="single" w:sz="4" w:space="0" w:color="auto"/>
            </w:tcBorders>
            <w:shd w:val="clear" w:color="auto" w:fill="FFFFFF"/>
          </w:tcPr>
          <w:p w14:paraId="28DC5B84"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Общая трудоемкость</w:t>
            </w:r>
          </w:p>
        </w:tc>
        <w:tc>
          <w:tcPr>
            <w:tcW w:w="1373" w:type="dxa"/>
            <w:tcBorders>
              <w:top w:val="single" w:sz="4" w:space="0" w:color="auto"/>
              <w:left w:val="single" w:sz="4" w:space="0" w:color="auto"/>
            </w:tcBorders>
            <w:shd w:val="clear" w:color="auto" w:fill="FFFFFF"/>
            <w:vAlign w:val="center"/>
          </w:tcPr>
          <w:p w14:paraId="28AF9D9D"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ч</w:t>
            </w:r>
          </w:p>
        </w:tc>
        <w:tc>
          <w:tcPr>
            <w:tcW w:w="1277" w:type="dxa"/>
            <w:tcBorders>
              <w:top w:val="single" w:sz="4" w:space="0" w:color="auto"/>
              <w:left w:val="single" w:sz="4" w:space="0" w:color="auto"/>
            </w:tcBorders>
            <w:shd w:val="clear" w:color="auto" w:fill="FFFFFF"/>
            <w:vAlign w:val="bottom"/>
          </w:tcPr>
          <w:p w14:paraId="743E4E8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180</w:t>
            </w:r>
          </w:p>
        </w:tc>
        <w:tc>
          <w:tcPr>
            <w:tcW w:w="1488" w:type="dxa"/>
            <w:tcBorders>
              <w:top w:val="single" w:sz="4" w:space="0" w:color="auto"/>
              <w:left w:val="single" w:sz="4" w:space="0" w:color="auto"/>
              <w:right w:val="single" w:sz="4" w:space="0" w:color="auto"/>
            </w:tcBorders>
            <w:shd w:val="clear" w:color="auto" w:fill="FFFFFF"/>
            <w:vAlign w:val="bottom"/>
          </w:tcPr>
          <w:p w14:paraId="1557574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180</w:t>
            </w:r>
          </w:p>
        </w:tc>
      </w:tr>
      <w:tr w:rsidR="00350D42" w14:paraId="270E1CCC" w14:textId="77777777">
        <w:trPr>
          <w:trHeight w:hRule="exact" w:val="336"/>
          <w:jc w:val="center"/>
        </w:trPr>
        <w:tc>
          <w:tcPr>
            <w:tcW w:w="2443" w:type="dxa"/>
            <w:vMerge/>
            <w:tcBorders>
              <w:left w:val="single" w:sz="4" w:space="0" w:color="auto"/>
              <w:bottom w:val="single" w:sz="4" w:space="0" w:color="auto"/>
            </w:tcBorders>
            <w:shd w:val="clear" w:color="auto" w:fill="FFFFFF"/>
          </w:tcPr>
          <w:p w14:paraId="6DF0D2D5" w14:textId="77777777" w:rsidR="00350D42" w:rsidRDefault="00350D42">
            <w:pPr>
              <w:framePr w:w="6581" w:wrap="notBeside" w:vAnchor="text" w:hAnchor="text" w:xAlign="center" w:y="1"/>
            </w:pPr>
          </w:p>
        </w:tc>
        <w:tc>
          <w:tcPr>
            <w:tcW w:w="1373" w:type="dxa"/>
            <w:tcBorders>
              <w:top w:val="single" w:sz="4" w:space="0" w:color="auto"/>
              <w:left w:val="single" w:sz="4" w:space="0" w:color="auto"/>
              <w:bottom w:val="single" w:sz="4" w:space="0" w:color="auto"/>
            </w:tcBorders>
            <w:shd w:val="clear" w:color="auto" w:fill="FFFFFF"/>
            <w:vAlign w:val="center"/>
          </w:tcPr>
          <w:p w14:paraId="4AD536C8"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зач. ед.</w:t>
            </w:r>
          </w:p>
        </w:tc>
        <w:tc>
          <w:tcPr>
            <w:tcW w:w="1277" w:type="dxa"/>
            <w:tcBorders>
              <w:top w:val="single" w:sz="4" w:space="0" w:color="auto"/>
              <w:left w:val="single" w:sz="4" w:space="0" w:color="auto"/>
              <w:bottom w:val="single" w:sz="4" w:space="0" w:color="auto"/>
            </w:tcBorders>
            <w:shd w:val="clear" w:color="auto" w:fill="FFFFFF"/>
            <w:vAlign w:val="center"/>
          </w:tcPr>
          <w:p w14:paraId="70A364C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14:paraId="475F1DF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w:t>
            </w:r>
          </w:p>
        </w:tc>
      </w:tr>
    </w:tbl>
    <w:p w14:paraId="63738630" w14:textId="77777777" w:rsidR="00350D42" w:rsidRDefault="00350D42">
      <w:pPr>
        <w:framePr w:w="6581" w:wrap="notBeside" w:vAnchor="text" w:hAnchor="text" w:xAlign="center" w:y="1"/>
        <w:rPr>
          <w:sz w:val="2"/>
          <w:szCs w:val="2"/>
        </w:rPr>
      </w:pPr>
    </w:p>
    <w:p w14:paraId="61EFD599" w14:textId="77777777" w:rsidR="00350D42" w:rsidRDefault="00350D42">
      <w:pPr>
        <w:rPr>
          <w:sz w:val="2"/>
          <w:szCs w:val="2"/>
        </w:rPr>
      </w:pPr>
    </w:p>
    <w:p w14:paraId="48E23994" w14:textId="77777777" w:rsidR="00350D42" w:rsidRDefault="008E6F64">
      <w:pPr>
        <w:pStyle w:val="111"/>
        <w:shd w:val="clear" w:color="auto" w:fill="auto"/>
        <w:spacing w:before="0" w:after="0" w:line="250" w:lineRule="exact"/>
        <w:jc w:val="both"/>
      </w:pPr>
      <w:r>
        <w:rPr>
          <w:rStyle w:val="113"/>
          <w:b/>
          <w:bCs/>
        </w:rPr>
        <w:t>нами. Основные подходы к государственному регулированию эко</w:t>
      </w:r>
      <w:r>
        <w:rPr>
          <w:rStyle w:val="113"/>
          <w:b/>
          <w:bCs/>
        </w:rPr>
        <w:softHyphen/>
        <w:t>номики: Д. Кейнс, М. Фридмен, Ф. Хайек. Методы государственного регулирования экономики. Типы государственного регулирования: полный государственный монополизм в управлении хозяйством (СССР). Различные модели сочетания рыночных и государственных регуляторов (японская, шведская модели, ФРГ, Австрия, Китай). Либеральная экономика — неограниченное частное предпринима</w:t>
      </w:r>
      <w:r>
        <w:rPr>
          <w:rStyle w:val="113"/>
          <w:b/>
          <w:bCs/>
        </w:rPr>
        <w:softHyphen/>
        <w:t>тельство.</w:t>
      </w:r>
    </w:p>
    <w:p w14:paraId="29C7CB4B" w14:textId="77777777" w:rsidR="00350D42" w:rsidRDefault="008E6F64">
      <w:pPr>
        <w:pStyle w:val="111"/>
        <w:shd w:val="clear" w:color="auto" w:fill="auto"/>
        <w:spacing w:before="0" w:after="0" w:line="250" w:lineRule="exact"/>
        <w:ind w:firstLine="340"/>
        <w:jc w:val="both"/>
      </w:pPr>
      <w:r>
        <w:rPr>
          <w:rStyle w:val="113"/>
          <w:b/>
          <w:bCs/>
        </w:rPr>
        <w:t>Раздел II. Основные способы и механизмы взаимодействия государства и бизнеса</w:t>
      </w:r>
    </w:p>
    <w:p w14:paraId="70CEBEA1" w14:textId="77777777" w:rsidR="00350D42" w:rsidRDefault="008E6F64">
      <w:pPr>
        <w:pStyle w:val="90"/>
        <w:shd w:val="clear" w:color="auto" w:fill="auto"/>
        <w:spacing w:line="250" w:lineRule="exact"/>
        <w:ind w:firstLine="340"/>
      </w:pPr>
      <w:r>
        <w:rPr>
          <w:rStyle w:val="91"/>
          <w:b/>
          <w:bCs/>
          <w:i/>
          <w:iCs/>
        </w:rPr>
        <w:t>Тема 2. Взаимодействие государства и бизнеса в системе го</w:t>
      </w:r>
      <w:r>
        <w:rPr>
          <w:rStyle w:val="91"/>
          <w:b/>
          <w:bCs/>
          <w:i/>
          <w:iCs/>
        </w:rPr>
        <w:softHyphen/>
        <w:t>сударственных закупок</w:t>
      </w:r>
    </w:p>
    <w:p w14:paraId="46742425" w14:textId="77777777" w:rsidR="00350D42" w:rsidRDefault="008E6F64">
      <w:pPr>
        <w:pStyle w:val="111"/>
        <w:shd w:val="clear" w:color="auto" w:fill="auto"/>
        <w:spacing w:before="0" w:after="0" w:line="250" w:lineRule="exact"/>
        <w:ind w:firstLine="340"/>
        <w:jc w:val="both"/>
      </w:pPr>
      <w:r>
        <w:rPr>
          <w:rStyle w:val="113"/>
          <w:b/>
          <w:bCs/>
        </w:rPr>
        <w:t>Характеристика основных способов взаимодействия государства и бизнеса. Экономические и правовые основы функционирования системы государственных закупок. Зарубежный опыт функциони</w:t>
      </w:r>
      <w:r>
        <w:rPr>
          <w:rStyle w:val="113"/>
          <w:b/>
          <w:bCs/>
        </w:rPr>
        <w:softHyphen/>
        <w:t>рования системы государственных закупок. Особенности реализа</w:t>
      </w:r>
      <w:r>
        <w:rPr>
          <w:rStyle w:val="113"/>
          <w:b/>
          <w:bCs/>
        </w:rPr>
        <w:softHyphen/>
        <w:t>ции системы государственных закупок в Российской Федерации. Экономико-психологические особенности взаимодействия участ</w:t>
      </w:r>
      <w:r>
        <w:rPr>
          <w:rStyle w:val="113"/>
          <w:b/>
          <w:bCs/>
        </w:rPr>
        <w:softHyphen/>
        <w:t>ников государственных закупок.</w:t>
      </w:r>
    </w:p>
    <w:p w14:paraId="709B6A71" w14:textId="77777777" w:rsidR="00350D42" w:rsidRDefault="008E6F64">
      <w:pPr>
        <w:pStyle w:val="90"/>
        <w:shd w:val="clear" w:color="auto" w:fill="auto"/>
        <w:spacing w:line="250" w:lineRule="exact"/>
        <w:ind w:firstLine="340"/>
      </w:pPr>
      <w:r>
        <w:rPr>
          <w:rStyle w:val="91"/>
          <w:b/>
          <w:bCs/>
          <w:i/>
          <w:iCs/>
        </w:rPr>
        <w:t>Тема 3. Особенности взаимодействия власти и бизнеса с по</w:t>
      </w:r>
      <w:r>
        <w:rPr>
          <w:rStyle w:val="91"/>
          <w:b/>
          <w:bCs/>
          <w:i/>
          <w:iCs/>
        </w:rPr>
        <w:softHyphen/>
        <w:t>мощью механизма государственно-частного партнерства</w:t>
      </w:r>
    </w:p>
    <w:p w14:paraId="154F6A70" w14:textId="77777777" w:rsidR="00350D42" w:rsidRDefault="008E6F64">
      <w:pPr>
        <w:pStyle w:val="111"/>
        <w:shd w:val="clear" w:color="auto" w:fill="auto"/>
        <w:spacing w:before="0" w:after="0" w:line="250" w:lineRule="exact"/>
        <w:ind w:firstLine="340"/>
        <w:jc w:val="both"/>
      </w:pPr>
      <w:r>
        <w:rPr>
          <w:rStyle w:val="113"/>
          <w:b/>
          <w:bCs/>
        </w:rPr>
        <w:lastRenderedPageBreak/>
        <w:t>Модели и формы партнерства государства и частного сектора. Контракты, аренда, концессия, соглашение о разделе продукции, со</w:t>
      </w:r>
      <w:r>
        <w:rPr>
          <w:rStyle w:val="113"/>
          <w:b/>
          <w:bCs/>
        </w:rPr>
        <w:softHyphen/>
        <w:t>вместные предприятия. Мировой опыт реализации механизма госу</w:t>
      </w:r>
      <w:r>
        <w:rPr>
          <w:rStyle w:val="113"/>
          <w:b/>
          <w:bCs/>
        </w:rPr>
        <w:softHyphen/>
        <w:t>дарственно-частного партнерства (ГЧП). Мера участия государства и частного бизнеса и условия их сочетания. Уровень интеграции ка</w:t>
      </w:r>
      <w:r>
        <w:rPr>
          <w:rStyle w:val="113"/>
          <w:b/>
          <w:bCs/>
        </w:rPr>
        <w:softHyphen/>
        <w:t>питала при реализации партнерских отношений. Основные черты ГЧП, отличающие его проекты от других форм отношений государ</w:t>
      </w:r>
      <w:r>
        <w:rPr>
          <w:rStyle w:val="113"/>
          <w:b/>
          <w:bCs/>
        </w:rPr>
        <w:softHyphen/>
        <w:t>ства и частного бизнеса. Значение и основные особенности проек</w:t>
      </w:r>
      <w:r>
        <w:rPr>
          <w:rStyle w:val="113"/>
          <w:b/>
          <w:bCs/>
        </w:rPr>
        <w:softHyphen/>
        <w:t>тов ГЧП на уровне местного самоуправления. Проблемы реализации механизма совместных инвестиций в развитие инфраструктуры. Особенности реализации суверенных функций государства в про</w:t>
      </w:r>
      <w:r>
        <w:rPr>
          <w:rStyle w:val="113"/>
          <w:b/>
          <w:bCs/>
        </w:rPr>
        <w:softHyphen/>
        <w:t>ектах ГЧП на основе обобщения теоретического и практического международного опыта. Основные направления организации госу</w:t>
      </w:r>
      <w:r>
        <w:rPr>
          <w:rStyle w:val="113"/>
          <w:b/>
          <w:bCs/>
        </w:rPr>
        <w:softHyphen/>
        <w:t>дарством регулирующей деятельности в сфере партнерства с част</w:t>
      </w:r>
      <w:r>
        <w:rPr>
          <w:rStyle w:val="113"/>
          <w:b/>
          <w:bCs/>
        </w:rPr>
        <w:softHyphen/>
        <w:t>ным бизнесом.</w:t>
      </w:r>
    </w:p>
    <w:p w14:paraId="22B3080E" w14:textId="77777777" w:rsidR="00350D42" w:rsidRDefault="008E6F64">
      <w:pPr>
        <w:pStyle w:val="111"/>
        <w:shd w:val="clear" w:color="auto" w:fill="auto"/>
        <w:spacing w:before="0" w:after="0" w:line="250" w:lineRule="exact"/>
        <w:ind w:firstLine="340"/>
        <w:jc w:val="both"/>
      </w:pPr>
      <w:r>
        <w:rPr>
          <w:rStyle w:val="113"/>
          <w:b/>
          <w:bCs/>
        </w:rPr>
        <w:t>Раздел III. Специфика взаимоотношений власти, бизнеса и общества</w:t>
      </w:r>
    </w:p>
    <w:p w14:paraId="4948D1DC" w14:textId="77777777" w:rsidR="00350D42" w:rsidRDefault="008E6F64">
      <w:pPr>
        <w:pStyle w:val="90"/>
        <w:shd w:val="clear" w:color="auto" w:fill="auto"/>
        <w:spacing w:line="250" w:lineRule="exact"/>
        <w:ind w:firstLine="340"/>
      </w:pPr>
      <w:r>
        <w:rPr>
          <w:rStyle w:val="91"/>
          <w:b/>
          <w:bCs/>
          <w:i/>
          <w:iCs/>
        </w:rPr>
        <w:t>Тема 4. Взаимоотношения власти, бизнеса и общества как фактор социально-экономического развития</w:t>
      </w:r>
    </w:p>
    <w:p w14:paraId="09A7B76C" w14:textId="77777777" w:rsidR="00350D42" w:rsidRDefault="008E6F64">
      <w:pPr>
        <w:pStyle w:val="111"/>
        <w:shd w:val="clear" w:color="auto" w:fill="auto"/>
        <w:spacing w:before="0" w:after="0" w:line="250" w:lineRule="exact"/>
        <w:ind w:firstLine="340"/>
        <w:jc w:val="both"/>
      </w:pPr>
      <w:r>
        <w:rPr>
          <w:rStyle w:val="113"/>
          <w:b/>
          <w:bCs/>
        </w:rPr>
        <w:t>Государство, бизнес и общество как основные элементы системы социального партнерства. Взаимосвязь источников формирования предпринимательской активности и условий развития науки. Срав</w:t>
      </w:r>
      <w:r>
        <w:rPr>
          <w:rStyle w:val="113"/>
          <w:b/>
          <w:bCs/>
        </w:rPr>
        <w:softHyphen/>
        <w:t>нительный анализ взаимного влияния науки и бизнеса в мировой практике и в России. Организационные формы симбиоза предпри</w:t>
      </w:r>
      <w:r>
        <w:rPr>
          <w:rStyle w:val="113"/>
          <w:b/>
          <w:bCs/>
        </w:rPr>
        <w:softHyphen/>
        <w:t>нимательства с наукой: научные парки, технополисы, бизнес-инку</w:t>
      </w:r>
      <w:r>
        <w:rPr>
          <w:rStyle w:val="113"/>
          <w:b/>
          <w:bCs/>
        </w:rPr>
        <w:softHyphen/>
        <w:t>баторы. Перспективы воплощения научного знания в новых видах продукции, работ, услуг. Магистральный путь взаимовыгодного со</w:t>
      </w:r>
      <w:r>
        <w:rPr>
          <w:rStyle w:val="113"/>
          <w:b/>
          <w:bCs/>
        </w:rPr>
        <w:softHyphen/>
        <w:t>единения науки и бизнеса. Уровень социальной ответственности бизнеса. Социальные последствия воздействия деловой активно</w:t>
      </w:r>
      <w:r>
        <w:rPr>
          <w:rStyle w:val="113"/>
          <w:b/>
          <w:bCs/>
        </w:rPr>
        <w:softHyphen/>
        <w:t>сти предприятия на собственный персонал, потребителей и орга</w:t>
      </w:r>
      <w:r>
        <w:rPr>
          <w:rStyle w:val="113"/>
          <w:b/>
          <w:bCs/>
        </w:rPr>
        <w:softHyphen/>
        <w:t>низации, совместно с которыми осуществляется та или иная дея</w:t>
      </w:r>
      <w:r>
        <w:rPr>
          <w:rStyle w:val="113"/>
          <w:b/>
          <w:bCs/>
        </w:rPr>
        <w:softHyphen/>
        <w:t>тельность. Основы благотворительных пожертвований со стороны бизнес-структур. Проблема необходимости повышения социальной ответственности бизнеса.</w:t>
      </w:r>
    </w:p>
    <w:p w14:paraId="02345D31" w14:textId="77777777" w:rsidR="00350D42" w:rsidRDefault="008E6F64">
      <w:pPr>
        <w:pStyle w:val="90"/>
        <w:shd w:val="clear" w:color="auto" w:fill="auto"/>
        <w:spacing w:line="250" w:lineRule="exact"/>
      </w:pPr>
      <w:r>
        <w:rPr>
          <w:rStyle w:val="91"/>
          <w:b/>
          <w:bCs/>
          <w:i/>
          <w:iCs/>
        </w:rPr>
        <w:t>Тема 5. Анализ практики применения антимонопольного ре</w:t>
      </w:r>
      <w:r>
        <w:rPr>
          <w:rStyle w:val="91"/>
          <w:b/>
          <w:bCs/>
          <w:i/>
          <w:iCs/>
        </w:rPr>
        <w:softHyphen/>
        <w:t>гулирования в Российской Федерации</w:t>
      </w:r>
    </w:p>
    <w:p w14:paraId="2DE7C1B2" w14:textId="77777777" w:rsidR="00350D42" w:rsidRDefault="008E6F64">
      <w:pPr>
        <w:pStyle w:val="111"/>
        <w:shd w:val="clear" w:color="auto" w:fill="auto"/>
        <w:spacing w:before="0" w:after="0" w:line="250" w:lineRule="exact"/>
        <w:ind w:firstLine="320"/>
        <w:jc w:val="both"/>
      </w:pPr>
      <w:r>
        <w:rPr>
          <w:rStyle w:val="113"/>
          <w:b/>
          <w:bCs/>
        </w:rPr>
        <w:t>Особенности проведения анализа состояния конкуренции на товарных рынках, определение долей хозяйствующих субъек</w:t>
      </w:r>
      <w:r>
        <w:rPr>
          <w:rStyle w:val="113"/>
          <w:b/>
          <w:bCs/>
        </w:rPr>
        <w:softHyphen/>
        <w:t>тов на рынках определенных товаров, работ, услуг. Понятие до</w:t>
      </w:r>
      <w:r>
        <w:rPr>
          <w:rStyle w:val="113"/>
          <w:b/>
          <w:bCs/>
        </w:rPr>
        <w:softHyphen/>
        <w:t>минирующего хозяйствующего субъекта. Критерии квалификации действий хозяйствующих субъектов на предмет наличия недобро</w:t>
      </w:r>
      <w:r>
        <w:rPr>
          <w:rStyle w:val="113"/>
          <w:b/>
          <w:bCs/>
        </w:rPr>
        <w:softHyphen/>
        <w:t>совестной конкуренции. Примеры злоупотреблений хозяйствую</w:t>
      </w:r>
      <w:r>
        <w:rPr>
          <w:rStyle w:val="113"/>
          <w:b/>
          <w:bCs/>
        </w:rPr>
        <w:softHyphen/>
        <w:t>щими субъектами своим доминирующим положением на рынках энергетических ресурсов. Основы контроля процедуры организации и проведения торгов со стороны субъектов естественных монопо</w:t>
      </w:r>
      <w:r>
        <w:rPr>
          <w:rStyle w:val="113"/>
          <w:b/>
          <w:bCs/>
        </w:rPr>
        <w:softHyphen/>
        <w:t>лий и заключения договоров по результатам таких торгов (конкур</w:t>
      </w:r>
      <w:r>
        <w:rPr>
          <w:rStyle w:val="113"/>
          <w:b/>
          <w:bCs/>
        </w:rPr>
        <w:softHyphen/>
        <w:t>сов и аукционов). Типичные нарушения государственных заказ</w:t>
      </w:r>
      <w:r>
        <w:rPr>
          <w:rStyle w:val="113"/>
          <w:b/>
          <w:bCs/>
        </w:rPr>
        <w:softHyphen/>
        <w:t>чиков при проведении закупочных процедур для государственных и муниципальных нужд. Примеры оценки действий комиссий го</w:t>
      </w:r>
      <w:r>
        <w:rPr>
          <w:rStyle w:val="113"/>
          <w:b/>
          <w:bCs/>
        </w:rPr>
        <w:softHyphen/>
        <w:t>сударственных заказчиков на предмет обоснованности отклонений поступивших заявок участников.</w:t>
      </w:r>
    </w:p>
    <w:p w14:paraId="2EFE998B" w14:textId="77777777" w:rsidR="00350D42" w:rsidRDefault="008E6F64">
      <w:pPr>
        <w:pStyle w:val="111"/>
        <w:shd w:val="clear" w:color="auto" w:fill="auto"/>
        <w:spacing w:before="0" w:after="0" w:line="250" w:lineRule="exact"/>
        <w:ind w:firstLine="320"/>
        <w:jc w:val="both"/>
      </w:pPr>
      <w:r>
        <w:rPr>
          <w:rStyle w:val="113"/>
          <w:b/>
          <w:bCs/>
        </w:rPr>
        <w:t>Раздел IV. Институциональная структура взаимодействия го</w:t>
      </w:r>
      <w:r>
        <w:rPr>
          <w:rStyle w:val="113"/>
          <w:b/>
          <w:bCs/>
        </w:rPr>
        <w:softHyphen/>
        <w:t>сударства и бизнеса</w:t>
      </w:r>
    </w:p>
    <w:p w14:paraId="785525BC" w14:textId="77777777" w:rsidR="00350D42" w:rsidRDefault="008E6F64">
      <w:pPr>
        <w:pStyle w:val="90"/>
        <w:shd w:val="clear" w:color="auto" w:fill="auto"/>
        <w:spacing w:line="250" w:lineRule="exact"/>
      </w:pPr>
      <w:r>
        <w:rPr>
          <w:rStyle w:val="91"/>
          <w:b/>
          <w:bCs/>
          <w:i/>
          <w:iCs/>
        </w:rPr>
        <w:t>Тема 6. Институциональные соглашения как механизм струк</w:t>
      </w:r>
      <w:r>
        <w:rPr>
          <w:rStyle w:val="91"/>
          <w:b/>
          <w:bCs/>
          <w:i/>
          <w:iCs/>
        </w:rPr>
        <w:softHyphen/>
        <w:t>туризации взаимодействия субъектов рыночной экономики</w:t>
      </w:r>
    </w:p>
    <w:p w14:paraId="75959EFF" w14:textId="77777777" w:rsidR="00350D42" w:rsidRDefault="008E6F64">
      <w:pPr>
        <w:pStyle w:val="111"/>
        <w:numPr>
          <w:ilvl w:val="0"/>
          <w:numId w:val="140"/>
        </w:numPr>
        <w:shd w:val="clear" w:color="auto" w:fill="auto"/>
        <w:tabs>
          <w:tab w:val="left" w:pos="627"/>
        </w:tabs>
        <w:spacing w:before="0" w:after="0" w:line="250" w:lineRule="exact"/>
        <w:ind w:firstLine="320"/>
        <w:jc w:val="both"/>
      </w:pPr>
      <w:r>
        <w:rPr>
          <w:rStyle w:val="113"/>
          <w:b/>
          <w:bCs/>
        </w:rPr>
        <w:t>Экономическая природа институциональных соглашений и их особенности в условиях рыночной экономики.</w:t>
      </w:r>
    </w:p>
    <w:p w14:paraId="080186AA" w14:textId="77777777" w:rsidR="00350D42" w:rsidRDefault="008E6F64">
      <w:pPr>
        <w:pStyle w:val="111"/>
        <w:numPr>
          <w:ilvl w:val="0"/>
          <w:numId w:val="140"/>
        </w:numPr>
        <w:shd w:val="clear" w:color="auto" w:fill="auto"/>
        <w:tabs>
          <w:tab w:val="left" w:pos="627"/>
        </w:tabs>
        <w:spacing w:before="0" w:after="0" w:line="250" w:lineRule="exact"/>
        <w:ind w:firstLine="320"/>
        <w:jc w:val="both"/>
      </w:pPr>
      <w:r>
        <w:rPr>
          <w:rStyle w:val="113"/>
          <w:b/>
          <w:bCs/>
        </w:rPr>
        <w:t>Теории контрактов как институциональных соглашений: сравнительный анализ и классификация.</w:t>
      </w:r>
    </w:p>
    <w:p w14:paraId="3D97DC22" w14:textId="77777777" w:rsidR="00350D42" w:rsidRDefault="008E6F64">
      <w:pPr>
        <w:pStyle w:val="111"/>
        <w:numPr>
          <w:ilvl w:val="0"/>
          <w:numId w:val="140"/>
        </w:numPr>
        <w:shd w:val="clear" w:color="auto" w:fill="auto"/>
        <w:tabs>
          <w:tab w:val="left" w:pos="627"/>
        </w:tabs>
        <w:spacing w:before="0" w:after="0" w:line="250" w:lineRule="exact"/>
        <w:ind w:firstLine="320"/>
        <w:jc w:val="both"/>
      </w:pPr>
      <w:r>
        <w:rPr>
          <w:rStyle w:val="113"/>
          <w:b/>
          <w:bCs/>
        </w:rPr>
        <w:lastRenderedPageBreak/>
        <w:t>Институциональная структуризация взаимодействия госу</w:t>
      </w:r>
      <w:r>
        <w:rPr>
          <w:rStyle w:val="113"/>
          <w:b/>
          <w:bCs/>
        </w:rPr>
        <w:softHyphen/>
        <w:t>дарства и бизнеса.</w:t>
      </w:r>
    </w:p>
    <w:p w14:paraId="05E4DCEC" w14:textId="77777777" w:rsidR="00350D42" w:rsidRDefault="008E6F64">
      <w:pPr>
        <w:pStyle w:val="111"/>
        <w:numPr>
          <w:ilvl w:val="0"/>
          <w:numId w:val="140"/>
        </w:numPr>
        <w:shd w:val="clear" w:color="auto" w:fill="auto"/>
        <w:tabs>
          <w:tab w:val="left" w:pos="627"/>
        </w:tabs>
        <w:spacing w:before="0" w:after="0" w:line="250" w:lineRule="exact"/>
        <w:ind w:firstLine="320"/>
        <w:jc w:val="both"/>
      </w:pPr>
      <w:r>
        <w:rPr>
          <w:rStyle w:val="113"/>
          <w:b/>
          <w:bCs/>
        </w:rPr>
        <w:t>Особенности инвестиционного климата в Российской Феде</w:t>
      </w:r>
      <w:r>
        <w:rPr>
          <w:rStyle w:val="113"/>
          <w:b/>
          <w:bCs/>
        </w:rPr>
        <w:softHyphen/>
        <w:t>рации.</w:t>
      </w:r>
    </w:p>
    <w:p w14:paraId="37FBF1AC" w14:textId="77777777" w:rsidR="00350D42" w:rsidRDefault="008E6F64">
      <w:pPr>
        <w:pStyle w:val="111"/>
        <w:numPr>
          <w:ilvl w:val="0"/>
          <w:numId w:val="140"/>
        </w:numPr>
        <w:shd w:val="clear" w:color="auto" w:fill="auto"/>
        <w:tabs>
          <w:tab w:val="left" w:pos="627"/>
        </w:tabs>
        <w:spacing w:before="0" w:after="0" w:line="250" w:lineRule="exact"/>
        <w:ind w:firstLine="320"/>
        <w:jc w:val="both"/>
      </w:pPr>
      <w:r>
        <w:rPr>
          <w:rStyle w:val="113"/>
          <w:b/>
          <w:bCs/>
        </w:rPr>
        <w:t>Институциональные основы инвестиционного климата в Рос</w:t>
      </w:r>
      <w:r>
        <w:rPr>
          <w:rStyle w:val="113"/>
          <w:b/>
          <w:bCs/>
        </w:rPr>
        <w:softHyphen/>
        <w:t>сийской Федерации.</w:t>
      </w:r>
    </w:p>
    <w:p w14:paraId="57732634" w14:textId="77777777" w:rsidR="00350D42" w:rsidRDefault="008E6F64">
      <w:pPr>
        <w:pStyle w:val="90"/>
        <w:shd w:val="clear" w:color="auto" w:fill="auto"/>
        <w:spacing w:line="250" w:lineRule="exact"/>
      </w:pPr>
      <w:r>
        <w:rPr>
          <w:rStyle w:val="91"/>
          <w:b/>
          <w:bCs/>
          <w:i/>
          <w:iCs/>
        </w:rPr>
        <w:t>Тема 7. Адаптационные механизмы поведения государства и бизнеса в условиях циклического развития</w:t>
      </w:r>
    </w:p>
    <w:p w14:paraId="778D871B" w14:textId="77777777" w:rsidR="00350D42" w:rsidRDefault="008E6F64">
      <w:pPr>
        <w:pStyle w:val="111"/>
        <w:shd w:val="clear" w:color="auto" w:fill="auto"/>
        <w:spacing w:before="0" w:after="179" w:line="250" w:lineRule="exact"/>
        <w:ind w:firstLine="320"/>
        <w:jc w:val="both"/>
      </w:pPr>
      <w:r>
        <w:rPr>
          <w:rStyle w:val="113"/>
          <w:b/>
          <w:bCs/>
        </w:rPr>
        <w:t>Сущность, основные причины и фазы циклического разви</w:t>
      </w:r>
      <w:r>
        <w:rPr>
          <w:rStyle w:val="113"/>
          <w:b/>
          <w:bCs/>
        </w:rPr>
        <w:softHyphen/>
        <w:t>тия рыночной экономики. Современные теоретические концеп</w:t>
      </w:r>
      <w:r>
        <w:rPr>
          <w:rStyle w:val="113"/>
          <w:b/>
          <w:bCs/>
        </w:rPr>
        <w:softHyphen/>
        <w:t>ции экономического цикла. Особенности экономических циклов в России. Современные особенности экономических колебаний. Основные формы кризисов. Понятие и виды адаптационных ме</w:t>
      </w:r>
      <w:r>
        <w:rPr>
          <w:rStyle w:val="113"/>
          <w:b/>
          <w:bCs/>
        </w:rPr>
        <w:softHyphen/>
        <w:t>ханизмов. Устойчивость как критерий оценки адаптационных механизмов фирмы. Проблемы устойчивости функционирова</w:t>
      </w:r>
      <w:r>
        <w:rPr>
          <w:rStyle w:val="113"/>
          <w:b/>
          <w:bCs/>
        </w:rPr>
        <w:softHyphen/>
        <w:t>ния российских предприятий в условиях циклического развития. Принципы реализации адаптационного механизма в Российской Федерации.</w:t>
      </w:r>
    </w:p>
    <w:p w14:paraId="0B851E6F" w14:textId="77777777" w:rsidR="00350D42" w:rsidRDefault="008E6F64">
      <w:pPr>
        <w:pStyle w:val="111"/>
        <w:numPr>
          <w:ilvl w:val="0"/>
          <w:numId w:val="141"/>
        </w:numPr>
        <w:shd w:val="clear" w:color="auto" w:fill="auto"/>
        <w:tabs>
          <w:tab w:val="left" w:pos="618"/>
        </w:tabs>
        <w:spacing w:before="0" w:after="141" w:line="226" w:lineRule="exact"/>
        <w:ind w:left="1240" w:hanging="920"/>
        <w:jc w:val="left"/>
      </w:pPr>
      <w:r>
        <w:rPr>
          <w:rStyle w:val="113"/>
          <w:b/>
          <w:bCs/>
        </w:rPr>
        <w:t>Методические рекомендации по изучению дисциплины «Взаимодействие государства и бизнеса»</w:t>
      </w:r>
    </w:p>
    <w:p w14:paraId="0CED331D" w14:textId="77777777" w:rsidR="00350D42" w:rsidRDefault="008E6F64">
      <w:pPr>
        <w:pStyle w:val="111"/>
        <w:shd w:val="clear" w:color="auto" w:fill="auto"/>
        <w:spacing w:before="0" w:after="0" w:line="250" w:lineRule="exact"/>
        <w:ind w:firstLine="320"/>
        <w:jc w:val="both"/>
      </w:pPr>
      <w:r>
        <w:rPr>
          <w:rStyle w:val="113"/>
          <w:b/>
          <w:bCs/>
        </w:rPr>
        <w:t>Лекции по дисциплине «Взаимодействие государства и бизнеса» имеют в основном обзорный характер и нацелены на освещение наиболее трудных и дискуссионных вопросов, а также призваны способствовать формированию навыков работы с научной литера</w:t>
      </w:r>
      <w:r>
        <w:rPr>
          <w:rStyle w:val="113"/>
          <w:b/>
          <w:bCs/>
        </w:rPr>
        <w:softHyphen/>
        <w:t>турой. Предполагается, что студенты приходят на лекции, предвари</w:t>
      </w:r>
      <w:r>
        <w:rPr>
          <w:rStyle w:val="113"/>
          <w:b/>
          <w:bCs/>
        </w:rPr>
        <w:softHyphen/>
        <w:t>тельно проработав соответствующий учебный материал по источ</w:t>
      </w:r>
      <w:r>
        <w:rPr>
          <w:rStyle w:val="113"/>
          <w:b/>
          <w:bCs/>
        </w:rPr>
        <w:softHyphen/>
        <w:t>никам, рекомендуемым программой.</w:t>
      </w:r>
    </w:p>
    <w:p w14:paraId="02CE8826" w14:textId="77777777" w:rsidR="00350D42" w:rsidRDefault="008E6F64">
      <w:pPr>
        <w:pStyle w:val="111"/>
        <w:shd w:val="clear" w:color="auto" w:fill="auto"/>
        <w:spacing w:before="0" w:after="179" w:line="250" w:lineRule="exact"/>
        <w:ind w:firstLine="320"/>
        <w:jc w:val="both"/>
      </w:pPr>
      <w:r>
        <w:rPr>
          <w:rStyle w:val="113"/>
          <w:b/>
          <w:bCs/>
        </w:rPr>
        <w:t>Семинарские занятия в равной мере направлены на совершен</w:t>
      </w:r>
      <w:r>
        <w:rPr>
          <w:rStyle w:val="113"/>
          <w:b/>
          <w:bCs/>
        </w:rPr>
        <w:softHyphen/>
        <w:t>ствование индивидуальных навыков решения теоретических и при</w:t>
      </w:r>
      <w:r>
        <w:rPr>
          <w:rStyle w:val="113"/>
          <w:b/>
          <w:bCs/>
        </w:rPr>
        <w:softHyphen/>
        <w:t>кладных задач, выработку методов интеллектуальной работы с из</w:t>
      </w:r>
      <w:r>
        <w:rPr>
          <w:rStyle w:val="113"/>
          <w:b/>
          <w:bCs/>
        </w:rPr>
        <w:softHyphen/>
        <w:t>учаемым материалом, участие в деловых играх, круглых столах, а также формирование умения проведения дискуссий и аргумента</w:t>
      </w:r>
      <w:r>
        <w:rPr>
          <w:rStyle w:val="113"/>
          <w:b/>
          <w:bCs/>
        </w:rPr>
        <w:softHyphen/>
        <w:t>ции собственных выводов и обобщений. Основной формой подго</w:t>
      </w:r>
      <w:r>
        <w:rPr>
          <w:rStyle w:val="113"/>
          <w:b/>
          <w:bCs/>
        </w:rPr>
        <w:softHyphen/>
        <w:t>товки студентов к семинарским занятиям является самостоятельная работа с учебно-методическими материалами, научной литерату</w:t>
      </w:r>
      <w:r>
        <w:rPr>
          <w:rStyle w:val="113"/>
          <w:b/>
          <w:bCs/>
        </w:rPr>
        <w:softHyphen/>
        <w:t>рой, статистическими данными, информацией о социально-эконо</w:t>
      </w:r>
      <w:r>
        <w:rPr>
          <w:rStyle w:val="113"/>
          <w:b/>
          <w:bCs/>
        </w:rPr>
        <w:softHyphen/>
        <w:t>мических событиях в России.</w:t>
      </w:r>
    </w:p>
    <w:p w14:paraId="4849DE84" w14:textId="77777777" w:rsidR="00350D42" w:rsidRDefault="008E6F64">
      <w:pPr>
        <w:pStyle w:val="111"/>
        <w:numPr>
          <w:ilvl w:val="1"/>
          <w:numId w:val="141"/>
        </w:numPr>
        <w:shd w:val="clear" w:color="auto" w:fill="auto"/>
        <w:tabs>
          <w:tab w:val="left" w:pos="996"/>
        </w:tabs>
        <w:spacing w:before="0" w:after="141" w:line="226" w:lineRule="exact"/>
        <w:ind w:left="1240" w:hanging="720"/>
        <w:jc w:val="left"/>
      </w:pPr>
      <w:r>
        <w:rPr>
          <w:rStyle w:val="113"/>
          <w:b/>
          <w:bCs/>
        </w:rPr>
        <w:t>Советы по планированию и организации времени, необходимого для изучения дисциплины</w:t>
      </w:r>
    </w:p>
    <w:p w14:paraId="54EA3716" w14:textId="77777777" w:rsidR="00350D42" w:rsidRDefault="008E6F64">
      <w:pPr>
        <w:pStyle w:val="111"/>
        <w:shd w:val="clear" w:color="auto" w:fill="auto"/>
        <w:spacing w:before="0" w:after="0" w:line="250" w:lineRule="exact"/>
        <w:ind w:firstLine="320"/>
        <w:jc w:val="both"/>
      </w:pPr>
      <w:r>
        <w:rPr>
          <w:rStyle w:val="113"/>
          <w:b/>
          <w:bCs/>
        </w:rPr>
        <w:t xml:space="preserve">При изучении первого </w:t>
      </w:r>
      <w:r>
        <w:rPr>
          <w:rStyle w:val="112"/>
        </w:rPr>
        <w:t>разд. I</w:t>
      </w:r>
      <w:r>
        <w:rPr>
          <w:rStyle w:val="113"/>
          <w:b/>
          <w:bCs/>
        </w:rPr>
        <w:t xml:space="preserve"> студенты получают представления о ключевых теоретических принципах взаимодействия государства и бизнеса и методологических предпосылках, лежащих в основе ис</w:t>
      </w:r>
      <w:r>
        <w:rPr>
          <w:rStyle w:val="113"/>
          <w:b/>
          <w:bCs/>
        </w:rPr>
        <w:softHyphen/>
        <w:t>следований сущности взаимоотношений государства и бизнеса. По</w:t>
      </w:r>
      <w:r>
        <w:rPr>
          <w:rStyle w:val="113"/>
          <w:b/>
          <w:bCs/>
        </w:rPr>
        <w:softHyphen/>
        <w:t>сле изучения материала этого раздела студентам необходимо:</w:t>
      </w:r>
    </w:p>
    <w:p w14:paraId="38501C43"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понять особенности предмета изучаемой дисциплины и спец</w:t>
      </w:r>
      <w:r>
        <w:rPr>
          <w:rStyle w:val="113"/>
          <w:b/>
          <w:bCs/>
        </w:rPr>
        <w:softHyphen/>
        <w:t>ифику методологии анализа взаимоотношений государства и биз</w:t>
      </w:r>
      <w:r>
        <w:rPr>
          <w:rStyle w:val="113"/>
          <w:b/>
          <w:bCs/>
        </w:rPr>
        <w:softHyphen/>
        <w:t>неса;</w:t>
      </w:r>
    </w:p>
    <w:p w14:paraId="745904F0" w14:textId="77777777" w:rsidR="00350D42" w:rsidRDefault="008E6F64">
      <w:pPr>
        <w:pStyle w:val="111"/>
        <w:numPr>
          <w:ilvl w:val="0"/>
          <w:numId w:val="142"/>
        </w:numPr>
        <w:shd w:val="clear" w:color="auto" w:fill="auto"/>
        <w:tabs>
          <w:tab w:val="left" w:pos="625"/>
        </w:tabs>
        <w:spacing w:before="0" w:after="0" w:line="250" w:lineRule="exact"/>
        <w:ind w:firstLine="320"/>
        <w:jc w:val="both"/>
      </w:pPr>
      <w:r>
        <w:rPr>
          <w:rStyle w:val="113"/>
          <w:b/>
          <w:bCs/>
        </w:rPr>
        <w:t>составить представление об основных подходах к государ</w:t>
      </w:r>
      <w:r>
        <w:rPr>
          <w:rStyle w:val="113"/>
          <w:b/>
          <w:bCs/>
        </w:rPr>
        <w:softHyphen/>
        <w:t>ственному регулированию экономики;</w:t>
      </w:r>
    </w:p>
    <w:p w14:paraId="161F59C9"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выявить основные методы государственного регулирования экономики;</w:t>
      </w:r>
    </w:p>
    <w:p w14:paraId="4BC42B64"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охарактеризовать основные типы государственного регули</w:t>
      </w:r>
      <w:r>
        <w:rPr>
          <w:rStyle w:val="113"/>
          <w:b/>
          <w:bCs/>
        </w:rPr>
        <w:softHyphen/>
        <w:t>рования экономики;</w:t>
      </w:r>
    </w:p>
    <w:p w14:paraId="3FC17E15" w14:textId="77777777" w:rsidR="00350D42" w:rsidRDefault="008E6F64">
      <w:pPr>
        <w:pStyle w:val="2c"/>
        <w:numPr>
          <w:ilvl w:val="0"/>
          <w:numId w:val="142"/>
        </w:numPr>
        <w:shd w:val="clear" w:color="auto" w:fill="auto"/>
        <w:tabs>
          <w:tab w:val="left" w:pos="630"/>
        </w:tabs>
        <w:spacing w:before="0" w:line="254" w:lineRule="exact"/>
        <w:ind w:firstLine="320"/>
      </w:pPr>
      <w:r>
        <w:rPr>
          <w:rStyle w:val="2d"/>
        </w:rPr>
        <w:t>показать, каким образом в разных странах осуществляется применение различных моделей сочетания государственных и ры</w:t>
      </w:r>
      <w:r>
        <w:rPr>
          <w:rStyle w:val="2d"/>
        </w:rPr>
        <w:softHyphen/>
        <w:t>ночных регуляторов.</w:t>
      </w:r>
    </w:p>
    <w:p w14:paraId="7D0ED4E6" w14:textId="77777777" w:rsidR="00350D42" w:rsidRDefault="008E6F64">
      <w:pPr>
        <w:pStyle w:val="2c"/>
        <w:shd w:val="clear" w:color="auto" w:fill="auto"/>
        <w:spacing w:before="0" w:line="254" w:lineRule="exact"/>
        <w:ind w:firstLine="320"/>
      </w:pPr>
      <w:r>
        <w:rPr>
          <w:rStyle w:val="2d"/>
        </w:rPr>
        <w:t xml:space="preserve">Рассмотрение </w:t>
      </w:r>
      <w:r>
        <w:rPr>
          <w:rStyle w:val="2f4"/>
        </w:rPr>
        <w:t>темы 1</w:t>
      </w:r>
      <w:r>
        <w:rPr>
          <w:rStyle w:val="2d"/>
        </w:rPr>
        <w:t xml:space="preserve"> должно быть направлено на уяснение специфики государственного регулирования экономики, а также </w:t>
      </w:r>
      <w:r>
        <w:rPr>
          <w:rStyle w:val="2d"/>
        </w:rPr>
        <w:lastRenderedPageBreak/>
        <w:t>понимание сути и логики формирования различных моделей соче</w:t>
      </w:r>
      <w:r>
        <w:rPr>
          <w:rStyle w:val="2d"/>
        </w:rPr>
        <w:softHyphen/>
        <w:t>тания государственных и рыночных регуляторов. Материал необхо</w:t>
      </w:r>
      <w:r>
        <w:rPr>
          <w:rStyle w:val="2d"/>
        </w:rPr>
        <w:softHyphen/>
        <w:t>димо тщательно проработать в теоретическом плане. В этой теме рассматриваются различные теоретические концепции государ</w:t>
      </w:r>
      <w:r>
        <w:rPr>
          <w:rStyle w:val="2d"/>
        </w:rPr>
        <w:softHyphen/>
        <w:t>ственного регулирования экономики. Поэтому студентам необхо</w:t>
      </w:r>
      <w:r>
        <w:rPr>
          <w:rStyle w:val="2d"/>
        </w:rPr>
        <w:softHyphen/>
        <w:t>димо разобраться в особенностях этих концепций, что очень важно для успешного освоения курса. Освоение данной темы требует зна</w:t>
      </w:r>
      <w:r>
        <w:rPr>
          <w:rStyle w:val="2d"/>
        </w:rPr>
        <w:softHyphen/>
        <w:t>чительной самостоятельной работы, порядка 3—4 ч.</w:t>
      </w:r>
    </w:p>
    <w:p w14:paraId="3D0A83A0" w14:textId="77777777" w:rsidR="00350D42" w:rsidRDefault="008E6F64">
      <w:pPr>
        <w:pStyle w:val="2c"/>
        <w:shd w:val="clear" w:color="auto" w:fill="auto"/>
        <w:spacing w:before="0" w:line="254" w:lineRule="exact"/>
        <w:ind w:firstLine="320"/>
      </w:pPr>
      <w:r>
        <w:rPr>
          <w:rStyle w:val="2d"/>
        </w:rPr>
        <w:t>Изучение методов и типов государственного регулирования эко</w:t>
      </w:r>
      <w:r>
        <w:rPr>
          <w:rStyle w:val="2d"/>
        </w:rPr>
        <w:softHyphen/>
        <w:t>номики дает системное представление об основах взаимоотноше</w:t>
      </w:r>
      <w:r>
        <w:rPr>
          <w:rStyle w:val="2d"/>
        </w:rPr>
        <w:softHyphen/>
        <w:t>ний государства и бизнеса. Особое внимание при изучении данной темы следует уделить понятийному аппарату системы связей, прин</w:t>
      </w:r>
      <w:r>
        <w:rPr>
          <w:rStyle w:val="2d"/>
        </w:rPr>
        <w:softHyphen/>
        <w:t>ципов и инструментов взаимодействия государства и бизнеса.</w:t>
      </w:r>
    </w:p>
    <w:p w14:paraId="57686591" w14:textId="77777777" w:rsidR="00350D42" w:rsidRDefault="008E6F64">
      <w:pPr>
        <w:pStyle w:val="2c"/>
        <w:shd w:val="clear" w:color="auto" w:fill="auto"/>
        <w:spacing w:before="0" w:line="254" w:lineRule="exact"/>
        <w:ind w:firstLine="320"/>
      </w:pPr>
      <w:r>
        <w:rPr>
          <w:rStyle w:val="2d"/>
        </w:rPr>
        <w:t>В целом на первый раздел требуется 7 ч самостоятельной рабо</w:t>
      </w:r>
      <w:r>
        <w:rPr>
          <w:rStyle w:val="2d"/>
        </w:rPr>
        <w:softHyphen/>
        <w:t>ты. Усвоенные знания студенты должны продемонстрировать в рам</w:t>
      </w:r>
      <w:r>
        <w:rPr>
          <w:rStyle w:val="2d"/>
        </w:rPr>
        <w:softHyphen/>
        <w:t>ках участия в круглых столах на семинарских занятиях.</w:t>
      </w:r>
    </w:p>
    <w:p w14:paraId="5B0D60B6" w14:textId="77777777" w:rsidR="00350D42" w:rsidRDefault="008E6F64">
      <w:pPr>
        <w:pStyle w:val="2c"/>
        <w:shd w:val="clear" w:color="auto" w:fill="auto"/>
        <w:spacing w:before="0" w:line="254" w:lineRule="exact"/>
        <w:ind w:firstLine="320"/>
      </w:pPr>
      <w:r>
        <w:rPr>
          <w:rStyle w:val="2d"/>
        </w:rPr>
        <w:t xml:space="preserve">Изучение </w:t>
      </w:r>
      <w:r>
        <w:rPr>
          <w:rStyle w:val="2f4"/>
        </w:rPr>
        <w:t>разд. II</w:t>
      </w:r>
      <w:r>
        <w:rPr>
          <w:rStyle w:val="2d"/>
        </w:rPr>
        <w:t xml:space="preserve"> позволяет:</w:t>
      </w:r>
    </w:p>
    <w:p w14:paraId="2B441BAE" w14:textId="77777777" w:rsidR="00350D42" w:rsidRDefault="008E6F64">
      <w:pPr>
        <w:pStyle w:val="2c"/>
        <w:numPr>
          <w:ilvl w:val="0"/>
          <w:numId w:val="142"/>
        </w:numPr>
        <w:shd w:val="clear" w:color="auto" w:fill="auto"/>
        <w:tabs>
          <w:tab w:val="left" w:pos="630"/>
        </w:tabs>
        <w:spacing w:before="0" w:line="254" w:lineRule="exact"/>
        <w:ind w:firstLine="320"/>
      </w:pPr>
      <w:r>
        <w:rPr>
          <w:rStyle w:val="2d"/>
        </w:rPr>
        <w:t>уяснить особенности взаимодействия государства и бизнеса в системе государственных закупок;</w:t>
      </w:r>
    </w:p>
    <w:p w14:paraId="6EE6BBD3" w14:textId="77777777" w:rsidR="00350D42" w:rsidRDefault="008E6F64">
      <w:pPr>
        <w:pStyle w:val="2c"/>
        <w:numPr>
          <w:ilvl w:val="0"/>
          <w:numId w:val="142"/>
        </w:numPr>
        <w:shd w:val="clear" w:color="auto" w:fill="auto"/>
        <w:tabs>
          <w:tab w:val="left" w:pos="625"/>
        </w:tabs>
        <w:spacing w:before="0" w:line="254" w:lineRule="exact"/>
        <w:ind w:firstLine="320"/>
      </w:pPr>
      <w:r>
        <w:rPr>
          <w:rStyle w:val="2d"/>
        </w:rPr>
        <w:t>определить специфику функционирования системы государ</w:t>
      </w:r>
      <w:r>
        <w:rPr>
          <w:rStyle w:val="2d"/>
        </w:rPr>
        <w:softHyphen/>
        <w:t>ственных закупом в России и за рубежом;</w:t>
      </w:r>
    </w:p>
    <w:p w14:paraId="24C070C9" w14:textId="77777777" w:rsidR="00350D42" w:rsidRDefault="008E6F64">
      <w:pPr>
        <w:pStyle w:val="2c"/>
        <w:numPr>
          <w:ilvl w:val="0"/>
          <w:numId w:val="142"/>
        </w:numPr>
        <w:shd w:val="clear" w:color="auto" w:fill="auto"/>
        <w:tabs>
          <w:tab w:val="left" w:pos="630"/>
        </w:tabs>
        <w:spacing w:before="0" w:line="254" w:lineRule="exact"/>
        <w:ind w:firstLine="320"/>
      </w:pPr>
      <w:r>
        <w:rPr>
          <w:rStyle w:val="2d"/>
        </w:rPr>
        <w:t>проследить, какое влияние оказала система государственных закупок на экономику России;</w:t>
      </w:r>
    </w:p>
    <w:p w14:paraId="05B38E7D" w14:textId="77777777" w:rsidR="00350D42" w:rsidRDefault="008E6F64">
      <w:pPr>
        <w:pStyle w:val="2c"/>
        <w:numPr>
          <w:ilvl w:val="0"/>
          <w:numId w:val="142"/>
        </w:numPr>
        <w:shd w:val="clear" w:color="auto" w:fill="auto"/>
        <w:tabs>
          <w:tab w:val="left" w:pos="630"/>
        </w:tabs>
        <w:spacing w:before="0" w:line="254" w:lineRule="exact"/>
        <w:ind w:firstLine="320"/>
      </w:pPr>
      <w:r>
        <w:rPr>
          <w:rStyle w:val="2d"/>
        </w:rPr>
        <w:t>оценить основные способы взаимодействия государства и бизнеса;</w:t>
      </w:r>
    </w:p>
    <w:p w14:paraId="546DFF1E" w14:textId="77777777" w:rsidR="00350D42" w:rsidRDefault="008E6F64">
      <w:pPr>
        <w:pStyle w:val="2c"/>
        <w:numPr>
          <w:ilvl w:val="0"/>
          <w:numId w:val="142"/>
        </w:numPr>
        <w:shd w:val="clear" w:color="auto" w:fill="auto"/>
        <w:tabs>
          <w:tab w:val="left" w:pos="625"/>
        </w:tabs>
        <w:spacing w:before="0" w:line="254" w:lineRule="exact"/>
        <w:ind w:firstLine="320"/>
      </w:pPr>
      <w:r>
        <w:rPr>
          <w:rStyle w:val="2d"/>
        </w:rPr>
        <w:t>научиться различать модели и формы партнерства государ</w:t>
      </w:r>
      <w:r>
        <w:rPr>
          <w:rStyle w:val="2d"/>
        </w:rPr>
        <w:softHyphen/>
        <w:t>ства и частного сектора.</w:t>
      </w:r>
    </w:p>
    <w:p w14:paraId="1AE0F419" w14:textId="77777777" w:rsidR="00350D42" w:rsidRDefault="008E6F64">
      <w:pPr>
        <w:pStyle w:val="2c"/>
        <w:shd w:val="clear" w:color="auto" w:fill="auto"/>
        <w:spacing w:before="0" w:line="254" w:lineRule="exact"/>
        <w:ind w:firstLine="320"/>
      </w:pPr>
      <w:r>
        <w:rPr>
          <w:rStyle w:val="2d"/>
        </w:rPr>
        <w:t>Темы, входящие в разд. II, требуют весьма серьезной самостоя</w:t>
      </w:r>
      <w:r>
        <w:rPr>
          <w:rStyle w:val="2d"/>
        </w:rPr>
        <w:softHyphen/>
        <w:t>тельной работы, поскольку они предполагают необходимость изуче</w:t>
      </w:r>
      <w:r>
        <w:rPr>
          <w:rStyle w:val="2d"/>
        </w:rPr>
        <w:softHyphen/>
        <w:t>ния способов взаимодействия государства и бизнеса на конкретных примерах. Изучение тем второго раздела рекомендуется сочетать с использованием фактического материала, имеющегося в стати</w:t>
      </w:r>
      <w:r>
        <w:rPr>
          <w:rStyle w:val="2d"/>
        </w:rPr>
        <w:softHyphen/>
        <w:t>стических источниках. При освоении системы государственных за</w:t>
      </w:r>
      <w:r>
        <w:rPr>
          <w:rStyle w:val="2d"/>
        </w:rPr>
        <w:softHyphen/>
        <w:t xml:space="preserve">купок в Российской Федерации </w:t>
      </w:r>
      <w:r>
        <w:rPr>
          <w:rStyle w:val="2f4"/>
        </w:rPr>
        <w:t>(тема 2)</w:t>
      </w:r>
      <w:r>
        <w:rPr>
          <w:rStyle w:val="2d"/>
        </w:rPr>
        <w:t xml:space="preserve"> особое внимание следует уделить федеральной контрактной системе, актуальной на сегод</w:t>
      </w:r>
      <w:r>
        <w:rPr>
          <w:rStyle w:val="2d"/>
        </w:rPr>
        <w:softHyphen/>
        <w:t xml:space="preserve">няшний день. При изучении государственно-частного партнерства </w:t>
      </w:r>
      <w:r>
        <w:rPr>
          <w:rStyle w:val="2f4"/>
        </w:rPr>
        <w:t>(тема 3)</w:t>
      </w:r>
      <w:r>
        <w:rPr>
          <w:rStyle w:val="2d"/>
        </w:rPr>
        <w:t xml:space="preserve"> больше времени необходимо отвести на освоение меха</w:t>
      </w:r>
      <w:r>
        <w:rPr>
          <w:rStyle w:val="2d"/>
        </w:rPr>
        <w:softHyphen/>
        <w:t>низма совместных инвестиций в развитие инфраструктуры (для на</w:t>
      </w:r>
      <w:r>
        <w:rPr>
          <w:rStyle w:val="2d"/>
        </w:rPr>
        <w:softHyphen/>
        <w:t>глядного примера можно рассмотреть Санкт-Петербург). Это свя</w:t>
      </w:r>
      <w:r>
        <w:rPr>
          <w:rStyle w:val="2d"/>
        </w:rPr>
        <w:softHyphen/>
      </w:r>
      <w:r>
        <w:rPr>
          <w:rStyle w:val="113"/>
        </w:rPr>
        <w:t>зано с тем, что в России активно реализуются проекты развития инфраструктуры при помощи совместных инвестиций.</w:t>
      </w:r>
    </w:p>
    <w:p w14:paraId="43012086" w14:textId="77777777" w:rsidR="00350D42" w:rsidRDefault="008E6F64">
      <w:pPr>
        <w:pStyle w:val="111"/>
        <w:shd w:val="clear" w:color="auto" w:fill="auto"/>
        <w:spacing w:before="0" w:after="0" w:line="250" w:lineRule="exact"/>
        <w:ind w:firstLine="320"/>
        <w:jc w:val="both"/>
      </w:pPr>
      <w:r>
        <w:rPr>
          <w:rStyle w:val="113"/>
          <w:b/>
          <w:bCs/>
        </w:rPr>
        <w:t>На освоение материала разд. II требуется 14 ч самостоятельной работы. После его изучения студенты демонстрируют свои знания в процессе деловых игр на семинарских занятиях.</w:t>
      </w:r>
    </w:p>
    <w:p w14:paraId="1D498C6C" w14:textId="77777777" w:rsidR="00350D42" w:rsidRDefault="008E6F64">
      <w:pPr>
        <w:pStyle w:val="111"/>
        <w:shd w:val="clear" w:color="auto" w:fill="auto"/>
        <w:spacing w:before="0" w:after="0" w:line="250" w:lineRule="exact"/>
        <w:ind w:firstLine="320"/>
        <w:jc w:val="both"/>
      </w:pPr>
      <w:r>
        <w:rPr>
          <w:rStyle w:val="112"/>
        </w:rPr>
        <w:t>Раздел III</w:t>
      </w:r>
      <w:r>
        <w:rPr>
          <w:rStyle w:val="113"/>
          <w:b/>
          <w:bCs/>
        </w:rPr>
        <w:t xml:space="preserve"> посвящен особенностям взаимоотношений государ</w:t>
      </w:r>
      <w:r>
        <w:rPr>
          <w:rStyle w:val="113"/>
          <w:b/>
          <w:bCs/>
        </w:rPr>
        <w:softHyphen/>
        <w:t>ства, бизнеса и общества. Основными целями изучения данного раздела являются:</w:t>
      </w:r>
    </w:p>
    <w:p w14:paraId="299CD99C"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lastRenderedPageBreak/>
        <w:t>определение характера взаимосвязи государства, бизнеса и общества как фактора социально-экономического развития;</w:t>
      </w:r>
    </w:p>
    <w:p w14:paraId="01550F5D"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формирование представлений о взаимном влиянии науки и бизнеса в мировой практике и в России;</w:t>
      </w:r>
    </w:p>
    <w:p w14:paraId="373B2685"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выявление специфики воплощения научного знания в новых видах продукции, работ, услуг;</w:t>
      </w:r>
    </w:p>
    <w:p w14:paraId="73419DF2" w14:textId="77777777" w:rsidR="00350D42" w:rsidRDefault="008E6F64">
      <w:pPr>
        <w:pStyle w:val="111"/>
        <w:numPr>
          <w:ilvl w:val="0"/>
          <w:numId w:val="142"/>
        </w:numPr>
        <w:shd w:val="clear" w:color="auto" w:fill="auto"/>
        <w:tabs>
          <w:tab w:val="left" w:pos="671"/>
        </w:tabs>
        <w:spacing w:before="0" w:after="0" w:line="250" w:lineRule="exact"/>
        <w:ind w:firstLine="320"/>
        <w:jc w:val="both"/>
      </w:pPr>
      <w:r>
        <w:rPr>
          <w:rStyle w:val="113"/>
          <w:b/>
          <w:bCs/>
        </w:rPr>
        <w:t>объяснение социальной ответственности бизнеса;</w:t>
      </w:r>
    </w:p>
    <w:p w14:paraId="37554C38"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понимание специфики антимонопольного регулирования в разных отраслях экономики.</w:t>
      </w:r>
    </w:p>
    <w:p w14:paraId="5E59CB32" w14:textId="77777777" w:rsidR="00350D42" w:rsidRDefault="008E6F64">
      <w:pPr>
        <w:pStyle w:val="111"/>
        <w:shd w:val="clear" w:color="auto" w:fill="auto"/>
        <w:spacing w:before="0" w:after="0" w:line="250" w:lineRule="exact"/>
        <w:ind w:firstLine="320"/>
        <w:jc w:val="both"/>
      </w:pPr>
      <w:r>
        <w:rPr>
          <w:rStyle w:val="113"/>
          <w:b/>
          <w:bCs/>
        </w:rPr>
        <w:t xml:space="preserve">При рассмотрении учебного материала </w:t>
      </w:r>
      <w:r>
        <w:rPr>
          <w:rStyle w:val="112"/>
        </w:rPr>
        <w:t>темы 4</w:t>
      </w:r>
      <w:r>
        <w:rPr>
          <w:rStyle w:val="113"/>
          <w:b/>
          <w:bCs/>
        </w:rPr>
        <w:t xml:space="preserve"> следует обратить особое внимание на сравнительный анализ взаимного влияния на</w:t>
      </w:r>
      <w:r>
        <w:rPr>
          <w:rStyle w:val="113"/>
          <w:b/>
          <w:bCs/>
        </w:rPr>
        <w:softHyphen/>
        <w:t xml:space="preserve">уки и бизнеса в мировой практике и в России. Изучая </w:t>
      </w:r>
      <w:r>
        <w:rPr>
          <w:rStyle w:val="112"/>
        </w:rPr>
        <w:t>тему 5,</w:t>
      </w:r>
      <w:r>
        <w:rPr>
          <w:rStyle w:val="113"/>
          <w:b/>
          <w:bCs/>
        </w:rPr>
        <w:t xml:space="preserve"> следу</w:t>
      </w:r>
      <w:r>
        <w:rPr>
          <w:rStyle w:val="113"/>
          <w:b/>
          <w:bCs/>
        </w:rPr>
        <w:softHyphen/>
        <w:t>ет уделить особое внимание анализу состояния конкурентной среды на товарных рынках, определению долей хозяйствующих субъектов на товарных рынках. В теме 5 рассматривается роль государства в регулировании естественных монополий, выявляется специфика проведения торгов субъектами естественных монополий в целях приобретения товаров, работ, услуг для собственных нужд.</w:t>
      </w:r>
    </w:p>
    <w:p w14:paraId="35D5289D" w14:textId="77777777" w:rsidR="00350D42" w:rsidRDefault="008E6F64">
      <w:pPr>
        <w:pStyle w:val="111"/>
        <w:shd w:val="clear" w:color="auto" w:fill="auto"/>
        <w:spacing w:before="0" w:after="0" w:line="250" w:lineRule="exact"/>
        <w:ind w:firstLine="320"/>
        <w:jc w:val="both"/>
      </w:pPr>
      <w:r>
        <w:rPr>
          <w:rStyle w:val="113"/>
          <w:b/>
          <w:bCs/>
        </w:rPr>
        <w:t>На самостоятельную работу по изучению материала, представ</w:t>
      </w:r>
      <w:r>
        <w:rPr>
          <w:rStyle w:val="113"/>
          <w:b/>
          <w:bCs/>
        </w:rPr>
        <w:softHyphen/>
        <w:t>ленного в разд. III, требуется 16 ч. Студенты имеют возможность продемонстрировать полученные знания при решении ситуацион</w:t>
      </w:r>
      <w:r>
        <w:rPr>
          <w:rStyle w:val="113"/>
          <w:b/>
          <w:bCs/>
        </w:rPr>
        <w:softHyphen/>
        <w:t>ных задач, разбираемых на семинарских занятиях.</w:t>
      </w:r>
    </w:p>
    <w:p w14:paraId="4D83D4A5" w14:textId="77777777" w:rsidR="00350D42" w:rsidRDefault="008E6F64">
      <w:pPr>
        <w:pStyle w:val="111"/>
        <w:shd w:val="clear" w:color="auto" w:fill="auto"/>
        <w:spacing w:before="0" w:after="0" w:line="250" w:lineRule="exact"/>
        <w:ind w:firstLine="320"/>
        <w:jc w:val="both"/>
      </w:pPr>
      <w:r>
        <w:rPr>
          <w:rStyle w:val="113"/>
          <w:b/>
          <w:bCs/>
        </w:rPr>
        <w:t>Более углубленно проблематика, представленная в разд. II, III, рассматривается студентами при подготовке эссе.</w:t>
      </w:r>
    </w:p>
    <w:p w14:paraId="55818DF7" w14:textId="77777777" w:rsidR="00350D42" w:rsidRDefault="008E6F64">
      <w:pPr>
        <w:pStyle w:val="111"/>
        <w:shd w:val="clear" w:color="auto" w:fill="auto"/>
        <w:spacing w:before="0" w:after="0" w:line="250" w:lineRule="exact"/>
        <w:ind w:firstLine="320"/>
        <w:jc w:val="both"/>
      </w:pPr>
      <w:r>
        <w:rPr>
          <w:rStyle w:val="113"/>
          <w:b/>
          <w:bCs/>
        </w:rPr>
        <w:t xml:space="preserve">Осваивая учебный материал, включенный в </w:t>
      </w:r>
      <w:r>
        <w:rPr>
          <w:rStyle w:val="112"/>
        </w:rPr>
        <w:t>разд. IV,</w:t>
      </w:r>
      <w:r>
        <w:rPr>
          <w:rStyle w:val="113"/>
          <w:b/>
          <w:bCs/>
        </w:rPr>
        <w:t xml:space="preserve"> студентам следует:</w:t>
      </w:r>
    </w:p>
    <w:p w14:paraId="66301645" w14:textId="77777777" w:rsidR="00350D42" w:rsidRDefault="008E6F64">
      <w:pPr>
        <w:pStyle w:val="111"/>
        <w:numPr>
          <w:ilvl w:val="0"/>
          <w:numId w:val="142"/>
        </w:numPr>
        <w:shd w:val="clear" w:color="auto" w:fill="auto"/>
        <w:tabs>
          <w:tab w:val="left" w:pos="634"/>
        </w:tabs>
        <w:spacing w:before="0" w:after="0" w:line="250" w:lineRule="exact"/>
        <w:ind w:firstLine="320"/>
        <w:jc w:val="both"/>
      </w:pPr>
      <w:r>
        <w:rPr>
          <w:rStyle w:val="113"/>
          <w:b/>
          <w:bCs/>
        </w:rPr>
        <w:t>уяснить значение институциональных основ взаимодействия государства и бизнеса;</w:t>
      </w:r>
    </w:p>
    <w:p w14:paraId="5DD3313A" w14:textId="77777777" w:rsidR="00350D42" w:rsidRDefault="008E6F64">
      <w:pPr>
        <w:pStyle w:val="111"/>
        <w:numPr>
          <w:ilvl w:val="0"/>
          <w:numId w:val="142"/>
        </w:numPr>
        <w:shd w:val="clear" w:color="auto" w:fill="auto"/>
        <w:tabs>
          <w:tab w:val="left" w:pos="629"/>
        </w:tabs>
        <w:spacing w:before="0" w:after="0" w:line="250" w:lineRule="exact"/>
        <w:ind w:firstLine="320"/>
        <w:jc w:val="both"/>
      </w:pPr>
      <w:r>
        <w:rPr>
          <w:rStyle w:val="113"/>
          <w:b/>
          <w:bCs/>
        </w:rPr>
        <w:t>выявить особенности инвестиционного климата в Россий</w:t>
      </w:r>
      <w:r>
        <w:rPr>
          <w:rStyle w:val="113"/>
          <w:b/>
          <w:bCs/>
        </w:rPr>
        <w:softHyphen/>
        <w:t>ской Федерации;</w:t>
      </w:r>
    </w:p>
    <w:p w14:paraId="0A1467F3" w14:textId="77777777" w:rsidR="00350D42" w:rsidRDefault="008E6F64">
      <w:pPr>
        <w:pStyle w:val="111"/>
        <w:numPr>
          <w:ilvl w:val="0"/>
          <w:numId w:val="142"/>
        </w:numPr>
        <w:shd w:val="clear" w:color="auto" w:fill="auto"/>
        <w:tabs>
          <w:tab w:val="left" w:pos="629"/>
        </w:tabs>
        <w:spacing w:before="0" w:after="0" w:line="250" w:lineRule="exact"/>
        <w:ind w:firstLine="320"/>
        <w:jc w:val="both"/>
      </w:pPr>
      <w:r>
        <w:rPr>
          <w:rStyle w:val="113"/>
          <w:b/>
          <w:bCs/>
        </w:rPr>
        <w:t>оценить современные теоретические концепции экономиче</w:t>
      </w:r>
      <w:r>
        <w:rPr>
          <w:rStyle w:val="113"/>
          <w:b/>
          <w:bCs/>
        </w:rPr>
        <w:softHyphen/>
        <w:t>ского цикла;</w:t>
      </w:r>
    </w:p>
    <w:p w14:paraId="4BE47BA4" w14:textId="77777777" w:rsidR="00350D42" w:rsidRDefault="008E6F64">
      <w:pPr>
        <w:pStyle w:val="111"/>
        <w:numPr>
          <w:ilvl w:val="0"/>
          <w:numId w:val="142"/>
        </w:numPr>
        <w:shd w:val="clear" w:color="auto" w:fill="auto"/>
        <w:tabs>
          <w:tab w:val="left" w:pos="629"/>
        </w:tabs>
        <w:spacing w:before="0" w:after="0" w:line="250" w:lineRule="exact"/>
        <w:ind w:firstLine="320"/>
        <w:jc w:val="both"/>
      </w:pPr>
      <w:r>
        <w:rPr>
          <w:rStyle w:val="113"/>
          <w:b/>
          <w:bCs/>
        </w:rPr>
        <w:t>определить основные принципы реализации адаптационных механизмов в Российской Федерации;</w:t>
      </w:r>
    </w:p>
    <w:p w14:paraId="17681C6C"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разобраться, в чем состоит специфика адаптационных меха</w:t>
      </w:r>
      <w:r>
        <w:rPr>
          <w:rStyle w:val="113"/>
          <w:b/>
          <w:bCs/>
        </w:rPr>
        <w:softHyphen/>
        <w:t>низмов поведения государства и бизнеса в условиях циклического развития.</w:t>
      </w:r>
    </w:p>
    <w:p w14:paraId="1017068C" w14:textId="77777777" w:rsidR="00350D42" w:rsidRDefault="008E6F64">
      <w:pPr>
        <w:pStyle w:val="2c"/>
        <w:shd w:val="clear" w:color="auto" w:fill="auto"/>
        <w:spacing w:before="0"/>
        <w:ind w:firstLine="320"/>
      </w:pPr>
      <w:r>
        <w:rPr>
          <w:rStyle w:val="2d"/>
        </w:rPr>
        <w:t>Освоение тем, входящих в данный раздел, вызывает сложности у студентов, поскольку требует понимания всех предыдущих раз</w:t>
      </w:r>
      <w:r>
        <w:rPr>
          <w:rStyle w:val="2d"/>
        </w:rPr>
        <w:softHyphen/>
        <w:t>делов курса и предполагает наличие навыков владения инстру</w:t>
      </w:r>
      <w:r>
        <w:rPr>
          <w:rStyle w:val="2d"/>
        </w:rPr>
        <w:softHyphen/>
        <w:t>ментарием взаимоотношений власти и бизнеса. Они требуют до</w:t>
      </w:r>
      <w:r>
        <w:rPr>
          <w:rStyle w:val="2d"/>
        </w:rPr>
        <w:softHyphen/>
        <w:t>полнительной самостоятельной работы, связанной с осмыслением возможностей использования различных моделей взаимодействия государства и бизнеса для оценки ожидаемых последствий полити</w:t>
      </w:r>
      <w:r>
        <w:rPr>
          <w:rStyle w:val="2d"/>
        </w:rPr>
        <w:softHyphen/>
        <w:t>ки государства при различных экономических условиях. Особен</w:t>
      </w:r>
      <w:r>
        <w:rPr>
          <w:rStyle w:val="2d"/>
        </w:rPr>
        <w:softHyphen/>
        <w:t xml:space="preserve">но это касается </w:t>
      </w:r>
      <w:r>
        <w:rPr>
          <w:rStyle w:val="2f4"/>
        </w:rPr>
        <w:t>темы 7,</w:t>
      </w:r>
      <w:r>
        <w:rPr>
          <w:rStyle w:val="2d"/>
        </w:rPr>
        <w:t xml:space="preserve"> где изучаются современные особенности экономических колебаний, различные формы кризисов, концепции экономических циклов.</w:t>
      </w:r>
    </w:p>
    <w:p w14:paraId="5E62DBE2" w14:textId="77777777" w:rsidR="00350D42" w:rsidRDefault="008E6F64">
      <w:pPr>
        <w:pStyle w:val="2c"/>
        <w:shd w:val="clear" w:color="auto" w:fill="auto"/>
        <w:spacing w:before="0" w:after="179"/>
        <w:ind w:firstLine="320"/>
      </w:pPr>
      <w:r>
        <w:rPr>
          <w:rStyle w:val="2d"/>
        </w:rPr>
        <w:t>На изучение этого завершающего раздела учебного курса необ</w:t>
      </w:r>
      <w:r>
        <w:rPr>
          <w:rStyle w:val="2d"/>
        </w:rPr>
        <w:softHyphen/>
        <w:t>ходимо затратить 15 ч самостоятельной работы. После его освое</w:t>
      </w:r>
      <w:r>
        <w:rPr>
          <w:rStyle w:val="2d"/>
        </w:rPr>
        <w:softHyphen/>
        <w:t>ния студенты демонстрируют свои знания в процессе демонстрации презентации на семинарском занятии.</w:t>
      </w:r>
    </w:p>
    <w:p w14:paraId="119A61B1" w14:textId="77777777" w:rsidR="00350D42" w:rsidRDefault="008E6F64">
      <w:pPr>
        <w:pStyle w:val="111"/>
        <w:numPr>
          <w:ilvl w:val="1"/>
          <w:numId w:val="141"/>
        </w:numPr>
        <w:shd w:val="clear" w:color="auto" w:fill="auto"/>
        <w:tabs>
          <w:tab w:val="left" w:pos="1526"/>
        </w:tabs>
        <w:spacing w:before="0" w:after="141" w:line="226" w:lineRule="exact"/>
        <w:ind w:left="1960" w:right="1020" w:hanging="920"/>
        <w:jc w:val="left"/>
      </w:pPr>
      <w:r>
        <w:rPr>
          <w:rStyle w:val="113"/>
          <w:b/>
          <w:bCs/>
        </w:rPr>
        <w:t>Описание последовательности действий при изучении дисциплины</w:t>
      </w:r>
    </w:p>
    <w:p w14:paraId="6AA28F0D" w14:textId="77777777" w:rsidR="00350D42" w:rsidRDefault="008E6F64">
      <w:pPr>
        <w:pStyle w:val="111"/>
        <w:shd w:val="clear" w:color="auto" w:fill="auto"/>
        <w:spacing w:before="0" w:after="0" w:line="250" w:lineRule="exact"/>
        <w:ind w:firstLine="320"/>
        <w:jc w:val="both"/>
      </w:pPr>
      <w:r>
        <w:rPr>
          <w:rStyle w:val="113"/>
          <w:b/>
          <w:bCs/>
        </w:rPr>
        <w:lastRenderedPageBreak/>
        <w:t>Этап I. Подготовка</w:t>
      </w:r>
    </w:p>
    <w:p w14:paraId="7956D80F" w14:textId="77777777" w:rsidR="00350D42" w:rsidRDefault="008E6F64">
      <w:pPr>
        <w:pStyle w:val="2c"/>
        <w:shd w:val="clear" w:color="auto" w:fill="auto"/>
        <w:spacing w:before="0"/>
        <w:ind w:firstLine="320"/>
      </w:pPr>
      <w:r>
        <w:rPr>
          <w:rStyle w:val="2d"/>
        </w:rPr>
        <w:t>Для эффективного усвоения дисциплины «Взаимодействие го</w:t>
      </w:r>
      <w:r>
        <w:rPr>
          <w:rStyle w:val="2d"/>
        </w:rPr>
        <w:softHyphen/>
        <w:t>сударства и бизнеса» студенту необходимо вспомнить основные категории и причинно-следственные связи экономики, изучаемые в курсах общей экономической теории. Это позволит лучше понять функциональные взаимосвязи государства и бизнеса на уровне всей национальной экономики. Следует также освежить в памяти зна</w:t>
      </w:r>
      <w:r>
        <w:rPr>
          <w:rStyle w:val="2d"/>
        </w:rPr>
        <w:softHyphen/>
        <w:t>ния системы государственного регулирования экономики, основ предпринимательской деятельности, бизнес-планирования, так как в качестве фундамента современное взаимодействие государства и бизнеса использует теоретические основы государственного регу</w:t>
      </w:r>
      <w:r>
        <w:rPr>
          <w:rStyle w:val="2d"/>
        </w:rPr>
        <w:softHyphen/>
        <w:t>лирования как экономики в целом, так и отдельных хозяйствующих субъектов в частности.</w:t>
      </w:r>
    </w:p>
    <w:p w14:paraId="13ABBEB3" w14:textId="77777777" w:rsidR="00350D42" w:rsidRDefault="008E6F64">
      <w:pPr>
        <w:pStyle w:val="111"/>
        <w:shd w:val="clear" w:color="auto" w:fill="auto"/>
        <w:spacing w:before="0" w:after="0" w:line="250" w:lineRule="exact"/>
        <w:ind w:firstLine="320"/>
        <w:jc w:val="both"/>
      </w:pPr>
      <w:r>
        <w:rPr>
          <w:rStyle w:val="113"/>
          <w:b/>
          <w:bCs/>
        </w:rPr>
        <w:t>Этап II. Процесс обучения</w:t>
      </w:r>
    </w:p>
    <w:p w14:paraId="3EBF8742" w14:textId="77777777" w:rsidR="00350D42" w:rsidRDefault="008E6F64">
      <w:pPr>
        <w:pStyle w:val="2c"/>
        <w:shd w:val="clear" w:color="auto" w:fill="auto"/>
        <w:spacing w:before="0"/>
        <w:ind w:firstLine="320"/>
      </w:pPr>
      <w:r>
        <w:rPr>
          <w:rStyle w:val="2d"/>
        </w:rPr>
        <w:t>В ходе обучения студент обязан активно использовать все фор</w:t>
      </w:r>
      <w:r>
        <w:rPr>
          <w:rStyle w:val="2d"/>
        </w:rPr>
        <w:softHyphen/>
        <w:t>мы обучения — посещать лекции и семинарские занятия, получать консультации преподавателя и выполнять самостоятельную работу.</w:t>
      </w:r>
    </w:p>
    <w:p w14:paraId="54B4CB96" w14:textId="77777777" w:rsidR="00350D42" w:rsidRDefault="008E6F64">
      <w:pPr>
        <w:pStyle w:val="2c"/>
        <w:shd w:val="clear" w:color="auto" w:fill="auto"/>
        <w:spacing w:before="0"/>
        <w:ind w:firstLine="320"/>
      </w:pPr>
      <w:r>
        <w:rPr>
          <w:rStyle w:val="2d"/>
        </w:rPr>
        <w:t>Процесс изучения дисциплины включает в себя:</w:t>
      </w:r>
    </w:p>
    <w:p w14:paraId="36F326D0" w14:textId="77777777" w:rsidR="00350D42" w:rsidRDefault="008E6F64">
      <w:pPr>
        <w:pStyle w:val="2c"/>
        <w:numPr>
          <w:ilvl w:val="0"/>
          <w:numId w:val="143"/>
        </w:numPr>
        <w:shd w:val="clear" w:color="auto" w:fill="auto"/>
        <w:tabs>
          <w:tab w:val="left" w:pos="626"/>
        </w:tabs>
        <w:spacing w:before="0"/>
        <w:ind w:firstLine="320"/>
      </w:pPr>
      <w:r>
        <w:rPr>
          <w:rStyle w:val="2d"/>
        </w:rPr>
        <w:t>работу под руководством преподавателя (лекции, семинар</w:t>
      </w:r>
      <w:r>
        <w:rPr>
          <w:rStyle w:val="2d"/>
        </w:rPr>
        <w:softHyphen/>
        <w:t>ские занятия, консультации преподавателя по подготовке эссе, кон</w:t>
      </w:r>
      <w:r>
        <w:rPr>
          <w:rStyle w:val="2d"/>
        </w:rPr>
        <w:softHyphen/>
        <w:t>сультации преподавателя по вопросам, в которых студент не смог разобраться самостоятельно, и консультацию преподавателя перед зачетом);</w:t>
      </w:r>
    </w:p>
    <w:p w14:paraId="2924D3EE" w14:textId="77777777" w:rsidR="00350D42" w:rsidRDefault="008E6F64">
      <w:pPr>
        <w:pStyle w:val="2c"/>
        <w:numPr>
          <w:ilvl w:val="0"/>
          <w:numId w:val="143"/>
        </w:numPr>
        <w:shd w:val="clear" w:color="auto" w:fill="auto"/>
        <w:tabs>
          <w:tab w:val="left" w:pos="626"/>
        </w:tabs>
        <w:spacing w:before="0"/>
        <w:ind w:firstLine="320"/>
      </w:pPr>
      <w:r>
        <w:rPr>
          <w:rStyle w:val="2d"/>
        </w:rPr>
        <w:t>самостоятельную работу студента (проработка текстов лек</w:t>
      </w:r>
      <w:r>
        <w:rPr>
          <w:rStyle w:val="2d"/>
        </w:rPr>
        <w:softHyphen/>
        <w:t>ций, подготовка к семинарским занятиям, самостоятельный поиск и изучение научной литературы, написание эссе, подготовка к сдаче зачета).</w:t>
      </w:r>
    </w:p>
    <w:p w14:paraId="04E30730" w14:textId="77777777" w:rsidR="00350D42" w:rsidRDefault="008E6F64">
      <w:pPr>
        <w:pStyle w:val="111"/>
        <w:shd w:val="clear" w:color="auto" w:fill="auto"/>
        <w:spacing w:before="0" w:after="0" w:line="254" w:lineRule="exact"/>
        <w:ind w:firstLine="320"/>
        <w:jc w:val="both"/>
      </w:pPr>
      <w:r>
        <w:rPr>
          <w:rStyle w:val="113"/>
          <w:b/>
          <w:bCs/>
        </w:rPr>
        <w:t>Основной объем информации по каждой конкретной теме сту</w:t>
      </w:r>
      <w:r>
        <w:rPr>
          <w:rStyle w:val="113"/>
          <w:b/>
          <w:bCs/>
        </w:rPr>
        <w:softHyphen/>
        <w:t>дент получает на лекциях, которые обычно носят проблемный ха</w:t>
      </w:r>
      <w:r>
        <w:rPr>
          <w:rStyle w:val="113"/>
          <w:b/>
          <w:bCs/>
        </w:rPr>
        <w:softHyphen/>
        <w:t>рактер. На них преподаватель знакомит студентов с разными ме</w:t>
      </w:r>
      <w:r>
        <w:rPr>
          <w:rStyle w:val="113"/>
          <w:b/>
          <w:bCs/>
        </w:rPr>
        <w:softHyphen/>
        <w:t>тодологическими подходами к анализу взаимодействия государства и бизнеса, с ведущими представителями основных научных школ. Часто студентам трудно разобраться с дискуссионными проблема</w:t>
      </w:r>
      <w:r>
        <w:rPr>
          <w:rStyle w:val="113"/>
          <w:b/>
          <w:bCs/>
        </w:rPr>
        <w:softHyphen/>
        <w:t>ми, дать однозначный ответ на поставленный вопрос. Преподава</w:t>
      </w:r>
      <w:r>
        <w:rPr>
          <w:rStyle w:val="113"/>
          <w:b/>
          <w:bCs/>
        </w:rPr>
        <w:softHyphen/>
        <w:t>тель, сравнивая различные точки зрения, излагает свой взгляд и на</w:t>
      </w:r>
      <w:r>
        <w:rPr>
          <w:rStyle w:val="113"/>
          <w:b/>
          <w:bCs/>
        </w:rPr>
        <w:softHyphen/>
        <w:t>целивает студентов на дальнейшие исследования и поиск научных решений. После лекции желательно вечером перечитать и закре</w:t>
      </w:r>
      <w:r>
        <w:rPr>
          <w:rStyle w:val="113"/>
          <w:b/>
          <w:bCs/>
        </w:rPr>
        <w:softHyphen/>
        <w:t>пить полученную информацию, тогда эффективность ее усвоения значительно возрастет.</w:t>
      </w:r>
    </w:p>
    <w:p w14:paraId="149778FC" w14:textId="77777777" w:rsidR="00350D42" w:rsidRDefault="008E6F64">
      <w:pPr>
        <w:pStyle w:val="111"/>
        <w:shd w:val="clear" w:color="auto" w:fill="auto"/>
        <w:spacing w:before="0" w:after="0" w:line="254" w:lineRule="exact"/>
        <w:ind w:firstLine="320"/>
        <w:jc w:val="both"/>
      </w:pPr>
      <w:r>
        <w:rPr>
          <w:rStyle w:val="113"/>
          <w:b/>
          <w:bCs/>
        </w:rPr>
        <w:t xml:space="preserve">На </w:t>
      </w:r>
      <w:r>
        <w:rPr>
          <w:rStyle w:val="112"/>
        </w:rPr>
        <w:t>семинарских занятиях</w:t>
      </w:r>
      <w:r>
        <w:rPr>
          <w:rStyle w:val="113"/>
          <w:b/>
          <w:bCs/>
        </w:rPr>
        <w:t xml:space="preserve"> студенты под руководством препода</w:t>
      </w:r>
      <w:r>
        <w:rPr>
          <w:rStyle w:val="113"/>
          <w:b/>
          <w:bCs/>
        </w:rPr>
        <w:softHyphen/>
        <w:t>вателя обсуждают дискуссионные вопросы, заслушивают доклады, проводят деловые игры, решают ситуационные задачи, отвеча</w:t>
      </w:r>
      <w:r>
        <w:rPr>
          <w:rStyle w:val="113"/>
          <w:b/>
          <w:bCs/>
        </w:rPr>
        <w:softHyphen/>
        <w:t>ют на поставленные вопросы, закрепляя приобретенные знания. Успешное проведение семинара во многом зависит от подготовки студентов. Изучив материалы лекции и рекомендованную литерату</w:t>
      </w:r>
      <w:r>
        <w:rPr>
          <w:rStyle w:val="113"/>
          <w:b/>
          <w:bCs/>
        </w:rPr>
        <w:softHyphen/>
        <w:t>ру по конкретной теме курса, студент может определить, насколько хорошо он в ней разобрался. Если какие-то моменты остались не</w:t>
      </w:r>
      <w:r>
        <w:rPr>
          <w:rStyle w:val="113"/>
          <w:b/>
          <w:bCs/>
        </w:rPr>
        <w:softHyphen/>
        <w:t>понятными, целесообразно составить список вопросов и на семи</w:t>
      </w:r>
      <w:r>
        <w:rPr>
          <w:rStyle w:val="113"/>
          <w:b/>
          <w:bCs/>
        </w:rPr>
        <w:softHyphen/>
        <w:t>нарском занятии задать их преподавателю. На семинарах студент набирает баллы по текущей успеваемости, поэтому важно проявить себя с лучшей стороны. Семинар предоставляет возможность сту</w:t>
      </w:r>
      <w:r>
        <w:rPr>
          <w:rStyle w:val="113"/>
          <w:b/>
          <w:bCs/>
        </w:rPr>
        <w:softHyphen/>
        <w:t xml:space="preserve">денту </w:t>
      </w:r>
      <w:r>
        <w:rPr>
          <w:rStyle w:val="113"/>
          <w:b/>
          <w:bCs/>
        </w:rPr>
        <w:lastRenderedPageBreak/>
        <w:t>творчески раскрыться, проявить инициативу и развить на</w:t>
      </w:r>
      <w:r>
        <w:rPr>
          <w:rStyle w:val="113"/>
          <w:b/>
          <w:bCs/>
        </w:rPr>
        <w:softHyphen/>
        <w:t>выки публичного ведения дискуссий и логичного изложения сути рассматриваемых вопросов.</w:t>
      </w:r>
    </w:p>
    <w:p w14:paraId="12090609" w14:textId="77777777" w:rsidR="00350D42" w:rsidRDefault="008E6F64">
      <w:pPr>
        <w:pStyle w:val="111"/>
        <w:shd w:val="clear" w:color="auto" w:fill="auto"/>
        <w:spacing w:before="0" w:after="0" w:line="254" w:lineRule="exact"/>
        <w:ind w:firstLine="320"/>
        <w:jc w:val="both"/>
      </w:pPr>
      <w:r>
        <w:rPr>
          <w:rStyle w:val="113"/>
          <w:b/>
          <w:bCs/>
        </w:rPr>
        <w:t>Самостоятельная работа студентов предполагает изучение ли</w:t>
      </w:r>
      <w:r>
        <w:rPr>
          <w:rStyle w:val="113"/>
          <w:b/>
          <w:bCs/>
        </w:rPr>
        <w:softHyphen/>
        <w:t>тературы по курсу «Взаимодействие государства и бизнеса», систе</w:t>
      </w:r>
      <w:r>
        <w:rPr>
          <w:rStyle w:val="113"/>
          <w:b/>
          <w:bCs/>
        </w:rPr>
        <w:softHyphen/>
        <w:t>матизацию прочитанного материала, подготовку сообщений, эссе, презентаций, подготовку к научно-практической студенческой кон</w:t>
      </w:r>
      <w:r>
        <w:rPr>
          <w:rStyle w:val="113"/>
          <w:b/>
          <w:bCs/>
        </w:rPr>
        <w:softHyphen/>
        <w:t>ференции, сбор, обработку и анализ фактических данных при из</w:t>
      </w:r>
      <w:r>
        <w:rPr>
          <w:rStyle w:val="113"/>
          <w:b/>
          <w:bCs/>
        </w:rPr>
        <w:softHyphen/>
        <w:t>учении тем курса.</w:t>
      </w:r>
    </w:p>
    <w:p w14:paraId="7F393A5E" w14:textId="77777777" w:rsidR="00350D42" w:rsidRDefault="008E6F64">
      <w:pPr>
        <w:pStyle w:val="111"/>
        <w:shd w:val="clear" w:color="auto" w:fill="auto"/>
        <w:spacing w:before="0" w:after="0" w:line="254" w:lineRule="exact"/>
        <w:ind w:firstLine="320"/>
        <w:jc w:val="both"/>
      </w:pPr>
      <w:r>
        <w:rPr>
          <w:rStyle w:val="113"/>
          <w:b/>
          <w:bCs/>
        </w:rPr>
        <w:t>В процессе изучения курса «Взаимодействие государства и биз</w:t>
      </w:r>
      <w:r>
        <w:rPr>
          <w:rStyle w:val="113"/>
          <w:b/>
          <w:bCs/>
        </w:rPr>
        <w:softHyphen/>
        <w:t>неса» студенты осуществляют подготовку эссе, что позволяет им:</w:t>
      </w:r>
    </w:p>
    <w:p w14:paraId="518123B4" w14:textId="77777777" w:rsidR="00350D42" w:rsidRDefault="008E6F64">
      <w:pPr>
        <w:pStyle w:val="111"/>
        <w:numPr>
          <w:ilvl w:val="0"/>
          <w:numId w:val="142"/>
        </w:numPr>
        <w:shd w:val="clear" w:color="auto" w:fill="auto"/>
        <w:tabs>
          <w:tab w:val="left" w:pos="671"/>
        </w:tabs>
        <w:spacing w:before="0" w:after="0" w:line="254" w:lineRule="exact"/>
        <w:ind w:firstLine="320"/>
        <w:jc w:val="both"/>
      </w:pPr>
      <w:r>
        <w:rPr>
          <w:rStyle w:val="113"/>
          <w:b/>
          <w:bCs/>
        </w:rPr>
        <w:t>более глубоко изучить заинтересовавшую их проблему;</w:t>
      </w:r>
    </w:p>
    <w:p w14:paraId="62439E75" w14:textId="77777777" w:rsidR="00350D42" w:rsidRDefault="008E6F64">
      <w:pPr>
        <w:pStyle w:val="111"/>
        <w:numPr>
          <w:ilvl w:val="0"/>
          <w:numId w:val="142"/>
        </w:numPr>
        <w:shd w:val="clear" w:color="auto" w:fill="auto"/>
        <w:tabs>
          <w:tab w:val="left" w:pos="637"/>
        </w:tabs>
        <w:spacing w:before="0" w:after="0" w:line="254" w:lineRule="exact"/>
        <w:ind w:firstLine="320"/>
        <w:jc w:val="both"/>
      </w:pPr>
      <w:r>
        <w:rPr>
          <w:rStyle w:val="113"/>
          <w:b/>
          <w:bCs/>
        </w:rPr>
        <w:t>научиться самостоятельно осуществлять поиск нового теоре</w:t>
      </w:r>
      <w:r>
        <w:rPr>
          <w:rStyle w:val="113"/>
          <w:b/>
          <w:bCs/>
        </w:rPr>
        <w:softHyphen/>
        <w:t>тического материала в дополнительной литературе и фактических данных среди статистической информации по выбранной теме;</w:t>
      </w:r>
    </w:p>
    <w:p w14:paraId="5722E830" w14:textId="77777777" w:rsidR="00350D42" w:rsidRDefault="008E6F64">
      <w:pPr>
        <w:pStyle w:val="111"/>
        <w:numPr>
          <w:ilvl w:val="0"/>
          <w:numId w:val="142"/>
        </w:numPr>
        <w:shd w:val="clear" w:color="auto" w:fill="auto"/>
        <w:tabs>
          <w:tab w:val="left" w:pos="637"/>
        </w:tabs>
        <w:spacing w:before="0" w:after="0" w:line="254" w:lineRule="exact"/>
        <w:ind w:firstLine="320"/>
        <w:jc w:val="both"/>
      </w:pPr>
      <w:r>
        <w:rPr>
          <w:rStyle w:val="113"/>
          <w:b/>
          <w:bCs/>
        </w:rPr>
        <w:t>приобретать навыки краткого и логически последователь</w:t>
      </w:r>
      <w:r>
        <w:rPr>
          <w:rStyle w:val="113"/>
          <w:b/>
          <w:bCs/>
        </w:rPr>
        <w:softHyphen/>
        <w:t>ного изложения сути рассматриваемой проблемы, обосновывать ее актуальность и значимость;</w:t>
      </w:r>
    </w:p>
    <w:p w14:paraId="713252AD" w14:textId="77777777" w:rsidR="00350D42" w:rsidRDefault="008E6F64">
      <w:pPr>
        <w:pStyle w:val="111"/>
        <w:numPr>
          <w:ilvl w:val="0"/>
          <w:numId w:val="142"/>
        </w:numPr>
        <w:shd w:val="clear" w:color="auto" w:fill="auto"/>
        <w:tabs>
          <w:tab w:val="left" w:pos="637"/>
        </w:tabs>
        <w:spacing w:before="0" w:after="0" w:line="254" w:lineRule="exact"/>
        <w:ind w:firstLine="320"/>
        <w:jc w:val="both"/>
      </w:pPr>
      <w:r>
        <w:rPr>
          <w:rStyle w:val="113"/>
          <w:b/>
          <w:bCs/>
        </w:rPr>
        <w:t>определять свою точку зрения по изучаемой проблеме и фор</w:t>
      </w:r>
      <w:r>
        <w:rPr>
          <w:rStyle w:val="113"/>
          <w:b/>
          <w:bCs/>
        </w:rPr>
        <w:softHyphen/>
        <w:t>мулировать собственные выводы и обобщения.</w:t>
      </w:r>
    </w:p>
    <w:p w14:paraId="329A9D80" w14:textId="77777777" w:rsidR="00350D42" w:rsidRDefault="008E6F64">
      <w:pPr>
        <w:pStyle w:val="111"/>
        <w:shd w:val="clear" w:color="auto" w:fill="auto"/>
        <w:spacing w:before="0" w:after="0" w:line="250" w:lineRule="exact"/>
        <w:ind w:firstLine="320"/>
        <w:jc w:val="both"/>
      </w:pPr>
      <w:r>
        <w:rPr>
          <w:rStyle w:val="113"/>
          <w:b/>
          <w:bCs/>
        </w:rPr>
        <w:t>Текущий контроль знаний осуществляется на семинарах в виде проведения промежуточных устных опросов, оценки выполнения самостоятельной работы в форме эссе.</w:t>
      </w:r>
    </w:p>
    <w:p w14:paraId="70990BA4" w14:textId="77777777" w:rsidR="00350D42" w:rsidRDefault="008E6F64">
      <w:pPr>
        <w:pStyle w:val="111"/>
        <w:shd w:val="clear" w:color="auto" w:fill="auto"/>
        <w:spacing w:before="0" w:after="0" w:line="250" w:lineRule="exact"/>
        <w:ind w:firstLine="320"/>
        <w:jc w:val="both"/>
      </w:pPr>
      <w:r>
        <w:rPr>
          <w:rStyle w:val="113"/>
          <w:b/>
          <w:bCs/>
        </w:rPr>
        <w:t>Этап III. Подготовка к зачету</w:t>
      </w:r>
    </w:p>
    <w:p w14:paraId="3A60921B" w14:textId="77777777" w:rsidR="00350D42" w:rsidRDefault="008E6F64">
      <w:pPr>
        <w:pStyle w:val="111"/>
        <w:shd w:val="clear" w:color="auto" w:fill="auto"/>
        <w:spacing w:before="0" w:after="0" w:line="250" w:lineRule="exact"/>
        <w:ind w:firstLine="320"/>
        <w:jc w:val="both"/>
      </w:pPr>
      <w:r>
        <w:rPr>
          <w:rStyle w:val="113"/>
          <w:b/>
          <w:bCs/>
        </w:rPr>
        <w:t>На этом этапе основной задачей является формирование целост</w:t>
      </w:r>
      <w:r>
        <w:rPr>
          <w:rStyle w:val="113"/>
          <w:b/>
          <w:bCs/>
        </w:rPr>
        <w:softHyphen/>
        <w:t>ного представления об основах взаимодействия государства и биз</w:t>
      </w:r>
      <w:r>
        <w:rPr>
          <w:rStyle w:val="113"/>
          <w:b/>
          <w:bCs/>
        </w:rPr>
        <w:softHyphen/>
        <w:t>неса. Для этого необходимо установить взаимосвязь и иерархию отдельных тем курса; понять, в какой последовательности и посред</w:t>
      </w:r>
      <w:r>
        <w:rPr>
          <w:rStyle w:val="113"/>
          <w:b/>
          <w:bCs/>
        </w:rPr>
        <w:softHyphen/>
        <w:t>ством каких инструментов экономического анализа раскрывается содержание каждой темы. Зачет по дисциплине «Взаимодействие государства и бизнеса» является дифференцированным и выстав</w:t>
      </w:r>
      <w:r>
        <w:rPr>
          <w:rStyle w:val="113"/>
          <w:b/>
          <w:bCs/>
        </w:rPr>
        <w:softHyphen/>
        <w:t>ляется студентам в результате успешной сдачи двух контрольных точек, охватывающих все темы курса.</w:t>
      </w:r>
    </w:p>
    <w:p w14:paraId="25D1F5A5" w14:textId="77777777" w:rsidR="00350D42" w:rsidRDefault="008E6F64">
      <w:pPr>
        <w:pStyle w:val="111"/>
        <w:shd w:val="clear" w:color="auto" w:fill="auto"/>
        <w:spacing w:before="0" w:after="0" w:line="250" w:lineRule="exact"/>
        <w:ind w:firstLine="320"/>
        <w:jc w:val="both"/>
      </w:pPr>
      <w:r>
        <w:rPr>
          <w:rStyle w:val="113"/>
          <w:b/>
          <w:bCs/>
        </w:rPr>
        <w:t>При подготовке к сдаче контрольных точек необходимо учиты</w:t>
      </w:r>
      <w:r>
        <w:rPr>
          <w:rStyle w:val="113"/>
          <w:b/>
          <w:bCs/>
        </w:rPr>
        <w:softHyphen/>
        <w:t>вать, что все теоретические проблемы, изучаемые дисциплиной, тесно взаимосвязаны между собой, а все последующие вопросы частично базируются на предыдущем материале. Поэтому при под</w:t>
      </w:r>
      <w:r>
        <w:rPr>
          <w:rStyle w:val="113"/>
          <w:b/>
          <w:bCs/>
        </w:rPr>
        <w:softHyphen/>
        <w:t>готовке к контрольным точкам студент должен четко оперировать всем научным аппаратом, представленным в изученном курсе.</w:t>
      </w:r>
    </w:p>
    <w:p w14:paraId="02C97AA2" w14:textId="77777777" w:rsidR="00350D42" w:rsidRDefault="008E6F64">
      <w:pPr>
        <w:pStyle w:val="111"/>
        <w:shd w:val="clear" w:color="auto" w:fill="auto"/>
        <w:spacing w:before="0" w:after="139" w:line="250" w:lineRule="exact"/>
        <w:ind w:firstLine="320"/>
        <w:jc w:val="both"/>
      </w:pPr>
      <w:r>
        <w:rPr>
          <w:rStyle w:val="113"/>
          <w:b/>
          <w:bCs/>
        </w:rPr>
        <w:t>Важной составляющей подготовки к контрольным точкам явля</w:t>
      </w:r>
      <w:r>
        <w:rPr>
          <w:rStyle w:val="113"/>
          <w:b/>
          <w:bCs/>
        </w:rPr>
        <w:softHyphen/>
        <w:t>ется разумное сочетание использования лекционного материала и рекомендованной преподавателем учебной литературы. Эта ли</w:t>
      </w:r>
      <w:r>
        <w:rPr>
          <w:rStyle w:val="113"/>
          <w:b/>
          <w:bCs/>
        </w:rPr>
        <w:softHyphen/>
        <w:t>тература должна использоваться для более глубокого освоения со</w:t>
      </w:r>
      <w:r>
        <w:rPr>
          <w:rStyle w:val="113"/>
          <w:b/>
          <w:bCs/>
        </w:rPr>
        <w:softHyphen/>
        <w:t>держания теоретических вопросов, рассмотренных на лекциях и се</w:t>
      </w:r>
      <w:r>
        <w:rPr>
          <w:rStyle w:val="113"/>
          <w:b/>
          <w:bCs/>
        </w:rPr>
        <w:softHyphen/>
        <w:t>минарах.</w:t>
      </w:r>
    </w:p>
    <w:p w14:paraId="06725B77" w14:textId="77777777" w:rsidR="00350D42" w:rsidRDefault="008E6F64">
      <w:pPr>
        <w:pStyle w:val="111"/>
        <w:numPr>
          <w:ilvl w:val="1"/>
          <w:numId w:val="141"/>
        </w:numPr>
        <w:shd w:val="clear" w:color="auto" w:fill="auto"/>
        <w:tabs>
          <w:tab w:val="left" w:pos="1546"/>
        </w:tabs>
        <w:spacing w:before="0" w:after="141" w:line="226" w:lineRule="exact"/>
        <w:ind w:left="2120" w:hanging="1060"/>
        <w:jc w:val="left"/>
      </w:pPr>
      <w:r>
        <w:rPr>
          <w:rStyle w:val="113"/>
          <w:b/>
          <w:bCs/>
        </w:rPr>
        <w:t>Методические указания по выполнению самостоятельных работ</w:t>
      </w:r>
    </w:p>
    <w:p w14:paraId="6C2BAA10" w14:textId="77777777" w:rsidR="00350D42" w:rsidRDefault="008E6F64">
      <w:pPr>
        <w:pStyle w:val="180"/>
        <w:shd w:val="clear" w:color="auto" w:fill="auto"/>
        <w:spacing w:after="80"/>
        <w:jc w:val="center"/>
      </w:pPr>
      <w:r>
        <w:rPr>
          <w:rStyle w:val="181"/>
          <w:i/>
          <w:iCs/>
        </w:rPr>
        <w:t>5.3.1. Методические указания по выполнению презентаций</w:t>
      </w:r>
    </w:p>
    <w:p w14:paraId="622823BC" w14:textId="77777777" w:rsidR="00350D42" w:rsidRDefault="008E6F64">
      <w:pPr>
        <w:pStyle w:val="111"/>
        <w:shd w:val="clear" w:color="auto" w:fill="auto"/>
        <w:spacing w:before="0" w:after="0" w:line="250" w:lineRule="exact"/>
        <w:ind w:firstLine="320"/>
        <w:jc w:val="both"/>
      </w:pPr>
      <w:r>
        <w:rPr>
          <w:rStyle w:val="113"/>
          <w:b/>
          <w:bCs/>
        </w:rPr>
        <w:t>Презентация является одним из видов учебной и научно-иссле</w:t>
      </w:r>
      <w:r>
        <w:rPr>
          <w:rStyle w:val="113"/>
          <w:b/>
          <w:bCs/>
        </w:rPr>
        <w:softHyphen/>
        <w:t>довательской работы студентов. Ее основная цель — демонстрация способности к подготовке и проведению докладов с использовани</w:t>
      </w:r>
      <w:r>
        <w:rPr>
          <w:rStyle w:val="113"/>
          <w:b/>
          <w:bCs/>
        </w:rPr>
        <w:softHyphen/>
        <w:t>ем современных информационных технологий, а также формирова</w:t>
      </w:r>
      <w:r>
        <w:rPr>
          <w:rStyle w:val="113"/>
          <w:b/>
          <w:bCs/>
        </w:rPr>
        <w:softHyphen/>
        <w:t>ние у студентов следующих навыков:</w:t>
      </w:r>
    </w:p>
    <w:p w14:paraId="38EFBEA3" w14:textId="77777777" w:rsidR="00350D42" w:rsidRDefault="008E6F64">
      <w:pPr>
        <w:pStyle w:val="111"/>
        <w:numPr>
          <w:ilvl w:val="0"/>
          <w:numId w:val="142"/>
        </w:numPr>
        <w:shd w:val="clear" w:color="auto" w:fill="auto"/>
        <w:tabs>
          <w:tab w:val="left" w:pos="633"/>
        </w:tabs>
        <w:spacing w:before="0" w:after="0" w:line="250" w:lineRule="exact"/>
        <w:ind w:firstLine="320"/>
        <w:jc w:val="both"/>
      </w:pPr>
      <w:r>
        <w:rPr>
          <w:rStyle w:val="113"/>
          <w:b/>
          <w:bCs/>
        </w:rPr>
        <w:t>ориентироваться в категориальном аппарате дисциплины «Взаимодействие государства и бизнеса»;</w:t>
      </w:r>
    </w:p>
    <w:p w14:paraId="607136CC" w14:textId="77777777" w:rsidR="00350D42" w:rsidRDefault="008E6F64">
      <w:pPr>
        <w:pStyle w:val="111"/>
        <w:numPr>
          <w:ilvl w:val="0"/>
          <w:numId w:val="142"/>
        </w:numPr>
        <w:shd w:val="clear" w:color="auto" w:fill="auto"/>
        <w:tabs>
          <w:tab w:val="left" w:pos="633"/>
        </w:tabs>
        <w:spacing w:before="0" w:after="0" w:line="250" w:lineRule="exact"/>
        <w:ind w:firstLine="320"/>
        <w:jc w:val="both"/>
      </w:pPr>
      <w:r>
        <w:rPr>
          <w:rStyle w:val="113"/>
          <w:b/>
          <w:bCs/>
        </w:rPr>
        <w:lastRenderedPageBreak/>
        <w:t>пользоваться научной литературой, статистическими данны</w:t>
      </w:r>
      <w:r>
        <w:rPr>
          <w:rStyle w:val="113"/>
          <w:b/>
          <w:bCs/>
        </w:rPr>
        <w:softHyphen/>
        <w:t>ми, электронными ресурсами;</w:t>
      </w:r>
    </w:p>
    <w:p w14:paraId="72502A2A" w14:textId="77777777" w:rsidR="00350D42" w:rsidRDefault="008E6F64">
      <w:pPr>
        <w:pStyle w:val="111"/>
        <w:numPr>
          <w:ilvl w:val="0"/>
          <w:numId w:val="142"/>
        </w:numPr>
        <w:shd w:val="clear" w:color="auto" w:fill="auto"/>
        <w:tabs>
          <w:tab w:val="left" w:pos="671"/>
        </w:tabs>
        <w:spacing w:before="0" w:after="0" w:line="250" w:lineRule="exact"/>
        <w:ind w:firstLine="320"/>
        <w:jc w:val="both"/>
      </w:pPr>
      <w:r>
        <w:rPr>
          <w:rStyle w:val="113"/>
          <w:b/>
          <w:bCs/>
        </w:rPr>
        <w:t>логично и доступно излагать сложные вопросы.</w:t>
      </w:r>
    </w:p>
    <w:p w14:paraId="086E8958" w14:textId="77777777" w:rsidR="00350D42" w:rsidRDefault="008E6F64">
      <w:pPr>
        <w:pStyle w:val="111"/>
        <w:shd w:val="clear" w:color="auto" w:fill="auto"/>
        <w:spacing w:before="0" w:after="0" w:line="250" w:lineRule="exact"/>
        <w:ind w:firstLine="320"/>
        <w:jc w:val="both"/>
        <w:sectPr w:rsidR="00350D42">
          <w:type w:val="continuous"/>
          <w:pgSz w:w="8789" w:h="13493"/>
          <w:pgMar w:top="924" w:right="1076" w:bottom="1105" w:left="1070" w:header="0" w:footer="3" w:gutter="0"/>
          <w:cols w:space="720"/>
          <w:noEndnote/>
          <w:docGrid w:linePitch="360"/>
        </w:sectPr>
      </w:pPr>
      <w:r>
        <w:rPr>
          <w:rStyle w:val="113"/>
          <w:b/>
          <w:bCs/>
        </w:rPr>
        <w:t>Компьютерная презентация состоит из кадров, иначе называе</w:t>
      </w:r>
      <w:r>
        <w:rPr>
          <w:rStyle w:val="113"/>
          <w:b/>
          <w:bCs/>
        </w:rPr>
        <w:softHyphen/>
        <w:t>мых слайдами. На каждом слайде размещается релевантная тексто</w:t>
      </w:r>
      <w:r>
        <w:rPr>
          <w:rStyle w:val="113"/>
          <w:b/>
          <w:bCs/>
        </w:rPr>
        <w:softHyphen/>
        <w:t>вая, графическая и аудиоинформация, а также видеоклипы, которые в совокупности призваны помочь студенту раскрыть выбранную тему. В презентациях по дисциплине «Взаимодействие государства и бизнеса» должны быть отражены результаты исследования акту</w:t>
      </w:r>
      <w:r>
        <w:rPr>
          <w:rStyle w:val="113"/>
          <w:b/>
          <w:bCs/>
        </w:rPr>
        <w:softHyphen/>
      </w:r>
    </w:p>
    <w:p w14:paraId="1397A0A8" w14:textId="77777777" w:rsidR="00350D42" w:rsidRDefault="008E6F64">
      <w:pPr>
        <w:pStyle w:val="111"/>
        <w:shd w:val="clear" w:color="auto" w:fill="auto"/>
        <w:spacing w:before="0" w:after="0" w:line="250" w:lineRule="exact"/>
        <w:ind w:firstLine="320"/>
        <w:jc w:val="both"/>
      </w:pPr>
      <w:r>
        <w:rPr>
          <w:rStyle w:val="2d"/>
          <w:b w:val="0"/>
          <w:bCs w:val="0"/>
        </w:rPr>
        <w:lastRenderedPageBreak/>
        <w:t>альных проблем взаимодействия государства и бизнеса. Список тем представлен в п. 6 данного приложения.</w:t>
      </w:r>
    </w:p>
    <w:p w14:paraId="3AFAFC89" w14:textId="77777777" w:rsidR="00350D42" w:rsidRDefault="008E6F64">
      <w:pPr>
        <w:pStyle w:val="2c"/>
        <w:shd w:val="clear" w:color="auto" w:fill="auto"/>
        <w:spacing w:before="0"/>
        <w:ind w:firstLine="320"/>
      </w:pPr>
      <w:r>
        <w:rPr>
          <w:rStyle w:val="2d"/>
        </w:rPr>
        <w:t>Для создания презентаций используются специальные компью</w:t>
      </w:r>
      <w:r>
        <w:rPr>
          <w:rStyle w:val="2d"/>
        </w:rPr>
        <w:softHyphen/>
        <w:t xml:space="preserve">терные программы, например </w:t>
      </w:r>
      <w:r>
        <w:rPr>
          <w:rStyle w:val="2f4"/>
          <w:lang w:val="en-US" w:eastAsia="en-US" w:bidi="en-US"/>
        </w:rPr>
        <w:t>Power</w:t>
      </w:r>
      <w:r w:rsidRPr="000E0C7E">
        <w:rPr>
          <w:rStyle w:val="2f4"/>
          <w:lang w:eastAsia="en-US" w:bidi="en-US"/>
        </w:rPr>
        <w:t xml:space="preserve"> </w:t>
      </w:r>
      <w:r>
        <w:rPr>
          <w:rStyle w:val="2f4"/>
          <w:lang w:val="en-US" w:eastAsia="en-US" w:bidi="en-US"/>
        </w:rPr>
        <w:t>Point</w:t>
      </w:r>
      <w:r w:rsidRPr="000E0C7E">
        <w:rPr>
          <w:rStyle w:val="2f4"/>
          <w:lang w:eastAsia="en-US" w:bidi="en-US"/>
        </w:rPr>
        <w:t>,</w:t>
      </w:r>
      <w:r w:rsidRPr="000E0C7E">
        <w:rPr>
          <w:rStyle w:val="2d"/>
          <w:lang w:eastAsia="en-US" w:bidi="en-US"/>
        </w:rPr>
        <w:t xml:space="preserve"> </w:t>
      </w:r>
      <w:r>
        <w:rPr>
          <w:rStyle w:val="2d"/>
        </w:rPr>
        <w:t xml:space="preserve">входящая в состав пакета прикладных программ </w:t>
      </w:r>
      <w:r>
        <w:rPr>
          <w:rStyle w:val="2f4"/>
          <w:lang w:val="en-US" w:eastAsia="en-US" w:bidi="en-US"/>
        </w:rPr>
        <w:t>Microsoft</w:t>
      </w:r>
      <w:r w:rsidRPr="000E0C7E">
        <w:rPr>
          <w:rStyle w:val="2f4"/>
          <w:lang w:eastAsia="en-US" w:bidi="en-US"/>
        </w:rPr>
        <w:t xml:space="preserve"> </w:t>
      </w:r>
      <w:r>
        <w:rPr>
          <w:rStyle w:val="2f4"/>
          <w:lang w:val="en-US" w:eastAsia="en-US" w:bidi="en-US"/>
        </w:rPr>
        <w:t>Office</w:t>
      </w:r>
      <w:r w:rsidRPr="000E0C7E">
        <w:rPr>
          <w:rStyle w:val="2f4"/>
          <w:lang w:eastAsia="en-US" w:bidi="en-US"/>
        </w:rPr>
        <w:t>.</w:t>
      </w:r>
    </w:p>
    <w:p w14:paraId="49B6F3C1" w14:textId="77777777" w:rsidR="00350D42" w:rsidRDefault="008E6F64">
      <w:pPr>
        <w:pStyle w:val="2c"/>
        <w:shd w:val="clear" w:color="auto" w:fill="auto"/>
        <w:spacing w:before="0"/>
        <w:ind w:firstLine="320"/>
      </w:pPr>
      <w:r>
        <w:rPr>
          <w:rStyle w:val="2d"/>
        </w:rPr>
        <w:t>Структура презентации должна иметь следующий вид:</w:t>
      </w:r>
    </w:p>
    <w:p w14:paraId="0AB200BE" w14:textId="77777777" w:rsidR="00350D42" w:rsidRDefault="008E6F64">
      <w:pPr>
        <w:pStyle w:val="2c"/>
        <w:numPr>
          <w:ilvl w:val="0"/>
          <w:numId w:val="142"/>
        </w:numPr>
        <w:shd w:val="clear" w:color="auto" w:fill="auto"/>
        <w:tabs>
          <w:tab w:val="left" w:pos="645"/>
        </w:tabs>
        <w:spacing w:before="0"/>
        <w:ind w:firstLine="320"/>
      </w:pPr>
      <w:r>
        <w:rPr>
          <w:rStyle w:val="2d"/>
        </w:rPr>
        <w:t>титульный слайд с указанием названия учебного заведения, ФИО и группы студента;</w:t>
      </w:r>
    </w:p>
    <w:p w14:paraId="69D33364" w14:textId="77777777" w:rsidR="00350D42" w:rsidRDefault="008E6F64">
      <w:pPr>
        <w:pStyle w:val="2c"/>
        <w:numPr>
          <w:ilvl w:val="0"/>
          <w:numId w:val="142"/>
        </w:numPr>
        <w:shd w:val="clear" w:color="auto" w:fill="auto"/>
        <w:tabs>
          <w:tab w:val="left" w:pos="685"/>
        </w:tabs>
        <w:spacing w:before="0"/>
        <w:ind w:firstLine="320"/>
      </w:pPr>
      <w:r>
        <w:rPr>
          <w:rStyle w:val="2d"/>
        </w:rPr>
        <w:t>слайд с указанием темы работы;</w:t>
      </w:r>
    </w:p>
    <w:p w14:paraId="66677046" w14:textId="77777777" w:rsidR="00350D42" w:rsidRDefault="008E6F64">
      <w:pPr>
        <w:pStyle w:val="2c"/>
        <w:numPr>
          <w:ilvl w:val="0"/>
          <w:numId w:val="142"/>
        </w:numPr>
        <w:shd w:val="clear" w:color="auto" w:fill="auto"/>
        <w:tabs>
          <w:tab w:val="left" w:pos="645"/>
        </w:tabs>
        <w:spacing w:before="0"/>
        <w:ind w:firstLine="320"/>
      </w:pPr>
      <w:r>
        <w:rPr>
          <w:rStyle w:val="2d"/>
        </w:rPr>
        <w:t>два слайда, на которых представлена научная проблематика работы;</w:t>
      </w:r>
    </w:p>
    <w:p w14:paraId="294B0B51" w14:textId="77777777" w:rsidR="00350D42" w:rsidRDefault="008E6F64">
      <w:pPr>
        <w:pStyle w:val="2c"/>
        <w:numPr>
          <w:ilvl w:val="0"/>
          <w:numId w:val="142"/>
        </w:numPr>
        <w:shd w:val="clear" w:color="auto" w:fill="auto"/>
        <w:tabs>
          <w:tab w:val="left" w:pos="645"/>
        </w:tabs>
        <w:spacing w:before="0"/>
        <w:ind w:firstLine="320"/>
      </w:pPr>
      <w:r>
        <w:rPr>
          <w:rStyle w:val="2d"/>
        </w:rPr>
        <w:t>шесть — восемь слайдов с основными выводами и результа</w:t>
      </w:r>
      <w:r>
        <w:rPr>
          <w:rStyle w:val="2d"/>
        </w:rPr>
        <w:softHyphen/>
        <w:t>тами, полученными студентом;</w:t>
      </w:r>
    </w:p>
    <w:p w14:paraId="3EFDECC1" w14:textId="77777777" w:rsidR="00350D42" w:rsidRDefault="008E6F64">
      <w:pPr>
        <w:pStyle w:val="2c"/>
        <w:numPr>
          <w:ilvl w:val="0"/>
          <w:numId w:val="142"/>
        </w:numPr>
        <w:shd w:val="clear" w:color="auto" w:fill="auto"/>
        <w:tabs>
          <w:tab w:val="left" w:pos="685"/>
        </w:tabs>
        <w:spacing w:before="0"/>
        <w:ind w:firstLine="320"/>
      </w:pPr>
      <w:r>
        <w:rPr>
          <w:rStyle w:val="2d"/>
        </w:rPr>
        <w:t>два слайда с указанием использованной литературы;</w:t>
      </w:r>
    </w:p>
    <w:p w14:paraId="2E708926" w14:textId="77777777" w:rsidR="00350D42" w:rsidRDefault="008E6F64">
      <w:pPr>
        <w:pStyle w:val="2c"/>
        <w:numPr>
          <w:ilvl w:val="0"/>
          <w:numId w:val="142"/>
        </w:numPr>
        <w:shd w:val="clear" w:color="auto" w:fill="auto"/>
        <w:tabs>
          <w:tab w:val="left" w:pos="685"/>
        </w:tabs>
        <w:spacing w:before="0"/>
        <w:ind w:firstLine="320"/>
      </w:pPr>
      <w:r>
        <w:rPr>
          <w:rStyle w:val="2d"/>
        </w:rPr>
        <w:t>финальный слайд.</w:t>
      </w:r>
    </w:p>
    <w:p w14:paraId="2E4A32E6" w14:textId="77777777" w:rsidR="00350D42" w:rsidRDefault="008E6F64">
      <w:pPr>
        <w:pStyle w:val="2c"/>
        <w:shd w:val="clear" w:color="auto" w:fill="auto"/>
        <w:spacing w:before="0"/>
        <w:ind w:firstLine="320"/>
      </w:pPr>
      <w:r>
        <w:rPr>
          <w:rStyle w:val="2d"/>
        </w:rPr>
        <w:t>Общее число слайдов в презентации должно составить 13—15.</w:t>
      </w:r>
    </w:p>
    <w:p w14:paraId="6F8F6EF4" w14:textId="77777777" w:rsidR="00350D42" w:rsidRDefault="008E6F64">
      <w:pPr>
        <w:pStyle w:val="2c"/>
        <w:shd w:val="clear" w:color="auto" w:fill="auto"/>
        <w:spacing w:before="0"/>
        <w:ind w:firstLine="320"/>
      </w:pPr>
      <w:r>
        <w:rPr>
          <w:rStyle w:val="2d"/>
        </w:rPr>
        <w:t>Критерии оценки презентации в баллах представлены в табл. П.1.2.</w:t>
      </w:r>
    </w:p>
    <w:p w14:paraId="6CA078D4" w14:textId="77777777" w:rsidR="00350D42" w:rsidRDefault="008E6F64">
      <w:pPr>
        <w:pStyle w:val="180"/>
        <w:shd w:val="clear" w:color="auto" w:fill="auto"/>
      </w:pPr>
      <w:r>
        <w:rPr>
          <w:rStyle w:val="181"/>
          <w:i/>
          <w:iCs/>
        </w:rPr>
        <w:t>Таблица П.1.2</w:t>
      </w:r>
    </w:p>
    <w:p w14:paraId="63485653" w14:textId="77777777" w:rsidR="00350D42" w:rsidRDefault="008E6F64">
      <w:pPr>
        <w:pStyle w:val="3f2"/>
        <w:framePr w:w="6581" w:wrap="notBeside" w:vAnchor="text" w:hAnchor="text" w:xAlign="center" w:y="1"/>
        <w:shd w:val="clear" w:color="auto" w:fill="auto"/>
        <w:spacing w:line="194" w:lineRule="exact"/>
        <w:jc w:val="left"/>
      </w:pPr>
      <w:r>
        <w:rPr>
          <w:rStyle w:val="3f3"/>
          <w:b/>
          <w:bCs/>
        </w:rPr>
        <w:t>Критерии оценки презентации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86"/>
        <w:gridCol w:w="1493"/>
        <w:gridCol w:w="1502"/>
      </w:tblGrid>
      <w:tr w:rsidR="00350D42" w14:paraId="036C64EF" w14:textId="77777777">
        <w:trPr>
          <w:trHeight w:hRule="exact" w:val="398"/>
          <w:jc w:val="center"/>
        </w:trPr>
        <w:tc>
          <w:tcPr>
            <w:tcW w:w="3586" w:type="dxa"/>
            <w:vMerge w:val="restart"/>
            <w:tcBorders>
              <w:top w:val="single" w:sz="4" w:space="0" w:color="auto"/>
              <w:left w:val="single" w:sz="4" w:space="0" w:color="auto"/>
            </w:tcBorders>
            <w:shd w:val="clear" w:color="auto" w:fill="FFFFFF"/>
          </w:tcPr>
          <w:p w14:paraId="69248AFC"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Критерий оценки</w:t>
            </w:r>
          </w:p>
        </w:tc>
        <w:tc>
          <w:tcPr>
            <w:tcW w:w="2995" w:type="dxa"/>
            <w:gridSpan w:val="2"/>
            <w:tcBorders>
              <w:top w:val="single" w:sz="4" w:space="0" w:color="auto"/>
              <w:left w:val="single" w:sz="4" w:space="0" w:color="auto"/>
              <w:right w:val="single" w:sz="4" w:space="0" w:color="auto"/>
            </w:tcBorders>
            <w:shd w:val="clear" w:color="auto" w:fill="FFFFFF"/>
            <w:vAlign w:val="center"/>
          </w:tcPr>
          <w:p w14:paraId="39F4E7C6"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Оценка в баллах</w:t>
            </w:r>
          </w:p>
        </w:tc>
      </w:tr>
      <w:tr w:rsidR="00350D42" w14:paraId="69199619" w14:textId="77777777">
        <w:trPr>
          <w:trHeight w:hRule="exact" w:val="394"/>
          <w:jc w:val="center"/>
        </w:trPr>
        <w:tc>
          <w:tcPr>
            <w:tcW w:w="3586" w:type="dxa"/>
            <w:vMerge/>
            <w:tcBorders>
              <w:left w:val="single" w:sz="4" w:space="0" w:color="auto"/>
            </w:tcBorders>
            <w:shd w:val="clear" w:color="auto" w:fill="FFFFFF"/>
          </w:tcPr>
          <w:p w14:paraId="7068DBAB" w14:textId="77777777" w:rsidR="00350D42" w:rsidRDefault="00350D42">
            <w:pPr>
              <w:framePr w:w="6581" w:wrap="notBeside" w:vAnchor="text" w:hAnchor="text" w:xAlign="center" w:y="1"/>
            </w:pPr>
          </w:p>
        </w:tc>
        <w:tc>
          <w:tcPr>
            <w:tcW w:w="1493" w:type="dxa"/>
            <w:tcBorders>
              <w:top w:val="single" w:sz="4" w:space="0" w:color="auto"/>
              <w:left w:val="single" w:sz="4" w:space="0" w:color="auto"/>
            </w:tcBorders>
            <w:shd w:val="clear" w:color="auto" w:fill="FFFFFF"/>
            <w:vAlign w:val="center"/>
          </w:tcPr>
          <w:p w14:paraId="01C02DD4"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Минимум</w:t>
            </w:r>
          </w:p>
        </w:tc>
        <w:tc>
          <w:tcPr>
            <w:tcW w:w="1502" w:type="dxa"/>
            <w:tcBorders>
              <w:top w:val="single" w:sz="4" w:space="0" w:color="auto"/>
              <w:left w:val="single" w:sz="4" w:space="0" w:color="auto"/>
              <w:right w:val="single" w:sz="4" w:space="0" w:color="auto"/>
            </w:tcBorders>
            <w:shd w:val="clear" w:color="auto" w:fill="FFFFFF"/>
            <w:vAlign w:val="center"/>
          </w:tcPr>
          <w:p w14:paraId="44AAD77C"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Максимум</w:t>
            </w:r>
          </w:p>
        </w:tc>
      </w:tr>
      <w:tr w:rsidR="00350D42" w14:paraId="5775856B" w14:textId="77777777">
        <w:trPr>
          <w:trHeight w:hRule="exact" w:val="394"/>
          <w:jc w:val="center"/>
        </w:trPr>
        <w:tc>
          <w:tcPr>
            <w:tcW w:w="3586" w:type="dxa"/>
            <w:tcBorders>
              <w:top w:val="single" w:sz="4" w:space="0" w:color="auto"/>
              <w:left w:val="single" w:sz="4" w:space="0" w:color="auto"/>
            </w:tcBorders>
            <w:shd w:val="clear" w:color="auto" w:fill="FFFFFF"/>
            <w:vAlign w:val="center"/>
          </w:tcPr>
          <w:p w14:paraId="15A03D10"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Содержание презентации</w:t>
            </w:r>
          </w:p>
        </w:tc>
        <w:tc>
          <w:tcPr>
            <w:tcW w:w="1493" w:type="dxa"/>
            <w:tcBorders>
              <w:top w:val="single" w:sz="4" w:space="0" w:color="auto"/>
              <w:left w:val="single" w:sz="4" w:space="0" w:color="auto"/>
            </w:tcBorders>
            <w:shd w:val="clear" w:color="auto" w:fill="FFFFFF"/>
            <w:vAlign w:val="center"/>
          </w:tcPr>
          <w:p w14:paraId="3F534B9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21</w:t>
            </w:r>
          </w:p>
        </w:tc>
        <w:tc>
          <w:tcPr>
            <w:tcW w:w="1502" w:type="dxa"/>
            <w:tcBorders>
              <w:top w:val="single" w:sz="4" w:space="0" w:color="auto"/>
              <w:left w:val="single" w:sz="4" w:space="0" w:color="auto"/>
              <w:right w:val="single" w:sz="4" w:space="0" w:color="auto"/>
            </w:tcBorders>
            <w:shd w:val="clear" w:color="auto" w:fill="FFFFFF"/>
            <w:vAlign w:val="center"/>
          </w:tcPr>
          <w:p w14:paraId="7987528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25</w:t>
            </w:r>
          </w:p>
        </w:tc>
      </w:tr>
      <w:tr w:rsidR="00350D42" w14:paraId="0A9C04D5" w14:textId="77777777">
        <w:trPr>
          <w:trHeight w:hRule="exact" w:val="394"/>
          <w:jc w:val="center"/>
        </w:trPr>
        <w:tc>
          <w:tcPr>
            <w:tcW w:w="3586" w:type="dxa"/>
            <w:tcBorders>
              <w:top w:val="single" w:sz="4" w:space="0" w:color="auto"/>
              <w:left w:val="single" w:sz="4" w:space="0" w:color="auto"/>
            </w:tcBorders>
            <w:shd w:val="clear" w:color="auto" w:fill="FFFFFF"/>
            <w:vAlign w:val="center"/>
          </w:tcPr>
          <w:p w14:paraId="528C3043"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Структура презентации</w:t>
            </w:r>
          </w:p>
        </w:tc>
        <w:tc>
          <w:tcPr>
            <w:tcW w:w="1493" w:type="dxa"/>
            <w:tcBorders>
              <w:top w:val="single" w:sz="4" w:space="0" w:color="auto"/>
              <w:left w:val="single" w:sz="4" w:space="0" w:color="auto"/>
            </w:tcBorders>
            <w:shd w:val="clear" w:color="auto" w:fill="FFFFFF"/>
            <w:vAlign w:val="center"/>
          </w:tcPr>
          <w:p w14:paraId="672464B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w:t>
            </w:r>
          </w:p>
        </w:tc>
        <w:tc>
          <w:tcPr>
            <w:tcW w:w="1502" w:type="dxa"/>
            <w:tcBorders>
              <w:top w:val="single" w:sz="4" w:space="0" w:color="auto"/>
              <w:left w:val="single" w:sz="4" w:space="0" w:color="auto"/>
              <w:right w:val="single" w:sz="4" w:space="0" w:color="auto"/>
            </w:tcBorders>
            <w:shd w:val="clear" w:color="auto" w:fill="FFFFFF"/>
            <w:vAlign w:val="center"/>
          </w:tcPr>
          <w:p w14:paraId="7A397DC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w:t>
            </w:r>
          </w:p>
        </w:tc>
      </w:tr>
      <w:tr w:rsidR="00350D42" w14:paraId="6E2D2347" w14:textId="77777777">
        <w:trPr>
          <w:trHeight w:hRule="exact" w:val="394"/>
          <w:jc w:val="center"/>
        </w:trPr>
        <w:tc>
          <w:tcPr>
            <w:tcW w:w="3586" w:type="dxa"/>
            <w:tcBorders>
              <w:top w:val="single" w:sz="4" w:space="0" w:color="auto"/>
              <w:left w:val="single" w:sz="4" w:space="0" w:color="auto"/>
            </w:tcBorders>
            <w:shd w:val="clear" w:color="auto" w:fill="FFFFFF"/>
            <w:vAlign w:val="center"/>
          </w:tcPr>
          <w:p w14:paraId="1E720D7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Дизайн (оформление и эффекты)</w:t>
            </w:r>
          </w:p>
        </w:tc>
        <w:tc>
          <w:tcPr>
            <w:tcW w:w="1493" w:type="dxa"/>
            <w:tcBorders>
              <w:top w:val="single" w:sz="4" w:space="0" w:color="auto"/>
              <w:left w:val="single" w:sz="4" w:space="0" w:color="auto"/>
            </w:tcBorders>
            <w:shd w:val="clear" w:color="auto" w:fill="FFFFFF"/>
            <w:vAlign w:val="center"/>
          </w:tcPr>
          <w:p w14:paraId="187B368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w:t>
            </w:r>
          </w:p>
        </w:tc>
        <w:tc>
          <w:tcPr>
            <w:tcW w:w="1502" w:type="dxa"/>
            <w:tcBorders>
              <w:top w:val="single" w:sz="4" w:space="0" w:color="auto"/>
              <w:left w:val="single" w:sz="4" w:space="0" w:color="auto"/>
              <w:right w:val="single" w:sz="4" w:space="0" w:color="auto"/>
            </w:tcBorders>
            <w:shd w:val="clear" w:color="auto" w:fill="FFFFFF"/>
            <w:vAlign w:val="center"/>
          </w:tcPr>
          <w:p w14:paraId="49E841B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w:t>
            </w:r>
          </w:p>
        </w:tc>
      </w:tr>
      <w:tr w:rsidR="00350D42" w14:paraId="5F7B15CC" w14:textId="77777777">
        <w:trPr>
          <w:trHeight w:hRule="exact" w:val="394"/>
          <w:jc w:val="center"/>
        </w:trPr>
        <w:tc>
          <w:tcPr>
            <w:tcW w:w="3586" w:type="dxa"/>
            <w:tcBorders>
              <w:top w:val="single" w:sz="4" w:space="0" w:color="auto"/>
              <w:left w:val="single" w:sz="4" w:space="0" w:color="auto"/>
            </w:tcBorders>
            <w:shd w:val="clear" w:color="auto" w:fill="FFFFFF"/>
            <w:vAlign w:val="center"/>
          </w:tcPr>
          <w:p w14:paraId="54AF3DEC"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Техника исполнения</w:t>
            </w:r>
          </w:p>
        </w:tc>
        <w:tc>
          <w:tcPr>
            <w:tcW w:w="1493" w:type="dxa"/>
            <w:tcBorders>
              <w:top w:val="single" w:sz="4" w:space="0" w:color="auto"/>
              <w:left w:val="single" w:sz="4" w:space="0" w:color="auto"/>
            </w:tcBorders>
            <w:shd w:val="clear" w:color="auto" w:fill="FFFFFF"/>
            <w:vAlign w:val="center"/>
          </w:tcPr>
          <w:p w14:paraId="61E76C8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3</w:t>
            </w:r>
          </w:p>
        </w:tc>
        <w:tc>
          <w:tcPr>
            <w:tcW w:w="1502" w:type="dxa"/>
            <w:tcBorders>
              <w:top w:val="single" w:sz="4" w:space="0" w:color="auto"/>
              <w:left w:val="single" w:sz="4" w:space="0" w:color="auto"/>
              <w:right w:val="single" w:sz="4" w:space="0" w:color="auto"/>
            </w:tcBorders>
            <w:shd w:val="clear" w:color="auto" w:fill="FFFFFF"/>
            <w:vAlign w:val="center"/>
          </w:tcPr>
          <w:p w14:paraId="063CA46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w:t>
            </w:r>
          </w:p>
        </w:tc>
      </w:tr>
      <w:tr w:rsidR="00350D42" w14:paraId="7739FF76" w14:textId="77777777">
        <w:trPr>
          <w:trHeight w:hRule="exact" w:val="408"/>
          <w:jc w:val="center"/>
        </w:trPr>
        <w:tc>
          <w:tcPr>
            <w:tcW w:w="3586" w:type="dxa"/>
            <w:tcBorders>
              <w:top w:val="single" w:sz="4" w:space="0" w:color="auto"/>
              <w:left w:val="single" w:sz="4" w:space="0" w:color="auto"/>
              <w:bottom w:val="single" w:sz="4" w:space="0" w:color="auto"/>
            </w:tcBorders>
            <w:shd w:val="clear" w:color="auto" w:fill="FFFFFF"/>
            <w:vAlign w:val="center"/>
          </w:tcPr>
          <w:p w14:paraId="100016E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Итого</w:t>
            </w:r>
          </w:p>
        </w:tc>
        <w:tc>
          <w:tcPr>
            <w:tcW w:w="1493" w:type="dxa"/>
            <w:tcBorders>
              <w:top w:val="single" w:sz="4" w:space="0" w:color="auto"/>
              <w:left w:val="single" w:sz="4" w:space="0" w:color="auto"/>
              <w:bottom w:val="single" w:sz="4" w:space="0" w:color="auto"/>
            </w:tcBorders>
            <w:shd w:val="clear" w:color="auto" w:fill="FFFFFF"/>
            <w:vAlign w:val="center"/>
          </w:tcPr>
          <w:p w14:paraId="6E7BE6B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30</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14:paraId="2250222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40</w:t>
            </w:r>
          </w:p>
        </w:tc>
      </w:tr>
    </w:tbl>
    <w:p w14:paraId="070A49E8" w14:textId="77777777" w:rsidR="00350D42" w:rsidRDefault="00350D42">
      <w:pPr>
        <w:framePr w:w="6581" w:wrap="notBeside" w:vAnchor="text" w:hAnchor="text" w:xAlign="center" w:y="1"/>
        <w:rPr>
          <w:sz w:val="2"/>
          <w:szCs w:val="2"/>
        </w:rPr>
      </w:pPr>
    </w:p>
    <w:p w14:paraId="30C1FC75" w14:textId="77777777" w:rsidR="00350D42" w:rsidRDefault="00350D42">
      <w:pPr>
        <w:rPr>
          <w:sz w:val="2"/>
          <w:szCs w:val="2"/>
        </w:rPr>
      </w:pPr>
    </w:p>
    <w:p w14:paraId="1CFEF0AB" w14:textId="77777777" w:rsidR="00350D42" w:rsidRDefault="008E6F64">
      <w:pPr>
        <w:pStyle w:val="2c"/>
        <w:shd w:val="clear" w:color="auto" w:fill="auto"/>
        <w:spacing w:before="78"/>
        <w:ind w:firstLine="320"/>
      </w:pPr>
      <w:r>
        <w:rPr>
          <w:rStyle w:val="2d"/>
        </w:rPr>
        <w:t>Для успешного выполнения презентации студенту необходимо обратиться к научной и учебной литературе с целью уточнения зна</w:t>
      </w:r>
      <w:r>
        <w:rPr>
          <w:rStyle w:val="2d"/>
        </w:rPr>
        <w:softHyphen/>
        <w:t>чений тех или иных понятий, получения информации об определен</w:t>
      </w:r>
      <w:r>
        <w:rPr>
          <w:rStyle w:val="2d"/>
        </w:rPr>
        <w:softHyphen/>
        <w:t>ных персоналиях и событиях и пр.</w:t>
      </w:r>
    </w:p>
    <w:p w14:paraId="7B6393A1" w14:textId="77777777" w:rsidR="00350D42" w:rsidRDefault="008E6F64">
      <w:pPr>
        <w:pStyle w:val="2c"/>
        <w:shd w:val="clear" w:color="auto" w:fill="auto"/>
        <w:spacing w:before="0"/>
        <w:ind w:firstLine="320"/>
      </w:pPr>
      <w:r>
        <w:rPr>
          <w:rStyle w:val="2d"/>
        </w:rPr>
        <w:t>К выполнению работы следует приступить в самом начале семе</w:t>
      </w:r>
      <w:r>
        <w:rPr>
          <w:rStyle w:val="2d"/>
        </w:rPr>
        <w:softHyphen/>
        <w:t>стра. Если презентация будет сдана позже срока, установленного преподавателем, то общая оценка в баллах будет снижена до мини</w:t>
      </w:r>
      <w:r>
        <w:rPr>
          <w:rStyle w:val="2d"/>
        </w:rPr>
        <w:softHyphen/>
        <w:t>мума.</w:t>
      </w:r>
    </w:p>
    <w:p w14:paraId="36237A94" w14:textId="77777777" w:rsidR="00350D42" w:rsidRDefault="008E6F64">
      <w:pPr>
        <w:pStyle w:val="2c"/>
        <w:shd w:val="clear" w:color="auto" w:fill="auto"/>
        <w:spacing w:before="0"/>
        <w:ind w:firstLine="320"/>
      </w:pPr>
      <w:r>
        <w:rPr>
          <w:rStyle w:val="2d"/>
        </w:rPr>
        <w:t>По согласованию с преподавателем, ведущим семинарские заня</w:t>
      </w:r>
      <w:r>
        <w:rPr>
          <w:rStyle w:val="2d"/>
        </w:rPr>
        <w:softHyphen/>
        <w:t>тия, студент может представить в презентации результаты рефери</w:t>
      </w:r>
      <w:r>
        <w:rPr>
          <w:rStyle w:val="2d"/>
        </w:rPr>
        <w:softHyphen/>
        <w:t>рования научной статьи, посвященной проблемам взаимодействия государства и бизнеса.</w:t>
      </w:r>
    </w:p>
    <w:p w14:paraId="0A22599C" w14:textId="77777777" w:rsidR="00350D42" w:rsidRDefault="008E6F64">
      <w:pPr>
        <w:pStyle w:val="2c"/>
        <w:shd w:val="clear" w:color="auto" w:fill="auto"/>
        <w:spacing w:before="0"/>
        <w:ind w:firstLine="320"/>
      </w:pPr>
      <w:r>
        <w:rPr>
          <w:rStyle w:val="2d"/>
        </w:rPr>
        <w:t>Работа студента над реферированием статьи состоит из следую</w:t>
      </w:r>
      <w:r>
        <w:rPr>
          <w:rStyle w:val="2d"/>
        </w:rPr>
        <w:softHyphen/>
        <w:t>щих этапов:</w:t>
      </w:r>
    </w:p>
    <w:p w14:paraId="62D460FB" w14:textId="77777777" w:rsidR="00350D42" w:rsidRDefault="008E6F64">
      <w:pPr>
        <w:pStyle w:val="111"/>
        <w:numPr>
          <w:ilvl w:val="0"/>
          <w:numId w:val="142"/>
        </w:numPr>
        <w:shd w:val="clear" w:color="auto" w:fill="auto"/>
        <w:tabs>
          <w:tab w:val="left" w:pos="703"/>
        </w:tabs>
        <w:spacing w:before="0" w:after="0" w:line="250" w:lineRule="exact"/>
        <w:ind w:firstLine="320"/>
        <w:jc w:val="both"/>
      </w:pPr>
      <w:r>
        <w:rPr>
          <w:rStyle w:val="113"/>
          <w:b/>
          <w:bCs/>
        </w:rPr>
        <w:t>выбор статьи из списка, предложенного преподавателем;</w:t>
      </w:r>
    </w:p>
    <w:p w14:paraId="08995694" w14:textId="77777777" w:rsidR="00350D42" w:rsidRDefault="008E6F64">
      <w:pPr>
        <w:pStyle w:val="111"/>
        <w:numPr>
          <w:ilvl w:val="0"/>
          <w:numId w:val="142"/>
        </w:numPr>
        <w:shd w:val="clear" w:color="auto" w:fill="auto"/>
        <w:tabs>
          <w:tab w:val="left" w:pos="703"/>
        </w:tabs>
        <w:spacing w:before="0" w:after="0" w:line="250" w:lineRule="exact"/>
        <w:ind w:firstLine="320"/>
        <w:jc w:val="both"/>
      </w:pPr>
      <w:r>
        <w:rPr>
          <w:rStyle w:val="113"/>
          <w:b/>
          <w:bCs/>
        </w:rPr>
        <w:lastRenderedPageBreak/>
        <w:t>внимательное чтение статьи;</w:t>
      </w:r>
    </w:p>
    <w:p w14:paraId="7D9B13A0" w14:textId="77777777" w:rsidR="00350D42" w:rsidRDefault="008E6F64">
      <w:pPr>
        <w:pStyle w:val="111"/>
        <w:numPr>
          <w:ilvl w:val="0"/>
          <w:numId w:val="142"/>
        </w:numPr>
        <w:shd w:val="clear" w:color="auto" w:fill="auto"/>
        <w:tabs>
          <w:tab w:val="left" w:pos="661"/>
        </w:tabs>
        <w:spacing w:before="0" w:after="0" w:line="250" w:lineRule="exact"/>
        <w:ind w:firstLine="320"/>
        <w:jc w:val="both"/>
      </w:pPr>
      <w:r>
        <w:rPr>
          <w:rStyle w:val="113"/>
          <w:b/>
          <w:bCs/>
        </w:rPr>
        <w:t>поиск информации об авторе статьи, его принадлежности к той или иной научной школе;</w:t>
      </w:r>
    </w:p>
    <w:p w14:paraId="414CD33E" w14:textId="77777777" w:rsidR="00350D42" w:rsidRDefault="008E6F64">
      <w:pPr>
        <w:pStyle w:val="111"/>
        <w:numPr>
          <w:ilvl w:val="0"/>
          <w:numId w:val="142"/>
        </w:numPr>
        <w:shd w:val="clear" w:color="auto" w:fill="auto"/>
        <w:tabs>
          <w:tab w:val="left" w:pos="656"/>
        </w:tabs>
        <w:spacing w:before="0" w:after="0" w:line="250" w:lineRule="exact"/>
        <w:ind w:firstLine="320"/>
        <w:jc w:val="both"/>
      </w:pPr>
      <w:r>
        <w:rPr>
          <w:rStyle w:val="113"/>
          <w:b/>
          <w:bCs/>
        </w:rPr>
        <w:t>выделение наиболее сложных фрагментов статьи, для пони</w:t>
      </w:r>
      <w:r>
        <w:rPr>
          <w:rStyle w:val="113"/>
          <w:b/>
          <w:bCs/>
        </w:rPr>
        <w:softHyphen/>
        <w:t>мания которых требуется обращение к дополнительной литературе;</w:t>
      </w:r>
    </w:p>
    <w:p w14:paraId="3B50BD94" w14:textId="77777777" w:rsidR="00350D42" w:rsidRDefault="008E6F64">
      <w:pPr>
        <w:pStyle w:val="111"/>
        <w:numPr>
          <w:ilvl w:val="0"/>
          <w:numId w:val="142"/>
        </w:numPr>
        <w:shd w:val="clear" w:color="auto" w:fill="auto"/>
        <w:tabs>
          <w:tab w:val="left" w:pos="666"/>
        </w:tabs>
        <w:spacing w:before="0" w:after="0" w:line="250" w:lineRule="exact"/>
        <w:ind w:firstLine="320"/>
        <w:jc w:val="both"/>
      </w:pPr>
      <w:r>
        <w:rPr>
          <w:rStyle w:val="113"/>
          <w:b/>
          <w:bCs/>
        </w:rPr>
        <w:t>чтение дополнительной литературы с целью уточнения зна</w:t>
      </w:r>
      <w:r>
        <w:rPr>
          <w:rStyle w:val="113"/>
          <w:b/>
          <w:bCs/>
        </w:rPr>
        <w:softHyphen/>
        <w:t>чения тех или иных научных понятий, получения информации об упоминаемых в статье персоналиях и событиях и пр.;</w:t>
      </w:r>
    </w:p>
    <w:p w14:paraId="23859841" w14:textId="77777777" w:rsidR="00350D42" w:rsidRDefault="008E6F64">
      <w:pPr>
        <w:pStyle w:val="111"/>
        <w:numPr>
          <w:ilvl w:val="0"/>
          <w:numId w:val="142"/>
        </w:numPr>
        <w:shd w:val="clear" w:color="auto" w:fill="auto"/>
        <w:tabs>
          <w:tab w:val="left" w:pos="703"/>
        </w:tabs>
        <w:spacing w:before="0" w:after="0" w:line="250" w:lineRule="exact"/>
        <w:ind w:firstLine="320"/>
        <w:jc w:val="both"/>
      </w:pPr>
      <w:r>
        <w:rPr>
          <w:rStyle w:val="113"/>
          <w:b/>
          <w:bCs/>
        </w:rPr>
        <w:t>подготовка слайдов и их презентация.</w:t>
      </w:r>
    </w:p>
    <w:p w14:paraId="572EC603" w14:textId="77777777" w:rsidR="00350D42" w:rsidRDefault="008E6F64">
      <w:pPr>
        <w:pStyle w:val="111"/>
        <w:shd w:val="clear" w:color="auto" w:fill="auto"/>
        <w:spacing w:before="0" w:after="0" w:line="250" w:lineRule="exact"/>
        <w:ind w:firstLine="320"/>
        <w:jc w:val="both"/>
      </w:pPr>
      <w:r>
        <w:rPr>
          <w:rStyle w:val="113"/>
          <w:b/>
          <w:bCs/>
        </w:rPr>
        <w:t>Структура презентации в таком случае должна иметь следую</w:t>
      </w:r>
      <w:r>
        <w:rPr>
          <w:rStyle w:val="113"/>
          <w:b/>
          <w:bCs/>
        </w:rPr>
        <w:softHyphen/>
        <w:t>щий вид:</w:t>
      </w:r>
    </w:p>
    <w:p w14:paraId="386F371C" w14:textId="77777777" w:rsidR="00350D42" w:rsidRDefault="008E6F64">
      <w:pPr>
        <w:pStyle w:val="111"/>
        <w:numPr>
          <w:ilvl w:val="0"/>
          <w:numId w:val="142"/>
        </w:numPr>
        <w:shd w:val="clear" w:color="auto" w:fill="auto"/>
        <w:tabs>
          <w:tab w:val="left" w:pos="661"/>
        </w:tabs>
        <w:spacing w:before="0" w:after="0" w:line="250" w:lineRule="exact"/>
        <w:ind w:firstLine="320"/>
        <w:jc w:val="both"/>
      </w:pPr>
      <w:r>
        <w:rPr>
          <w:rStyle w:val="113"/>
          <w:b/>
          <w:bCs/>
        </w:rPr>
        <w:t>титульный слайд с указанием названия учебного заведения, ФИО и группы студента;</w:t>
      </w:r>
    </w:p>
    <w:p w14:paraId="1DA1F4BB" w14:textId="77777777" w:rsidR="00350D42" w:rsidRDefault="008E6F64">
      <w:pPr>
        <w:pStyle w:val="111"/>
        <w:numPr>
          <w:ilvl w:val="0"/>
          <w:numId w:val="142"/>
        </w:numPr>
        <w:shd w:val="clear" w:color="auto" w:fill="auto"/>
        <w:tabs>
          <w:tab w:val="left" w:pos="703"/>
        </w:tabs>
        <w:spacing w:before="0" w:after="0" w:line="250" w:lineRule="exact"/>
        <w:ind w:firstLine="320"/>
        <w:jc w:val="both"/>
      </w:pPr>
      <w:r>
        <w:rPr>
          <w:rStyle w:val="113"/>
          <w:b/>
          <w:bCs/>
        </w:rPr>
        <w:t>слайд с указанием названия, автора и выходных данных статьи;</w:t>
      </w:r>
    </w:p>
    <w:p w14:paraId="69366F51" w14:textId="77777777" w:rsidR="00350D42" w:rsidRDefault="008E6F64">
      <w:pPr>
        <w:pStyle w:val="111"/>
        <w:numPr>
          <w:ilvl w:val="0"/>
          <w:numId w:val="142"/>
        </w:numPr>
        <w:shd w:val="clear" w:color="auto" w:fill="auto"/>
        <w:tabs>
          <w:tab w:val="left" w:pos="671"/>
        </w:tabs>
        <w:spacing w:before="0" w:after="0" w:line="250" w:lineRule="exact"/>
        <w:ind w:firstLine="320"/>
        <w:jc w:val="both"/>
      </w:pPr>
      <w:r>
        <w:rPr>
          <w:rStyle w:val="113"/>
          <w:b/>
          <w:bCs/>
        </w:rPr>
        <w:t>слайд с указанием информации об авторе статьи, его принад</w:t>
      </w:r>
      <w:r>
        <w:rPr>
          <w:rStyle w:val="113"/>
          <w:b/>
          <w:bCs/>
        </w:rPr>
        <w:softHyphen/>
        <w:t>лежности к той или иной научной школе;</w:t>
      </w:r>
    </w:p>
    <w:p w14:paraId="685957E8" w14:textId="77777777" w:rsidR="00350D42" w:rsidRDefault="008E6F64">
      <w:pPr>
        <w:pStyle w:val="111"/>
        <w:numPr>
          <w:ilvl w:val="0"/>
          <w:numId w:val="142"/>
        </w:numPr>
        <w:shd w:val="clear" w:color="auto" w:fill="auto"/>
        <w:tabs>
          <w:tab w:val="left" w:pos="661"/>
        </w:tabs>
        <w:spacing w:before="0" w:after="0" w:line="250" w:lineRule="exact"/>
        <w:ind w:firstLine="320"/>
        <w:jc w:val="both"/>
      </w:pPr>
      <w:r>
        <w:rPr>
          <w:rStyle w:val="113"/>
          <w:b/>
          <w:bCs/>
        </w:rPr>
        <w:t>два-три слайда, на которых представлена научная проблема</w:t>
      </w:r>
      <w:r>
        <w:rPr>
          <w:rStyle w:val="113"/>
          <w:b/>
          <w:bCs/>
        </w:rPr>
        <w:softHyphen/>
        <w:t>тика статьи;</w:t>
      </w:r>
    </w:p>
    <w:p w14:paraId="468E452F" w14:textId="77777777" w:rsidR="00350D42" w:rsidRDefault="008E6F64">
      <w:pPr>
        <w:pStyle w:val="111"/>
        <w:numPr>
          <w:ilvl w:val="0"/>
          <w:numId w:val="142"/>
        </w:numPr>
        <w:shd w:val="clear" w:color="auto" w:fill="auto"/>
        <w:tabs>
          <w:tab w:val="left" w:pos="661"/>
        </w:tabs>
        <w:spacing w:before="0" w:after="0" w:line="250" w:lineRule="exact"/>
        <w:ind w:firstLine="320"/>
        <w:jc w:val="both"/>
      </w:pPr>
      <w:r>
        <w:rPr>
          <w:rStyle w:val="113"/>
          <w:b/>
          <w:bCs/>
        </w:rPr>
        <w:t>шесть — восемь слайдов с основными выводами и результа</w:t>
      </w:r>
      <w:r>
        <w:rPr>
          <w:rStyle w:val="113"/>
          <w:b/>
          <w:bCs/>
        </w:rPr>
        <w:softHyphen/>
        <w:t>тами, полученными студентом;</w:t>
      </w:r>
    </w:p>
    <w:p w14:paraId="5B00F71C" w14:textId="77777777" w:rsidR="00350D42" w:rsidRDefault="008E6F64">
      <w:pPr>
        <w:pStyle w:val="111"/>
        <w:numPr>
          <w:ilvl w:val="0"/>
          <w:numId w:val="142"/>
        </w:numPr>
        <w:shd w:val="clear" w:color="auto" w:fill="auto"/>
        <w:tabs>
          <w:tab w:val="left" w:pos="703"/>
        </w:tabs>
        <w:spacing w:before="0" w:after="0" w:line="250" w:lineRule="exact"/>
        <w:ind w:firstLine="320"/>
        <w:jc w:val="both"/>
      </w:pPr>
      <w:r>
        <w:rPr>
          <w:rStyle w:val="113"/>
          <w:b/>
          <w:bCs/>
        </w:rPr>
        <w:t>финальный слайд.</w:t>
      </w:r>
    </w:p>
    <w:p w14:paraId="4F14E19C" w14:textId="77777777" w:rsidR="00350D42" w:rsidRDefault="008E6F64">
      <w:pPr>
        <w:pStyle w:val="111"/>
        <w:shd w:val="clear" w:color="auto" w:fill="auto"/>
        <w:spacing w:before="0" w:after="0" w:line="250" w:lineRule="exact"/>
        <w:ind w:firstLine="320"/>
        <w:jc w:val="both"/>
      </w:pPr>
      <w:r>
        <w:rPr>
          <w:rStyle w:val="113"/>
          <w:b/>
          <w:bCs/>
        </w:rPr>
        <w:t>Таким образом, общее число слайдов в презентации должно со</w:t>
      </w:r>
      <w:r>
        <w:rPr>
          <w:rStyle w:val="113"/>
          <w:b/>
          <w:bCs/>
        </w:rPr>
        <w:softHyphen/>
        <w:t>ставить 12—15.</w:t>
      </w:r>
    </w:p>
    <w:p w14:paraId="6F2001D9" w14:textId="77777777" w:rsidR="00350D42" w:rsidRDefault="008E6F64">
      <w:pPr>
        <w:pStyle w:val="111"/>
        <w:shd w:val="clear" w:color="auto" w:fill="auto"/>
        <w:spacing w:before="0" w:after="0" w:line="250" w:lineRule="exact"/>
        <w:ind w:firstLine="320"/>
        <w:jc w:val="both"/>
      </w:pPr>
      <w:r>
        <w:rPr>
          <w:rStyle w:val="113"/>
          <w:b/>
          <w:bCs/>
        </w:rPr>
        <w:t>Критерии оценки презентации в баллах представлены в табл. П.1.3 и П.1.4. Они варьируются в зависимости от того, на каком языке на</w:t>
      </w:r>
      <w:r>
        <w:rPr>
          <w:rStyle w:val="113"/>
          <w:b/>
          <w:bCs/>
        </w:rPr>
        <w:softHyphen/>
        <w:t>писана реферируемая статья (русском или иностранном).</w:t>
      </w:r>
    </w:p>
    <w:p w14:paraId="39F3DC6A" w14:textId="77777777" w:rsidR="00350D42" w:rsidRDefault="008E6F64">
      <w:pPr>
        <w:pStyle w:val="190"/>
        <w:shd w:val="clear" w:color="auto" w:fill="auto"/>
      </w:pPr>
      <w:r>
        <w:rPr>
          <w:rStyle w:val="191"/>
          <w:i/>
          <w:iCs/>
        </w:rPr>
        <w:t>Таблица П.1.3</w:t>
      </w:r>
    </w:p>
    <w:p w14:paraId="5B5BAEA4" w14:textId="77777777" w:rsidR="00350D42" w:rsidRDefault="008E6F64">
      <w:pPr>
        <w:pStyle w:val="3f2"/>
        <w:framePr w:w="6581" w:wrap="notBeside" w:vAnchor="text" w:hAnchor="text" w:xAlign="center" w:y="1"/>
        <w:shd w:val="clear" w:color="auto" w:fill="auto"/>
        <w:spacing w:line="194" w:lineRule="exact"/>
        <w:jc w:val="left"/>
      </w:pPr>
      <w:r>
        <w:rPr>
          <w:rStyle w:val="3f3"/>
          <w:b/>
          <w:bCs/>
        </w:rPr>
        <w:t>Критерии оценки презентации по статье на русском языке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08"/>
        <w:gridCol w:w="1315"/>
        <w:gridCol w:w="1258"/>
      </w:tblGrid>
      <w:tr w:rsidR="00350D42" w14:paraId="3CE25E5F" w14:textId="77777777">
        <w:trPr>
          <w:trHeight w:hRule="exact" w:val="490"/>
          <w:jc w:val="center"/>
        </w:trPr>
        <w:tc>
          <w:tcPr>
            <w:tcW w:w="4008" w:type="dxa"/>
            <w:vMerge w:val="restart"/>
            <w:tcBorders>
              <w:top w:val="single" w:sz="4" w:space="0" w:color="auto"/>
              <w:left w:val="single" w:sz="4" w:space="0" w:color="auto"/>
            </w:tcBorders>
            <w:shd w:val="clear" w:color="auto" w:fill="FFFFFF"/>
          </w:tcPr>
          <w:p w14:paraId="6747A523"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Критерий оценки презентации по статье на русском языке</w:t>
            </w:r>
          </w:p>
        </w:tc>
        <w:tc>
          <w:tcPr>
            <w:tcW w:w="2573" w:type="dxa"/>
            <w:gridSpan w:val="2"/>
            <w:tcBorders>
              <w:top w:val="single" w:sz="4" w:space="0" w:color="auto"/>
              <w:left w:val="single" w:sz="4" w:space="0" w:color="auto"/>
              <w:right w:val="single" w:sz="4" w:space="0" w:color="auto"/>
            </w:tcBorders>
            <w:shd w:val="clear" w:color="auto" w:fill="FFFFFF"/>
            <w:vAlign w:val="center"/>
          </w:tcPr>
          <w:p w14:paraId="42972E92"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Оценка в баллах</w:t>
            </w:r>
          </w:p>
        </w:tc>
      </w:tr>
      <w:tr w:rsidR="00350D42" w14:paraId="300D3140" w14:textId="77777777">
        <w:trPr>
          <w:trHeight w:hRule="exact" w:val="485"/>
          <w:jc w:val="center"/>
        </w:trPr>
        <w:tc>
          <w:tcPr>
            <w:tcW w:w="4008" w:type="dxa"/>
            <w:vMerge/>
            <w:tcBorders>
              <w:left w:val="single" w:sz="4" w:space="0" w:color="auto"/>
            </w:tcBorders>
            <w:shd w:val="clear" w:color="auto" w:fill="FFFFFF"/>
          </w:tcPr>
          <w:p w14:paraId="534B395A" w14:textId="77777777" w:rsidR="00350D42" w:rsidRDefault="00350D42">
            <w:pPr>
              <w:framePr w:w="6581" w:wrap="notBeside" w:vAnchor="text" w:hAnchor="text" w:xAlign="center" w:y="1"/>
            </w:pPr>
          </w:p>
        </w:tc>
        <w:tc>
          <w:tcPr>
            <w:tcW w:w="1315" w:type="dxa"/>
            <w:tcBorders>
              <w:top w:val="single" w:sz="4" w:space="0" w:color="auto"/>
              <w:left w:val="single" w:sz="4" w:space="0" w:color="auto"/>
            </w:tcBorders>
            <w:shd w:val="clear" w:color="auto" w:fill="FFFFFF"/>
            <w:vAlign w:val="center"/>
          </w:tcPr>
          <w:p w14:paraId="07E41F8B" w14:textId="77777777" w:rsidR="00350D42" w:rsidRDefault="008E6F64">
            <w:pPr>
              <w:pStyle w:val="2c"/>
              <w:framePr w:w="6581" w:wrap="notBeside" w:vAnchor="text" w:hAnchor="text" w:xAlign="center" w:y="1"/>
              <w:shd w:val="clear" w:color="auto" w:fill="auto"/>
              <w:spacing w:before="0" w:line="176" w:lineRule="exact"/>
              <w:ind w:left="240"/>
              <w:jc w:val="left"/>
            </w:pPr>
            <w:r>
              <w:rPr>
                <w:rStyle w:val="275pt"/>
              </w:rPr>
              <w:t>Минимум</w:t>
            </w:r>
          </w:p>
        </w:tc>
        <w:tc>
          <w:tcPr>
            <w:tcW w:w="1258" w:type="dxa"/>
            <w:tcBorders>
              <w:top w:val="single" w:sz="4" w:space="0" w:color="auto"/>
              <w:left w:val="single" w:sz="4" w:space="0" w:color="auto"/>
              <w:right w:val="single" w:sz="4" w:space="0" w:color="auto"/>
            </w:tcBorders>
            <w:shd w:val="clear" w:color="auto" w:fill="FFFFFF"/>
            <w:vAlign w:val="center"/>
          </w:tcPr>
          <w:p w14:paraId="559AD5E9" w14:textId="77777777" w:rsidR="00350D42" w:rsidRDefault="008E6F64">
            <w:pPr>
              <w:pStyle w:val="2c"/>
              <w:framePr w:w="6581" w:wrap="notBeside" w:vAnchor="text" w:hAnchor="text" w:xAlign="center" w:y="1"/>
              <w:shd w:val="clear" w:color="auto" w:fill="auto"/>
              <w:spacing w:before="0" w:line="176" w:lineRule="exact"/>
              <w:ind w:left="180"/>
              <w:jc w:val="left"/>
            </w:pPr>
            <w:r>
              <w:rPr>
                <w:rStyle w:val="275pt"/>
              </w:rPr>
              <w:t>Максимум</w:t>
            </w:r>
          </w:p>
        </w:tc>
      </w:tr>
      <w:tr w:rsidR="00350D42" w14:paraId="4348E1DD" w14:textId="77777777">
        <w:trPr>
          <w:trHeight w:hRule="exact" w:val="490"/>
          <w:jc w:val="center"/>
        </w:trPr>
        <w:tc>
          <w:tcPr>
            <w:tcW w:w="4008" w:type="dxa"/>
            <w:tcBorders>
              <w:top w:val="single" w:sz="4" w:space="0" w:color="auto"/>
              <w:left w:val="single" w:sz="4" w:space="0" w:color="auto"/>
            </w:tcBorders>
            <w:shd w:val="clear" w:color="auto" w:fill="FFFFFF"/>
            <w:vAlign w:val="center"/>
          </w:tcPr>
          <w:p w14:paraId="0527236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Содержание презентации</w:t>
            </w:r>
          </w:p>
        </w:tc>
        <w:tc>
          <w:tcPr>
            <w:tcW w:w="1315" w:type="dxa"/>
            <w:tcBorders>
              <w:top w:val="single" w:sz="4" w:space="0" w:color="auto"/>
              <w:left w:val="single" w:sz="4" w:space="0" w:color="auto"/>
            </w:tcBorders>
            <w:shd w:val="clear" w:color="auto" w:fill="FFFFFF"/>
            <w:vAlign w:val="center"/>
          </w:tcPr>
          <w:p w14:paraId="4986781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14</w:t>
            </w:r>
          </w:p>
        </w:tc>
        <w:tc>
          <w:tcPr>
            <w:tcW w:w="1258" w:type="dxa"/>
            <w:tcBorders>
              <w:top w:val="single" w:sz="4" w:space="0" w:color="auto"/>
              <w:left w:val="single" w:sz="4" w:space="0" w:color="auto"/>
              <w:right w:val="single" w:sz="4" w:space="0" w:color="auto"/>
            </w:tcBorders>
            <w:shd w:val="clear" w:color="auto" w:fill="FFFFFF"/>
            <w:vAlign w:val="center"/>
          </w:tcPr>
          <w:p w14:paraId="46B906D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17</w:t>
            </w:r>
          </w:p>
        </w:tc>
      </w:tr>
      <w:tr w:rsidR="00350D42" w14:paraId="3B04E5AB" w14:textId="77777777">
        <w:trPr>
          <w:trHeight w:hRule="exact" w:val="485"/>
          <w:jc w:val="center"/>
        </w:trPr>
        <w:tc>
          <w:tcPr>
            <w:tcW w:w="4008" w:type="dxa"/>
            <w:tcBorders>
              <w:top w:val="single" w:sz="4" w:space="0" w:color="auto"/>
              <w:left w:val="single" w:sz="4" w:space="0" w:color="auto"/>
            </w:tcBorders>
            <w:shd w:val="clear" w:color="auto" w:fill="FFFFFF"/>
            <w:vAlign w:val="center"/>
          </w:tcPr>
          <w:p w14:paraId="5E0DC11C"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Оформление (структура, дизайн)</w:t>
            </w:r>
          </w:p>
        </w:tc>
        <w:tc>
          <w:tcPr>
            <w:tcW w:w="1315" w:type="dxa"/>
            <w:tcBorders>
              <w:top w:val="single" w:sz="4" w:space="0" w:color="auto"/>
              <w:left w:val="single" w:sz="4" w:space="0" w:color="auto"/>
            </w:tcBorders>
            <w:shd w:val="clear" w:color="auto" w:fill="FFFFFF"/>
            <w:vAlign w:val="center"/>
          </w:tcPr>
          <w:p w14:paraId="50B6499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w:t>
            </w:r>
          </w:p>
        </w:tc>
        <w:tc>
          <w:tcPr>
            <w:tcW w:w="1258" w:type="dxa"/>
            <w:tcBorders>
              <w:top w:val="single" w:sz="4" w:space="0" w:color="auto"/>
              <w:left w:val="single" w:sz="4" w:space="0" w:color="auto"/>
              <w:right w:val="single" w:sz="4" w:space="0" w:color="auto"/>
            </w:tcBorders>
            <w:shd w:val="clear" w:color="auto" w:fill="FFFFFF"/>
            <w:vAlign w:val="center"/>
          </w:tcPr>
          <w:p w14:paraId="7C32918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w:t>
            </w:r>
          </w:p>
        </w:tc>
      </w:tr>
      <w:tr w:rsidR="00350D42" w14:paraId="65C0FCCD" w14:textId="77777777">
        <w:trPr>
          <w:trHeight w:hRule="exact" w:val="485"/>
          <w:jc w:val="center"/>
        </w:trPr>
        <w:tc>
          <w:tcPr>
            <w:tcW w:w="4008" w:type="dxa"/>
            <w:tcBorders>
              <w:top w:val="single" w:sz="4" w:space="0" w:color="auto"/>
              <w:left w:val="single" w:sz="4" w:space="0" w:color="auto"/>
            </w:tcBorders>
            <w:shd w:val="clear" w:color="auto" w:fill="FFFFFF"/>
          </w:tcPr>
          <w:p w14:paraId="45EBA8DD"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Наличие собственных обобщений</w:t>
            </w:r>
          </w:p>
        </w:tc>
        <w:tc>
          <w:tcPr>
            <w:tcW w:w="1315" w:type="dxa"/>
            <w:tcBorders>
              <w:top w:val="single" w:sz="4" w:space="0" w:color="auto"/>
              <w:left w:val="single" w:sz="4" w:space="0" w:color="auto"/>
            </w:tcBorders>
            <w:shd w:val="clear" w:color="auto" w:fill="FFFFFF"/>
          </w:tcPr>
          <w:p w14:paraId="7CB9F4A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w:t>
            </w:r>
          </w:p>
        </w:tc>
        <w:tc>
          <w:tcPr>
            <w:tcW w:w="1258" w:type="dxa"/>
            <w:tcBorders>
              <w:top w:val="single" w:sz="4" w:space="0" w:color="auto"/>
              <w:left w:val="single" w:sz="4" w:space="0" w:color="auto"/>
              <w:right w:val="single" w:sz="4" w:space="0" w:color="auto"/>
            </w:tcBorders>
            <w:shd w:val="clear" w:color="auto" w:fill="FFFFFF"/>
            <w:vAlign w:val="center"/>
          </w:tcPr>
          <w:p w14:paraId="04EBD11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w:t>
            </w:r>
          </w:p>
        </w:tc>
      </w:tr>
      <w:tr w:rsidR="00350D42" w14:paraId="01F10B1D" w14:textId="77777777">
        <w:trPr>
          <w:trHeight w:hRule="exact" w:val="926"/>
          <w:jc w:val="center"/>
        </w:trPr>
        <w:tc>
          <w:tcPr>
            <w:tcW w:w="4008" w:type="dxa"/>
            <w:tcBorders>
              <w:top w:val="single" w:sz="4" w:space="0" w:color="auto"/>
              <w:left w:val="single" w:sz="4" w:space="0" w:color="auto"/>
            </w:tcBorders>
            <w:shd w:val="clear" w:color="auto" w:fill="FFFFFF"/>
          </w:tcPr>
          <w:p w14:paraId="37AF2D13"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Использование современной информацион</w:t>
            </w:r>
            <w:r>
              <w:rPr>
                <w:rStyle w:val="275pt0"/>
              </w:rPr>
              <w:softHyphen/>
              <w:t>ной базы для комментирования наиболее сложных фрагментов статьи</w:t>
            </w:r>
          </w:p>
        </w:tc>
        <w:tc>
          <w:tcPr>
            <w:tcW w:w="1315" w:type="dxa"/>
            <w:tcBorders>
              <w:top w:val="single" w:sz="4" w:space="0" w:color="auto"/>
              <w:left w:val="single" w:sz="4" w:space="0" w:color="auto"/>
            </w:tcBorders>
            <w:shd w:val="clear" w:color="auto" w:fill="FFFFFF"/>
          </w:tcPr>
          <w:p w14:paraId="5660FB4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w:t>
            </w:r>
          </w:p>
        </w:tc>
        <w:tc>
          <w:tcPr>
            <w:tcW w:w="1258" w:type="dxa"/>
            <w:tcBorders>
              <w:top w:val="single" w:sz="4" w:space="0" w:color="auto"/>
              <w:left w:val="single" w:sz="4" w:space="0" w:color="auto"/>
              <w:right w:val="single" w:sz="4" w:space="0" w:color="auto"/>
            </w:tcBorders>
            <w:shd w:val="clear" w:color="auto" w:fill="FFFFFF"/>
          </w:tcPr>
          <w:p w14:paraId="6193E62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w:t>
            </w:r>
          </w:p>
        </w:tc>
      </w:tr>
      <w:tr w:rsidR="00350D42" w14:paraId="342AE41E" w14:textId="77777777">
        <w:trPr>
          <w:trHeight w:hRule="exact" w:val="499"/>
          <w:jc w:val="center"/>
        </w:trPr>
        <w:tc>
          <w:tcPr>
            <w:tcW w:w="4008" w:type="dxa"/>
            <w:tcBorders>
              <w:top w:val="single" w:sz="4" w:space="0" w:color="auto"/>
              <w:left w:val="single" w:sz="4" w:space="0" w:color="auto"/>
              <w:bottom w:val="single" w:sz="4" w:space="0" w:color="auto"/>
            </w:tcBorders>
            <w:shd w:val="clear" w:color="auto" w:fill="FFFFFF"/>
            <w:vAlign w:val="center"/>
          </w:tcPr>
          <w:p w14:paraId="1743F9B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Итого</w:t>
            </w:r>
          </w:p>
        </w:tc>
        <w:tc>
          <w:tcPr>
            <w:tcW w:w="1315" w:type="dxa"/>
            <w:tcBorders>
              <w:top w:val="single" w:sz="4" w:space="0" w:color="auto"/>
              <w:left w:val="single" w:sz="4" w:space="0" w:color="auto"/>
              <w:bottom w:val="single" w:sz="4" w:space="0" w:color="auto"/>
            </w:tcBorders>
            <w:shd w:val="clear" w:color="auto" w:fill="FFFFFF"/>
            <w:vAlign w:val="center"/>
          </w:tcPr>
          <w:p w14:paraId="25CF41A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30</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14:paraId="1B15F37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40</w:t>
            </w:r>
          </w:p>
        </w:tc>
      </w:tr>
    </w:tbl>
    <w:p w14:paraId="6C7E2757" w14:textId="77777777" w:rsidR="00350D42" w:rsidRDefault="00350D42">
      <w:pPr>
        <w:framePr w:w="6581" w:wrap="notBeside" w:vAnchor="text" w:hAnchor="text" w:xAlign="center" w:y="1"/>
        <w:rPr>
          <w:sz w:val="2"/>
          <w:szCs w:val="2"/>
        </w:rPr>
      </w:pPr>
    </w:p>
    <w:p w14:paraId="3EB829A5" w14:textId="77777777" w:rsidR="00350D42" w:rsidRDefault="00350D42">
      <w:pPr>
        <w:rPr>
          <w:sz w:val="2"/>
          <w:szCs w:val="2"/>
        </w:rPr>
      </w:pPr>
    </w:p>
    <w:p w14:paraId="3A226E4B" w14:textId="77777777" w:rsidR="00350D42" w:rsidRDefault="008E6F64">
      <w:pPr>
        <w:pStyle w:val="3f2"/>
        <w:framePr w:w="6595" w:wrap="notBeside" w:vAnchor="text" w:hAnchor="text" w:xAlign="center" w:y="1"/>
        <w:shd w:val="clear" w:color="auto" w:fill="auto"/>
        <w:spacing w:line="194" w:lineRule="exact"/>
        <w:jc w:val="left"/>
      </w:pPr>
      <w:r>
        <w:rPr>
          <w:rStyle w:val="3f3"/>
          <w:b/>
          <w:bCs/>
        </w:rPr>
        <w:lastRenderedPageBreak/>
        <w:t>Критерии оценки презентации по статье на иностранном языке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00"/>
        <w:gridCol w:w="1488"/>
        <w:gridCol w:w="1507"/>
      </w:tblGrid>
      <w:tr w:rsidR="00350D42" w14:paraId="0651FB1F" w14:textId="77777777">
        <w:trPr>
          <w:trHeight w:hRule="exact" w:val="384"/>
          <w:jc w:val="center"/>
        </w:trPr>
        <w:tc>
          <w:tcPr>
            <w:tcW w:w="3600" w:type="dxa"/>
            <w:vMerge w:val="restart"/>
            <w:tcBorders>
              <w:top w:val="single" w:sz="4" w:space="0" w:color="auto"/>
              <w:left w:val="single" w:sz="4" w:space="0" w:color="auto"/>
            </w:tcBorders>
            <w:shd w:val="clear" w:color="auto" w:fill="FFFFFF"/>
            <w:vAlign w:val="center"/>
          </w:tcPr>
          <w:p w14:paraId="55EDF46F" w14:textId="77777777" w:rsidR="00350D42" w:rsidRDefault="008E6F64">
            <w:pPr>
              <w:pStyle w:val="2c"/>
              <w:framePr w:w="6595" w:wrap="notBeside" w:vAnchor="text" w:hAnchor="text" w:xAlign="center" w:y="1"/>
              <w:shd w:val="clear" w:color="auto" w:fill="auto"/>
              <w:spacing w:before="0" w:line="221" w:lineRule="exact"/>
              <w:jc w:val="center"/>
            </w:pPr>
            <w:r>
              <w:rPr>
                <w:rStyle w:val="275pt"/>
              </w:rPr>
              <w:t>Критерий оценки презентации по статье на иностранном языке</w:t>
            </w:r>
          </w:p>
        </w:tc>
        <w:tc>
          <w:tcPr>
            <w:tcW w:w="2995" w:type="dxa"/>
            <w:gridSpan w:val="2"/>
            <w:tcBorders>
              <w:top w:val="single" w:sz="4" w:space="0" w:color="auto"/>
              <w:left w:val="single" w:sz="4" w:space="0" w:color="auto"/>
              <w:right w:val="single" w:sz="4" w:space="0" w:color="auto"/>
            </w:tcBorders>
            <w:shd w:val="clear" w:color="auto" w:fill="FFFFFF"/>
            <w:vAlign w:val="center"/>
          </w:tcPr>
          <w:p w14:paraId="24C72137" w14:textId="77777777" w:rsidR="00350D42" w:rsidRDefault="008E6F64">
            <w:pPr>
              <w:pStyle w:val="2c"/>
              <w:framePr w:w="6595" w:wrap="notBeside" w:vAnchor="text" w:hAnchor="text" w:xAlign="center" w:y="1"/>
              <w:shd w:val="clear" w:color="auto" w:fill="auto"/>
              <w:spacing w:before="0" w:line="176" w:lineRule="exact"/>
              <w:jc w:val="center"/>
            </w:pPr>
            <w:r>
              <w:rPr>
                <w:rStyle w:val="275pt"/>
              </w:rPr>
              <w:t>Оценка в баллах</w:t>
            </w:r>
          </w:p>
        </w:tc>
      </w:tr>
      <w:tr w:rsidR="00350D42" w14:paraId="21773C94" w14:textId="77777777">
        <w:trPr>
          <w:trHeight w:hRule="exact" w:val="379"/>
          <w:jc w:val="center"/>
        </w:trPr>
        <w:tc>
          <w:tcPr>
            <w:tcW w:w="3600" w:type="dxa"/>
            <w:vMerge/>
            <w:tcBorders>
              <w:left w:val="single" w:sz="4" w:space="0" w:color="auto"/>
            </w:tcBorders>
            <w:shd w:val="clear" w:color="auto" w:fill="FFFFFF"/>
            <w:vAlign w:val="center"/>
          </w:tcPr>
          <w:p w14:paraId="121B9A53" w14:textId="77777777" w:rsidR="00350D42" w:rsidRDefault="00350D42">
            <w:pPr>
              <w:framePr w:w="6595" w:wrap="notBeside" w:vAnchor="text" w:hAnchor="text" w:xAlign="center" w:y="1"/>
            </w:pPr>
          </w:p>
        </w:tc>
        <w:tc>
          <w:tcPr>
            <w:tcW w:w="1488" w:type="dxa"/>
            <w:tcBorders>
              <w:top w:val="single" w:sz="4" w:space="0" w:color="auto"/>
              <w:left w:val="single" w:sz="4" w:space="0" w:color="auto"/>
            </w:tcBorders>
            <w:shd w:val="clear" w:color="auto" w:fill="FFFFFF"/>
            <w:vAlign w:val="center"/>
          </w:tcPr>
          <w:p w14:paraId="47FC0F42" w14:textId="77777777" w:rsidR="00350D42" w:rsidRDefault="008E6F64">
            <w:pPr>
              <w:pStyle w:val="2c"/>
              <w:framePr w:w="6595" w:wrap="notBeside" w:vAnchor="text" w:hAnchor="text" w:xAlign="center" w:y="1"/>
              <w:shd w:val="clear" w:color="auto" w:fill="auto"/>
              <w:spacing w:before="0" w:line="176" w:lineRule="exact"/>
              <w:jc w:val="center"/>
            </w:pPr>
            <w:r>
              <w:rPr>
                <w:rStyle w:val="275pt"/>
              </w:rPr>
              <w:t>Минимум</w:t>
            </w:r>
          </w:p>
        </w:tc>
        <w:tc>
          <w:tcPr>
            <w:tcW w:w="1507" w:type="dxa"/>
            <w:tcBorders>
              <w:top w:val="single" w:sz="4" w:space="0" w:color="auto"/>
              <w:left w:val="single" w:sz="4" w:space="0" w:color="auto"/>
              <w:right w:val="single" w:sz="4" w:space="0" w:color="auto"/>
            </w:tcBorders>
            <w:shd w:val="clear" w:color="auto" w:fill="FFFFFF"/>
            <w:vAlign w:val="center"/>
          </w:tcPr>
          <w:p w14:paraId="2BE23E28" w14:textId="77777777" w:rsidR="00350D42" w:rsidRDefault="008E6F64">
            <w:pPr>
              <w:pStyle w:val="2c"/>
              <w:framePr w:w="6595" w:wrap="notBeside" w:vAnchor="text" w:hAnchor="text" w:xAlign="center" w:y="1"/>
              <w:shd w:val="clear" w:color="auto" w:fill="auto"/>
              <w:spacing w:before="0" w:line="176" w:lineRule="exact"/>
              <w:jc w:val="center"/>
            </w:pPr>
            <w:r>
              <w:rPr>
                <w:rStyle w:val="275pt"/>
              </w:rPr>
              <w:t>Максимум</w:t>
            </w:r>
          </w:p>
        </w:tc>
      </w:tr>
      <w:tr w:rsidR="00350D42" w14:paraId="2FCAE795" w14:textId="77777777">
        <w:trPr>
          <w:trHeight w:hRule="exact" w:val="379"/>
          <w:jc w:val="center"/>
        </w:trPr>
        <w:tc>
          <w:tcPr>
            <w:tcW w:w="3600" w:type="dxa"/>
            <w:tcBorders>
              <w:top w:val="single" w:sz="4" w:space="0" w:color="auto"/>
              <w:left w:val="single" w:sz="4" w:space="0" w:color="auto"/>
            </w:tcBorders>
            <w:shd w:val="clear" w:color="auto" w:fill="FFFFFF"/>
            <w:vAlign w:val="center"/>
          </w:tcPr>
          <w:p w14:paraId="765BCE82"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Содержание презентации</w:t>
            </w:r>
          </w:p>
        </w:tc>
        <w:tc>
          <w:tcPr>
            <w:tcW w:w="1488" w:type="dxa"/>
            <w:tcBorders>
              <w:top w:val="single" w:sz="4" w:space="0" w:color="auto"/>
              <w:left w:val="single" w:sz="4" w:space="0" w:color="auto"/>
            </w:tcBorders>
            <w:shd w:val="clear" w:color="auto" w:fill="FFFFFF"/>
            <w:vAlign w:val="center"/>
          </w:tcPr>
          <w:p w14:paraId="3B0E3BC6"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18</w:t>
            </w:r>
          </w:p>
        </w:tc>
        <w:tc>
          <w:tcPr>
            <w:tcW w:w="1507" w:type="dxa"/>
            <w:tcBorders>
              <w:top w:val="single" w:sz="4" w:space="0" w:color="auto"/>
              <w:left w:val="single" w:sz="4" w:space="0" w:color="auto"/>
              <w:right w:val="single" w:sz="4" w:space="0" w:color="auto"/>
            </w:tcBorders>
            <w:shd w:val="clear" w:color="auto" w:fill="FFFFFF"/>
            <w:vAlign w:val="center"/>
          </w:tcPr>
          <w:p w14:paraId="2C180029"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21</w:t>
            </w:r>
          </w:p>
        </w:tc>
      </w:tr>
      <w:tr w:rsidR="00350D42" w14:paraId="26E7F52A" w14:textId="77777777">
        <w:trPr>
          <w:trHeight w:hRule="exact" w:val="379"/>
          <w:jc w:val="center"/>
        </w:trPr>
        <w:tc>
          <w:tcPr>
            <w:tcW w:w="3600" w:type="dxa"/>
            <w:tcBorders>
              <w:top w:val="single" w:sz="4" w:space="0" w:color="auto"/>
              <w:left w:val="single" w:sz="4" w:space="0" w:color="auto"/>
            </w:tcBorders>
            <w:shd w:val="clear" w:color="auto" w:fill="FFFFFF"/>
            <w:vAlign w:val="center"/>
          </w:tcPr>
          <w:p w14:paraId="16230BEF"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Оформление (структура, дизайн)</w:t>
            </w:r>
          </w:p>
        </w:tc>
        <w:tc>
          <w:tcPr>
            <w:tcW w:w="1488" w:type="dxa"/>
            <w:tcBorders>
              <w:top w:val="single" w:sz="4" w:space="0" w:color="auto"/>
              <w:left w:val="single" w:sz="4" w:space="0" w:color="auto"/>
            </w:tcBorders>
            <w:shd w:val="clear" w:color="auto" w:fill="FFFFFF"/>
            <w:vAlign w:val="center"/>
          </w:tcPr>
          <w:p w14:paraId="598D8A44"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2</w:t>
            </w:r>
          </w:p>
        </w:tc>
        <w:tc>
          <w:tcPr>
            <w:tcW w:w="1507" w:type="dxa"/>
            <w:tcBorders>
              <w:top w:val="single" w:sz="4" w:space="0" w:color="auto"/>
              <w:left w:val="single" w:sz="4" w:space="0" w:color="auto"/>
              <w:right w:val="single" w:sz="4" w:space="0" w:color="auto"/>
            </w:tcBorders>
            <w:shd w:val="clear" w:color="auto" w:fill="FFFFFF"/>
            <w:vAlign w:val="center"/>
          </w:tcPr>
          <w:p w14:paraId="25FE469E"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4</w:t>
            </w:r>
          </w:p>
        </w:tc>
      </w:tr>
      <w:tr w:rsidR="00350D42" w14:paraId="2EDE3922" w14:textId="77777777">
        <w:trPr>
          <w:trHeight w:hRule="exact" w:val="379"/>
          <w:jc w:val="center"/>
        </w:trPr>
        <w:tc>
          <w:tcPr>
            <w:tcW w:w="3600" w:type="dxa"/>
            <w:tcBorders>
              <w:top w:val="single" w:sz="4" w:space="0" w:color="auto"/>
              <w:left w:val="single" w:sz="4" w:space="0" w:color="auto"/>
            </w:tcBorders>
            <w:shd w:val="clear" w:color="auto" w:fill="FFFFFF"/>
            <w:vAlign w:val="center"/>
          </w:tcPr>
          <w:p w14:paraId="2BB516F6"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Наличие собственных обобщений</w:t>
            </w:r>
          </w:p>
        </w:tc>
        <w:tc>
          <w:tcPr>
            <w:tcW w:w="1488" w:type="dxa"/>
            <w:tcBorders>
              <w:top w:val="single" w:sz="4" w:space="0" w:color="auto"/>
              <w:left w:val="single" w:sz="4" w:space="0" w:color="auto"/>
            </w:tcBorders>
            <w:shd w:val="clear" w:color="auto" w:fill="FFFFFF"/>
            <w:vAlign w:val="center"/>
          </w:tcPr>
          <w:p w14:paraId="5D3EB8E0"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5</w:t>
            </w:r>
          </w:p>
        </w:tc>
        <w:tc>
          <w:tcPr>
            <w:tcW w:w="1507" w:type="dxa"/>
            <w:tcBorders>
              <w:top w:val="single" w:sz="4" w:space="0" w:color="auto"/>
              <w:left w:val="single" w:sz="4" w:space="0" w:color="auto"/>
              <w:right w:val="single" w:sz="4" w:space="0" w:color="auto"/>
            </w:tcBorders>
            <w:shd w:val="clear" w:color="auto" w:fill="FFFFFF"/>
            <w:vAlign w:val="center"/>
          </w:tcPr>
          <w:p w14:paraId="4A475D97"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8</w:t>
            </w:r>
          </w:p>
        </w:tc>
      </w:tr>
      <w:tr w:rsidR="00350D42" w14:paraId="29AF9211" w14:textId="77777777">
        <w:trPr>
          <w:trHeight w:hRule="exact" w:val="821"/>
          <w:jc w:val="center"/>
        </w:trPr>
        <w:tc>
          <w:tcPr>
            <w:tcW w:w="3600" w:type="dxa"/>
            <w:tcBorders>
              <w:top w:val="single" w:sz="4" w:space="0" w:color="auto"/>
              <w:left w:val="single" w:sz="4" w:space="0" w:color="auto"/>
            </w:tcBorders>
            <w:shd w:val="clear" w:color="auto" w:fill="FFFFFF"/>
            <w:vAlign w:val="center"/>
          </w:tcPr>
          <w:p w14:paraId="1E428793" w14:textId="77777777" w:rsidR="00350D42" w:rsidRDefault="008E6F64">
            <w:pPr>
              <w:pStyle w:val="2c"/>
              <w:framePr w:w="6595" w:wrap="notBeside" w:vAnchor="text" w:hAnchor="text" w:xAlign="center" w:y="1"/>
              <w:shd w:val="clear" w:color="auto" w:fill="auto"/>
              <w:spacing w:before="0" w:line="221" w:lineRule="exact"/>
              <w:jc w:val="left"/>
            </w:pPr>
            <w:r>
              <w:rPr>
                <w:rStyle w:val="275pt0"/>
              </w:rPr>
              <w:t>Использование современной информа</w:t>
            </w:r>
            <w:r>
              <w:rPr>
                <w:rStyle w:val="275pt0"/>
              </w:rPr>
              <w:softHyphen/>
              <w:t>ционной базы для комментирования наиболее сложных фрагментов статьи</w:t>
            </w:r>
          </w:p>
        </w:tc>
        <w:tc>
          <w:tcPr>
            <w:tcW w:w="1488" w:type="dxa"/>
            <w:tcBorders>
              <w:top w:val="single" w:sz="4" w:space="0" w:color="auto"/>
              <w:left w:val="single" w:sz="4" w:space="0" w:color="auto"/>
            </w:tcBorders>
            <w:shd w:val="clear" w:color="auto" w:fill="FFFFFF"/>
          </w:tcPr>
          <w:p w14:paraId="7957CB0C"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5</w:t>
            </w:r>
          </w:p>
        </w:tc>
        <w:tc>
          <w:tcPr>
            <w:tcW w:w="1507" w:type="dxa"/>
            <w:tcBorders>
              <w:top w:val="single" w:sz="4" w:space="0" w:color="auto"/>
              <w:left w:val="single" w:sz="4" w:space="0" w:color="auto"/>
              <w:right w:val="single" w:sz="4" w:space="0" w:color="auto"/>
            </w:tcBorders>
            <w:shd w:val="clear" w:color="auto" w:fill="FFFFFF"/>
          </w:tcPr>
          <w:p w14:paraId="3815717D"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7</w:t>
            </w:r>
          </w:p>
        </w:tc>
      </w:tr>
      <w:tr w:rsidR="00350D42" w14:paraId="2349CD3F" w14:textId="77777777">
        <w:trPr>
          <w:trHeight w:hRule="exact" w:val="389"/>
          <w:jc w:val="center"/>
        </w:trPr>
        <w:tc>
          <w:tcPr>
            <w:tcW w:w="3600" w:type="dxa"/>
            <w:tcBorders>
              <w:top w:val="single" w:sz="4" w:space="0" w:color="auto"/>
              <w:left w:val="single" w:sz="4" w:space="0" w:color="auto"/>
              <w:bottom w:val="single" w:sz="4" w:space="0" w:color="auto"/>
            </w:tcBorders>
            <w:shd w:val="clear" w:color="auto" w:fill="FFFFFF"/>
            <w:vAlign w:val="center"/>
          </w:tcPr>
          <w:p w14:paraId="4F835EDB"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Итого</w:t>
            </w:r>
          </w:p>
        </w:tc>
        <w:tc>
          <w:tcPr>
            <w:tcW w:w="1488" w:type="dxa"/>
            <w:tcBorders>
              <w:top w:val="single" w:sz="4" w:space="0" w:color="auto"/>
              <w:left w:val="single" w:sz="4" w:space="0" w:color="auto"/>
              <w:bottom w:val="single" w:sz="4" w:space="0" w:color="auto"/>
            </w:tcBorders>
            <w:shd w:val="clear" w:color="auto" w:fill="FFFFFF"/>
            <w:vAlign w:val="center"/>
          </w:tcPr>
          <w:p w14:paraId="7DDAD8BD"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30</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center"/>
          </w:tcPr>
          <w:p w14:paraId="4FB9BB0D"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40</w:t>
            </w:r>
          </w:p>
        </w:tc>
      </w:tr>
    </w:tbl>
    <w:p w14:paraId="6153B676" w14:textId="77777777" w:rsidR="00350D42" w:rsidRDefault="00350D42">
      <w:pPr>
        <w:framePr w:w="6595" w:wrap="notBeside" w:vAnchor="text" w:hAnchor="text" w:xAlign="center" w:y="1"/>
        <w:rPr>
          <w:sz w:val="2"/>
          <w:szCs w:val="2"/>
        </w:rPr>
      </w:pPr>
    </w:p>
    <w:p w14:paraId="638BBF22" w14:textId="77777777" w:rsidR="00350D42" w:rsidRDefault="00350D42">
      <w:pPr>
        <w:rPr>
          <w:sz w:val="2"/>
          <w:szCs w:val="2"/>
        </w:rPr>
      </w:pPr>
    </w:p>
    <w:p w14:paraId="03305545" w14:textId="77777777" w:rsidR="00350D42" w:rsidRDefault="008E6F64">
      <w:pPr>
        <w:pStyle w:val="180"/>
        <w:shd w:val="clear" w:color="auto" w:fill="auto"/>
        <w:spacing w:before="294" w:after="60"/>
        <w:jc w:val="center"/>
      </w:pPr>
      <w:r>
        <w:rPr>
          <w:rStyle w:val="181"/>
          <w:i/>
          <w:iCs/>
        </w:rPr>
        <w:t>5.3.2. Методические указания по подготовке эссе</w:t>
      </w:r>
    </w:p>
    <w:p w14:paraId="7043EA57" w14:textId="77777777" w:rsidR="00350D42" w:rsidRDefault="008E6F64">
      <w:pPr>
        <w:pStyle w:val="2c"/>
        <w:shd w:val="clear" w:color="auto" w:fill="auto"/>
        <w:spacing w:before="0"/>
        <w:ind w:firstLine="320"/>
      </w:pPr>
      <w:r>
        <w:rPr>
          <w:rStyle w:val="2f4"/>
        </w:rPr>
        <w:t>Эссе</w:t>
      </w:r>
      <w:r>
        <w:rPr>
          <w:rStyle w:val="2d"/>
        </w:rPr>
        <w:t xml:space="preserve"> представляет собой самостоятельную письменную работу на тему, сформулированную студентом (и согласованную с препо</w:t>
      </w:r>
      <w:r>
        <w:rPr>
          <w:rStyle w:val="2d"/>
        </w:rPr>
        <w:softHyphen/>
        <w:t>давателем) или предложенную преподавателем.</w:t>
      </w:r>
    </w:p>
    <w:p w14:paraId="7882073D" w14:textId="77777777" w:rsidR="00350D42" w:rsidRDefault="008E6F64">
      <w:pPr>
        <w:pStyle w:val="2c"/>
        <w:shd w:val="clear" w:color="auto" w:fill="auto"/>
        <w:spacing w:before="0"/>
        <w:ind w:firstLine="320"/>
      </w:pPr>
      <w:r>
        <w:rPr>
          <w:rStyle w:val="2d"/>
        </w:rPr>
        <w:t>Цель эссе состоит в развитии навыков самостоятельного творче</w:t>
      </w:r>
      <w:r>
        <w:rPr>
          <w:rStyle w:val="2d"/>
        </w:rPr>
        <w:softHyphen/>
        <w:t>ского мышления и письменного изложения собственных мыслей.</w:t>
      </w:r>
    </w:p>
    <w:p w14:paraId="2F5C94D7" w14:textId="77777777" w:rsidR="00350D42" w:rsidRDefault="008E6F64">
      <w:pPr>
        <w:pStyle w:val="2c"/>
        <w:shd w:val="clear" w:color="auto" w:fill="auto"/>
        <w:spacing w:before="0"/>
        <w:ind w:firstLine="320"/>
      </w:pPr>
      <w:r>
        <w:rPr>
          <w:rStyle w:val="2d"/>
        </w:rPr>
        <w:t>Эссе позволяет автору научиться четко и грамотно формулиро</w:t>
      </w:r>
      <w:r>
        <w:rPr>
          <w:rStyle w:val="2d"/>
        </w:rPr>
        <w:softHyphen/>
        <w:t>вать мысли, структурировать информацию, использовать основные категории анализа, выделять причинно-следственные связи, иллю</w:t>
      </w:r>
      <w:r>
        <w:rPr>
          <w:rStyle w:val="2d"/>
        </w:rPr>
        <w:softHyphen/>
        <w:t>стрировать понятия соответствующими примерами, аргументиро</w:t>
      </w:r>
      <w:r>
        <w:rPr>
          <w:rStyle w:val="2d"/>
        </w:rPr>
        <w:softHyphen/>
        <w:t>вать свои выводы; овладеть научным стилем речи.</w:t>
      </w:r>
    </w:p>
    <w:p w14:paraId="0DC6C251" w14:textId="77777777" w:rsidR="00350D42" w:rsidRDefault="008E6F64">
      <w:pPr>
        <w:pStyle w:val="2c"/>
        <w:shd w:val="clear" w:color="auto" w:fill="auto"/>
        <w:spacing w:before="0"/>
        <w:ind w:firstLine="320"/>
      </w:pPr>
      <w:r>
        <w:rPr>
          <w:rStyle w:val="2d"/>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w:t>
      </w:r>
      <w:r>
        <w:rPr>
          <w:rStyle w:val="2d"/>
        </w:rPr>
        <w:softHyphen/>
        <w:t>ментария, рассматриваемого в рамках дисциплины, выводы, обоб</w:t>
      </w:r>
      <w:r>
        <w:rPr>
          <w:rStyle w:val="2d"/>
        </w:rPr>
        <w:softHyphen/>
        <w:t>щающие авторскую позицию по поставленной проблеме. В зависи</w:t>
      </w:r>
      <w:r>
        <w:rPr>
          <w:rStyle w:val="2d"/>
        </w:rPr>
        <w:softHyphen/>
        <w:t>мости от специфики дисциплины формы эссе могут значительно дифференцироваться. В некоторых случаях это может быть анализ имеющихся статистических данных по изучаемой проблеме, анализ материалов из средств массовой информации с использованием из</w:t>
      </w:r>
      <w:r>
        <w:rPr>
          <w:rStyle w:val="2d"/>
        </w:rPr>
        <w:softHyphen/>
        <w:t>учаемых моделей, подробный разбор предложенной задачи с раз</w:t>
      </w:r>
      <w:r>
        <w:rPr>
          <w:rStyle w:val="2d"/>
        </w:rPr>
        <w:softHyphen/>
        <w:t>вернутыми мнениями, подбор и детальный анализ примеров, ил</w:t>
      </w:r>
      <w:r>
        <w:rPr>
          <w:rStyle w:val="2d"/>
        </w:rPr>
        <w:softHyphen/>
        <w:t>люстрирующих проблему, и т. д.</w:t>
      </w:r>
    </w:p>
    <w:p w14:paraId="1D195879" w14:textId="77777777" w:rsidR="00350D42" w:rsidRDefault="008E6F64">
      <w:pPr>
        <w:pStyle w:val="2c"/>
        <w:shd w:val="clear" w:color="auto" w:fill="auto"/>
        <w:spacing w:before="0"/>
        <w:ind w:firstLine="320"/>
      </w:pPr>
      <w:r>
        <w:rPr>
          <w:rStyle w:val="2d"/>
        </w:rPr>
        <w:t>Тема эссе должна содержать вопрос, проблему, мотивировать на размышление.</w:t>
      </w:r>
    </w:p>
    <w:p w14:paraId="7063D286" w14:textId="77777777" w:rsidR="00350D42" w:rsidRDefault="008E6F64">
      <w:pPr>
        <w:pStyle w:val="2c"/>
        <w:shd w:val="clear" w:color="auto" w:fill="auto"/>
        <w:spacing w:before="0"/>
        <w:ind w:firstLine="320"/>
      </w:pPr>
      <w:r>
        <w:rPr>
          <w:rStyle w:val="2d"/>
        </w:rPr>
        <w:t>Эссе должно иметь следующую структуру: план, введение, основ</w:t>
      </w:r>
      <w:r>
        <w:rPr>
          <w:rStyle w:val="2d"/>
        </w:rPr>
        <w:softHyphen/>
        <w:t>ную часть (с разбивкой по разделам), заключение, список исполь</w:t>
      </w:r>
      <w:r>
        <w:rPr>
          <w:rStyle w:val="2d"/>
        </w:rPr>
        <w:softHyphen/>
        <w:t>зованной литературы.</w:t>
      </w:r>
    </w:p>
    <w:p w14:paraId="40906434" w14:textId="77777777" w:rsidR="00350D42" w:rsidRDefault="008E6F64">
      <w:pPr>
        <w:pStyle w:val="2c"/>
        <w:shd w:val="clear" w:color="auto" w:fill="auto"/>
        <w:spacing w:before="0"/>
        <w:ind w:firstLine="320"/>
        <w:sectPr w:rsidR="00350D42">
          <w:headerReference w:type="default" r:id="rId166"/>
          <w:footerReference w:type="even" r:id="rId167"/>
          <w:footerReference w:type="default" r:id="rId168"/>
          <w:footerReference w:type="first" r:id="rId169"/>
          <w:pgSz w:w="8789" w:h="13493"/>
          <w:pgMar w:top="924" w:right="1076" w:bottom="1105" w:left="1070" w:header="0" w:footer="3" w:gutter="0"/>
          <w:cols w:space="720"/>
          <w:noEndnote/>
          <w:titlePg/>
          <w:docGrid w:linePitch="360"/>
        </w:sectPr>
      </w:pPr>
      <w:r>
        <w:rPr>
          <w:rStyle w:val="2f4"/>
        </w:rPr>
        <w:t>Титульный лист</w:t>
      </w:r>
      <w:r>
        <w:rPr>
          <w:rStyle w:val="2d"/>
        </w:rPr>
        <w:t xml:space="preserve"> заполняется по единой форме.</w:t>
      </w:r>
    </w:p>
    <w:p w14:paraId="7E60ECBD" w14:textId="77777777" w:rsidR="00350D42" w:rsidRDefault="008E6F64">
      <w:pPr>
        <w:pStyle w:val="111"/>
        <w:shd w:val="clear" w:color="auto" w:fill="auto"/>
        <w:spacing w:before="0" w:after="232" w:line="194" w:lineRule="exact"/>
      </w:pPr>
      <w:r>
        <w:rPr>
          <w:rStyle w:val="113"/>
          <w:b/>
          <w:bCs/>
        </w:rPr>
        <w:lastRenderedPageBreak/>
        <w:t>Образец оформления титульного листа эссе</w:t>
      </w:r>
    </w:p>
    <w:p w14:paraId="6767044C" w14:textId="77777777" w:rsidR="00350D42" w:rsidRDefault="008E6F64">
      <w:pPr>
        <w:pStyle w:val="111"/>
        <w:shd w:val="clear" w:color="auto" w:fill="auto"/>
        <w:spacing w:before="0" w:after="0" w:line="254" w:lineRule="exact"/>
      </w:pPr>
      <w:r>
        <w:rPr>
          <w:rStyle w:val="113"/>
          <w:b/>
          <w:bCs/>
        </w:rPr>
        <w:t>МИНИСТЕРСТВО ОБРАЗОВАНИЯ И НАУКИ</w:t>
      </w:r>
      <w:r>
        <w:rPr>
          <w:rStyle w:val="113"/>
          <w:b/>
          <w:bCs/>
        </w:rPr>
        <w:br/>
        <w:t>РОССИЙСКОЙ ФЕДЕРАЦИИ</w:t>
      </w:r>
      <w:r>
        <w:rPr>
          <w:rStyle w:val="113"/>
          <w:b/>
          <w:bCs/>
        </w:rPr>
        <w:br/>
        <w:t>ФЕДЕРАЛЬНОЕ ГОСУДАРСТВЕННОЕ БЮДЖЕТНОЕ</w:t>
      </w:r>
      <w:r>
        <w:rPr>
          <w:rStyle w:val="113"/>
          <w:b/>
          <w:bCs/>
        </w:rPr>
        <w:br/>
        <w:t>ОБРАЗОВАТЕЛЬНОЕ УЧРЕЖДЕНИЕ</w:t>
      </w:r>
      <w:r>
        <w:rPr>
          <w:rStyle w:val="113"/>
          <w:b/>
          <w:bCs/>
        </w:rPr>
        <w:br/>
        <w:t>ВЫСШЕГО ПРОФЕССИОНАЛЬНОГО ОБРАЗОВАНИЯ</w:t>
      </w:r>
      <w:r>
        <w:rPr>
          <w:rStyle w:val="113"/>
          <w:b/>
          <w:bCs/>
        </w:rPr>
        <w:br/>
        <w:t>«САНКТ-ПЕТЕРБУРГСКИЙ ГОСУДАРСТВЕННЫЙ</w:t>
      </w:r>
      <w:r>
        <w:rPr>
          <w:rStyle w:val="113"/>
          <w:b/>
          <w:bCs/>
        </w:rPr>
        <w:br/>
        <w:t>ЭКОНОМИЧЕСКИЙ УНИВЕРСИТЕТ»</w:t>
      </w:r>
    </w:p>
    <w:p w14:paraId="761CB857" w14:textId="77777777" w:rsidR="00350D42" w:rsidRDefault="008E6F64">
      <w:pPr>
        <w:pStyle w:val="111"/>
        <w:shd w:val="clear" w:color="auto" w:fill="auto"/>
        <w:spacing w:before="0" w:after="328" w:line="254" w:lineRule="exact"/>
      </w:pPr>
      <w:r>
        <w:rPr>
          <w:rStyle w:val="113"/>
          <w:b/>
          <w:bCs/>
        </w:rPr>
        <w:t>КАФЕДРА ЭКОНОМИЧЕСКОЙ ТЕОРИИ</w:t>
      </w:r>
      <w:r>
        <w:rPr>
          <w:rStyle w:val="113"/>
          <w:b/>
          <w:bCs/>
        </w:rPr>
        <w:br/>
        <w:t>И ЭКОНОМИЧЕСКОЙ ПОЛИТИКИ</w:t>
      </w:r>
    </w:p>
    <w:p w14:paraId="46D8CE8D" w14:textId="77777777" w:rsidR="00350D42" w:rsidRDefault="008E6F64">
      <w:pPr>
        <w:pStyle w:val="111"/>
        <w:shd w:val="clear" w:color="auto" w:fill="auto"/>
        <w:spacing w:before="0" w:after="0" w:line="194" w:lineRule="exact"/>
      </w:pPr>
      <w:r>
        <w:rPr>
          <w:rStyle w:val="113"/>
          <w:b/>
          <w:bCs/>
        </w:rPr>
        <w:t>ЭССЕ</w:t>
      </w:r>
    </w:p>
    <w:p w14:paraId="0678D543" w14:textId="77777777" w:rsidR="00350D42" w:rsidRDefault="008E6F64">
      <w:pPr>
        <w:pStyle w:val="111"/>
        <w:shd w:val="clear" w:color="auto" w:fill="auto"/>
        <w:spacing w:before="0" w:after="0" w:line="194" w:lineRule="exact"/>
      </w:pPr>
      <w:r>
        <w:rPr>
          <w:rStyle w:val="113"/>
          <w:b/>
          <w:bCs/>
        </w:rPr>
        <w:t>ПО ДИСЦИПЛИНЕ</w:t>
      </w:r>
    </w:p>
    <w:p w14:paraId="649A1D3D" w14:textId="77777777" w:rsidR="00350D42" w:rsidRDefault="008E6F64">
      <w:pPr>
        <w:pStyle w:val="111"/>
        <w:shd w:val="clear" w:color="auto" w:fill="auto"/>
        <w:spacing w:before="0" w:after="0" w:line="509" w:lineRule="exact"/>
      </w:pPr>
      <w:r>
        <w:rPr>
          <w:rStyle w:val="113"/>
          <w:b/>
          <w:bCs/>
        </w:rPr>
        <w:t>«ВЗАИМОДЕЙСТВИЕ ГОСУДАРСТВА И БИЗНЕСА»</w:t>
      </w:r>
      <w:r>
        <w:rPr>
          <w:rStyle w:val="113"/>
          <w:b/>
          <w:bCs/>
        </w:rPr>
        <w:br/>
        <w:t>на тему:</w:t>
      </w:r>
    </w:p>
    <w:p w14:paraId="0760AC51" w14:textId="77777777" w:rsidR="00350D42" w:rsidRDefault="008E6F64">
      <w:pPr>
        <w:pStyle w:val="111"/>
        <w:shd w:val="clear" w:color="auto" w:fill="auto"/>
        <w:spacing w:before="0" w:after="280" w:line="254" w:lineRule="exact"/>
      </w:pPr>
      <w:r>
        <w:rPr>
          <w:rStyle w:val="113"/>
          <w:b/>
          <w:bCs/>
        </w:rPr>
        <w:t>Экономическая сущность социальной политики</w:t>
      </w:r>
      <w:r>
        <w:rPr>
          <w:rStyle w:val="113"/>
          <w:b/>
          <w:bCs/>
        </w:rPr>
        <w:br/>
        <w:t>российского государства в сфере трудовых отношений</w:t>
      </w:r>
    </w:p>
    <w:p w14:paraId="22BF5C45" w14:textId="77777777" w:rsidR="00350D42" w:rsidRDefault="008E6F64">
      <w:pPr>
        <w:pStyle w:val="111"/>
        <w:shd w:val="clear" w:color="auto" w:fill="auto"/>
        <w:spacing w:before="0" w:after="328" w:line="254" w:lineRule="exact"/>
        <w:ind w:left="1680"/>
        <w:jc w:val="right"/>
      </w:pPr>
      <w:r>
        <w:rPr>
          <w:rStyle w:val="113"/>
          <w:b/>
          <w:bCs/>
        </w:rPr>
        <w:t>Выполнил: Иванов И. В., группа ЛВ 101</w:t>
      </w:r>
    </w:p>
    <w:p w14:paraId="2243896D" w14:textId="77777777" w:rsidR="00350D42" w:rsidRDefault="008E6F64">
      <w:pPr>
        <w:pStyle w:val="111"/>
        <w:shd w:val="clear" w:color="auto" w:fill="auto"/>
        <w:spacing w:before="0" w:after="280" w:line="194" w:lineRule="exact"/>
        <w:jc w:val="right"/>
      </w:pPr>
      <w:r>
        <w:rPr>
          <w:rStyle w:val="113"/>
          <w:b/>
          <w:bCs/>
        </w:rPr>
        <w:t>Научный руководитель: звание, должность, Ф.И.О.</w:t>
      </w:r>
    </w:p>
    <w:p w14:paraId="13FBE395" w14:textId="77777777" w:rsidR="00350D42" w:rsidRDefault="008E6F64">
      <w:pPr>
        <w:pStyle w:val="111"/>
        <w:shd w:val="clear" w:color="auto" w:fill="auto"/>
        <w:spacing w:before="0" w:after="0" w:line="194" w:lineRule="exact"/>
      </w:pPr>
      <w:r>
        <w:rPr>
          <w:rStyle w:val="113"/>
          <w:b/>
          <w:bCs/>
        </w:rPr>
        <w:t>Санкт-Петербург</w:t>
      </w:r>
    </w:p>
    <w:p w14:paraId="41567B75" w14:textId="77777777" w:rsidR="00350D42" w:rsidRDefault="008E6F64">
      <w:pPr>
        <w:pStyle w:val="111"/>
        <w:shd w:val="clear" w:color="auto" w:fill="auto"/>
        <w:spacing w:before="0" w:after="232" w:line="194" w:lineRule="exact"/>
      </w:pPr>
      <w:r>
        <w:rPr>
          <w:rStyle w:val="113"/>
          <w:b/>
          <w:bCs/>
        </w:rPr>
        <w:t>2016</w:t>
      </w:r>
    </w:p>
    <w:p w14:paraId="2DCB176A" w14:textId="77777777" w:rsidR="00350D42" w:rsidRDefault="008E6F64">
      <w:pPr>
        <w:pStyle w:val="111"/>
        <w:shd w:val="clear" w:color="auto" w:fill="auto"/>
        <w:spacing w:before="0" w:after="0" w:line="254" w:lineRule="exact"/>
        <w:ind w:firstLine="320"/>
        <w:jc w:val="both"/>
      </w:pPr>
      <w:r>
        <w:rPr>
          <w:rStyle w:val="113"/>
          <w:b/>
          <w:bCs/>
        </w:rPr>
        <w:t xml:space="preserve">В </w:t>
      </w:r>
      <w:r>
        <w:rPr>
          <w:rStyle w:val="112"/>
        </w:rPr>
        <w:t>плане</w:t>
      </w:r>
      <w:r>
        <w:rPr>
          <w:rStyle w:val="113"/>
          <w:b/>
          <w:bCs/>
        </w:rPr>
        <w:t xml:space="preserve"> дается перечень основных разделов, а также указывают</w:t>
      </w:r>
      <w:r>
        <w:rPr>
          <w:rStyle w:val="113"/>
          <w:b/>
          <w:bCs/>
        </w:rPr>
        <w:softHyphen/>
        <w:t>ся номера страниц, которые посвящены изложению соответствую</w:t>
      </w:r>
      <w:r>
        <w:rPr>
          <w:rStyle w:val="113"/>
          <w:b/>
          <w:bCs/>
        </w:rPr>
        <w:softHyphen/>
        <w:t>щего раздела работы.</w:t>
      </w:r>
    </w:p>
    <w:p w14:paraId="634E042A" w14:textId="77777777" w:rsidR="00350D42" w:rsidRDefault="008E6F64">
      <w:pPr>
        <w:pStyle w:val="111"/>
        <w:shd w:val="clear" w:color="auto" w:fill="auto"/>
        <w:spacing w:before="0" w:after="0" w:line="254" w:lineRule="exact"/>
        <w:ind w:firstLine="320"/>
        <w:jc w:val="both"/>
      </w:pPr>
      <w:r>
        <w:rPr>
          <w:rStyle w:val="113"/>
          <w:b/>
          <w:bCs/>
        </w:rPr>
        <w:t xml:space="preserve">Во </w:t>
      </w:r>
      <w:r>
        <w:rPr>
          <w:rStyle w:val="112"/>
        </w:rPr>
        <w:t>введении</w:t>
      </w:r>
      <w:r>
        <w:rPr>
          <w:rStyle w:val="113"/>
          <w:b/>
          <w:bCs/>
        </w:rPr>
        <w:t xml:space="preserve"> отражаются суть и обоснование выбора данной темы, оно состоит из ряда связанных логически и стилистически компонентов. На этом этапе студенту очень важно правильно сфор</w:t>
      </w:r>
      <w:r>
        <w:rPr>
          <w:rStyle w:val="113"/>
          <w:b/>
          <w:bCs/>
        </w:rPr>
        <w:softHyphen/>
        <w:t>мулировать вопрос, на который он собирается найти ответ в ходе своего исследования.</w:t>
      </w:r>
    </w:p>
    <w:p w14:paraId="4302A41D" w14:textId="77777777" w:rsidR="00350D42" w:rsidRDefault="008E6F64">
      <w:pPr>
        <w:pStyle w:val="111"/>
        <w:shd w:val="clear" w:color="auto" w:fill="auto"/>
        <w:spacing w:before="0" w:after="0" w:line="254" w:lineRule="exact"/>
        <w:ind w:firstLine="320"/>
        <w:jc w:val="both"/>
        <w:sectPr w:rsidR="00350D42">
          <w:pgSz w:w="8789" w:h="13493"/>
          <w:pgMar w:top="979" w:right="1078" w:bottom="1229" w:left="1073" w:header="0" w:footer="3" w:gutter="0"/>
          <w:cols w:space="720"/>
          <w:noEndnote/>
          <w:docGrid w:linePitch="360"/>
        </w:sectPr>
      </w:pPr>
      <w:r>
        <w:rPr>
          <w:rStyle w:val="113"/>
          <w:b/>
          <w:bCs/>
        </w:rPr>
        <w:t xml:space="preserve">В </w:t>
      </w:r>
      <w:r>
        <w:rPr>
          <w:rStyle w:val="112"/>
        </w:rPr>
        <w:t>основной части</w:t>
      </w:r>
      <w:r>
        <w:rPr>
          <w:rStyle w:val="113"/>
          <w:b/>
          <w:bCs/>
        </w:rPr>
        <w:t xml:space="preserve"> рассматриваются теоретические основы вы</w:t>
      </w:r>
      <w:r>
        <w:rPr>
          <w:rStyle w:val="113"/>
          <w:b/>
          <w:bCs/>
        </w:rPr>
        <w:softHyphen/>
        <w:t>бранной проблемы и логически излагается основной вопрос. Дан</w:t>
      </w:r>
      <w:r>
        <w:rPr>
          <w:rStyle w:val="113"/>
          <w:b/>
          <w:bCs/>
        </w:rPr>
        <w:softHyphen/>
        <w:t>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w:t>
      </w:r>
      <w:r>
        <w:rPr>
          <w:rStyle w:val="113"/>
          <w:b/>
          <w:bCs/>
        </w:rPr>
        <w:softHyphen/>
        <w:t>жание эссе. Поэтому большое значение имеют подзаголовки, на ос</w:t>
      </w:r>
      <w:r>
        <w:rPr>
          <w:rStyle w:val="113"/>
          <w:b/>
          <w:bCs/>
        </w:rPr>
        <w:softHyphen/>
        <w:t>нове которых осуществляется структурирование аргументации.</w:t>
      </w:r>
    </w:p>
    <w:p w14:paraId="575EB2BE" w14:textId="77777777" w:rsidR="00350D42" w:rsidRDefault="008E6F64">
      <w:pPr>
        <w:pStyle w:val="111"/>
        <w:shd w:val="clear" w:color="auto" w:fill="auto"/>
        <w:spacing w:before="0" w:after="0" w:line="254" w:lineRule="exact"/>
        <w:jc w:val="both"/>
      </w:pPr>
      <w:r>
        <w:rPr>
          <w:rStyle w:val="113"/>
          <w:b/>
          <w:bCs/>
        </w:rPr>
        <w:lastRenderedPageBreak/>
        <w:t>Именно в этой части необходимо обосновать (логически, исполь</w:t>
      </w:r>
      <w:r>
        <w:rPr>
          <w:rStyle w:val="113"/>
          <w:b/>
          <w:bCs/>
        </w:rPr>
        <w:softHyphen/>
        <w:t>зуя данные или строгие рассуждения) предлагаемую аргумента</w:t>
      </w:r>
      <w:r>
        <w:rPr>
          <w:rStyle w:val="113"/>
          <w:b/>
          <w:bCs/>
        </w:rPr>
        <w:softHyphen/>
        <w:t>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w:t>
      </w:r>
      <w:r>
        <w:rPr>
          <w:rStyle w:val="113"/>
          <w:b/>
          <w:bCs/>
        </w:rPr>
        <w:softHyphen/>
        <w:t>нове следующих категорий: причина — следствие, общее — осо</w:t>
      </w:r>
      <w:r>
        <w:rPr>
          <w:rStyle w:val="113"/>
          <w:b/>
          <w:bCs/>
        </w:rPr>
        <w:softHyphen/>
        <w:t>бенное, форма — содержание, часть — целое, постоянство — из</w:t>
      </w:r>
      <w:r>
        <w:rPr>
          <w:rStyle w:val="113"/>
          <w:b/>
          <w:bCs/>
        </w:rPr>
        <w:softHyphen/>
        <w:t>менчивость.</w:t>
      </w:r>
    </w:p>
    <w:p w14:paraId="66FC046E" w14:textId="77777777" w:rsidR="00350D42" w:rsidRDefault="008E6F64">
      <w:pPr>
        <w:pStyle w:val="111"/>
        <w:shd w:val="clear" w:color="auto" w:fill="auto"/>
        <w:spacing w:before="0" w:after="0" w:line="254" w:lineRule="exact"/>
        <w:ind w:firstLine="320"/>
        <w:jc w:val="both"/>
      </w:pPr>
      <w:r>
        <w:rPr>
          <w:rStyle w:val="113"/>
          <w:b/>
          <w:bCs/>
        </w:rPr>
        <w:t>В процессе построения эссе необходимо помнить, что один пара</w:t>
      </w:r>
      <w:r>
        <w:rPr>
          <w:rStyle w:val="113"/>
          <w:b/>
          <w:bCs/>
        </w:rPr>
        <w:softHyphen/>
        <w:t>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разделы аргументацией (со</w:t>
      </w:r>
      <w:r>
        <w:rPr>
          <w:rStyle w:val="113"/>
          <w:b/>
          <w:bCs/>
        </w:rPr>
        <w:softHyphen/>
        <w:t>ответствующей подзаголовкам), необходимо в пределах параграфа ограничить себя рассмотрением одной главной мысли. Хорошо про</w:t>
      </w:r>
      <w:r>
        <w:rPr>
          <w:rStyle w:val="113"/>
          <w:b/>
          <w:bCs/>
        </w:rPr>
        <w:softHyphen/>
        <w:t>веренный (и для большинства — совершено необходимый) способ построения любого эссе — использование подзаголовков для обо</w:t>
      </w:r>
      <w:r>
        <w:rPr>
          <w:rStyle w:val="113"/>
          <w:b/>
          <w:bCs/>
        </w:rPr>
        <w:softHyphen/>
        <w:t>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w:t>
      </w:r>
      <w:r>
        <w:rPr>
          <w:rStyle w:val="113"/>
          <w:b/>
          <w:bCs/>
        </w:rPr>
        <w:softHyphen/>
        <w:t>жет также свидетельствовать о наличии или отсутствии логичности в освещении темы.</w:t>
      </w:r>
    </w:p>
    <w:p w14:paraId="6D42CEE5" w14:textId="77777777" w:rsidR="00350D42" w:rsidRDefault="008E6F64">
      <w:pPr>
        <w:pStyle w:val="111"/>
        <w:shd w:val="clear" w:color="auto" w:fill="auto"/>
        <w:spacing w:before="0" w:after="0" w:line="254" w:lineRule="exact"/>
        <w:ind w:firstLine="320"/>
        <w:jc w:val="both"/>
      </w:pPr>
      <w:r>
        <w:rPr>
          <w:rStyle w:val="113"/>
          <w:b/>
          <w:bCs/>
        </w:rPr>
        <w:t xml:space="preserve">В </w:t>
      </w:r>
      <w:r>
        <w:rPr>
          <w:rStyle w:val="112"/>
        </w:rPr>
        <w:t>заключении</w:t>
      </w:r>
      <w:r>
        <w:rPr>
          <w:rStyle w:val="113"/>
          <w:b/>
          <w:bCs/>
        </w:rPr>
        <w:t xml:space="preserve"> приводятся обобщения и аргументированные вы</w:t>
      </w:r>
      <w:r>
        <w:rPr>
          <w:rStyle w:val="113"/>
          <w:b/>
          <w:bCs/>
        </w:rPr>
        <w:softHyphen/>
        <w:t>воды по теме с указанием области ее применения и т. д. Заключе</w:t>
      </w:r>
      <w:r>
        <w:rPr>
          <w:rStyle w:val="113"/>
          <w:b/>
          <w:bCs/>
        </w:rPr>
        <w:softHyphen/>
        <w:t>ние подытоживает эссе или еще раз вносит пояснения, подкрепляет смысл и значение изложенного в основной части. Методы, рекомен</w:t>
      </w:r>
      <w:r>
        <w:rPr>
          <w:rStyle w:val="113"/>
          <w:b/>
          <w:bCs/>
        </w:rPr>
        <w:softHyphen/>
        <w:t>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w:t>
      </w:r>
      <w:r>
        <w:rPr>
          <w:rStyle w:val="113"/>
          <w:b/>
          <w:bCs/>
        </w:rPr>
        <w:softHyphen/>
        <w:t>вязи с другими проблемами.</w:t>
      </w:r>
    </w:p>
    <w:p w14:paraId="3708065A" w14:textId="77777777" w:rsidR="00350D42" w:rsidRDefault="008E6F64">
      <w:pPr>
        <w:pStyle w:val="111"/>
        <w:shd w:val="clear" w:color="auto" w:fill="auto"/>
        <w:spacing w:before="0" w:after="0" w:line="254" w:lineRule="exact"/>
        <w:ind w:firstLine="320"/>
        <w:jc w:val="both"/>
      </w:pPr>
      <w:r>
        <w:rPr>
          <w:rStyle w:val="113"/>
          <w:b/>
          <w:bCs/>
        </w:rPr>
        <w:t xml:space="preserve">В </w:t>
      </w:r>
      <w:r>
        <w:rPr>
          <w:rStyle w:val="112"/>
        </w:rPr>
        <w:t>списке литературы</w:t>
      </w:r>
      <w:r>
        <w:rPr>
          <w:rStyle w:val="113"/>
          <w:b/>
          <w:bCs/>
        </w:rPr>
        <w:t xml:space="preserve"> в алфавитном порядке должны быть пе</w:t>
      </w:r>
      <w:r>
        <w:rPr>
          <w:rStyle w:val="113"/>
          <w:b/>
          <w:bCs/>
        </w:rPr>
        <w:softHyphen/>
        <w:t>речислены использованные при выполнении работы источники (не менее шести) и соответствующим образом оформленные.</w:t>
      </w:r>
    </w:p>
    <w:p w14:paraId="49E8788C" w14:textId="77777777" w:rsidR="00350D42" w:rsidRDefault="008E6F64">
      <w:pPr>
        <w:pStyle w:val="111"/>
        <w:shd w:val="clear" w:color="auto" w:fill="auto"/>
        <w:spacing w:before="0" w:after="0" w:line="254" w:lineRule="exact"/>
        <w:ind w:firstLine="320"/>
        <w:jc w:val="both"/>
      </w:pPr>
      <w:r>
        <w:rPr>
          <w:rStyle w:val="113"/>
          <w:b/>
          <w:bCs/>
        </w:rPr>
        <w:t>Лучшие работы также могут служить основой для подготовки докладов на студенческой научно-практической конференции, за</w:t>
      </w:r>
      <w:r>
        <w:rPr>
          <w:rStyle w:val="113"/>
          <w:b/>
          <w:bCs/>
        </w:rPr>
        <w:softHyphen/>
        <w:t>седании студенческого научного общества и для написания студен</w:t>
      </w:r>
      <w:r>
        <w:rPr>
          <w:rStyle w:val="113"/>
          <w:b/>
          <w:bCs/>
        </w:rPr>
        <w:softHyphen/>
        <w:t>ческих научных работ, представляемых на конкурс.</w:t>
      </w:r>
    </w:p>
    <w:p w14:paraId="76656221" w14:textId="77777777" w:rsidR="00350D42" w:rsidRDefault="008E6F64">
      <w:pPr>
        <w:pStyle w:val="111"/>
        <w:shd w:val="clear" w:color="auto" w:fill="auto"/>
        <w:spacing w:before="0" w:after="0" w:line="254" w:lineRule="exact"/>
        <w:ind w:firstLine="320"/>
        <w:jc w:val="both"/>
        <w:sectPr w:rsidR="00350D42">
          <w:headerReference w:type="even" r:id="rId170"/>
          <w:headerReference w:type="default" r:id="rId171"/>
          <w:footerReference w:type="even" r:id="rId172"/>
          <w:footerReference w:type="default" r:id="rId173"/>
          <w:footerReference w:type="first" r:id="rId174"/>
          <w:pgSz w:w="8789" w:h="13493"/>
          <w:pgMar w:top="979" w:right="1078" w:bottom="1229" w:left="1073" w:header="0" w:footer="3" w:gutter="0"/>
          <w:cols w:space="720"/>
          <w:noEndnote/>
          <w:docGrid w:linePitch="360"/>
        </w:sectPr>
      </w:pPr>
      <w:r>
        <w:rPr>
          <w:rStyle w:val="113"/>
          <w:b/>
          <w:bCs/>
        </w:rPr>
        <w:t>По результатам проверки эссе преподавателем выставляется оценка в баллах, которая учитывается при определении общей ито</w:t>
      </w:r>
      <w:r>
        <w:rPr>
          <w:rStyle w:val="113"/>
          <w:b/>
          <w:bCs/>
        </w:rPr>
        <w:softHyphen/>
        <w:t>говой оценки по дисциплине. Критерии оценки и максимальная сумма баллов по каждому критерию представлены в табл. П.1.5.</w:t>
      </w:r>
    </w:p>
    <w:p w14:paraId="2A7292F0" w14:textId="77777777" w:rsidR="00350D42" w:rsidRDefault="008E6F64">
      <w:pPr>
        <w:pStyle w:val="3f2"/>
        <w:framePr w:w="6581" w:wrap="notBeside" w:vAnchor="text" w:hAnchor="text" w:xAlign="center" w:y="1"/>
        <w:shd w:val="clear" w:color="auto" w:fill="auto"/>
        <w:spacing w:line="194" w:lineRule="exact"/>
        <w:jc w:val="left"/>
      </w:pPr>
      <w:r>
        <w:rPr>
          <w:rStyle w:val="3f3"/>
          <w:b/>
          <w:bCs/>
        </w:rPr>
        <w:lastRenderedPageBreak/>
        <w:t>Система рейтинговой оценки эссе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1"/>
        <w:gridCol w:w="1094"/>
        <w:gridCol w:w="1546"/>
      </w:tblGrid>
      <w:tr w:rsidR="00350D42" w14:paraId="176DDCB3" w14:textId="77777777">
        <w:trPr>
          <w:trHeight w:hRule="exact" w:val="331"/>
          <w:jc w:val="center"/>
        </w:trPr>
        <w:tc>
          <w:tcPr>
            <w:tcW w:w="3941" w:type="dxa"/>
            <w:vMerge w:val="restart"/>
            <w:tcBorders>
              <w:top w:val="single" w:sz="4" w:space="0" w:color="auto"/>
              <w:left w:val="single" w:sz="4" w:space="0" w:color="auto"/>
            </w:tcBorders>
            <w:shd w:val="clear" w:color="auto" w:fill="FFFFFF"/>
          </w:tcPr>
          <w:p w14:paraId="087BB9E9"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Критерии оценки</w:t>
            </w:r>
          </w:p>
        </w:tc>
        <w:tc>
          <w:tcPr>
            <w:tcW w:w="2640" w:type="dxa"/>
            <w:gridSpan w:val="2"/>
            <w:tcBorders>
              <w:top w:val="single" w:sz="4" w:space="0" w:color="auto"/>
              <w:left w:val="single" w:sz="4" w:space="0" w:color="auto"/>
              <w:right w:val="single" w:sz="4" w:space="0" w:color="auto"/>
            </w:tcBorders>
            <w:shd w:val="clear" w:color="auto" w:fill="FFFFFF"/>
            <w:vAlign w:val="bottom"/>
          </w:tcPr>
          <w:p w14:paraId="0D97E661"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Оценка в баллах</w:t>
            </w:r>
          </w:p>
        </w:tc>
      </w:tr>
      <w:tr w:rsidR="00350D42" w14:paraId="7EB3379A" w14:textId="77777777">
        <w:trPr>
          <w:trHeight w:hRule="exact" w:val="326"/>
          <w:jc w:val="center"/>
        </w:trPr>
        <w:tc>
          <w:tcPr>
            <w:tcW w:w="3941" w:type="dxa"/>
            <w:vMerge/>
            <w:tcBorders>
              <w:left w:val="single" w:sz="4" w:space="0" w:color="auto"/>
            </w:tcBorders>
            <w:shd w:val="clear" w:color="auto" w:fill="FFFFFF"/>
          </w:tcPr>
          <w:p w14:paraId="6CB8811D" w14:textId="77777777" w:rsidR="00350D42" w:rsidRDefault="00350D42">
            <w:pPr>
              <w:framePr w:w="6581" w:wrap="notBeside" w:vAnchor="text" w:hAnchor="text" w:xAlign="center" w:y="1"/>
            </w:pPr>
          </w:p>
        </w:tc>
        <w:tc>
          <w:tcPr>
            <w:tcW w:w="1094" w:type="dxa"/>
            <w:tcBorders>
              <w:top w:val="single" w:sz="4" w:space="0" w:color="auto"/>
              <w:left w:val="single" w:sz="4" w:space="0" w:color="auto"/>
            </w:tcBorders>
            <w:shd w:val="clear" w:color="auto" w:fill="FFFFFF"/>
            <w:vAlign w:val="bottom"/>
          </w:tcPr>
          <w:p w14:paraId="7D3E1750"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Минимум</w:t>
            </w:r>
          </w:p>
        </w:tc>
        <w:tc>
          <w:tcPr>
            <w:tcW w:w="1546" w:type="dxa"/>
            <w:tcBorders>
              <w:top w:val="single" w:sz="4" w:space="0" w:color="auto"/>
              <w:left w:val="single" w:sz="4" w:space="0" w:color="auto"/>
              <w:right w:val="single" w:sz="4" w:space="0" w:color="auto"/>
            </w:tcBorders>
            <w:shd w:val="clear" w:color="auto" w:fill="FFFFFF"/>
            <w:vAlign w:val="bottom"/>
          </w:tcPr>
          <w:p w14:paraId="521159EA"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Максимум</w:t>
            </w:r>
          </w:p>
        </w:tc>
      </w:tr>
      <w:tr w:rsidR="00350D42" w14:paraId="15DF3345" w14:textId="77777777">
        <w:trPr>
          <w:trHeight w:hRule="exact" w:val="326"/>
          <w:jc w:val="center"/>
        </w:trPr>
        <w:tc>
          <w:tcPr>
            <w:tcW w:w="3941" w:type="dxa"/>
            <w:tcBorders>
              <w:top w:val="single" w:sz="4" w:space="0" w:color="auto"/>
              <w:left w:val="single" w:sz="4" w:space="0" w:color="auto"/>
            </w:tcBorders>
            <w:shd w:val="clear" w:color="auto" w:fill="FFFFFF"/>
            <w:vAlign w:val="center"/>
          </w:tcPr>
          <w:p w14:paraId="3C6907B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Раскрытие темы</w:t>
            </w:r>
          </w:p>
        </w:tc>
        <w:tc>
          <w:tcPr>
            <w:tcW w:w="1094" w:type="dxa"/>
            <w:tcBorders>
              <w:top w:val="single" w:sz="4" w:space="0" w:color="auto"/>
              <w:left w:val="single" w:sz="4" w:space="0" w:color="auto"/>
            </w:tcBorders>
            <w:shd w:val="clear" w:color="auto" w:fill="FFFFFF"/>
            <w:vAlign w:val="center"/>
          </w:tcPr>
          <w:p w14:paraId="245A634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w:t>
            </w:r>
          </w:p>
        </w:tc>
        <w:tc>
          <w:tcPr>
            <w:tcW w:w="1546" w:type="dxa"/>
            <w:tcBorders>
              <w:top w:val="single" w:sz="4" w:space="0" w:color="auto"/>
              <w:left w:val="single" w:sz="4" w:space="0" w:color="auto"/>
              <w:right w:val="single" w:sz="4" w:space="0" w:color="auto"/>
            </w:tcBorders>
            <w:shd w:val="clear" w:color="auto" w:fill="FFFFFF"/>
            <w:vAlign w:val="bottom"/>
          </w:tcPr>
          <w:p w14:paraId="3A9F8C8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w:t>
            </w:r>
          </w:p>
        </w:tc>
      </w:tr>
      <w:tr w:rsidR="00350D42" w14:paraId="5C2B4622" w14:textId="77777777">
        <w:trPr>
          <w:trHeight w:hRule="exact" w:val="322"/>
          <w:jc w:val="center"/>
        </w:trPr>
        <w:tc>
          <w:tcPr>
            <w:tcW w:w="3941" w:type="dxa"/>
            <w:tcBorders>
              <w:top w:val="single" w:sz="4" w:space="0" w:color="auto"/>
              <w:left w:val="single" w:sz="4" w:space="0" w:color="auto"/>
            </w:tcBorders>
            <w:shd w:val="clear" w:color="auto" w:fill="FFFFFF"/>
            <w:vAlign w:val="center"/>
          </w:tcPr>
          <w:p w14:paraId="2EBEAD3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Логичность изложения</w:t>
            </w:r>
          </w:p>
        </w:tc>
        <w:tc>
          <w:tcPr>
            <w:tcW w:w="1094" w:type="dxa"/>
            <w:tcBorders>
              <w:top w:val="single" w:sz="4" w:space="0" w:color="auto"/>
              <w:left w:val="single" w:sz="4" w:space="0" w:color="auto"/>
            </w:tcBorders>
            <w:shd w:val="clear" w:color="auto" w:fill="FFFFFF"/>
            <w:vAlign w:val="center"/>
          </w:tcPr>
          <w:p w14:paraId="6407037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w:t>
            </w:r>
          </w:p>
        </w:tc>
        <w:tc>
          <w:tcPr>
            <w:tcW w:w="1546" w:type="dxa"/>
            <w:tcBorders>
              <w:top w:val="single" w:sz="4" w:space="0" w:color="auto"/>
              <w:left w:val="single" w:sz="4" w:space="0" w:color="auto"/>
              <w:right w:val="single" w:sz="4" w:space="0" w:color="auto"/>
            </w:tcBorders>
            <w:shd w:val="clear" w:color="auto" w:fill="FFFFFF"/>
            <w:vAlign w:val="bottom"/>
          </w:tcPr>
          <w:p w14:paraId="7C1C13A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w:t>
            </w:r>
          </w:p>
        </w:tc>
      </w:tr>
      <w:tr w:rsidR="00350D42" w14:paraId="3BE0AAA4" w14:textId="77777777">
        <w:trPr>
          <w:trHeight w:hRule="exact" w:val="326"/>
          <w:jc w:val="center"/>
        </w:trPr>
        <w:tc>
          <w:tcPr>
            <w:tcW w:w="3941" w:type="dxa"/>
            <w:tcBorders>
              <w:top w:val="single" w:sz="4" w:space="0" w:color="auto"/>
              <w:left w:val="single" w:sz="4" w:space="0" w:color="auto"/>
            </w:tcBorders>
            <w:shd w:val="clear" w:color="auto" w:fill="FFFFFF"/>
            <w:vAlign w:val="bottom"/>
          </w:tcPr>
          <w:p w14:paraId="032E7D6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Использование современной информации</w:t>
            </w:r>
          </w:p>
        </w:tc>
        <w:tc>
          <w:tcPr>
            <w:tcW w:w="1094" w:type="dxa"/>
            <w:tcBorders>
              <w:top w:val="single" w:sz="4" w:space="0" w:color="auto"/>
              <w:left w:val="single" w:sz="4" w:space="0" w:color="auto"/>
            </w:tcBorders>
            <w:shd w:val="clear" w:color="auto" w:fill="FFFFFF"/>
            <w:vAlign w:val="bottom"/>
          </w:tcPr>
          <w:p w14:paraId="298E170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w:t>
            </w:r>
          </w:p>
        </w:tc>
        <w:tc>
          <w:tcPr>
            <w:tcW w:w="1546" w:type="dxa"/>
            <w:tcBorders>
              <w:top w:val="single" w:sz="4" w:space="0" w:color="auto"/>
              <w:left w:val="single" w:sz="4" w:space="0" w:color="auto"/>
              <w:right w:val="single" w:sz="4" w:space="0" w:color="auto"/>
            </w:tcBorders>
            <w:shd w:val="clear" w:color="auto" w:fill="FFFFFF"/>
            <w:vAlign w:val="bottom"/>
          </w:tcPr>
          <w:p w14:paraId="4B1691B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9</w:t>
            </w:r>
          </w:p>
        </w:tc>
      </w:tr>
      <w:tr w:rsidR="00350D42" w14:paraId="2AB0E6B8" w14:textId="77777777">
        <w:trPr>
          <w:trHeight w:hRule="exact" w:val="326"/>
          <w:jc w:val="center"/>
        </w:trPr>
        <w:tc>
          <w:tcPr>
            <w:tcW w:w="3941" w:type="dxa"/>
            <w:tcBorders>
              <w:top w:val="single" w:sz="4" w:space="0" w:color="auto"/>
              <w:left w:val="single" w:sz="4" w:space="0" w:color="auto"/>
            </w:tcBorders>
            <w:shd w:val="clear" w:color="auto" w:fill="FFFFFF"/>
            <w:vAlign w:val="center"/>
          </w:tcPr>
          <w:p w14:paraId="34FF1FE8"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Правильность оформления</w:t>
            </w:r>
          </w:p>
        </w:tc>
        <w:tc>
          <w:tcPr>
            <w:tcW w:w="1094" w:type="dxa"/>
            <w:tcBorders>
              <w:top w:val="single" w:sz="4" w:space="0" w:color="auto"/>
              <w:left w:val="single" w:sz="4" w:space="0" w:color="auto"/>
            </w:tcBorders>
            <w:shd w:val="clear" w:color="auto" w:fill="FFFFFF"/>
            <w:vAlign w:val="center"/>
          </w:tcPr>
          <w:p w14:paraId="3A77E85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w:t>
            </w:r>
          </w:p>
        </w:tc>
        <w:tc>
          <w:tcPr>
            <w:tcW w:w="1546" w:type="dxa"/>
            <w:tcBorders>
              <w:top w:val="single" w:sz="4" w:space="0" w:color="auto"/>
              <w:left w:val="single" w:sz="4" w:space="0" w:color="auto"/>
              <w:right w:val="single" w:sz="4" w:space="0" w:color="auto"/>
            </w:tcBorders>
            <w:shd w:val="clear" w:color="auto" w:fill="FFFFFF"/>
            <w:vAlign w:val="center"/>
          </w:tcPr>
          <w:p w14:paraId="2518278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w:t>
            </w:r>
          </w:p>
        </w:tc>
      </w:tr>
      <w:tr w:rsidR="00350D42" w14:paraId="1954431A" w14:textId="77777777">
        <w:trPr>
          <w:trHeight w:hRule="exact" w:val="326"/>
          <w:jc w:val="center"/>
        </w:trPr>
        <w:tc>
          <w:tcPr>
            <w:tcW w:w="3941" w:type="dxa"/>
            <w:tcBorders>
              <w:top w:val="single" w:sz="4" w:space="0" w:color="auto"/>
              <w:left w:val="single" w:sz="4" w:space="0" w:color="auto"/>
            </w:tcBorders>
            <w:shd w:val="clear" w:color="auto" w:fill="FFFFFF"/>
            <w:vAlign w:val="center"/>
          </w:tcPr>
          <w:p w14:paraId="5F8FECA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Наличие собственных выводов и обобщений</w:t>
            </w:r>
          </w:p>
        </w:tc>
        <w:tc>
          <w:tcPr>
            <w:tcW w:w="1094" w:type="dxa"/>
            <w:tcBorders>
              <w:top w:val="single" w:sz="4" w:space="0" w:color="auto"/>
              <w:left w:val="single" w:sz="4" w:space="0" w:color="auto"/>
            </w:tcBorders>
            <w:shd w:val="clear" w:color="auto" w:fill="FFFFFF"/>
            <w:vAlign w:val="bottom"/>
          </w:tcPr>
          <w:p w14:paraId="2F77556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w:t>
            </w:r>
          </w:p>
        </w:tc>
        <w:tc>
          <w:tcPr>
            <w:tcW w:w="1546" w:type="dxa"/>
            <w:tcBorders>
              <w:top w:val="single" w:sz="4" w:space="0" w:color="auto"/>
              <w:left w:val="single" w:sz="4" w:space="0" w:color="auto"/>
              <w:right w:val="single" w:sz="4" w:space="0" w:color="auto"/>
            </w:tcBorders>
            <w:shd w:val="clear" w:color="auto" w:fill="FFFFFF"/>
            <w:vAlign w:val="bottom"/>
          </w:tcPr>
          <w:p w14:paraId="101539B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w:t>
            </w:r>
          </w:p>
        </w:tc>
      </w:tr>
      <w:tr w:rsidR="00350D42" w14:paraId="29286E25" w14:textId="77777777">
        <w:trPr>
          <w:trHeight w:hRule="exact" w:val="331"/>
          <w:jc w:val="center"/>
        </w:trPr>
        <w:tc>
          <w:tcPr>
            <w:tcW w:w="3941" w:type="dxa"/>
            <w:tcBorders>
              <w:top w:val="single" w:sz="4" w:space="0" w:color="auto"/>
              <w:left w:val="single" w:sz="4" w:space="0" w:color="auto"/>
              <w:bottom w:val="single" w:sz="4" w:space="0" w:color="auto"/>
            </w:tcBorders>
            <w:shd w:val="clear" w:color="auto" w:fill="FFFFFF"/>
            <w:vAlign w:val="center"/>
          </w:tcPr>
          <w:p w14:paraId="509F0E9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Итого</w:t>
            </w:r>
          </w:p>
        </w:tc>
        <w:tc>
          <w:tcPr>
            <w:tcW w:w="1094" w:type="dxa"/>
            <w:tcBorders>
              <w:top w:val="single" w:sz="4" w:space="0" w:color="auto"/>
              <w:left w:val="single" w:sz="4" w:space="0" w:color="auto"/>
              <w:bottom w:val="single" w:sz="4" w:space="0" w:color="auto"/>
            </w:tcBorders>
            <w:shd w:val="clear" w:color="auto" w:fill="FFFFFF"/>
            <w:vAlign w:val="bottom"/>
          </w:tcPr>
          <w:p w14:paraId="00FEAD8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20</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14:paraId="4553567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40</w:t>
            </w:r>
          </w:p>
        </w:tc>
      </w:tr>
    </w:tbl>
    <w:p w14:paraId="0F1643C2" w14:textId="77777777" w:rsidR="00350D42" w:rsidRDefault="00350D42">
      <w:pPr>
        <w:framePr w:w="6581" w:wrap="notBeside" w:vAnchor="text" w:hAnchor="text" w:xAlign="center" w:y="1"/>
        <w:rPr>
          <w:sz w:val="2"/>
          <w:szCs w:val="2"/>
        </w:rPr>
      </w:pPr>
    </w:p>
    <w:p w14:paraId="6432136F" w14:textId="77777777" w:rsidR="00350D42" w:rsidRDefault="00350D42">
      <w:pPr>
        <w:rPr>
          <w:sz w:val="2"/>
          <w:szCs w:val="2"/>
        </w:rPr>
      </w:pPr>
    </w:p>
    <w:p w14:paraId="70207EBC" w14:textId="77777777" w:rsidR="00350D42" w:rsidRDefault="008E6F64">
      <w:pPr>
        <w:pStyle w:val="2c"/>
        <w:shd w:val="clear" w:color="auto" w:fill="auto"/>
        <w:spacing w:before="98"/>
        <w:ind w:firstLine="320"/>
      </w:pPr>
      <w:r>
        <w:rPr>
          <w:rStyle w:val="2d"/>
        </w:rPr>
        <w:t xml:space="preserve">Для написания эссе необходим </w:t>
      </w:r>
      <w:r>
        <w:rPr>
          <w:rStyle w:val="2f4"/>
        </w:rPr>
        <w:t>аппарат доказательств.</w:t>
      </w:r>
    </w:p>
    <w:p w14:paraId="29AAE457" w14:textId="77777777" w:rsidR="00350D42" w:rsidRDefault="008E6F64">
      <w:pPr>
        <w:pStyle w:val="2c"/>
        <w:shd w:val="clear" w:color="auto" w:fill="auto"/>
        <w:spacing w:before="0"/>
        <w:ind w:firstLine="320"/>
      </w:pPr>
      <w:r>
        <w:rPr>
          <w:rStyle w:val="285pt1"/>
        </w:rPr>
        <w:t>Доказательство</w:t>
      </w:r>
      <w:r>
        <w:rPr>
          <w:rStyle w:val="2ff1"/>
        </w:rPr>
        <w:t xml:space="preserve"> </w:t>
      </w:r>
      <w:r>
        <w:rPr>
          <w:rStyle w:val="2d"/>
        </w:rPr>
        <w:t>— это совокупность логических приемов обо</w:t>
      </w:r>
      <w:r>
        <w:rPr>
          <w:rStyle w:val="2d"/>
        </w:rPr>
        <w:softHyphen/>
        <w:t>снования истинности какого-либо суждения с помощью других ис</w:t>
      </w:r>
      <w:r>
        <w:rPr>
          <w:rStyle w:val="2d"/>
        </w:rPr>
        <w:softHyphen/>
        <w:t>тинных и связанных с ним суждений. Оно связано с убеждением, но не тождественно ему: аргументация или доказательство должны основываться на данных науки и общественно-исторической прак</w:t>
      </w:r>
      <w:r>
        <w:rPr>
          <w:rStyle w:val="2d"/>
        </w:rPr>
        <w:softHyphen/>
        <w:t>тики, убеждения же могут быть основаны на предрассудках, неосве</w:t>
      </w:r>
      <w:r>
        <w:rPr>
          <w:rStyle w:val="2d"/>
        </w:rPr>
        <w:softHyphen/>
        <w:t>домленности людей в вопросах экономики и политики, видимости доказательности. Другими словами, доказательство, или аргумента</w:t>
      </w:r>
      <w:r>
        <w:rPr>
          <w:rStyle w:val="2d"/>
        </w:rPr>
        <w:softHyphen/>
        <w:t>ция — это рассуждение, использующее факты, истинные суждения, научные данные и убеждающее нас в истинности того, о чем идет речь. Структура любого доказательства включает в себя три состав</w:t>
      </w:r>
      <w:r>
        <w:rPr>
          <w:rStyle w:val="2d"/>
        </w:rPr>
        <w:softHyphen/>
        <w:t>ляющие: тезис, аргументы и выводы или оценочные суждения.</w:t>
      </w:r>
    </w:p>
    <w:p w14:paraId="1C06A2C4" w14:textId="77777777" w:rsidR="00350D42" w:rsidRDefault="008E6F64">
      <w:pPr>
        <w:pStyle w:val="2c"/>
        <w:shd w:val="clear" w:color="auto" w:fill="auto"/>
        <w:spacing w:before="0"/>
        <w:ind w:firstLine="320"/>
      </w:pPr>
      <w:r>
        <w:rPr>
          <w:rStyle w:val="2f4"/>
        </w:rPr>
        <w:t>Тезис</w:t>
      </w:r>
      <w:r>
        <w:rPr>
          <w:rStyle w:val="2d"/>
        </w:rPr>
        <w:t xml:space="preserve"> — это положение (суждение), которое требуется доказать.</w:t>
      </w:r>
    </w:p>
    <w:p w14:paraId="459F05C8" w14:textId="77777777" w:rsidR="00350D42" w:rsidRDefault="008E6F64">
      <w:pPr>
        <w:pStyle w:val="2c"/>
        <w:shd w:val="clear" w:color="auto" w:fill="auto"/>
        <w:spacing w:before="0"/>
        <w:ind w:firstLine="320"/>
      </w:pPr>
      <w:r>
        <w:rPr>
          <w:rStyle w:val="2f4"/>
        </w:rPr>
        <w:t>Аргументы</w:t>
      </w:r>
      <w:r>
        <w:rPr>
          <w:rStyle w:val="2d"/>
        </w:rPr>
        <w:t xml:space="preserve"> — это категории, которыми пользуются при доказа</w:t>
      </w:r>
      <w:r>
        <w:rPr>
          <w:rStyle w:val="2d"/>
        </w:rPr>
        <w:softHyphen/>
        <w:t>тельстве истинности тезиса. Аргументы обычно делятся на следую</w:t>
      </w:r>
      <w:r>
        <w:rPr>
          <w:rStyle w:val="2d"/>
        </w:rPr>
        <w:softHyphen/>
        <w:t>щие группы:</w:t>
      </w:r>
    </w:p>
    <w:p w14:paraId="00AD9590" w14:textId="77777777" w:rsidR="00350D42" w:rsidRDefault="008E6F64">
      <w:pPr>
        <w:pStyle w:val="2c"/>
        <w:numPr>
          <w:ilvl w:val="0"/>
          <w:numId w:val="144"/>
        </w:numPr>
        <w:shd w:val="clear" w:color="auto" w:fill="auto"/>
        <w:tabs>
          <w:tab w:val="left" w:pos="622"/>
        </w:tabs>
        <w:spacing w:before="0"/>
        <w:ind w:firstLine="320"/>
      </w:pPr>
      <w:r>
        <w:rPr>
          <w:rStyle w:val="2d"/>
        </w:rPr>
        <w:t>удостоверенные факты — фактический материал (или стати</w:t>
      </w:r>
      <w:r>
        <w:rPr>
          <w:rStyle w:val="2d"/>
        </w:rPr>
        <w:softHyphen/>
        <w:t>стические данные). Факты — это питательная среда для выяснения тенденций, а на их основании — законов в различных областях зна</w:t>
      </w:r>
      <w:r>
        <w:rPr>
          <w:rStyle w:val="2d"/>
        </w:rPr>
        <w:softHyphen/>
        <w:t>ний, поэтому мы часто иллюстрируем действие законов на основе фактических данных;</w:t>
      </w:r>
    </w:p>
    <w:p w14:paraId="1E4F68DE" w14:textId="77777777" w:rsidR="00350D42" w:rsidRDefault="008E6F64">
      <w:pPr>
        <w:pStyle w:val="2c"/>
        <w:numPr>
          <w:ilvl w:val="0"/>
          <w:numId w:val="144"/>
        </w:numPr>
        <w:shd w:val="clear" w:color="auto" w:fill="auto"/>
        <w:tabs>
          <w:tab w:val="left" w:pos="622"/>
        </w:tabs>
        <w:spacing w:before="0"/>
        <w:ind w:firstLine="320"/>
      </w:pPr>
      <w:r>
        <w:rPr>
          <w:rStyle w:val="2d"/>
        </w:rPr>
        <w:t>определения — в процессе аргументации используются как описание понятий, связанных с тезисом;</w:t>
      </w:r>
    </w:p>
    <w:p w14:paraId="6776BEED" w14:textId="77777777" w:rsidR="00350D42" w:rsidRDefault="008E6F64">
      <w:pPr>
        <w:pStyle w:val="2c"/>
        <w:numPr>
          <w:ilvl w:val="0"/>
          <w:numId w:val="144"/>
        </w:numPr>
        <w:shd w:val="clear" w:color="auto" w:fill="auto"/>
        <w:tabs>
          <w:tab w:val="left" w:pos="622"/>
        </w:tabs>
        <w:spacing w:before="0"/>
        <w:ind w:firstLine="320"/>
      </w:pPr>
      <w:r>
        <w:rPr>
          <w:rStyle w:val="2d"/>
        </w:rPr>
        <w:t>законы науки и ранее доказанные теоремы тоже могут ис</w:t>
      </w:r>
      <w:r>
        <w:rPr>
          <w:rStyle w:val="2d"/>
        </w:rPr>
        <w:softHyphen/>
        <w:t>пользоваться как аргументы доказательства.</w:t>
      </w:r>
    </w:p>
    <w:p w14:paraId="51876ADE" w14:textId="77777777" w:rsidR="00350D42" w:rsidRDefault="008E6F64">
      <w:pPr>
        <w:pStyle w:val="2c"/>
        <w:shd w:val="clear" w:color="auto" w:fill="auto"/>
        <w:spacing w:before="0"/>
        <w:ind w:firstLine="320"/>
      </w:pPr>
      <w:r>
        <w:rPr>
          <w:rStyle w:val="2f4"/>
        </w:rPr>
        <w:t>Вывод</w:t>
      </w:r>
      <w:r>
        <w:rPr>
          <w:rStyle w:val="2d"/>
        </w:rPr>
        <w:t xml:space="preserve"> — это мнение, основанное на анализе фактов. Оценочные суждения — это мнения, основанные на наших убеждениях, веро</w:t>
      </w:r>
      <w:r>
        <w:rPr>
          <w:rStyle w:val="2d"/>
        </w:rPr>
        <w:softHyphen/>
        <w:t>ваниях или взглядах.</w:t>
      </w:r>
    </w:p>
    <w:p w14:paraId="531BA3DC" w14:textId="77777777" w:rsidR="00350D42" w:rsidRDefault="008E6F64">
      <w:pPr>
        <w:pStyle w:val="2c"/>
        <w:shd w:val="clear" w:color="auto" w:fill="auto"/>
        <w:spacing w:before="0"/>
        <w:ind w:firstLine="320"/>
      </w:pPr>
      <w:r>
        <w:rPr>
          <w:rStyle w:val="2d"/>
        </w:rPr>
        <w:t xml:space="preserve">Подготовка </w:t>
      </w:r>
      <w:r>
        <w:rPr>
          <w:rStyle w:val="2f4"/>
        </w:rPr>
        <w:t>эссе</w:t>
      </w:r>
      <w:r>
        <w:rPr>
          <w:rStyle w:val="2d"/>
        </w:rPr>
        <w:t xml:space="preserve"> предполагает необходимость:</w:t>
      </w:r>
    </w:p>
    <w:p w14:paraId="666A0743" w14:textId="77777777" w:rsidR="00350D42" w:rsidRDefault="008E6F64">
      <w:pPr>
        <w:pStyle w:val="2c"/>
        <w:shd w:val="clear" w:color="auto" w:fill="auto"/>
        <w:spacing w:before="0"/>
        <w:ind w:firstLine="320"/>
        <w:sectPr w:rsidR="00350D42">
          <w:pgSz w:w="8789" w:h="13493"/>
          <w:pgMar w:top="1501" w:right="1080" w:bottom="1170" w:left="1070" w:header="0" w:footer="3" w:gutter="0"/>
          <w:cols w:space="720"/>
          <w:noEndnote/>
          <w:docGrid w:linePitch="360"/>
        </w:sectPr>
      </w:pPr>
      <w:r>
        <w:rPr>
          <w:rStyle w:val="2d"/>
        </w:rPr>
        <w:lastRenderedPageBreak/>
        <w:t>— ссылок на источники литературы, которые прочитал и ис</w:t>
      </w:r>
      <w:r>
        <w:rPr>
          <w:rStyle w:val="2d"/>
        </w:rPr>
        <w:softHyphen/>
        <w:t>пользовал автор эссе;</w:t>
      </w:r>
    </w:p>
    <w:p w14:paraId="0CA5751A" w14:textId="77777777" w:rsidR="00350D42" w:rsidRDefault="008E6F64">
      <w:pPr>
        <w:pStyle w:val="111"/>
        <w:numPr>
          <w:ilvl w:val="0"/>
          <w:numId w:val="142"/>
        </w:numPr>
        <w:shd w:val="clear" w:color="auto" w:fill="auto"/>
        <w:tabs>
          <w:tab w:val="left" w:pos="637"/>
        </w:tabs>
        <w:spacing w:before="0" w:after="0" w:line="250" w:lineRule="exact"/>
        <w:ind w:firstLine="320"/>
        <w:jc w:val="both"/>
      </w:pPr>
      <w:r>
        <w:rPr>
          <w:rStyle w:val="113"/>
          <w:b/>
          <w:bCs/>
        </w:rPr>
        <w:lastRenderedPageBreak/>
        <w:t>подтверждения выдвинутым автором предположений за счет использованных им эмпирических данных из разных источников информации;</w:t>
      </w:r>
    </w:p>
    <w:p w14:paraId="428A1F2B" w14:textId="77777777" w:rsidR="00350D42" w:rsidRDefault="008E6F64">
      <w:pPr>
        <w:pStyle w:val="111"/>
        <w:numPr>
          <w:ilvl w:val="0"/>
          <w:numId w:val="142"/>
        </w:numPr>
        <w:shd w:val="clear" w:color="auto" w:fill="auto"/>
        <w:tabs>
          <w:tab w:val="left" w:pos="678"/>
        </w:tabs>
        <w:spacing w:before="0" w:after="0" w:line="250" w:lineRule="exact"/>
        <w:ind w:firstLine="320"/>
        <w:jc w:val="both"/>
      </w:pPr>
      <w:r>
        <w:rPr>
          <w:rStyle w:val="113"/>
          <w:b/>
          <w:bCs/>
        </w:rPr>
        <w:t>наличия в эссе трех взаимосвязанных составляющих:</w:t>
      </w:r>
    </w:p>
    <w:p w14:paraId="47DA7B5A" w14:textId="77777777" w:rsidR="00350D42" w:rsidRDefault="008E6F64">
      <w:pPr>
        <w:pStyle w:val="111"/>
        <w:numPr>
          <w:ilvl w:val="0"/>
          <w:numId w:val="145"/>
        </w:numPr>
        <w:shd w:val="clear" w:color="auto" w:fill="auto"/>
        <w:tabs>
          <w:tab w:val="left" w:pos="632"/>
        </w:tabs>
        <w:spacing w:before="0" w:after="0" w:line="250" w:lineRule="exact"/>
        <w:ind w:firstLine="320"/>
        <w:jc w:val="both"/>
      </w:pPr>
      <w:r>
        <w:rPr>
          <w:rStyle w:val="113"/>
          <w:b/>
          <w:bCs/>
        </w:rPr>
        <w:t>исходного материала, который будет использован (конспек</w:t>
      </w:r>
      <w:r>
        <w:rPr>
          <w:rStyle w:val="113"/>
          <w:b/>
          <w:bCs/>
        </w:rPr>
        <w:softHyphen/>
        <w:t>ты прочитанной литературы, лекций, записи результатов дискус</w:t>
      </w:r>
      <w:r>
        <w:rPr>
          <w:rStyle w:val="113"/>
          <w:b/>
          <w:bCs/>
        </w:rPr>
        <w:softHyphen/>
        <w:t>сий, собственные соображения и накопленный опыт по данной про</w:t>
      </w:r>
      <w:r>
        <w:rPr>
          <w:rStyle w:val="113"/>
          <w:b/>
          <w:bCs/>
        </w:rPr>
        <w:softHyphen/>
        <w:t>блеме),</w:t>
      </w:r>
    </w:p>
    <w:p w14:paraId="23BB1785" w14:textId="77777777" w:rsidR="00350D42" w:rsidRDefault="008E6F64">
      <w:pPr>
        <w:pStyle w:val="111"/>
        <w:numPr>
          <w:ilvl w:val="0"/>
          <w:numId w:val="145"/>
        </w:numPr>
        <w:shd w:val="clear" w:color="auto" w:fill="auto"/>
        <w:tabs>
          <w:tab w:val="left" w:pos="632"/>
        </w:tabs>
        <w:spacing w:before="0" w:after="0" w:line="250" w:lineRule="exact"/>
        <w:ind w:firstLine="320"/>
        <w:jc w:val="both"/>
      </w:pPr>
      <w:r>
        <w:rPr>
          <w:rStyle w:val="113"/>
          <w:b/>
          <w:bCs/>
        </w:rPr>
        <w:t>качества обработки имеющегося исходного материала (его организация, аргументация и доводы),</w:t>
      </w:r>
    </w:p>
    <w:p w14:paraId="5B820B67" w14:textId="77777777" w:rsidR="00350D42" w:rsidRDefault="008E6F64">
      <w:pPr>
        <w:pStyle w:val="111"/>
        <w:numPr>
          <w:ilvl w:val="0"/>
          <w:numId w:val="145"/>
        </w:numPr>
        <w:shd w:val="clear" w:color="auto" w:fill="auto"/>
        <w:tabs>
          <w:tab w:val="left" w:pos="632"/>
        </w:tabs>
        <w:spacing w:before="0" w:after="0" w:line="250" w:lineRule="exact"/>
        <w:ind w:firstLine="320"/>
        <w:jc w:val="both"/>
      </w:pPr>
      <w:r>
        <w:rPr>
          <w:rStyle w:val="113"/>
          <w:b/>
          <w:bCs/>
        </w:rPr>
        <w:t>аргументации (насколько точно она соотносится с подняты</w:t>
      </w:r>
      <w:r>
        <w:rPr>
          <w:rStyle w:val="113"/>
          <w:b/>
          <w:bCs/>
        </w:rPr>
        <w:softHyphen/>
        <w:t>ми в эссе проблемами).</w:t>
      </w:r>
    </w:p>
    <w:p w14:paraId="26FC5034" w14:textId="77777777" w:rsidR="00350D42" w:rsidRDefault="008E6F64">
      <w:pPr>
        <w:pStyle w:val="111"/>
        <w:shd w:val="clear" w:color="auto" w:fill="auto"/>
        <w:spacing w:before="0" w:after="0" w:line="250" w:lineRule="exact"/>
        <w:ind w:firstLine="320"/>
        <w:jc w:val="both"/>
      </w:pPr>
      <w:r>
        <w:rPr>
          <w:rStyle w:val="113"/>
          <w:b/>
          <w:bCs/>
        </w:rPr>
        <w:t>Процесс написания эссе можно разбить на несколько стадий: об</w:t>
      </w:r>
      <w:r>
        <w:rPr>
          <w:rStyle w:val="113"/>
          <w:b/>
          <w:bCs/>
        </w:rPr>
        <w:softHyphen/>
        <w:t>думывание — планирование — написание — проверка — правка.</w:t>
      </w:r>
    </w:p>
    <w:p w14:paraId="389D8FF1" w14:textId="77777777" w:rsidR="00350D42" w:rsidRDefault="008E6F64">
      <w:pPr>
        <w:pStyle w:val="111"/>
        <w:shd w:val="clear" w:color="auto" w:fill="auto"/>
        <w:spacing w:before="0" w:after="0" w:line="250" w:lineRule="exact"/>
        <w:ind w:firstLine="320"/>
        <w:jc w:val="both"/>
      </w:pPr>
      <w:r>
        <w:rPr>
          <w:rStyle w:val="113"/>
          <w:b/>
          <w:bCs/>
        </w:rPr>
        <w:t>В табл. П.1.6 представлены критерии оценки эссе.</w:t>
      </w:r>
    </w:p>
    <w:p w14:paraId="0FA7DB1C" w14:textId="77777777" w:rsidR="00350D42" w:rsidRDefault="008E6F64">
      <w:pPr>
        <w:pStyle w:val="190"/>
        <w:shd w:val="clear" w:color="auto" w:fill="auto"/>
      </w:pPr>
      <w:r>
        <w:rPr>
          <w:rStyle w:val="191"/>
          <w:i/>
          <w:iCs/>
        </w:rPr>
        <w:t>Таблица П.1.6</w:t>
      </w:r>
    </w:p>
    <w:p w14:paraId="358D6A62" w14:textId="77777777" w:rsidR="00350D42" w:rsidRDefault="008E6F64">
      <w:pPr>
        <w:pStyle w:val="3f2"/>
        <w:framePr w:w="6581" w:wrap="notBeside" w:vAnchor="text" w:hAnchor="text" w:xAlign="center" w:y="1"/>
        <w:shd w:val="clear" w:color="auto" w:fill="auto"/>
        <w:spacing w:line="194" w:lineRule="exact"/>
        <w:jc w:val="left"/>
      </w:pPr>
      <w:r>
        <w:rPr>
          <w:rStyle w:val="3f3"/>
          <w:b/>
          <w:bCs/>
        </w:rPr>
        <w:t>Система оценки эссе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4627"/>
      </w:tblGrid>
      <w:tr w:rsidR="00350D42" w14:paraId="0E0D4711" w14:textId="77777777">
        <w:trPr>
          <w:trHeight w:hRule="exact" w:val="394"/>
          <w:jc w:val="center"/>
        </w:trPr>
        <w:tc>
          <w:tcPr>
            <w:tcW w:w="1954" w:type="dxa"/>
            <w:tcBorders>
              <w:top w:val="single" w:sz="4" w:space="0" w:color="auto"/>
              <w:left w:val="single" w:sz="4" w:space="0" w:color="auto"/>
            </w:tcBorders>
            <w:shd w:val="clear" w:color="auto" w:fill="FFFFFF"/>
            <w:vAlign w:val="center"/>
          </w:tcPr>
          <w:p w14:paraId="0D3707B3" w14:textId="77777777" w:rsidR="00350D42" w:rsidRDefault="008E6F64">
            <w:pPr>
              <w:pStyle w:val="2c"/>
              <w:framePr w:w="6581" w:wrap="notBeside" w:vAnchor="text" w:hAnchor="text" w:xAlign="center" w:y="1"/>
              <w:shd w:val="clear" w:color="auto" w:fill="auto"/>
              <w:spacing w:before="0" w:line="176" w:lineRule="exact"/>
              <w:ind w:left="220"/>
              <w:jc w:val="left"/>
            </w:pPr>
            <w:r>
              <w:rPr>
                <w:rStyle w:val="275pt"/>
              </w:rPr>
              <w:t>Критерии оценки</w:t>
            </w:r>
          </w:p>
        </w:tc>
        <w:tc>
          <w:tcPr>
            <w:tcW w:w="4627" w:type="dxa"/>
            <w:tcBorders>
              <w:top w:val="single" w:sz="4" w:space="0" w:color="auto"/>
              <w:left w:val="single" w:sz="4" w:space="0" w:color="auto"/>
              <w:right w:val="single" w:sz="4" w:space="0" w:color="auto"/>
            </w:tcBorders>
            <w:shd w:val="clear" w:color="auto" w:fill="FFFFFF"/>
            <w:vAlign w:val="center"/>
          </w:tcPr>
          <w:p w14:paraId="132F0631"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Требования к студенту</w:t>
            </w:r>
          </w:p>
        </w:tc>
      </w:tr>
      <w:tr w:rsidR="00350D42" w14:paraId="598D774B" w14:textId="77777777">
        <w:trPr>
          <w:trHeight w:hRule="exact" w:val="1046"/>
          <w:jc w:val="center"/>
        </w:trPr>
        <w:tc>
          <w:tcPr>
            <w:tcW w:w="1954" w:type="dxa"/>
            <w:tcBorders>
              <w:top w:val="single" w:sz="4" w:space="0" w:color="auto"/>
              <w:left w:val="single" w:sz="4" w:space="0" w:color="auto"/>
            </w:tcBorders>
            <w:shd w:val="clear" w:color="auto" w:fill="FFFFFF"/>
          </w:tcPr>
          <w:p w14:paraId="2E6C12AC"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Знание и понима</w:t>
            </w:r>
            <w:r>
              <w:rPr>
                <w:rStyle w:val="275pt0"/>
              </w:rPr>
              <w:softHyphen/>
              <w:t>ние теоретического материала</w:t>
            </w:r>
          </w:p>
        </w:tc>
        <w:tc>
          <w:tcPr>
            <w:tcW w:w="4627" w:type="dxa"/>
            <w:tcBorders>
              <w:top w:val="single" w:sz="4" w:space="0" w:color="auto"/>
              <w:left w:val="single" w:sz="4" w:space="0" w:color="auto"/>
              <w:right w:val="single" w:sz="4" w:space="0" w:color="auto"/>
            </w:tcBorders>
            <w:shd w:val="clear" w:color="auto" w:fill="FFFFFF"/>
            <w:vAlign w:val="center"/>
          </w:tcPr>
          <w:p w14:paraId="03150C82"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Четкое и полное определение рассматриваемых по</w:t>
            </w:r>
            <w:r>
              <w:rPr>
                <w:rStyle w:val="275pt0"/>
              </w:rPr>
              <w:softHyphen/>
              <w:t>нятий с приведением соответствующих примеров; строгое соответствие используемых понятий теме; самостоятельность выполнения работы</w:t>
            </w:r>
          </w:p>
        </w:tc>
      </w:tr>
      <w:tr w:rsidR="00350D42" w14:paraId="66A80B20" w14:textId="77777777">
        <w:trPr>
          <w:trHeight w:hRule="exact" w:val="3029"/>
          <w:jc w:val="center"/>
        </w:trPr>
        <w:tc>
          <w:tcPr>
            <w:tcW w:w="1954" w:type="dxa"/>
            <w:tcBorders>
              <w:top w:val="single" w:sz="4" w:space="0" w:color="auto"/>
              <w:left w:val="single" w:sz="4" w:space="0" w:color="auto"/>
            </w:tcBorders>
            <w:shd w:val="clear" w:color="auto" w:fill="FFFFFF"/>
          </w:tcPr>
          <w:p w14:paraId="23266E90"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Анализ и оценка информации</w:t>
            </w:r>
          </w:p>
        </w:tc>
        <w:tc>
          <w:tcPr>
            <w:tcW w:w="4627" w:type="dxa"/>
            <w:tcBorders>
              <w:top w:val="single" w:sz="4" w:space="0" w:color="auto"/>
              <w:left w:val="single" w:sz="4" w:space="0" w:color="auto"/>
              <w:right w:val="single" w:sz="4" w:space="0" w:color="auto"/>
            </w:tcBorders>
            <w:shd w:val="clear" w:color="auto" w:fill="FFFFFF"/>
            <w:vAlign w:val="center"/>
          </w:tcPr>
          <w:p w14:paraId="146C4D87"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Грамотное применение категорий анализа; умелое использование приемов сравнения и обобще</w:t>
            </w:r>
            <w:r>
              <w:rPr>
                <w:rStyle w:val="275pt0"/>
              </w:rPr>
              <w:softHyphen/>
              <w:t>ния для анализа взаимосвязи понятий и явлений; умение объяснять альтернативные взгляды на рас</w:t>
            </w:r>
            <w:r>
              <w:rPr>
                <w:rStyle w:val="275pt0"/>
              </w:rPr>
              <w:softHyphen/>
              <w:t>сматриваемую проблему, чтобы прийти к сбаланси</w:t>
            </w:r>
            <w:r>
              <w:rPr>
                <w:rStyle w:val="275pt0"/>
              </w:rPr>
              <w:softHyphen/>
              <w:t>рованному заключению;</w:t>
            </w:r>
          </w:p>
          <w:p w14:paraId="19E6E4E6"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использование широкого диапазона информацион</w:t>
            </w:r>
            <w:r>
              <w:rPr>
                <w:rStyle w:val="275pt0"/>
              </w:rPr>
              <w:softHyphen/>
              <w:t>ного пространства (студент должен использовать большое количество различных источников инфор</w:t>
            </w:r>
            <w:r>
              <w:rPr>
                <w:rStyle w:val="275pt0"/>
              </w:rPr>
              <w:softHyphen/>
              <w:t>мации);</w:t>
            </w:r>
          </w:p>
          <w:p w14:paraId="49E80F84"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обоснованное интерпретирование текстовой инфор</w:t>
            </w:r>
            <w:r>
              <w:rPr>
                <w:rStyle w:val="275pt0"/>
              </w:rPr>
              <w:softHyphen/>
              <w:t>мации с помощью графиков и диаграмм; личная оценка проблемы</w:t>
            </w:r>
          </w:p>
        </w:tc>
      </w:tr>
      <w:tr w:rsidR="00350D42" w14:paraId="3D0AB42E" w14:textId="77777777">
        <w:trPr>
          <w:trHeight w:hRule="exact" w:val="2376"/>
          <w:jc w:val="center"/>
        </w:trPr>
        <w:tc>
          <w:tcPr>
            <w:tcW w:w="1954" w:type="dxa"/>
            <w:tcBorders>
              <w:top w:val="single" w:sz="4" w:space="0" w:color="auto"/>
              <w:left w:val="single" w:sz="4" w:space="0" w:color="auto"/>
              <w:bottom w:val="single" w:sz="4" w:space="0" w:color="auto"/>
            </w:tcBorders>
            <w:shd w:val="clear" w:color="auto" w:fill="FFFFFF"/>
          </w:tcPr>
          <w:p w14:paraId="57BFB21A"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Построение сужде</w:t>
            </w:r>
            <w:r>
              <w:rPr>
                <w:rStyle w:val="275pt0"/>
              </w:rPr>
              <w:softHyphen/>
              <w:t>ний</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14:paraId="7020635D"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Ясное и четкое изложение подготовленного матери</w:t>
            </w:r>
            <w:r>
              <w:rPr>
                <w:rStyle w:val="275pt0"/>
              </w:rPr>
              <w:softHyphen/>
              <w:t>ала;</w:t>
            </w:r>
          </w:p>
          <w:p w14:paraId="2590D169"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логическое структурирование доказательств; сопровождение выдвинутых тезисов грамотной аргументацией;</w:t>
            </w:r>
          </w:p>
          <w:p w14:paraId="3FBE6EE7"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приведение различных точек зрения и их личная</w:t>
            </w:r>
          </w:p>
          <w:p w14:paraId="07B171E2"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оценка;</w:t>
            </w:r>
          </w:p>
          <w:p w14:paraId="3D6A9609"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соответствие общей формы изложения полученных результатов и их интерпретации жанру проблемной научной статьи</w:t>
            </w:r>
          </w:p>
        </w:tc>
      </w:tr>
    </w:tbl>
    <w:p w14:paraId="5EAF2B8A" w14:textId="77777777" w:rsidR="00350D42" w:rsidRDefault="00350D42">
      <w:pPr>
        <w:framePr w:w="6581" w:wrap="notBeside" w:vAnchor="text" w:hAnchor="text" w:xAlign="center" w:y="1"/>
        <w:rPr>
          <w:sz w:val="2"/>
          <w:szCs w:val="2"/>
        </w:rPr>
      </w:pPr>
    </w:p>
    <w:p w14:paraId="01263D61" w14:textId="77777777" w:rsidR="00350D42" w:rsidRDefault="00350D42">
      <w:pPr>
        <w:rPr>
          <w:sz w:val="2"/>
          <w:szCs w:val="2"/>
        </w:rPr>
      </w:pPr>
    </w:p>
    <w:p w14:paraId="330D6976" w14:textId="77777777" w:rsidR="00350D42" w:rsidRDefault="00350D42">
      <w:pPr>
        <w:rPr>
          <w:sz w:val="2"/>
          <w:szCs w:val="2"/>
        </w:rPr>
        <w:sectPr w:rsidR="00350D42">
          <w:pgSz w:w="8789" w:h="13493"/>
          <w:pgMar w:top="943" w:right="1075" w:bottom="943" w:left="107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4"/>
        <w:gridCol w:w="4627"/>
      </w:tblGrid>
      <w:tr w:rsidR="00350D42" w14:paraId="5D5D1676" w14:textId="77777777">
        <w:trPr>
          <w:trHeight w:hRule="exact" w:val="394"/>
          <w:jc w:val="center"/>
        </w:trPr>
        <w:tc>
          <w:tcPr>
            <w:tcW w:w="1954" w:type="dxa"/>
            <w:tcBorders>
              <w:top w:val="single" w:sz="4" w:space="0" w:color="auto"/>
              <w:left w:val="single" w:sz="4" w:space="0" w:color="auto"/>
            </w:tcBorders>
            <w:shd w:val="clear" w:color="auto" w:fill="FFFFFF"/>
            <w:vAlign w:val="bottom"/>
          </w:tcPr>
          <w:p w14:paraId="2493A8B0" w14:textId="77777777" w:rsidR="00350D42" w:rsidRDefault="008E6F64">
            <w:pPr>
              <w:pStyle w:val="2c"/>
              <w:framePr w:w="6581" w:wrap="notBeside" w:vAnchor="text" w:hAnchor="text" w:xAlign="center" w:y="1"/>
              <w:shd w:val="clear" w:color="auto" w:fill="auto"/>
              <w:spacing w:before="0" w:line="176" w:lineRule="exact"/>
              <w:ind w:left="220"/>
              <w:jc w:val="left"/>
            </w:pPr>
            <w:r>
              <w:rPr>
                <w:rStyle w:val="275pt"/>
              </w:rPr>
              <w:lastRenderedPageBreak/>
              <w:t>Критерии оценки</w:t>
            </w:r>
          </w:p>
        </w:tc>
        <w:tc>
          <w:tcPr>
            <w:tcW w:w="4627" w:type="dxa"/>
            <w:tcBorders>
              <w:top w:val="single" w:sz="4" w:space="0" w:color="auto"/>
              <w:left w:val="single" w:sz="4" w:space="0" w:color="auto"/>
              <w:right w:val="single" w:sz="4" w:space="0" w:color="auto"/>
            </w:tcBorders>
            <w:shd w:val="clear" w:color="auto" w:fill="FFFFFF"/>
            <w:vAlign w:val="bottom"/>
          </w:tcPr>
          <w:p w14:paraId="4FBB3E97"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Требования к студенту</w:t>
            </w:r>
          </w:p>
        </w:tc>
      </w:tr>
      <w:tr w:rsidR="00350D42" w14:paraId="27A7BA9D" w14:textId="77777777">
        <w:trPr>
          <w:trHeight w:hRule="exact" w:val="2122"/>
          <w:jc w:val="center"/>
        </w:trPr>
        <w:tc>
          <w:tcPr>
            <w:tcW w:w="1954" w:type="dxa"/>
            <w:tcBorders>
              <w:top w:val="single" w:sz="4" w:space="0" w:color="auto"/>
              <w:left w:val="single" w:sz="4" w:space="0" w:color="auto"/>
              <w:bottom w:val="single" w:sz="4" w:space="0" w:color="auto"/>
            </w:tcBorders>
            <w:shd w:val="clear" w:color="auto" w:fill="FFFFFF"/>
          </w:tcPr>
          <w:p w14:paraId="573388BA"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Оформление работы</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14:paraId="6F113BEE"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Соответствие работы основным требованиям к оформлению и использованию цитат; соблюдение лексических, фразеологических, грам</w:t>
            </w:r>
            <w:r>
              <w:rPr>
                <w:rStyle w:val="275pt0"/>
              </w:rPr>
              <w:softHyphen/>
              <w:t>матических и стилистических норм русского литера</w:t>
            </w:r>
            <w:r>
              <w:rPr>
                <w:rStyle w:val="275pt0"/>
              </w:rPr>
              <w:softHyphen/>
              <w:t>турного языка;</w:t>
            </w:r>
          </w:p>
          <w:p w14:paraId="03351D0A"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оформление текста с полным соблюдением правил русской орфографии и пунктуации; соответствие формальным требованиям</w:t>
            </w:r>
          </w:p>
        </w:tc>
      </w:tr>
    </w:tbl>
    <w:p w14:paraId="68AED26E" w14:textId="77777777" w:rsidR="00350D42" w:rsidRDefault="00350D42">
      <w:pPr>
        <w:framePr w:w="6581" w:wrap="notBeside" w:vAnchor="text" w:hAnchor="text" w:xAlign="center" w:y="1"/>
        <w:rPr>
          <w:sz w:val="2"/>
          <w:szCs w:val="2"/>
        </w:rPr>
      </w:pPr>
    </w:p>
    <w:p w14:paraId="15CBBC0D" w14:textId="77777777" w:rsidR="00350D42" w:rsidRDefault="00350D42">
      <w:pPr>
        <w:rPr>
          <w:sz w:val="2"/>
          <w:szCs w:val="2"/>
        </w:rPr>
      </w:pPr>
    </w:p>
    <w:p w14:paraId="43F9FC64" w14:textId="77777777" w:rsidR="00350D42" w:rsidRDefault="008E6F64">
      <w:pPr>
        <w:pStyle w:val="201"/>
        <w:shd w:val="clear" w:color="auto" w:fill="auto"/>
        <w:spacing w:before="111" w:line="259" w:lineRule="exact"/>
        <w:ind w:firstLine="320"/>
      </w:pPr>
      <w:r>
        <w:rPr>
          <w:rStyle w:val="2085pt"/>
        </w:rPr>
        <w:t>Оформление эссе.</w:t>
      </w:r>
      <w:r>
        <w:rPr>
          <w:rStyle w:val="202"/>
        </w:rPr>
        <w:t xml:space="preserve"> Объем эссе должен составлять до семи стра</w:t>
      </w:r>
      <w:r>
        <w:rPr>
          <w:rStyle w:val="202"/>
        </w:rPr>
        <w:softHyphen/>
        <w:t xml:space="preserve">ниц машинописного текста, шрифт </w:t>
      </w:r>
      <w:r>
        <w:rPr>
          <w:rStyle w:val="20ArialNarrow85pt"/>
          <w:lang w:val="en-US" w:eastAsia="en-US" w:bidi="en-US"/>
        </w:rPr>
        <w:t>Times</w:t>
      </w:r>
      <w:r w:rsidRPr="000E0C7E">
        <w:rPr>
          <w:rStyle w:val="20ArialNarrow85pt"/>
          <w:lang w:eastAsia="en-US" w:bidi="en-US"/>
        </w:rPr>
        <w:t xml:space="preserve"> </w:t>
      </w:r>
      <w:r>
        <w:rPr>
          <w:rStyle w:val="20ArialNarrow85pt"/>
          <w:lang w:val="en-US" w:eastAsia="en-US" w:bidi="en-US"/>
        </w:rPr>
        <w:t>New</w:t>
      </w:r>
      <w:r w:rsidRPr="000E0C7E">
        <w:rPr>
          <w:rStyle w:val="20ArialNarrow85pt"/>
          <w:lang w:eastAsia="en-US" w:bidi="en-US"/>
        </w:rPr>
        <w:t xml:space="preserve"> </w:t>
      </w:r>
      <w:r>
        <w:rPr>
          <w:rStyle w:val="20ArialNarrow85pt"/>
          <w:lang w:val="en-US" w:eastAsia="en-US" w:bidi="en-US"/>
        </w:rPr>
        <w:t>Roman</w:t>
      </w:r>
      <w:r w:rsidRPr="000E0C7E">
        <w:rPr>
          <w:rStyle w:val="2085pt"/>
          <w:lang w:eastAsia="en-US" w:bidi="en-US"/>
        </w:rPr>
        <w:t>,</w:t>
      </w:r>
      <w:r w:rsidRPr="000E0C7E">
        <w:rPr>
          <w:rStyle w:val="202"/>
          <w:lang w:eastAsia="en-US" w:bidi="en-US"/>
        </w:rPr>
        <w:t xml:space="preserve"> </w:t>
      </w:r>
      <w:r>
        <w:rPr>
          <w:rStyle w:val="202"/>
        </w:rPr>
        <w:t>размер шрифта — 14, интервал — 1,5. Поля: сверху и снизу — 2 см, сле</w:t>
      </w:r>
      <w:r>
        <w:rPr>
          <w:rStyle w:val="202"/>
        </w:rPr>
        <w:softHyphen/>
        <w:t>ва — 3 см, справа — 1,5 см. Текст пишется с одной стороны листа. Страницы должны быть пронумерованы и сброшюрованы. Титуль</w:t>
      </w:r>
      <w:r>
        <w:rPr>
          <w:rStyle w:val="202"/>
        </w:rPr>
        <w:softHyphen/>
        <w:t>ный лист не нумеруется. Каждый раздел работы начинается с но</w:t>
      </w:r>
      <w:r>
        <w:rPr>
          <w:rStyle w:val="202"/>
        </w:rPr>
        <w:softHyphen/>
        <w:t>вой страницы.</w:t>
      </w:r>
    </w:p>
    <w:p w14:paraId="68544E9C" w14:textId="77777777" w:rsidR="00350D42" w:rsidRDefault="008E6F64">
      <w:pPr>
        <w:pStyle w:val="201"/>
        <w:shd w:val="clear" w:color="auto" w:fill="auto"/>
        <w:spacing w:line="259" w:lineRule="exact"/>
        <w:ind w:firstLine="320"/>
      </w:pPr>
      <w:r>
        <w:rPr>
          <w:rStyle w:val="20ArialNarrow85pt"/>
        </w:rPr>
        <w:t>Оформление цитат.</w:t>
      </w:r>
      <w:r>
        <w:rPr>
          <w:rStyle w:val="20ArialNarrow85pt0"/>
        </w:rPr>
        <w:t xml:space="preserve"> </w:t>
      </w:r>
      <w:r>
        <w:rPr>
          <w:rStyle w:val="202"/>
        </w:rPr>
        <w:t>На каждый цитируемый или упоминае</w:t>
      </w:r>
      <w:r>
        <w:rPr>
          <w:rStyle w:val="202"/>
        </w:rPr>
        <w:softHyphen/>
        <w:t>мый в работе источник делается сноска, которой присваивается номер. Допускается построчная или сквозная нумерация сносок. Если приводится дословное цитирование, то в сноске указывается источник.</w:t>
      </w:r>
    </w:p>
    <w:p w14:paraId="05589F0D" w14:textId="77777777" w:rsidR="00350D42" w:rsidRDefault="008E6F64">
      <w:pPr>
        <w:pStyle w:val="201"/>
        <w:shd w:val="clear" w:color="auto" w:fill="auto"/>
        <w:spacing w:line="259" w:lineRule="exact"/>
        <w:ind w:firstLine="320"/>
      </w:pPr>
      <w:r>
        <w:rPr>
          <w:rStyle w:val="20ArialNarrow85pt"/>
        </w:rPr>
        <w:t>Оформление таблиц.</w:t>
      </w:r>
      <w:r>
        <w:rPr>
          <w:rStyle w:val="20ArialNarrow85pt0"/>
        </w:rPr>
        <w:t xml:space="preserve"> </w:t>
      </w:r>
      <w:r>
        <w:rPr>
          <w:rStyle w:val="202"/>
        </w:rPr>
        <w:t>Таблицы следует нумеровать арабскими цифрами. Нумерация может быть двух видов: 1) сквозная; 2) нуме</w:t>
      </w:r>
      <w:r>
        <w:rPr>
          <w:rStyle w:val="202"/>
        </w:rPr>
        <w:softHyphen/>
        <w:t>рация таблиц в пределах главы. В последнем случае номер таблицы состоит из номера главы и порядкового номера таблицы, разделен</w:t>
      </w:r>
      <w:r>
        <w:rPr>
          <w:rStyle w:val="202"/>
        </w:rPr>
        <w:softHyphen/>
        <w:t>ных точкой. Название таблицы следует помещать над таблицей без абзацного отступа в одну строку (по центру). Если таблица заим</w:t>
      </w:r>
      <w:r>
        <w:rPr>
          <w:rStyle w:val="202"/>
        </w:rPr>
        <w:softHyphen/>
        <w:t>ствована из других источников, необходимо указать ссылку на ис</w:t>
      </w:r>
      <w:r>
        <w:rPr>
          <w:rStyle w:val="202"/>
        </w:rPr>
        <w:softHyphen/>
        <w:t>точник информации.</w:t>
      </w:r>
    </w:p>
    <w:p w14:paraId="33DA6A2C" w14:textId="77777777" w:rsidR="00350D42" w:rsidRDefault="008E6F64">
      <w:pPr>
        <w:pStyle w:val="201"/>
        <w:shd w:val="clear" w:color="auto" w:fill="auto"/>
        <w:spacing w:line="259" w:lineRule="exact"/>
        <w:ind w:firstLine="320"/>
      </w:pPr>
      <w:r>
        <w:rPr>
          <w:rStyle w:val="20ArialNarrow85pt"/>
        </w:rPr>
        <w:t>Оформление рисунков</w:t>
      </w:r>
      <w:r>
        <w:rPr>
          <w:rStyle w:val="2085pt"/>
        </w:rPr>
        <w:t xml:space="preserve">, </w:t>
      </w:r>
      <w:r>
        <w:rPr>
          <w:rStyle w:val="20ArialNarrow85pt"/>
        </w:rPr>
        <w:t>схем</w:t>
      </w:r>
      <w:r>
        <w:rPr>
          <w:rStyle w:val="2085pt"/>
        </w:rPr>
        <w:t xml:space="preserve">, </w:t>
      </w:r>
      <w:r>
        <w:rPr>
          <w:rStyle w:val="20ArialNarrow85pt"/>
        </w:rPr>
        <w:t>графиков.</w:t>
      </w:r>
      <w:r>
        <w:rPr>
          <w:rStyle w:val="20ArialNarrow85pt0"/>
        </w:rPr>
        <w:t xml:space="preserve"> </w:t>
      </w:r>
      <w:r>
        <w:rPr>
          <w:rStyle w:val="202"/>
        </w:rPr>
        <w:t>Все рисунки, схемы, гра</w:t>
      </w:r>
      <w:r>
        <w:rPr>
          <w:rStyle w:val="202"/>
        </w:rPr>
        <w:softHyphen/>
        <w:t>фики, приводимые в работе, должны иметь нумерацию. Нумерация ведется сплошная, арабскими цифрами. Нумерация и название по</w:t>
      </w:r>
      <w:r>
        <w:rPr>
          <w:rStyle w:val="202"/>
        </w:rPr>
        <w:softHyphen/>
        <w:t>мещаются под рисунком, схемой, графиком, которые вне зависи</w:t>
      </w:r>
      <w:r>
        <w:rPr>
          <w:rStyle w:val="202"/>
        </w:rPr>
        <w:softHyphen/>
        <w:t>мости от разновидности изображаемого носят название «рисунок». Например: «Рис. 1. Рыночное равновесие». Каждый рисунок, если он заимствован из другого источника, должен иметь ссылку на ис</w:t>
      </w:r>
      <w:r>
        <w:rPr>
          <w:rStyle w:val="202"/>
        </w:rPr>
        <w:softHyphen/>
        <w:t>точник информации.</w:t>
      </w:r>
    </w:p>
    <w:p w14:paraId="5D27F984" w14:textId="77777777" w:rsidR="00350D42" w:rsidRDefault="008E6F64">
      <w:pPr>
        <w:pStyle w:val="201"/>
        <w:shd w:val="clear" w:color="auto" w:fill="auto"/>
        <w:spacing w:line="259" w:lineRule="exact"/>
        <w:ind w:firstLine="320"/>
        <w:sectPr w:rsidR="00350D42">
          <w:headerReference w:type="even" r:id="rId175"/>
          <w:footerReference w:type="even" r:id="rId176"/>
          <w:footerReference w:type="default" r:id="rId177"/>
          <w:headerReference w:type="first" r:id="rId178"/>
          <w:footerReference w:type="first" r:id="rId179"/>
          <w:pgSz w:w="8789" w:h="13493"/>
          <w:pgMar w:top="1198" w:right="1075" w:bottom="1136" w:left="1080" w:header="0" w:footer="3" w:gutter="0"/>
          <w:cols w:space="720"/>
          <w:noEndnote/>
          <w:titlePg/>
          <w:docGrid w:linePitch="360"/>
        </w:sectPr>
      </w:pPr>
      <w:r>
        <w:rPr>
          <w:rStyle w:val="20ArialNarrow85pt"/>
        </w:rPr>
        <w:t>Ссылки на источники из интернет-ресурсов.</w:t>
      </w:r>
      <w:r>
        <w:rPr>
          <w:rStyle w:val="20ArialNarrow85pt0"/>
        </w:rPr>
        <w:t xml:space="preserve"> </w:t>
      </w:r>
      <w:r>
        <w:rPr>
          <w:rStyle w:val="202"/>
        </w:rPr>
        <w:t>Студенты могут при написании работы использовать материал, размещенный на сайтах интернет-ресурсов. При этом следует указать название материала, а затем указать ссылку на сайт.</w:t>
      </w:r>
    </w:p>
    <w:p w14:paraId="619C2D7E" w14:textId="77777777" w:rsidR="00350D42" w:rsidRDefault="008E6F64">
      <w:pPr>
        <w:pStyle w:val="111"/>
        <w:numPr>
          <w:ilvl w:val="0"/>
          <w:numId w:val="141"/>
        </w:numPr>
        <w:shd w:val="clear" w:color="auto" w:fill="auto"/>
        <w:tabs>
          <w:tab w:val="left" w:pos="903"/>
        </w:tabs>
        <w:spacing w:before="0" w:after="63" w:line="194" w:lineRule="exact"/>
        <w:ind w:left="600"/>
        <w:jc w:val="left"/>
      </w:pPr>
      <w:r>
        <w:rPr>
          <w:rStyle w:val="113"/>
          <w:b/>
          <w:bCs/>
        </w:rPr>
        <w:lastRenderedPageBreak/>
        <w:t>Вопросы для обсуждения на семинарских занятиях</w:t>
      </w:r>
    </w:p>
    <w:p w14:paraId="3F8A343C" w14:textId="77777777" w:rsidR="00350D42" w:rsidRDefault="008E6F64">
      <w:pPr>
        <w:pStyle w:val="111"/>
        <w:shd w:val="clear" w:color="auto" w:fill="auto"/>
        <w:spacing w:before="0" w:after="0"/>
        <w:ind w:firstLine="340"/>
        <w:jc w:val="both"/>
      </w:pPr>
      <w:r>
        <w:rPr>
          <w:rStyle w:val="113"/>
          <w:b/>
          <w:bCs/>
        </w:rPr>
        <w:t>Раздел I. Теоретические и методологические основы взаимо</w:t>
      </w:r>
      <w:r>
        <w:rPr>
          <w:rStyle w:val="113"/>
          <w:b/>
          <w:bCs/>
        </w:rPr>
        <w:softHyphen/>
        <w:t>действия государства и бизнеса</w:t>
      </w:r>
    </w:p>
    <w:p w14:paraId="3402A622" w14:textId="77777777" w:rsidR="00350D42" w:rsidRDefault="008E6F64">
      <w:pPr>
        <w:pStyle w:val="90"/>
        <w:shd w:val="clear" w:color="auto" w:fill="auto"/>
        <w:spacing w:line="240" w:lineRule="exact"/>
        <w:ind w:firstLine="340"/>
      </w:pPr>
      <w:r>
        <w:rPr>
          <w:rStyle w:val="91"/>
          <w:b/>
          <w:bCs/>
          <w:i/>
          <w:iCs/>
        </w:rPr>
        <w:t>Тема 1. Теоретические основы взаимодействия государства и бизнеса</w:t>
      </w:r>
    </w:p>
    <w:p w14:paraId="64AC3300" w14:textId="77777777" w:rsidR="00350D42" w:rsidRDefault="008E6F64">
      <w:pPr>
        <w:pStyle w:val="111"/>
        <w:numPr>
          <w:ilvl w:val="0"/>
          <w:numId w:val="146"/>
        </w:numPr>
        <w:shd w:val="clear" w:color="auto" w:fill="auto"/>
        <w:tabs>
          <w:tab w:val="left" w:pos="628"/>
        </w:tabs>
        <w:spacing w:before="0" w:after="0"/>
        <w:ind w:firstLine="340"/>
        <w:jc w:val="both"/>
      </w:pPr>
      <w:r>
        <w:rPr>
          <w:rStyle w:val="113"/>
          <w:b/>
          <w:bCs/>
        </w:rPr>
        <w:t>Соотношение и взаимосвязь предметов дисциплины «Взаимо</w:t>
      </w:r>
      <w:r>
        <w:rPr>
          <w:rStyle w:val="113"/>
          <w:b/>
          <w:bCs/>
        </w:rPr>
        <w:softHyphen/>
        <w:t>действие государства и бизнеса» с другими экономическими дисци</w:t>
      </w:r>
      <w:r>
        <w:rPr>
          <w:rStyle w:val="113"/>
          <w:b/>
          <w:bCs/>
        </w:rPr>
        <w:softHyphen/>
        <w:t>плинами.</w:t>
      </w:r>
    </w:p>
    <w:p w14:paraId="3D2D803C" w14:textId="77777777" w:rsidR="00350D42" w:rsidRDefault="008E6F64">
      <w:pPr>
        <w:pStyle w:val="111"/>
        <w:numPr>
          <w:ilvl w:val="0"/>
          <w:numId w:val="146"/>
        </w:numPr>
        <w:shd w:val="clear" w:color="auto" w:fill="auto"/>
        <w:tabs>
          <w:tab w:val="left" w:pos="628"/>
        </w:tabs>
        <w:spacing w:before="0" w:after="0"/>
        <w:ind w:firstLine="340"/>
        <w:jc w:val="both"/>
      </w:pPr>
      <w:r>
        <w:rPr>
          <w:rStyle w:val="113"/>
          <w:b/>
          <w:bCs/>
        </w:rPr>
        <w:t>Основные подходы к государственному регулированию эко</w:t>
      </w:r>
      <w:r>
        <w:rPr>
          <w:rStyle w:val="113"/>
          <w:b/>
          <w:bCs/>
        </w:rPr>
        <w:softHyphen/>
        <w:t>номики (Д. Кейнс, М. Фридмен, Ф. Хайек).</w:t>
      </w:r>
    </w:p>
    <w:p w14:paraId="159D5398" w14:textId="77777777" w:rsidR="00350D42" w:rsidRDefault="008E6F64">
      <w:pPr>
        <w:pStyle w:val="111"/>
        <w:numPr>
          <w:ilvl w:val="0"/>
          <w:numId w:val="146"/>
        </w:numPr>
        <w:shd w:val="clear" w:color="auto" w:fill="auto"/>
        <w:tabs>
          <w:tab w:val="left" w:pos="628"/>
        </w:tabs>
        <w:spacing w:before="0" w:after="0"/>
        <w:ind w:firstLine="340"/>
        <w:jc w:val="both"/>
      </w:pPr>
      <w:r>
        <w:rPr>
          <w:rStyle w:val="113"/>
          <w:b/>
          <w:bCs/>
        </w:rPr>
        <w:t>Исторические корни и ключевые проблемы взаимоотноше</w:t>
      </w:r>
      <w:r>
        <w:rPr>
          <w:rStyle w:val="113"/>
          <w:b/>
          <w:bCs/>
        </w:rPr>
        <w:softHyphen/>
        <w:t>ний государства и бизнеса.</w:t>
      </w:r>
    </w:p>
    <w:p w14:paraId="4F9CA0DF" w14:textId="77777777" w:rsidR="00350D42" w:rsidRDefault="008E6F64">
      <w:pPr>
        <w:pStyle w:val="111"/>
        <w:numPr>
          <w:ilvl w:val="0"/>
          <w:numId w:val="146"/>
        </w:numPr>
        <w:shd w:val="clear" w:color="auto" w:fill="auto"/>
        <w:tabs>
          <w:tab w:val="left" w:pos="628"/>
        </w:tabs>
        <w:spacing w:before="0" w:after="0"/>
        <w:ind w:firstLine="340"/>
        <w:jc w:val="both"/>
      </w:pPr>
      <w:r>
        <w:rPr>
          <w:rStyle w:val="113"/>
          <w:b/>
          <w:bCs/>
        </w:rPr>
        <w:t>Различные модели сочетания рыночных и государственных регуляторов (японская, шведская модели, ФРГ, Австрия, Китай). Либеральная экономика — неограниченное частное предпринима</w:t>
      </w:r>
      <w:r>
        <w:rPr>
          <w:rStyle w:val="113"/>
          <w:b/>
          <w:bCs/>
        </w:rPr>
        <w:softHyphen/>
        <w:t>тельство.</w:t>
      </w:r>
    </w:p>
    <w:p w14:paraId="46D45CC2" w14:textId="77777777" w:rsidR="00350D42" w:rsidRDefault="008E6F64">
      <w:pPr>
        <w:pStyle w:val="111"/>
        <w:numPr>
          <w:ilvl w:val="0"/>
          <w:numId w:val="146"/>
        </w:numPr>
        <w:shd w:val="clear" w:color="auto" w:fill="auto"/>
        <w:tabs>
          <w:tab w:val="left" w:pos="628"/>
        </w:tabs>
        <w:spacing w:before="0" w:after="0"/>
        <w:ind w:firstLine="340"/>
        <w:jc w:val="both"/>
      </w:pPr>
      <w:r>
        <w:rPr>
          <w:rStyle w:val="113"/>
          <w:b/>
          <w:bCs/>
        </w:rPr>
        <w:t>Полный государственный монополизм в управлении хозяй</w:t>
      </w:r>
      <w:r>
        <w:rPr>
          <w:rStyle w:val="113"/>
          <w:b/>
          <w:bCs/>
        </w:rPr>
        <w:softHyphen/>
        <w:t>ством (на примере СССР).</w:t>
      </w:r>
    </w:p>
    <w:p w14:paraId="5BF75ED5" w14:textId="77777777" w:rsidR="00350D42" w:rsidRDefault="008E6F64">
      <w:pPr>
        <w:pStyle w:val="111"/>
        <w:shd w:val="clear" w:color="auto" w:fill="auto"/>
        <w:spacing w:before="0" w:after="0"/>
        <w:ind w:firstLine="340"/>
        <w:jc w:val="both"/>
      </w:pPr>
      <w:r>
        <w:rPr>
          <w:rStyle w:val="113"/>
          <w:b/>
          <w:bCs/>
        </w:rPr>
        <w:t>Раздел II. Основные способы и механизмы взаимодействия государства и бизнеса</w:t>
      </w:r>
    </w:p>
    <w:p w14:paraId="3BFE01D9" w14:textId="77777777" w:rsidR="00350D42" w:rsidRDefault="008E6F64">
      <w:pPr>
        <w:pStyle w:val="90"/>
        <w:shd w:val="clear" w:color="auto" w:fill="auto"/>
        <w:spacing w:line="240" w:lineRule="exact"/>
        <w:ind w:firstLine="340"/>
      </w:pPr>
      <w:r>
        <w:rPr>
          <w:rStyle w:val="91"/>
          <w:b/>
          <w:bCs/>
          <w:i/>
          <w:iCs/>
        </w:rPr>
        <w:t>Тема 2. Взаимодействие государства и бизнеса в системе го</w:t>
      </w:r>
      <w:r>
        <w:rPr>
          <w:rStyle w:val="91"/>
          <w:b/>
          <w:bCs/>
          <w:i/>
          <w:iCs/>
        </w:rPr>
        <w:softHyphen/>
        <w:t>сударственных закупок</w:t>
      </w:r>
    </w:p>
    <w:p w14:paraId="1A99ADF6" w14:textId="77777777" w:rsidR="00350D42" w:rsidRDefault="008E6F64">
      <w:pPr>
        <w:pStyle w:val="111"/>
        <w:numPr>
          <w:ilvl w:val="0"/>
          <w:numId w:val="147"/>
        </w:numPr>
        <w:shd w:val="clear" w:color="auto" w:fill="auto"/>
        <w:tabs>
          <w:tab w:val="left" w:pos="628"/>
        </w:tabs>
        <w:spacing w:before="0" w:after="0"/>
        <w:ind w:firstLine="340"/>
        <w:jc w:val="both"/>
      </w:pPr>
      <w:r>
        <w:rPr>
          <w:rStyle w:val="113"/>
          <w:b/>
          <w:bCs/>
        </w:rPr>
        <w:t>Характеристика основных способов взаимодействия государ</w:t>
      </w:r>
      <w:r>
        <w:rPr>
          <w:rStyle w:val="113"/>
          <w:b/>
          <w:bCs/>
        </w:rPr>
        <w:softHyphen/>
        <w:t>ства и бизнеса.</w:t>
      </w:r>
    </w:p>
    <w:p w14:paraId="14B37ED3" w14:textId="77777777" w:rsidR="00350D42" w:rsidRDefault="008E6F64">
      <w:pPr>
        <w:pStyle w:val="111"/>
        <w:numPr>
          <w:ilvl w:val="0"/>
          <w:numId w:val="147"/>
        </w:numPr>
        <w:shd w:val="clear" w:color="auto" w:fill="auto"/>
        <w:tabs>
          <w:tab w:val="left" w:pos="628"/>
        </w:tabs>
        <w:spacing w:before="0" w:after="0"/>
        <w:ind w:firstLine="340"/>
        <w:jc w:val="both"/>
      </w:pPr>
      <w:r>
        <w:rPr>
          <w:rStyle w:val="113"/>
          <w:b/>
          <w:bCs/>
        </w:rPr>
        <w:t>Экономические и правовые основы функционирования си</w:t>
      </w:r>
      <w:r>
        <w:rPr>
          <w:rStyle w:val="113"/>
          <w:b/>
          <w:bCs/>
        </w:rPr>
        <w:softHyphen/>
        <w:t>стемы государственных закупок.</w:t>
      </w:r>
    </w:p>
    <w:p w14:paraId="451530EE" w14:textId="77777777" w:rsidR="00350D42" w:rsidRDefault="008E6F64">
      <w:pPr>
        <w:pStyle w:val="111"/>
        <w:numPr>
          <w:ilvl w:val="0"/>
          <w:numId w:val="147"/>
        </w:numPr>
        <w:shd w:val="clear" w:color="auto" w:fill="auto"/>
        <w:tabs>
          <w:tab w:val="left" w:pos="628"/>
        </w:tabs>
        <w:spacing w:before="0" w:after="0"/>
        <w:ind w:firstLine="340"/>
        <w:jc w:val="both"/>
      </w:pPr>
      <w:r>
        <w:rPr>
          <w:rStyle w:val="113"/>
          <w:b/>
          <w:bCs/>
        </w:rPr>
        <w:t>Зарубежный опыт функционирования системы государствен</w:t>
      </w:r>
      <w:r>
        <w:rPr>
          <w:rStyle w:val="113"/>
          <w:b/>
          <w:bCs/>
        </w:rPr>
        <w:softHyphen/>
        <w:t>ных закупок.</w:t>
      </w:r>
    </w:p>
    <w:p w14:paraId="5902F0DA" w14:textId="77777777" w:rsidR="00350D42" w:rsidRDefault="008E6F64">
      <w:pPr>
        <w:pStyle w:val="111"/>
        <w:numPr>
          <w:ilvl w:val="0"/>
          <w:numId w:val="147"/>
        </w:numPr>
        <w:shd w:val="clear" w:color="auto" w:fill="auto"/>
        <w:tabs>
          <w:tab w:val="left" w:pos="628"/>
        </w:tabs>
        <w:spacing w:before="0" w:after="0"/>
        <w:ind w:firstLine="340"/>
        <w:jc w:val="both"/>
      </w:pPr>
      <w:r>
        <w:rPr>
          <w:rStyle w:val="113"/>
          <w:b/>
          <w:bCs/>
        </w:rPr>
        <w:t>Особенности реализации системы государственных закупок в Российской Федерации.</w:t>
      </w:r>
    </w:p>
    <w:p w14:paraId="60DEC598" w14:textId="77777777" w:rsidR="00350D42" w:rsidRDefault="008E6F64">
      <w:pPr>
        <w:pStyle w:val="111"/>
        <w:numPr>
          <w:ilvl w:val="0"/>
          <w:numId w:val="147"/>
        </w:numPr>
        <w:shd w:val="clear" w:color="auto" w:fill="auto"/>
        <w:tabs>
          <w:tab w:val="left" w:pos="628"/>
        </w:tabs>
        <w:spacing w:before="0" w:after="0"/>
        <w:ind w:firstLine="340"/>
        <w:jc w:val="both"/>
      </w:pPr>
      <w:r>
        <w:rPr>
          <w:rStyle w:val="113"/>
          <w:b/>
          <w:bCs/>
        </w:rPr>
        <w:t>Экономико-психологические особенности взаимодействия участников государственных закупок.</w:t>
      </w:r>
    </w:p>
    <w:p w14:paraId="5D4F2F5C" w14:textId="77777777" w:rsidR="00350D42" w:rsidRDefault="008E6F64">
      <w:pPr>
        <w:pStyle w:val="90"/>
        <w:shd w:val="clear" w:color="auto" w:fill="auto"/>
        <w:spacing w:line="240" w:lineRule="exact"/>
        <w:ind w:firstLine="340"/>
      </w:pPr>
      <w:r>
        <w:rPr>
          <w:rStyle w:val="91"/>
          <w:b/>
          <w:bCs/>
          <w:i/>
          <w:iCs/>
        </w:rPr>
        <w:t>Тема 3. Особенности взаимодействия власти и бизнеса с по</w:t>
      </w:r>
      <w:r>
        <w:rPr>
          <w:rStyle w:val="91"/>
          <w:b/>
          <w:bCs/>
          <w:i/>
          <w:iCs/>
        </w:rPr>
        <w:softHyphen/>
        <w:t>мощью механизма государственно-частного партнерства</w:t>
      </w:r>
    </w:p>
    <w:p w14:paraId="41D8BFC7" w14:textId="77777777" w:rsidR="00350D42" w:rsidRDefault="008E6F64">
      <w:pPr>
        <w:pStyle w:val="111"/>
        <w:numPr>
          <w:ilvl w:val="0"/>
          <w:numId w:val="148"/>
        </w:numPr>
        <w:shd w:val="clear" w:color="auto" w:fill="auto"/>
        <w:tabs>
          <w:tab w:val="left" w:pos="628"/>
        </w:tabs>
        <w:spacing w:before="0" w:after="0"/>
        <w:ind w:firstLine="340"/>
        <w:jc w:val="both"/>
      </w:pPr>
      <w:r>
        <w:rPr>
          <w:rStyle w:val="113"/>
          <w:b/>
          <w:bCs/>
        </w:rPr>
        <w:t>Модели и формы партнерства государства и частного секто</w:t>
      </w:r>
      <w:r>
        <w:rPr>
          <w:rStyle w:val="113"/>
          <w:b/>
          <w:bCs/>
        </w:rPr>
        <w:softHyphen/>
        <w:t>ра. Контракты, аренда, концессия, соглашение о разделе продукции, совместные предприятия.</w:t>
      </w:r>
    </w:p>
    <w:p w14:paraId="33420997" w14:textId="77777777" w:rsidR="00350D42" w:rsidRDefault="008E6F64">
      <w:pPr>
        <w:pStyle w:val="111"/>
        <w:numPr>
          <w:ilvl w:val="0"/>
          <w:numId w:val="148"/>
        </w:numPr>
        <w:shd w:val="clear" w:color="auto" w:fill="auto"/>
        <w:tabs>
          <w:tab w:val="left" w:pos="628"/>
        </w:tabs>
        <w:spacing w:before="0" w:after="0"/>
        <w:ind w:firstLine="340"/>
        <w:jc w:val="both"/>
      </w:pPr>
      <w:r>
        <w:rPr>
          <w:rStyle w:val="113"/>
          <w:b/>
          <w:bCs/>
        </w:rPr>
        <w:t>Мировой опыт реализации механизма государственно-част</w:t>
      </w:r>
      <w:r>
        <w:rPr>
          <w:rStyle w:val="113"/>
          <w:b/>
          <w:bCs/>
        </w:rPr>
        <w:softHyphen/>
        <w:t>ного партнерства (ГЧП).</w:t>
      </w:r>
    </w:p>
    <w:p w14:paraId="0776A699" w14:textId="77777777" w:rsidR="00350D42" w:rsidRDefault="008E6F64">
      <w:pPr>
        <w:pStyle w:val="111"/>
        <w:numPr>
          <w:ilvl w:val="0"/>
          <w:numId w:val="148"/>
        </w:numPr>
        <w:shd w:val="clear" w:color="auto" w:fill="auto"/>
        <w:tabs>
          <w:tab w:val="left" w:pos="628"/>
        </w:tabs>
        <w:spacing w:before="0" w:after="0"/>
        <w:ind w:firstLine="340"/>
        <w:jc w:val="both"/>
      </w:pPr>
      <w:r>
        <w:rPr>
          <w:rStyle w:val="113"/>
          <w:b/>
          <w:bCs/>
        </w:rPr>
        <w:t>Значение и основные особенности проектов ГЧП на уровне местного самоуправления.</w:t>
      </w:r>
    </w:p>
    <w:p w14:paraId="6DE1ECA8" w14:textId="77777777" w:rsidR="00350D42" w:rsidRDefault="008E6F64">
      <w:pPr>
        <w:pStyle w:val="111"/>
        <w:numPr>
          <w:ilvl w:val="0"/>
          <w:numId w:val="148"/>
        </w:numPr>
        <w:shd w:val="clear" w:color="auto" w:fill="auto"/>
        <w:tabs>
          <w:tab w:val="left" w:pos="628"/>
        </w:tabs>
        <w:spacing w:before="0" w:after="0"/>
        <w:ind w:firstLine="340"/>
        <w:jc w:val="both"/>
      </w:pPr>
      <w:r>
        <w:rPr>
          <w:rStyle w:val="113"/>
          <w:b/>
          <w:bCs/>
        </w:rPr>
        <w:t>Проблемы реализации механизма совместных инвестиций в развитие инфраструктуры.</w:t>
      </w:r>
    </w:p>
    <w:p w14:paraId="0F40E843" w14:textId="77777777" w:rsidR="00350D42" w:rsidRDefault="008E6F64">
      <w:pPr>
        <w:pStyle w:val="111"/>
        <w:numPr>
          <w:ilvl w:val="0"/>
          <w:numId w:val="148"/>
        </w:numPr>
        <w:shd w:val="clear" w:color="auto" w:fill="auto"/>
        <w:tabs>
          <w:tab w:val="left" w:pos="628"/>
        </w:tabs>
        <w:spacing w:before="0" w:after="0"/>
        <w:ind w:firstLine="340"/>
        <w:jc w:val="both"/>
      </w:pPr>
      <w:r>
        <w:rPr>
          <w:rStyle w:val="113"/>
          <w:b/>
          <w:bCs/>
        </w:rPr>
        <w:t>Особенности реализации суверенных функций государства в проектах ГЧП на основе обобщения теоретического и практиче</w:t>
      </w:r>
      <w:r>
        <w:rPr>
          <w:rStyle w:val="113"/>
          <w:b/>
          <w:bCs/>
        </w:rPr>
        <w:softHyphen/>
        <w:t>ского международного опыта.</w:t>
      </w:r>
    </w:p>
    <w:p w14:paraId="481B164D" w14:textId="77777777" w:rsidR="00350D42" w:rsidRDefault="008E6F64">
      <w:pPr>
        <w:pStyle w:val="111"/>
        <w:shd w:val="clear" w:color="auto" w:fill="auto"/>
        <w:spacing w:before="0" w:after="0" w:line="250" w:lineRule="exact"/>
        <w:ind w:firstLine="320"/>
        <w:jc w:val="both"/>
      </w:pPr>
      <w:r>
        <w:rPr>
          <w:rStyle w:val="113"/>
          <w:b/>
          <w:bCs/>
        </w:rPr>
        <w:t>Раздел III. Специфика взаимоотношений власти, бизнеса и общества</w:t>
      </w:r>
    </w:p>
    <w:p w14:paraId="52335825" w14:textId="77777777" w:rsidR="00350D42" w:rsidRDefault="008E6F64">
      <w:pPr>
        <w:pStyle w:val="90"/>
        <w:shd w:val="clear" w:color="auto" w:fill="auto"/>
        <w:spacing w:line="250" w:lineRule="exact"/>
      </w:pPr>
      <w:r>
        <w:rPr>
          <w:rStyle w:val="91"/>
          <w:b/>
          <w:bCs/>
          <w:i/>
          <w:iCs/>
        </w:rPr>
        <w:t>Тема 4. Взаимоотношения власти, бизнеса и общества как фактор социально-экономического развития</w:t>
      </w:r>
    </w:p>
    <w:p w14:paraId="16C96AEC" w14:textId="77777777" w:rsidR="00350D42" w:rsidRDefault="008E6F64">
      <w:pPr>
        <w:pStyle w:val="111"/>
        <w:numPr>
          <w:ilvl w:val="0"/>
          <w:numId w:val="149"/>
        </w:numPr>
        <w:shd w:val="clear" w:color="auto" w:fill="auto"/>
        <w:tabs>
          <w:tab w:val="left" w:pos="629"/>
        </w:tabs>
        <w:spacing w:before="0" w:after="0" w:line="250" w:lineRule="exact"/>
        <w:ind w:firstLine="320"/>
        <w:jc w:val="both"/>
      </w:pPr>
      <w:r>
        <w:rPr>
          <w:rStyle w:val="113"/>
          <w:b/>
          <w:bCs/>
        </w:rPr>
        <w:t>Государство, бизнес и общество как основные элементы си</w:t>
      </w:r>
      <w:r>
        <w:rPr>
          <w:rStyle w:val="113"/>
          <w:b/>
          <w:bCs/>
        </w:rPr>
        <w:softHyphen/>
        <w:t>стемы социального партнерства.</w:t>
      </w:r>
    </w:p>
    <w:p w14:paraId="48178D4A" w14:textId="77777777" w:rsidR="00350D42" w:rsidRDefault="008E6F64">
      <w:pPr>
        <w:pStyle w:val="111"/>
        <w:numPr>
          <w:ilvl w:val="0"/>
          <w:numId w:val="149"/>
        </w:numPr>
        <w:shd w:val="clear" w:color="auto" w:fill="auto"/>
        <w:tabs>
          <w:tab w:val="left" w:pos="629"/>
        </w:tabs>
        <w:spacing w:before="0" w:after="0" w:line="250" w:lineRule="exact"/>
        <w:ind w:firstLine="320"/>
        <w:jc w:val="both"/>
      </w:pPr>
      <w:r>
        <w:rPr>
          <w:rStyle w:val="113"/>
          <w:b/>
          <w:bCs/>
        </w:rPr>
        <w:t>Взаимосвязь источников формирования предприниматель</w:t>
      </w:r>
      <w:r>
        <w:rPr>
          <w:rStyle w:val="113"/>
          <w:b/>
          <w:bCs/>
        </w:rPr>
        <w:softHyphen/>
        <w:t>ской активности и условий развития науки.</w:t>
      </w:r>
    </w:p>
    <w:p w14:paraId="4A943A81" w14:textId="77777777" w:rsidR="00350D42" w:rsidRDefault="008E6F64">
      <w:pPr>
        <w:pStyle w:val="111"/>
        <w:numPr>
          <w:ilvl w:val="0"/>
          <w:numId w:val="149"/>
        </w:numPr>
        <w:shd w:val="clear" w:color="auto" w:fill="auto"/>
        <w:tabs>
          <w:tab w:val="left" w:pos="629"/>
        </w:tabs>
        <w:spacing w:before="0" w:after="0" w:line="250" w:lineRule="exact"/>
        <w:ind w:firstLine="320"/>
        <w:jc w:val="both"/>
      </w:pPr>
      <w:r>
        <w:rPr>
          <w:rStyle w:val="113"/>
          <w:b/>
          <w:bCs/>
        </w:rPr>
        <w:t>Сравнительный анализ взаимного влияния науки и бизнеса в мировой практике и в России.</w:t>
      </w:r>
    </w:p>
    <w:p w14:paraId="339552E9" w14:textId="77777777" w:rsidR="00350D42" w:rsidRDefault="008E6F64">
      <w:pPr>
        <w:pStyle w:val="111"/>
        <w:numPr>
          <w:ilvl w:val="0"/>
          <w:numId w:val="149"/>
        </w:numPr>
        <w:shd w:val="clear" w:color="auto" w:fill="auto"/>
        <w:tabs>
          <w:tab w:val="left" w:pos="629"/>
        </w:tabs>
        <w:spacing w:before="0" w:after="0" w:line="250" w:lineRule="exact"/>
        <w:ind w:firstLine="320"/>
        <w:jc w:val="both"/>
      </w:pPr>
      <w:r>
        <w:rPr>
          <w:rStyle w:val="113"/>
          <w:b/>
          <w:bCs/>
        </w:rPr>
        <w:lastRenderedPageBreak/>
        <w:t>Организационные формы симбиоза предпринимательства с наукой: научные парки, технополисы, бизнес-инкубаторы. Пер</w:t>
      </w:r>
      <w:r>
        <w:rPr>
          <w:rStyle w:val="113"/>
          <w:b/>
          <w:bCs/>
        </w:rPr>
        <w:softHyphen/>
        <w:t>спективы воплощения научного знания в новых видах продукции, работ, услуг.</w:t>
      </w:r>
    </w:p>
    <w:p w14:paraId="029A8BA4" w14:textId="77777777" w:rsidR="00350D42" w:rsidRDefault="008E6F64">
      <w:pPr>
        <w:pStyle w:val="111"/>
        <w:numPr>
          <w:ilvl w:val="0"/>
          <w:numId w:val="149"/>
        </w:numPr>
        <w:shd w:val="clear" w:color="auto" w:fill="auto"/>
        <w:tabs>
          <w:tab w:val="left" w:pos="629"/>
        </w:tabs>
        <w:spacing w:before="0" w:after="0" w:line="250" w:lineRule="exact"/>
        <w:ind w:firstLine="320"/>
        <w:jc w:val="both"/>
      </w:pPr>
      <w:r>
        <w:rPr>
          <w:rStyle w:val="113"/>
          <w:b/>
          <w:bCs/>
        </w:rPr>
        <w:t>Уровень социальной ответственности бизнеса. Социальные последствия воздействия деловой активности предприятия на соб</w:t>
      </w:r>
      <w:r>
        <w:rPr>
          <w:rStyle w:val="113"/>
          <w:b/>
          <w:bCs/>
        </w:rPr>
        <w:softHyphen/>
        <w:t>ственный персонал, потребителей и организации, совместно с кото</w:t>
      </w:r>
      <w:r>
        <w:rPr>
          <w:rStyle w:val="113"/>
          <w:b/>
          <w:bCs/>
        </w:rPr>
        <w:softHyphen/>
        <w:t>рыми осуществляется та или иная деятельность.</w:t>
      </w:r>
    </w:p>
    <w:p w14:paraId="7DEBC1A1" w14:textId="77777777" w:rsidR="00350D42" w:rsidRDefault="008E6F64">
      <w:pPr>
        <w:pStyle w:val="90"/>
        <w:shd w:val="clear" w:color="auto" w:fill="auto"/>
        <w:spacing w:line="250" w:lineRule="exact"/>
      </w:pPr>
      <w:r>
        <w:rPr>
          <w:rStyle w:val="91"/>
          <w:b/>
          <w:bCs/>
          <w:i/>
          <w:iCs/>
        </w:rPr>
        <w:t>Тема 5. Анализ практики применения антимонопольного ре</w:t>
      </w:r>
      <w:r>
        <w:rPr>
          <w:rStyle w:val="91"/>
          <w:b/>
          <w:bCs/>
          <w:i/>
          <w:iCs/>
        </w:rPr>
        <w:softHyphen/>
        <w:t>гулирования в Российской Федерации</w:t>
      </w:r>
    </w:p>
    <w:p w14:paraId="58704064" w14:textId="77777777" w:rsidR="00350D42" w:rsidRDefault="008E6F64">
      <w:pPr>
        <w:pStyle w:val="111"/>
        <w:numPr>
          <w:ilvl w:val="0"/>
          <w:numId w:val="150"/>
        </w:numPr>
        <w:shd w:val="clear" w:color="auto" w:fill="auto"/>
        <w:tabs>
          <w:tab w:val="left" w:pos="629"/>
        </w:tabs>
        <w:spacing w:before="0" w:after="0" w:line="250" w:lineRule="exact"/>
        <w:ind w:firstLine="320"/>
        <w:jc w:val="both"/>
      </w:pPr>
      <w:r>
        <w:rPr>
          <w:rStyle w:val="113"/>
          <w:b/>
          <w:bCs/>
        </w:rPr>
        <w:t>Особенности проведения анализа состояния конкуренции на товарных рынках, определение долей хозяйствующих субъектов на товарных рынках.</w:t>
      </w:r>
    </w:p>
    <w:p w14:paraId="65631351" w14:textId="77777777" w:rsidR="00350D42" w:rsidRDefault="008E6F64">
      <w:pPr>
        <w:pStyle w:val="111"/>
        <w:numPr>
          <w:ilvl w:val="0"/>
          <w:numId w:val="150"/>
        </w:numPr>
        <w:shd w:val="clear" w:color="auto" w:fill="auto"/>
        <w:tabs>
          <w:tab w:val="left" w:pos="629"/>
        </w:tabs>
        <w:spacing w:before="0" w:after="0" w:line="250" w:lineRule="exact"/>
        <w:ind w:firstLine="320"/>
        <w:jc w:val="both"/>
      </w:pPr>
      <w:r>
        <w:rPr>
          <w:rStyle w:val="113"/>
          <w:b/>
          <w:bCs/>
        </w:rPr>
        <w:t>Понятие доминирующего хозяйствующего субъекта. Крите</w:t>
      </w:r>
      <w:r>
        <w:rPr>
          <w:rStyle w:val="113"/>
          <w:b/>
          <w:bCs/>
        </w:rPr>
        <w:softHyphen/>
        <w:t>рии квалификации антимонопольными органами действий хозяй</w:t>
      </w:r>
      <w:r>
        <w:rPr>
          <w:rStyle w:val="113"/>
          <w:b/>
          <w:bCs/>
        </w:rPr>
        <w:softHyphen/>
        <w:t>ствующих субъектов на предмет злоупотребления доминирующим положением (на рынках энергетических ресурсов).</w:t>
      </w:r>
    </w:p>
    <w:p w14:paraId="24E90636" w14:textId="77777777" w:rsidR="00350D42" w:rsidRDefault="008E6F64">
      <w:pPr>
        <w:pStyle w:val="111"/>
        <w:numPr>
          <w:ilvl w:val="0"/>
          <w:numId w:val="150"/>
        </w:numPr>
        <w:shd w:val="clear" w:color="auto" w:fill="auto"/>
        <w:tabs>
          <w:tab w:val="left" w:pos="629"/>
        </w:tabs>
        <w:spacing w:before="0" w:after="0" w:line="250" w:lineRule="exact"/>
        <w:ind w:firstLine="320"/>
        <w:jc w:val="both"/>
      </w:pPr>
      <w:r>
        <w:rPr>
          <w:rStyle w:val="113"/>
          <w:b/>
          <w:bCs/>
        </w:rPr>
        <w:t>Основы контроля процедуры организации и проведения тор</w:t>
      </w:r>
      <w:r>
        <w:rPr>
          <w:rStyle w:val="113"/>
          <w:b/>
          <w:bCs/>
        </w:rPr>
        <w:softHyphen/>
        <w:t>гов со стороны субъектов естественных монополий и заключения договоров по результатам таких торгов (конкурсов и аукционов).</w:t>
      </w:r>
    </w:p>
    <w:p w14:paraId="1A9FFBCB" w14:textId="77777777" w:rsidR="00350D42" w:rsidRDefault="008E6F64">
      <w:pPr>
        <w:pStyle w:val="111"/>
        <w:numPr>
          <w:ilvl w:val="0"/>
          <w:numId w:val="150"/>
        </w:numPr>
        <w:shd w:val="clear" w:color="auto" w:fill="auto"/>
        <w:tabs>
          <w:tab w:val="left" w:pos="629"/>
        </w:tabs>
        <w:spacing w:before="0" w:after="0" w:line="250" w:lineRule="exact"/>
        <w:ind w:firstLine="320"/>
        <w:jc w:val="both"/>
      </w:pPr>
      <w:r>
        <w:rPr>
          <w:rStyle w:val="113"/>
          <w:b/>
          <w:bCs/>
        </w:rPr>
        <w:t>Особенности недобросовестной конкуренции.</w:t>
      </w:r>
    </w:p>
    <w:p w14:paraId="068B5ABD" w14:textId="77777777" w:rsidR="00350D42" w:rsidRDefault="008E6F64">
      <w:pPr>
        <w:pStyle w:val="111"/>
        <w:numPr>
          <w:ilvl w:val="0"/>
          <w:numId w:val="150"/>
        </w:numPr>
        <w:shd w:val="clear" w:color="auto" w:fill="auto"/>
        <w:tabs>
          <w:tab w:val="left" w:pos="629"/>
        </w:tabs>
        <w:spacing w:before="0" w:after="0" w:line="250" w:lineRule="exact"/>
        <w:ind w:firstLine="320"/>
        <w:jc w:val="both"/>
      </w:pPr>
      <w:r>
        <w:rPr>
          <w:rStyle w:val="113"/>
          <w:b/>
          <w:bCs/>
        </w:rPr>
        <w:t>Антимонопольное регулирование торговой деятельности предприятий.</w:t>
      </w:r>
    </w:p>
    <w:p w14:paraId="2B24BCC8" w14:textId="77777777" w:rsidR="00350D42" w:rsidRDefault="008E6F64">
      <w:pPr>
        <w:pStyle w:val="111"/>
        <w:shd w:val="clear" w:color="auto" w:fill="auto"/>
        <w:spacing w:before="0" w:after="0" w:line="250" w:lineRule="exact"/>
        <w:ind w:firstLine="320"/>
        <w:jc w:val="both"/>
      </w:pPr>
      <w:r>
        <w:rPr>
          <w:rStyle w:val="113"/>
          <w:b/>
          <w:bCs/>
        </w:rPr>
        <w:t>Раздел IV. Институциональная структура взаимодействия го</w:t>
      </w:r>
      <w:r>
        <w:rPr>
          <w:rStyle w:val="113"/>
          <w:b/>
          <w:bCs/>
        </w:rPr>
        <w:softHyphen/>
        <w:t>сударства и бизнеса</w:t>
      </w:r>
    </w:p>
    <w:p w14:paraId="3B6B205E" w14:textId="77777777" w:rsidR="00350D42" w:rsidRDefault="008E6F64">
      <w:pPr>
        <w:pStyle w:val="90"/>
        <w:shd w:val="clear" w:color="auto" w:fill="auto"/>
        <w:spacing w:line="250" w:lineRule="exact"/>
      </w:pPr>
      <w:r>
        <w:rPr>
          <w:rStyle w:val="91"/>
          <w:b/>
          <w:bCs/>
          <w:i/>
          <w:iCs/>
        </w:rPr>
        <w:t>Тема 6. Институциональные соглашения как механизм струк</w:t>
      </w:r>
      <w:r>
        <w:rPr>
          <w:rStyle w:val="91"/>
          <w:b/>
          <w:bCs/>
          <w:i/>
          <w:iCs/>
        </w:rPr>
        <w:softHyphen/>
        <w:t>туризации взаимодействия субъектов рыночной экономики</w:t>
      </w:r>
    </w:p>
    <w:p w14:paraId="17C59C94" w14:textId="77777777" w:rsidR="00350D42" w:rsidRDefault="008E6F64">
      <w:pPr>
        <w:pStyle w:val="111"/>
        <w:numPr>
          <w:ilvl w:val="0"/>
          <w:numId w:val="151"/>
        </w:numPr>
        <w:shd w:val="clear" w:color="auto" w:fill="auto"/>
        <w:tabs>
          <w:tab w:val="left" w:pos="629"/>
        </w:tabs>
        <w:spacing w:before="0" w:after="0" w:line="250" w:lineRule="exact"/>
        <w:ind w:firstLine="320"/>
        <w:jc w:val="both"/>
      </w:pPr>
      <w:r>
        <w:rPr>
          <w:rStyle w:val="113"/>
          <w:b/>
          <w:bCs/>
        </w:rPr>
        <w:t>Экономическая природа институциональных соглашений и их особенности в условиях рыночной экономики.</w:t>
      </w:r>
    </w:p>
    <w:p w14:paraId="131498DC" w14:textId="77777777" w:rsidR="00350D42" w:rsidRDefault="008E6F64">
      <w:pPr>
        <w:pStyle w:val="111"/>
        <w:numPr>
          <w:ilvl w:val="0"/>
          <w:numId w:val="151"/>
        </w:numPr>
        <w:shd w:val="clear" w:color="auto" w:fill="auto"/>
        <w:tabs>
          <w:tab w:val="left" w:pos="629"/>
        </w:tabs>
        <w:spacing w:before="0" w:after="0" w:line="250" w:lineRule="exact"/>
        <w:ind w:firstLine="320"/>
        <w:jc w:val="both"/>
      </w:pPr>
      <w:r>
        <w:rPr>
          <w:rStyle w:val="113"/>
          <w:b/>
          <w:bCs/>
        </w:rPr>
        <w:t>Теории контрактов как институциональных соглашений: сравнительный анализ и классификация.</w:t>
      </w:r>
    </w:p>
    <w:p w14:paraId="1838E127" w14:textId="77777777" w:rsidR="00350D42" w:rsidRDefault="008E6F64">
      <w:pPr>
        <w:pStyle w:val="111"/>
        <w:numPr>
          <w:ilvl w:val="0"/>
          <w:numId w:val="151"/>
        </w:numPr>
        <w:shd w:val="clear" w:color="auto" w:fill="auto"/>
        <w:tabs>
          <w:tab w:val="left" w:pos="629"/>
        </w:tabs>
        <w:spacing w:before="0" w:after="0" w:line="250" w:lineRule="exact"/>
        <w:ind w:firstLine="320"/>
        <w:jc w:val="both"/>
      </w:pPr>
      <w:r>
        <w:rPr>
          <w:rStyle w:val="113"/>
          <w:b/>
          <w:bCs/>
        </w:rPr>
        <w:t>Институциональная структуризация взаимодействия госу</w:t>
      </w:r>
      <w:r>
        <w:rPr>
          <w:rStyle w:val="113"/>
          <w:b/>
          <w:bCs/>
        </w:rPr>
        <w:softHyphen/>
        <w:t>дарства и бизнеса.</w:t>
      </w:r>
    </w:p>
    <w:p w14:paraId="5922559B" w14:textId="77777777" w:rsidR="00350D42" w:rsidRDefault="008E6F64">
      <w:pPr>
        <w:pStyle w:val="111"/>
        <w:numPr>
          <w:ilvl w:val="0"/>
          <w:numId w:val="151"/>
        </w:numPr>
        <w:shd w:val="clear" w:color="auto" w:fill="auto"/>
        <w:tabs>
          <w:tab w:val="left" w:pos="629"/>
        </w:tabs>
        <w:spacing w:before="0" w:after="0" w:line="250" w:lineRule="exact"/>
        <w:ind w:firstLine="320"/>
        <w:jc w:val="both"/>
        <w:sectPr w:rsidR="00350D42">
          <w:pgSz w:w="8789" w:h="13493"/>
          <w:pgMar w:top="892" w:right="1073" w:bottom="1151" w:left="1069" w:header="0" w:footer="3" w:gutter="0"/>
          <w:cols w:space="720"/>
          <w:noEndnote/>
          <w:docGrid w:linePitch="360"/>
        </w:sectPr>
      </w:pPr>
      <w:r>
        <w:rPr>
          <w:rStyle w:val="113"/>
          <w:b/>
          <w:bCs/>
        </w:rPr>
        <w:t>Особенности инвестиционного климата в Российской Феде</w:t>
      </w:r>
      <w:r>
        <w:rPr>
          <w:rStyle w:val="113"/>
          <w:b/>
          <w:bCs/>
        </w:rPr>
        <w:softHyphen/>
        <w:t>рации.</w:t>
      </w:r>
    </w:p>
    <w:p w14:paraId="153AFD3E" w14:textId="77777777" w:rsidR="00350D42" w:rsidRDefault="008E6F64">
      <w:pPr>
        <w:pStyle w:val="111"/>
        <w:numPr>
          <w:ilvl w:val="0"/>
          <w:numId w:val="151"/>
        </w:numPr>
        <w:shd w:val="clear" w:color="auto" w:fill="auto"/>
        <w:tabs>
          <w:tab w:val="left" w:pos="630"/>
        </w:tabs>
        <w:spacing w:before="0" w:after="0" w:line="250" w:lineRule="exact"/>
        <w:ind w:firstLine="320"/>
        <w:jc w:val="both"/>
      </w:pPr>
      <w:r>
        <w:rPr>
          <w:rStyle w:val="113"/>
          <w:b/>
          <w:bCs/>
        </w:rPr>
        <w:lastRenderedPageBreak/>
        <w:t>Институциональные основы инвестиционного климата в Рос</w:t>
      </w:r>
      <w:r>
        <w:rPr>
          <w:rStyle w:val="113"/>
          <w:b/>
          <w:bCs/>
        </w:rPr>
        <w:softHyphen/>
        <w:t>сийской Федерации.</w:t>
      </w:r>
    </w:p>
    <w:p w14:paraId="1311F683" w14:textId="77777777" w:rsidR="00350D42" w:rsidRDefault="008E6F64">
      <w:pPr>
        <w:pStyle w:val="90"/>
        <w:shd w:val="clear" w:color="auto" w:fill="auto"/>
        <w:spacing w:line="250" w:lineRule="exact"/>
      </w:pPr>
      <w:r>
        <w:rPr>
          <w:rStyle w:val="91"/>
          <w:b/>
          <w:bCs/>
          <w:i/>
          <w:iCs/>
        </w:rPr>
        <w:t>Тема 7. Адаптационные механизмы поведения государства и бизнеса в условиях циклического развития</w:t>
      </w:r>
    </w:p>
    <w:p w14:paraId="332AC1E7" w14:textId="77777777" w:rsidR="00350D42" w:rsidRDefault="008E6F64">
      <w:pPr>
        <w:pStyle w:val="111"/>
        <w:numPr>
          <w:ilvl w:val="0"/>
          <w:numId w:val="152"/>
        </w:numPr>
        <w:shd w:val="clear" w:color="auto" w:fill="auto"/>
        <w:tabs>
          <w:tab w:val="left" w:pos="630"/>
        </w:tabs>
        <w:spacing w:before="0" w:after="0" w:line="250" w:lineRule="exact"/>
        <w:ind w:firstLine="320"/>
        <w:jc w:val="both"/>
      </w:pPr>
      <w:r>
        <w:rPr>
          <w:rStyle w:val="113"/>
          <w:b/>
          <w:bCs/>
        </w:rPr>
        <w:t>Сущность, основные причины и фазы циклического развития рыночной экономики. Современные теоретические концепции эко</w:t>
      </w:r>
      <w:r>
        <w:rPr>
          <w:rStyle w:val="113"/>
          <w:b/>
          <w:bCs/>
        </w:rPr>
        <w:softHyphen/>
        <w:t>номического цикла. Особенности экономических циклов в России.</w:t>
      </w:r>
    </w:p>
    <w:p w14:paraId="0A5D8B3F" w14:textId="77777777" w:rsidR="00350D42" w:rsidRDefault="008E6F64">
      <w:pPr>
        <w:pStyle w:val="111"/>
        <w:numPr>
          <w:ilvl w:val="0"/>
          <w:numId w:val="152"/>
        </w:numPr>
        <w:shd w:val="clear" w:color="auto" w:fill="auto"/>
        <w:tabs>
          <w:tab w:val="left" w:pos="630"/>
        </w:tabs>
        <w:spacing w:before="0" w:after="0" w:line="250" w:lineRule="exact"/>
        <w:ind w:firstLine="320"/>
        <w:jc w:val="both"/>
      </w:pPr>
      <w:r>
        <w:rPr>
          <w:rStyle w:val="113"/>
          <w:b/>
          <w:bCs/>
        </w:rPr>
        <w:t>Современные особенности экономических колебаний. Ос</w:t>
      </w:r>
      <w:r>
        <w:rPr>
          <w:rStyle w:val="113"/>
          <w:b/>
          <w:bCs/>
        </w:rPr>
        <w:softHyphen/>
        <w:t>новные формы кризисов.</w:t>
      </w:r>
    </w:p>
    <w:p w14:paraId="41B39893" w14:textId="77777777" w:rsidR="00350D42" w:rsidRDefault="008E6F64">
      <w:pPr>
        <w:pStyle w:val="111"/>
        <w:numPr>
          <w:ilvl w:val="0"/>
          <w:numId w:val="152"/>
        </w:numPr>
        <w:shd w:val="clear" w:color="auto" w:fill="auto"/>
        <w:tabs>
          <w:tab w:val="left" w:pos="630"/>
        </w:tabs>
        <w:spacing w:before="0" w:after="0" w:line="250" w:lineRule="exact"/>
        <w:ind w:firstLine="320"/>
        <w:jc w:val="both"/>
      </w:pPr>
      <w:r>
        <w:rPr>
          <w:rStyle w:val="113"/>
          <w:b/>
          <w:bCs/>
        </w:rPr>
        <w:t>Понятие и виды адаптационных механизмов.</w:t>
      </w:r>
    </w:p>
    <w:p w14:paraId="21F10B15" w14:textId="77777777" w:rsidR="00350D42" w:rsidRDefault="008E6F64">
      <w:pPr>
        <w:pStyle w:val="111"/>
        <w:numPr>
          <w:ilvl w:val="0"/>
          <w:numId w:val="152"/>
        </w:numPr>
        <w:shd w:val="clear" w:color="auto" w:fill="auto"/>
        <w:tabs>
          <w:tab w:val="left" w:pos="630"/>
        </w:tabs>
        <w:spacing w:before="0" w:after="0" w:line="250" w:lineRule="exact"/>
        <w:ind w:firstLine="320"/>
        <w:jc w:val="both"/>
      </w:pPr>
      <w:r>
        <w:rPr>
          <w:rStyle w:val="113"/>
          <w:b/>
          <w:bCs/>
        </w:rPr>
        <w:t>Устойчивость как критерий оценки адаптационных механиз</w:t>
      </w:r>
      <w:r>
        <w:rPr>
          <w:rStyle w:val="113"/>
          <w:b/>
          <w:bCs/>
        </w:rPr>
        <w:softHyphen/>
        <w:t>мов фирмы. Проблемы устойчивости функционирования россий</w:t>
      </w:r>
      <w:r>
        <w:rPr>
          <w:rStyle w:val="113"/>
          <w:b/>
          <w:bCs/>
        </w:rPr>
        <w:softHyphen/>
        <w:t>ских предприятий в условиях циклического развития.</w:t>
      </w:r>
    </w:p>
    <w:p w14:paraId="3742E9A4" w14:textId="77777777" w:rsidR="00350D42" w:rsidRDefault="008E6F64">
      <w:pPr>
        <w:pStyle w:val="111"/>
        <w:numPr>
          <w:ilvl w:val="0"/>
          <w:numId w:val="152"/>
        </w:numPr>
        <w:shd w:val="clear" w:color="auto" w:fill="auto"/>
        <w:tabs>
          <w:tab w:val="left" w:pos="630"/>
        </w:tabs>
        <w:spacing w:before="0" w:after="185" w:line="250" w:lineRule="exact"/>
        <w:ind w:firstLine="320"/>
        <w:jc w:val="both"/>
      </w:pPr>
      <w:r>
        <w:rPr>
          <w:rStyle w:val="113"/>
          <w:b/>
          <w:bCs/>
        </w:rPr>
        <w:t>Принципы реализации адаптационного механизма в Россий</w:t>
      </w:r>
      <w:r>
        <w:rPr>
          <w:rStyle w:val="113"/>
          <w:b/>
          <w:bCs/>
        </w:rPr>
        <w:softHyphen/>
        <w:t>ской Федерации.</w:t>
      </w:r>
    </w:p>
    <w:p w14:paraId="1D09F738" w14:textId="77777777" w:rsidR="00350D42" w:rsidRDefault="008E6F64">
      <w:pPr>
        <w:pStyle w:val="111"/>
        <w:numPr>
          <w:ilvl w:val="0"/>
          <w:numId w:val="141"/>
        </w:numPr>
        <w:shd w:val="clear" w:color="auto" w:fill="auto"/>
        <w:tabs>
          <w:tab w:val="left" w:pos="1709"/>
        </w:tabs>
        <w:spacing w:before="0" w:after="96" w:line="194" w:lineRule="exact"/>
        <w:ind w:left="1420"/>
        <w:jc w:val="left"/>
      </w:pPr>
      <w:r>
        <w:rPr>
          <w:rStyle w:val="113"/>
          <w:b/>
          <w:bCs/>
        </w:rPr>
        <w:t>Формы контроля и система оценок</w:t>
      </w:r>
    </w:p>
    <w:p w14:paraId="225DF37E" w14:textId="77777777" w:rsidR="00350D42" w:rsidRDefault="008E6F64">
      <w:pPr>
        <w:pStyle w:val="111"/>
        <w:shd w:val="clear" w:color="auto" w:fill="auto"/>
        <w:spacing w:before="0" w:after="0" w:line="250" w:lineRule="exact"/>
        <w:ind w:firstLine="320"/>
        <w:jc w:val="both"/>
      </w:pPr>
      <w:r>
        <w:rPr>
          <w:rStyle w:val="113"/>
          <w:b/>
          <w:bCs/>
        </w:rPr>
        <w:t>Формирование компетенций по итогам изучения дисциплины контролируется в форме текущей и промежуточной аттестации зна</w:t>
      </w:r>
      <w:r>
        <w:rPr>
          <w:rStyle w:val="113"/>
          <w:b/>
          <w:bCs/>
        </w:rPr>
        <w:softHyphen/>
        <w:t>ний (подготовка эссе, презентации), умений и навыков студентов. Система оценок результатов аттестаций представлена в табл. П.1.7.</w:t>
      </w:r>
    </w:p>
    <w:p w14:paraId="0952DB94" w14:textId="77777777" w:rsidR="00350D42" w:rsidRDefault="008E6F64">
      <w:pPr>
        <w:pStyle w:val="111"/>
        <w:shd w:val="clear" w:color="auto" w:fill="auto"/>
        <w:spacing w:before="0" w:after="0" w:line="250" w:lineRule="exact"/>
        <w:ind w:firstLine="320"/>
        <w:jc w:val="both"/>
      </w:pPr>
      <w:r>
        <w:rPr>
          <w:rStyle w:val="113"/>
          <w:b/>
          <w:bCs/>
        </w:rPr>
        <w:t>Балльно-рейтинговая система оценки работы студентов соответ</w:t>
      </w:r>
      <w:r>
        <w:rPr>
          <w:rStyle w:val="113"/>
          <w:b/>
          <w:bCs/>
        </w:rPr>
        <w:softHyphen/>
        <w:t>ствует Положению о балльно-рейтинговой системе оценки знаний студентов бакалавриата</w:t>
      </w:r>
      <w:r>
        <w:rPr>
          <w:rStyle w:val="113"/>
          <w:b/>
          <w:bCs/>
          <w:vertAlign w:val="superscript"/>
        </w:rPr>
        <w:t>1</w:t>
      </w:r>
      <w:r>
        <w:rPr>
          <w:rStyle w:val="113"/>
          <w:b/>
          <w:bCs/>
        </w:rPr>
        <w:t>.</w:t>
      </w:r>
    </w:p>
    <w:p w14:paraId="4ABE7616" w14:textId="77777777" w:rsidR="00350D42" w:rsidRDefault="008E6F64">
      <w:pPr>
        <w:pStyle w:val="190"/>
        <w:shd w:val="clear" w:color="auto" w:fill="auto"/>
      </w:pPr>
      <w:r>
        <w:rPr>
          <w:rStyle w:val="191"/>
          <w:i/>
          <w:iCs/>
        </w:rPr>
        <w:t>Таблица П.1.7</w:t>
      </w:r>
    </w:p>
    <w:p w14:paraId="07C5021D" w14:textId="77777777" w:rsidR="00350D42" w:rsidRDefault="008E6F64">
      <w:pPr>
        <w:pStyle w:val="3f2"/>
        <w:framePr w:w="6581" w:wrap="notBeside" w:vAnchor="text" w:hAnchor="text" w:xAlign="center" w:y="1"/>
        <w:shd w:val="clear" w:color="auto" w:fill="auto"/>
        <w:spacing w:line="194" w:lineRule="exact"/>
        <w:jc w:val="left"/>
      </w:pPr>
      <w:r>
        <w:rPr>
          <w:rStyle w:val="3f3"/>
          <w:b/>
          <w:bCs/>
        </w:rPr>
        <w:t>Система оценок результатов аттестаций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869"/>
        <w:gridCol w:w="941"/>
        <w:gridCol w:w="1123"/>
        <w:gridCol w:w="1157"/>
        <w:gridCol w:w="1109"/>
      </w:tblGrid>
      <w:tr w:rsidR="00350D42" w14:paraId="2A5551EB" w14:textId="77777777">
        <w:trPr>
          <w:trHeight w:hRule="exact" w:val="806"/>
          <w:jc w:val="center"/>
        </w:trPr>
        <w:tc>
          <w:tcPr>
            <w:tcW w:w="1382" w:type="dxa"/>
            <w:tcBorders>
              <w:top w:val="single" w:sz="4" w:space="0" w:color="auto"/>
              <w:left w:val="single" w:sz="4" w:space="0" w:color="auto"/>
            </w:tcBorders>
            <w:shd w:val="clear" w:color="auto" w:fill="FFFFFF"/>
            <w:vAlign w:val="center"/>
          </w:tcPr>
          <w:p w14:paraId="2BEEB707"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Номер</w:t>
            </w:r>
          </w:p>
          <w:p w14:paraId="7FF04CA0" w14:textId="77777777" w:rsidR="00350D42" w:rsidRDefault="008E6F64">
            <w:pPr>
              <w:pStyle w:val="2c"/>
              <w:framePr w:w="6581" w:wrap="notBeside" w:vAnchor="text" w:hAnchor="text" w:xAlign="center" w:y="1"/>
              <w:shd w:val="clear" w:color="auto" w:fill="auto"/>
              <w:spacing w:before="0" w:line="221" w:lineRule="exact"/>
              <w:jc w:val="left"/>
            </w:pPr>
            <w:r>
              <w:rPr>
                <w:rStyle w:val="275pt"/>
              </w:rPr>
              <w:t>контрольной</w:t>
            </w:r>
          </w:p>
          <w:p w14:paraId="40B88219"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точки</w:t>
            </w:r>
          </w:p>
        </w:tc>
        <w:tc>
          <w:tcPr>
            <w:tcW w:w="869" w:type="dxa"/>
            <w:tcBorders>
              <w:top w:val="single" w:sz="4" w:space="0" w:color="auto"/>
              <w:left w:val="single" w:sz="4" w:space="0" w:color="auto"/>
            </w:tcBorders>
            <w:shd w:val="clear" w:color="auto" w:fill="FFFFFF"/>
            <w:vAlign w:val="center"/>
          </w:tcPr>
          <w:p w14:paraId="0163C92F"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Номер</w:t>
            </w:r>
          </w:p>
          <w:p w14:paraId="6C29CA37"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раздела</w:t>
            </w:r>
          </w:p>
        </w:tc>
        <w:tc>
          <w:tcPr>
            <w:tcW w:w="941" w:type="dxa"/>
            <w:tcBorders>
              <w:top w:val="single" w:sz="4" w:space="0" w:color="auto"/>
              <w:left w:val="single" w:sz="4" w:space="0" w:color="auto"/>
            </w:tcBorders>
            <w:shd w:val="clear" w:color="auto" w:fill="FFFFFF"/>
            <w:vAlign w:val="center"/>
          </w:tcPr>
          <w:p w14:paraId="1A3F9E63" w14:textId="77777777" w:rsidR="00350D42" w:rsidRDefault="008E6F64">
            <w:pPr>
              <w:pStyle w:val="2c"/>
              <w:framePr w:w="6581" w:wrap="notBeside" w:vAnchor="text" w:hAnchor="text" w:xAlign="center" w:y="1"/>
              <w:shd w:val="clear" w:color="auto" w:fill="auto"/>
              <w:spacing w:before="0" w:line="176" w:lineRule="exact"/>
              <w:ind w:left="140"/>
              <w:jc w:val="left"/>
            </w:pPr>
            <w:r>
              <w:rPr>
                <w:rStyle w:val="275pt"/>
              </w:rPr>
              <w:t>Номера</w:t>
            </w:r>
          </w:p>
          <w:p w14:paraId="15AC0B77"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тем</w:t>
            </w:r>
          </w:p>
        </w:tc>
        <w:tc>
          <w:tcPr>
            <w:tcW w:w="1123" w:type="dxa"/>
            <w:tcBorders>
              <w:top w:val="single" w:sz="4" w:space="0" w:color="auto"/>
              <w:left w:val="single" w:sz="4" w:space="0" w:color="auto"/>
            </w:tcBorders>
            <w:shd w:val="clear" w:color="auto" w:fill="FFFFFF"/>
            <w:vAlign w:val="center"/>
          </w:tcPr>
          <w:p w14:paraId="0440A35C"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Форма</w:t>
            </w:r>
          </w:p>
          <w:p w14:paraId="3EC7ACB4" w14:textId="77777777" w:rsidR="00350D42" w:rsidRDefault="008E6F64">
            <w:pPr>
              <w:pStyle w:val="2c"/>
              <w:framePr w:w="6581" w:wrap="notBeside" w:vAnchor="text" w:hAnchor="text" w:xAlign="center" w:y="1"/>
              <w:shd w:val="clear" w:color="auto" w:fill="auto"/>
              <w:spacing w:before="0" w:line="176" w:lineRule="exact"/>
              <w:ind w:left="160"/>
              <w:jc w:val="left"/>
            </w:pPr>
            <w:r>
              <w:rPr>
                <w:rStyle w:val="275pt"/>
              </w:rPr>
              <w:t>контроля</w:t>
            </w:r>
          </w:p>
        </w:tc>
        <w:tc>
          <w:tcPr>
            <w:tcW w:w="1157" w:type="dxa"/>
            <w:tcBorders>
              <w:top w:val="single" w:sz="4" w:space="0" w:color="auto"/>
              <w:left w:val="single" w:sz="4" w:space="0" w:color="auto"/>
            </w:tcBorders>
            <w:shd w:val="clear" w:color="auto" w:fill="FFFFFF"/>
            <w:vAlign w:val="center"/>
          </w:tcPr>
          <w:p w14:paraId="0D395CA5" w14:textId="77777777" w:rsidR="00350D42" w:rsidRDefault="008E6F64">
            <w:pPr>
              <w:pStyle w:val="2c"/>
              <w:framePr w:w="6581" w:wrap="notBeside" w:vAnchor="text" w:hAnchor="text" w:xAlign="center" w:y="1"/>
              <w:shd w:val="clear" w:color="auto" w:fill="auto"/>
              <w:spacing w:before="0" w:line="176" w:lineRule="exact"/>
              <w:ind w:left="160"/>
              <w:jc w:val="left"/>
            </w:pPr>
            <w:r>
              <w:rPr>
                <w:rStyle w:val="275pt"/>
              </w:rPr>
              <w:t>Зачетный</w:t>
            </w:r>
          </w:p>
          <w:p w14:paraId="6CA3E4F4"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минимум</w:t>
            </w:r>
          </w:p>
        </w:tc>
        <w:tc>
          <w:tcPr>
            <w:tcW w:w="1109" w:type="dxa"/>
            <w:tcBorders>
              <w:top w:val="single" w:sz="4" w:space="0" w:color="auto"/>
              <w:left w:val="single" w:sz="4" w:space="0" w:color="auto"/>
              <w:right w:val="single" w:sz="4" w:space="0" w:color="auto"/>
            </w:tcBorders>
            <w:shd w:val="clear" w:color="auto" w:fill="FFFFFF"/>
            <w:vAlign w:val="center"/>
          </w:tcPr>
          <w:p w14:paraId="66935BA0"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Зачетный</w:t>
            </w:r>
          </w:p>
          <w:p w14:paraId="3E2EF40C"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максимум</w:t>
            </w:r>
          </w:p>
        </w:tc>
      </w:tr>
      <w:tr w:rsidR="00350D42" w14:paraId="4A64EBAD" w14:textId="77777777">
        <w:trPr>
          <w:trHeight w:hRule="exact" w:val="581"/>
          <w:jc w:val="center"/>
        </w:trPr>
        <w:tc>
          <w:tcPr>
            <w:tcW w:w="1382" w:type="dxa"/>
            <w:tcBorders>
              <w:top w:val="single" w:sz="4" w:space="0" w:color="auto"/>
              <w:left w:val="single" w:sz="4" w:space="0" w:color="auto"/>
            </w:tcBorders>
            <w:shd w:val="clear" w:color="auto" w:fill="FFFFFF"/>
          </w:tcPr>
          <w:p w14:paraId="26346AE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I</w:t>
            </w:r>
          </w:p>
        </w:tc>
        <w:tc>
          <w:tcPr>
            <w:tcW w:w="869" w:type="dxa"/>
            <w:tcBorders>
              <w:top w:val="single" w:sz="4" w:space="0" w:color="auto"/>
              <w:left w:val="single" w:sz="4" w:space="0" w:color="auto"/>
            </w:tcBorders>
            <w:shd w:val="clear" w:color="auto" w:fill="FFFFFF"/>
          </w:tcPr>
          <w:p w14:paraId="43F510A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I, и</w:t>
            </w:r>
          </w:p>
        </w:tc>
        <w:tc>
          <w:tcPr>
            <w:tcW w:w="941" w:type="dxa"/>
            <w:tcBorders>
              <w:top w:val="single" w:sz="4" w:space="0" w:color="auto"/>
              <w:left w:val="single" w:sz="4" w:space="0" w:color="auto"/>
            </w:tcBorders>
            <w:shd w:val="clear" w:color="auto" w:fill="FFFFFF"/>
          </w:tcPr>
          <w:p w14:paraId="2B8CCB7C" w14:textId="77777777" w:rsidR="00350D42" w:rsidRDefault="008E6F64">
            <w:pPr>
              <w:pStyle w:val="2c"/>
              <w:framePr w:w="6581" w:wrap="notBeside" w:vAnchor="text" w:hAnchor="text" w:xAlign="center" w:y="1"/>
              <w:shd w:val="clear" w:color="auto" w:fill="auto"/>
              <w:spacing w:before="0" w:line="168" w:lineRule="exact"/>
              <w:ind w:left="140"/>
              <w:jc w:val="left"/>
            </w:pPr>
            <w:r>
              <w:rPr>
                <w:rStyle w:val="275pt0"/>
              </w:rPr>
              <w:t>1, 2, 3, 4</w:t>
            </w:r>
          </w:p>
        </w:tc>
        <w:tc>
          <w:tcPr>
            <w:tcW w:w="1123" w:type="dxa"/>
            <w:tcBorders>
              <w:top w:val="single" w:sz="4" w:space="0" w:color="auto"/>
              <w:left w:val="single" w:sz="4" w:space="0" w:color="auto"/>
            </w:tcBorders>
            <w:shd w:val="clear" w:color="auto" w:fill="FFFFFF"/>
            <w:vAlign w:val="bottom"/>
          </w:tcPr>
          <w:p w14:paraId="53670E57"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Презента</w:t>
            </w:r>
            <w:r>
              <w:rPr>
                <w:rStyle w:val="275pt0"/>
              </w:rPr>
              <w:softHyphen/>
            </w:r>
          </w:p>
          <w:p w14:paraId="339E059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ция</w:t>
            </w:r>
          </w:p>
        </w:tc>
        <w:tc>
          <w:tcPr>
            <w:tcW w:w="1157" w:type="dxa"/>
            <w:tcBorders>
              <w:top w:val="single" w:sz="4" w:space="0" w:color="auto"/>
              <w:left w:val="single" w:sz="4" w:space="0" w:color="auto"/>
            </w:tcBorders>
            <w:shd w:val="clear" w:color="auto" w:fill="FFFFFF"/>
          </w:tcPr>
          <w:p w14:paraId="5049072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30</w:t>
            </w:r>
          </w:p>
        </w:tc>
        <w:tc>
          <w:tcPr>
            <w:tcW w:w="1109" w:type="dxa"/>
            <w:tcBorders>
              <w:top w:val="single" w:sz="4" w:space="0" w:color="auto"/>
              <w:left w:val="single" w:sz="4" w:space="0" w:color="auto"/>
              <w:right w:val="single" w:sz="4" w:space="0" w:color="auto"/>
            </w:tcBorders>
            <w:shd w:val="clear" w:color="auto" w:fill="FFFFFF"/>
          </w:tcPr>
          <w:p w14:paraId="1CA393A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40</w:t>
            </w:r>
          </w:p>
        </w:tc>
      </w:tr>
      <w:tr w:rsidR="00350D42" w14:paraId="67B073CA" w14:textId="77777777">
        <w:trPr>
          <w:trHeight w:hRule="exact" w:val="360"/>
          <w:jc w:val="center"/>
        </w:trPr>
        <w:tc>
          <w:tcPr>
            <w:tcW w:w="1382" w:type="dxa"/>
            <w:tcBorders>
              <w:top w:val="single" w:sz="4" w:space="0" w:color="auto"/>
              <w:left w:val="single" w:sz="4" w:space="0" w:color="auto"/>
            </w:tcBorders>
            <w:shd w:val="clear" w:color="auto" w:fill="FFFFFF"/>
            <w:vAlign w:val="center"/>
          </w:tcPr>
          <w:p w14:paraId="1CB21C8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и</w:t>
            </w:r>
          </w:p>
        </w:tc>
        <w:tc>
          <w:tcPr>
            <w:tcW w:w="869" w:type="dxa"/>
            <w:tcBorders>
              <w:top w:val="single" w:sz="4" w:space="0" w:color="auto"/>
              <w:left w:val="single" w:sz="4" w:space="0" w:color="auto"/>
            </w:tcBorders>
            <w:shd w:val="clear" w:color="auto" w:fill="FFFFFF"/>
            <w:vAlign w:val="center"/>
          </w:tcPr>
          <w:p w14:paraId="77FDF262" w14:textId="77777777" w:rsidR="00350D42" w:rsidRDefault="008E6F64">
            <w:pPr>
              <w:pStyle w:val="2c"/>
              <w:framePr w:w="6581" w:wrap="notBeside" w:vAnchor="text" w:hAnchor="text" w:xAlign="center" w:y="1"/>
              <w:shd w:val="clear" w:color="auto" w:fill="auto"/>
              <w:spacing w:before="0" w:line="168" w:lineRule="exact"/>
              <w:ind w:left="220"/>
              <w:jc w:val="left"/>
            </w:pPr>
            <w:r>
              <w:rPr>
                <w:rStyle w:val="275pt0"/>
              </w:rPr>
              <w:t>III, IV</w:t>
            </w:r>
          </w:p>
        </w:tc>
        <w:tc>
          <w:tcPr>
            <w:tcW w:w="941" w:type="dxa"/>
            <w:tcBorders>
              <w:top w:val="single" w:sz="4" w:space="0" w:color="auto"/>
              <w:left w:val="single" w:sz="4" w:space="0" w:color="auto"/>
            </w:tcBorders>
            <w:shd w:val="clear" w:color="auto" w:fill="FFFFFF"/>
            <w:vAlign w:val="center"/>
          </w:tcPr>
          <w:p w14:paraId="64489D66" w14:textId="77777777" w:rsidR="00350D42" w:rsidRDefault="008E6F64">
            <w:pPr>
              <w:pStyle w:val="2c"/>
              <w:framePr w:w="6581" w:wrap="notBeside" w:vAnchor="text" w:hAnchor="text" w:xAlign="center" w:y="1"/>
              <w:shd w:val="clear" w:color="auto" w:fill="auto"/>
              <w:spacing w:before="0" w:line="168" w:lineRule="exact"/>
              <w:ind w:left="240"/>
              <w:jc w:val="left"/>
            </w:pPr>
            <w:r>
              <w:rPr>
                <w:rStyle w:val="275pt0"/>
              </w:rPr>
              <w:t>5, 6, 7</w:t>
            </w:r>
          </w:p>
        </w:tc>
        <w:tc>
          <w:tcPr>
            <w:tcW w:w="1123" w:type="dxa"/>
            <w:tcBorders>
              <w:top w:val="single" w:sz="4" w:space="0" w:color="auto"/>
              <w:left w:val="single" w:sz="4" w:space="0" w:color="auto"/>
            </w:tcBorders>
            <w:shd w:val="clear" w:color="auto" w:fill="FFFFFF"/>
            <w:vAlign w:val="center"/>
          </w:tcPr>
          <w:p w14:paraId="50CB3F60"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Эссе</w:t>
            </w:r>
          </w:p>
        </w:tc>
        <w:tc>
          <w:tcPr>
            <w:tcW w:w="1157" w:type="dxa"/>
            <w:tcBorders>
              <w:top w:val="single" w:sz="4" w:space="0" w:color="auto"/>
              <w:left w:val="single" w:sz="4" w:space="0" w:color="auto"/>
            </w:tcBorders>
            <w:shd w:val="clear" w:color="auto" w:fill="FFFFFF"/>
            <w:vAlign w:val="center"/>
          </w:tcPr>
          <w:p w14:paraId="204B203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20</w:t>
            </w:r>
          </w:p>
        </w:tc>
        <w:tc>
          <w:tcPr>
            <w:tcW w:w="1109" w:type="dxa"/>
            <w:tcBorders>
              <w:top w:val="single" w:sz="4" w:space="0" w:color="auto"/>
              <w:left w:val="single" w:sz="4" w:space="0" w:color="auto"/>
              <w:right w:val="single" w:sz="4" w:space="0" w:color="auto"/>
            </w:tcBorders>
            <w:shd w:val="clear" w:color="auto" w:fill="FFFFFF"/>
            <w:vAlign w:val="center"/>
          </w:tcPr>
          <w:p w14:paraId="7D20A03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40</w:t>
            </w:r>
          </w:p>
        </w:tc>
      </w:tr>
      <w:tr w:rsidR="00350D42" w14:paraId="3A029729" w14:textId="77777777">
        <w:trPr>
          <w:trHeight w:hRule="exact" w:val="576"/>
          <w:jc w:val="center"/>
        </w:trPr>
        <w:tc>
          <w:tcPr>
            <w:tcW w:w="1382" w:type="dxa"/>
            <w:tcBorders>
              <w:top w:val="single" w:sz="4" w:space="0" w:color="auto"/>
              <w:left w:val="single" w:sz="4" w:space="0" w:color="auto"/>
            </w:tcBorders>
            <w:shd w:val="clear" w:color="auto" w:fill="FFFFFF"/>
          </w:tcPr>
          <w:p w14:paraId="77570397" w14:textId="77777777" w:rsidR="00350D42" w:rsidRDefault="00350D42">
            <w:pPr>
              <w:framePr w:w="6581"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14:paraId="6031B7AE" w14:textId="77777777" w:rsidR="00350D42" w:rsidRDefault="00350D42">
            <w:pPr>
              <w:framePr w:w="6581"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6E6089EA" w14:textId="77777777" w:rsidR="00350D42" w:rsidRDefault="00350D42">
            <w:pPr>
              <w:framePr w:w="6581"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center"/>
          </w:tcPr>
          <w:p w14:paraId="0897D1F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Текущий</w:t>
            </w:r>
          </w:p>
          <w:p w14:paraId="435DCED0"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контроль</w:t>
            </w:r>
          </w:p>
        </w:tc>
        <w:tc>
          <w:tcPr>
            <w:tcW w:w="1157" w:type="dxa"/>
            <w:tcBorders>
              <w:top w:val="single" w:sz="4" w:space="0" w:color="auto"/>
              <w:left w:val="single" w:sz="4" w:space="0" w:color="auto"/>
            </w:tcBorders>
            <w:shd w:val="clear" w:color="auto" w:fill="FFFFFF"/>
            <w:vAlign w:val="center"/>
          </w:tcPr>
          <w:p w14:paraId="00D3C74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09" w:type="dxa"/>
            <w:tcBorders>
              <w:top w:val="single" w:sz="4" w:space="0" w:color="auto"/>
              <w:left w:val="single" w:sz="4" w:space="0" w:color="auto"/>
              <w:right w:val="single" w:sz="4" w:space="0" w:color="auto"/>
            </w:tcBorders>
            <w:shd w:val="clear" w:color="auto" w:fill="FFFFFF"/>
            <w:vAlign w:val="center"/>
          </w:tcPr>
          <w:p w14:paraId="578F92E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20</w:t>
            </w:r>
          </w:p>
        </w:tc>
      </w:tr>
      <w:tr w:rsidR="00350D42" w14:paraId="17182AC8" w14:textId="77777777">
        <w:trPr>
          <w:trHeight w:hRule="exact" w:val="360"/>
          <w:jc w:val="center"/>
        </w:trPr>
        <w:tc>
          <w:tcPr>
            <w:tcW w:w="4315" w:type="dxa"/>
            <w:gridSpan w:val="4"/>
            <w:tcBorders>
              <w:top w:val="single" w:sz="4" w:space="0" w:color="auto"/>
              <w:left w:val="single" w:sz="4" w:space="0" w:color="auto"/>
            </w:tcBorders>
            <w:shd w:val="clear" w:color="auto" w:fill="FFFFFF"/>
            <w:vAlign w:val="center"/>
          </w:tcPr>
          <w:p w14:paraId="106DC189"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Итого за работу в течение семестра</w:t>
            </w:r>
          </w:p>
        </w:tc>
        <w:tc>
          <w:tcPr>
            <w:tcW w:w="1157" w:type="dxa"/>
            <w:tcBorders>
              <w:top w:val="single" w:sz="4" w:space="0" w:color="auto"/>
              <w:left w:val="single" w:sz="4" w:space="0" w:color="auto"/>
            </w:tcBorders>
            <w:shd w:val="clear" w:color="auto" w:fill="FFFFFF"/>
            <w:vAlign w:val="center"/>
          </w:tcPr>
          <w:p w14:paraId="5DA65CB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50</w:t>
            </w:r>
          </w:p>
        </w:tc>
        <w:tc>
          <w:tcPr>
            <w:tcW w:w="1109" w:type="dxa"/>
            <w:tcBorders>
              <w:top w:val="single" w:sz="4" w:space="0" w:color="auto"/>
              <w:left w:val="single" w:sz="4" w:space="0" w:color="auto"/>
              <w:right w:val="single" w:sz="4" w:space="0" w:color="auto"/>
            </w:tcBorders>
            <w:shd w:val="clear" w:color="auto" w:fill="FFFFFF"/>
            <w:vAlign w:val="bottom"/>
          </w:tcPr>
          <w:p w14:paraId="5240B2C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r>
      <w:tr w:rsidR="00350D42" w14:paraId="5E5CDFAA" w14:textId="77777777">
        <w:trPr>
          <w:trHeight w:hRule="exact" w:val="370"/>
          <w:jc w:val="center"/>
        </w:trPr>
        <w:tc>
          <w:tcPr>
            <w:tcW w:w="4315" w:type="dxa"/>
            <w:gridSpan w:val="4"/>
            <w:tcBorders>
              <w:top w:val="single" w:sz="4" w:space="0" w:color="auto"/>
              <w:left w:val="single" w:sz="4" w:space="0" w:color="auto"/>
              <w:bottom w:val="single" w:sz="4" w:space="0" w:color="auto"/>
            </w:tcBorders>
            <w:shd w:val="clear" w:color="auto" w:fill="FFFFFF"/>
            <w:vAlign w:val="center"/>
          </w:tcPr>
          <w:p w14:paraId="152DF900"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Дифференцированный зачет</w:t>
            </w:r>
          </w:p>
        </w:tc>
        <w:tc>
          <w:tcPr>
            <w:tcW w:w="1157" w:type="dxa"/>
            <w:tcBorders>
              <w:top w:val="single" w:sz="4" w:space="0" w:color="auto"/>
              <w:left w:val="single" w:sz="4" w:space="0" w:color="auto"/>
              <w:bottom w:val="single" w:sz="4" w:space="0" w:color="auto"/>
            </w:tcBorders>
            <w:shd w:val="clear" w:color="auto" w:fill="FFFFFF"/>
            <w:vAlign w:val="center"/>
          </w:tcPr>
          <w:p w14:paraId="1FB62D4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55</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bottom"/>
          </w:tcPr>
          <w:p w14:paraId="2AF399B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r>
    </w:tbl>
    <w:p w14:paraId="2BFD62F6" w14:textId="77777777" w:rsidR="00350D42" w:rsidRDefault="00350D42">
      <w:pPr>
        <w:framePr w:w="6581" w:wrap="notBeside" w:vAnchor="text" w:hAnchor="text" w:xAlign="center" w:y="1"/>
        <w:rPr>
          <w:sz w:val="2"/>
          <w:szCs w:val="2"/>
        </w:rPr>
      </w:pPr>
    </w:p>
    <w:p w14:paraId="32CA47EB" w14:textId="77777777" w:rsidR="00350D42" w:rsidRDefault="00350D42">
      <w:pPr>
        <w:rPr>
          <w:sz w:val="2"/>
          <w:szCs w:val="2"/>
        </w:rPr>
      </w:pPr>
    </w:p>
    <w:p w14:paraId="1535BFF7" w14:textId="77777777" w:rsidR="00350D42" w:rsidRDefault="008E6F64">
      <w:pPr>
        <w:pStyle w:val="111"/>
        <w:shd w:val="clear" w:color="auto" w:fill="auto"/>
        <w:spacing w:before="98" w:after="0" w:line="250" w:lineRule="exact"/>
        <w:ind w:firstLine="320"/>
        <w:jc w:val="both"/>
      </w:pPr>
      <w:r>
        <w:rPr>
          <w:rStyle w:val="113"/>
          <w:b/>
          <w:bCs/>
        </w:rPr>
        <w:t>В течение семестра работа на семинарских занятиях (текущий контроль), сдача контрольных точек (рубежный контроль) оценива</w:t>
      </w:r>
      <w:r>
        <w:rPr>
          <w:rStyle w:val="113"/>
          <w:b/>
          <w:bCs/>
        </w:rPr>
        <w:softHyphen/>
        <w:t>ются преподавателем, ведущим семинарские занятия, и баллы зано</w:t>
      </w:r>
      <w:r>
        <w:rPr>
          <w:rStyle w:val="113"/>
          <w:b/>
          <w:bCs/>
        </w:rPr>
        <w:softHyphen/>
        <w:t xml:space="preserve">сятся в электронную ведомость, доступную для просмотра по адресу </w:t>
      </w:r>
      <w:r>
        <w:rPr>
          <w:rStyle w:val="11BookmanOldStyle9pt0"/>
          <w:lang w:val="en-US" w:eastAsia="en-US" w:bidi="en-US"/>
        </w:rPr>
        <w:t>rating</w:t>
      </w:r>
      <w:r w:rsidRPr="000E0C7E">
        <w:rPr>
          <w:rStyle w:val="11BookmanOldStyle9pt0"/>
          <w:lang w:eastAsia="en-US" w:bidi="en-US"/>
        </w:rPr>
        <w:t>.</w:t>
      </w:r>
      <w:r>
        <w:rPr>
          <w:rStyle w:val="11BookmanOldStyle9pt0"/>
          <w:lang w:val="en-US" w:eastAsia="en-US" w:bidi="en-US"/>
        </w:rPr>
        <w:t>finec</w:t>
      </w:r>
      <w:r w:rsidRPr="000E0C7E">
        <w:rPr>
          <w:rStyle w:val="11BookmanOldStyle9pt0"/>
          <w:lang w:eastAsia="en-US" w:bidi="en-US"/>
        </w:rPr>
        <w:t>.</w:t>
      </w:r>
      <w:r>
        <w:rPr>
          <w:rStyle w:val="11BookmanOldStyle9pt0"/>
          <w:lang w:val="en-US" w:eastAsia="en-US" w:bidi="en-US"/>
        </w:rPr>
        <w:t>ru</w:t>
      </w:r>
      <w:r w:rsidRPr="000E0C7E">
        <w:rPr>
          <w:rStyle w:val="11BookmanOldStyle9pt0"/>
          <w:lang w:eastAsia="en-US" w:bidi="en-US"/>
        </w:rPr>
        <w:t>.</w:t>
      </w:r>
    </w:p>
    <w:p w14:paraId="4A12260B" w14:textId="77777777" w:rsidR="00350D42" w:rsidRDefault="008E6F64">
      <w:pPr>
        <w:pStyle w:val="111"/>
        <w:shd w:val="clear" w:color="auto" w:fill="auto"/>
        <w:spacing w:before="0" w:after="0" w:line="245" w:lineRule="exact"/>
        <w:ind w:firstLine="320"/>
        <w:jc w:val="both"/>
      </w:pPr>
      <w:r>
        <w:rPr>
          <w:rStyle w:val="113"/>
          <w:b/>
          <w:bCs/>
        </w:rPr>
        <w:t>Максимальное количество баллов — 100.</w:t>
      </w:r>
    </w:p>
    <w:p w14:paraId="354A607E" w14:textId="77777777" w:rsidR="00350D42" w:rsidRDefault="008E6F64">
      <w:pPr>
        <w:pStyle w:val="111"/>
        <w:shd w:val="clear" w:color="auto" w:fill="auto"/>
        <w:spacing w:before="0" w:after="0" w:line="245" w:lineRule="exact"/>
        <w:ind w:firstLine="320"/>
        <w:jc w:val="both"/>
      </w:pPr>
      <w:r>
        <w:rPr>
          <w:rStyle w:val="113"/>
          <w:b/>
          <w:bCs/>
        </w:rPr>
        <w:t>Для получения зачета по дисциплине сумма баллов, полученная студентом по результатам прохождения текущего и рубежного кон</w:t>
      </w:r>
      <w:r>
        <w:rPr>
          <w:rStyle w:val="113"/>
          <w:b/>
          <w:bCs/>
        </w:rPr>
        <w:softHyphen/>
        <w:t>троля (контрольных точек), должна быть 55 и более баллов.</w:t>
      </w:r>
    </w:p>
    <w:p w14:paraId="01649C37" w14:textId="77777777" w:rsidR="00350D42" w:rsidRDefault="008E6F64">
      <w:pPr>
        <w:pStyle w:val="111"/>
        <w:shd w:val="clear" w:color="auto" w:fill="auto"/>
        <w:spacing w:before="0" w:after="0" w:line="245" w:lineRule="exact"/>
        <w:ind w:firstLine="320"/>
        <w:jc w:val="both"/>
      </w:pPr>
      <w:r>
        <w:rPr>
          <w:rStyle w:val="113"/>
          <w:b/>
          <w:bCs/>
        </w:rPr>
        <w:t>Основанием для незачета является ситуация, когда сумма бал</w:t>
      </w:r>
      <w:r>
        <w:rPr>
          <w:rStyle w:val="113"/>
          <w:b/>
          <w:bCs/>
        </w:rPr>
        <w:softHyphen/>
        <w:t>лов, набранная по всем видам контроля, ниже установленного ми</w:t>
      </w:r>
      <w:r>
        <w:rPr>
          <w:rStyle w:val="113"/>
          <w:b/>
          <w:bCs/>
        </w:rPr>
        <w:softHyphen/>
        <w:t>нимума — 55 баллов.</w:t>
      </w:r>
    </w:p>
    <w:p w14:paraId="0BC9A6AD" w14:textId="77777777" w:rsidR="00350D42" w:rsidRDefault="008E6F64">
      <w:pPr>
        <w:pStyle w:val="111"/>
        <w:shd w:val="clear" w:color="auto" w:fill="auto"/>
        <w:spacing w:before="0" w:after="0" w:line="245" w:lineRule="exact"/>
        <w:ind w:firstLine="320"/>
        <w:jc w:val="both"/>
      </w:pPr>
      <w:r>
        <w:rPr>
          <w:rStyle w:val="113"/>
          <w:b/>
          <w:bCs/>
        </w:rPr>
        <w:lastRenderedPageBreak/>
        <w:t>В случае дифференцированного зачета по дисциплине в зачет</w:t>
      </w:r>
      <w:r>
        <w:rPr>
          <w:rStyle w:val="113"/>
          <w:b/>
          <w:bCs/>
        </w:rPr>
        <w:softHyphen/>
        <w:t>ную книжку студента проставляется оценка в соответствии с на</w:t>
      </w:r>
      <w:r>
        <w:rPr>
          <w:rStyle w:val="113"/>
          <w:b/>
          <w:bCs/>
        </w:rPr>
        <w:softHyphen/>
        <w:t>бранной суммой баллов по следующей шкале пересчета.</w:t>
      </w:r>
    </w:p>
    <w:p w14:paraId="520BF345" w14:textId="77777777" w:rsidR="00350D42" w:rsidRDefault="008E6F64">
      <w:pPr>
        <w:pStyle w:val="90"/>
        <w:shd w:val="clear" w:color="auto" w:fill="auto"/>
      </w:pPr>
      <w:r>
        <w:rPr>
          <w:rStyle w:val="91"/>
          <w:b/>
          <w:bCs/>
          <w:i/>
          <w:iCs/>
        </w:rPr>
        <w:t>Шкала баллов для определения итоговой оценки:</w:t>
      </w:r>
    </w:p>
    <w:p w14:paraId="2F807ACB" w14:textId="77777777" w:rsidR="00350D42" w:rsidRDefault="008E6F64">
      <w:pPr>
        <w:pStyle w:val="111"/>
        <w:shd w:val="clear" w:color="auto" w:fill="auto"/>
        <w:spacing w:before="0" w:after="0" w:line="245" w:lineRule="exact"/>
        <w:ind w:firstLine="320"/>
        <w:jc w:val="both"/>
      </w:pPr>
      <w:r>
        <w:rPr>
          <w:rStyle w:val="113"/>
          <w:b/>
          <w:bCs/>
        </w:rPr>
        <w:t>0—54 балла — «неудовлетворительно»;</w:t>
      </w:r>
    </w:p>
    <w:p w14:paraId="6EF37BEF" w14:textId="77777777" w:rsidR="00350D42" w:rsidRDefault="008E6F64">
      <w:pPr>
        <w:pStyle w:val="111"/>
        <w:shd w:val="clear" w:color="auto" w:fill="auto"/>
        <w:spacing w:before="0" w:after="0" w:line="245" w:lineRule="exact"/>
        <w:ind w:firstLine="320"/>
        <w:jc w:val="both"/>
      </w:pPr>
      <w:r>
        <w:rPr>
          <w:rStyle w:val="113"/>
          <w:b/>
          <w:bCs/>
        </w:rPr>
        <w:t>55—70 баллов — «удовлетворительно»;</w:t>
      </w:r>
    </w:p>
    <w:p w14:paraId="0DE676E3" w14:textId="77777777" w:rsidR="00350D42" w:rsidRDefault="008E6F64">
      <w:pPr>
        <w:pStyle w:val="111"/>
        <w:shd w:val="clear" w:color="auto" w:fill="auto"/>
        <w:spacing w:before="0" w:after="0" w:line="245" w:lineRule="exact"/>
        <w:ind w:firstLine="320"/>
        <w:jc w:val="both"/>
      </w:pPr>
      <w:r>
        <w:rPr>
          <w:rStyle w:val="113"/>
          <w:b/>
          <w:bCs/>
        </w:rPr>
        <w:t>71—85 баллов — «хорошо»;</w:t>
      </w:r>
    </w:p>
    <w:p w14:paraId="5D6BAE11" w14:textId="77777777" w:rsidR="00350D42" w:rsidRDefault="008E6F64">
      <w:pPr>
        <w:pStyle w:val="111"/>
        <w:shd w:val="clear" w:color="auto" w:fill="auto"/>
        <w:spacing w:before="0" w:after="0" w:line="245" w:lineRule="exact"/>
        <w:ind w:firstLine="320"/>
        <w:jc w:val="both"/>
      </w:pPr>
      <w:r>
        <w:rPr>
          <w:rStyle w:val="113"/>
          <w:b/>
          <w:bCs/>
        </w:rPr>
        <w:t>86—100 баллов — «отлично».</w:t>
      </w:r>
    </w:p>
    <w:p w14:paraId="0701A695" w14:textId="77777777" w:rsidR="00350D42" w:rsidRDefault="008E6F64">
      <w:pPr>
        <w:pStyle w:val="111"/>
        <w:shd w:val="clear" w:color="auto" w:fill="auto"/>
        <w:spacing w:before="0" w:after="161" w:line="245" w:lineRule="exact"/>
        <w:ind w:firstLine="320"/>
        <w:jc w:val="both"/>
      </w:pPr>
      <w:r>
        <w:rPr>
          <w:rStyle w:val="113"/>
          <w:b/>
          <w:bCs/>
        </w:rPr>
        <w:t>Пример расчета: за эссе получено 35 баллов, за презентацию — 30, за текущий контроль — 12 баллов. Тогда получаем сумму, рав</w:t>
      </w:r>
      <w:r>
        <w:rPr>
          <w:rStyle w:val="113"/>
          <w:b/>
          <w:bCs/>
        </w:rPr>
        <w:softHyphen/>
        <w:t>ную 77 баллам. Итоговая оценка — «хорошо».</w:t>
      </w:r>
    </w:p>
    <w:p w14:paraId="656064E3" w14:textId="77777777" w:rsidR="00350D42" w:rsidRDefault="008E6F64">
      <w:pPr>
        <w:pStyle w:val="111"/>
        <w:numPr>
          <w:ilvl w:val="0"/>
          <w:numId w:val="141"/>
        </w:numPr>
        <w:shd w:val="clear" w:color="auto" w:fill="auto"/>
        <w:tabs>
          <w:tab w:val="left" w:pos="2228"/>
        </w:tabs>
        <w:spacing w:before="0" w:after="79" w:line="194" w:lineRule="exact"/>
        <w:ind w:left="1900"/>
        <w:jc w:val="left"/>
      </w:pPr>
      <w:r>
        <w:rPr>
          <w:rStyle w:val="113"/>
          <w:b/>
          <w:bCs/>
        </w:rPr>
        <w:t>Примерная тематика эссе</w:t>
      </w:r>
    </w:p>
    <w:p w14:paraId="3E0B5299" w14:textId="77777777" w:rsidR="00350D42" w:rsidRDefault="008E6F64">
      <w:pPr>
        <w:pStyle w:val="111"/>
        <w:numPr>
          <w:ilvl w:val="0"/>
          <w:numId w:val="153"/>
        </w:numPr>
        <w:shd w:val="clear" w:color="auto" w:fill="auto"/>
        <w:tabs>
          <w:tab w:val="left" w:pos="632"/>
        </w:tabs>
        <w:spacing w:before="0" w:after="0" w:line="245" w:lineRule="exact"/>
        <w:ind w:firstLine="320"/>
        <w:jc w:val="both"/>
      </w:pPr>
      <w:r>
        <w:rPr>
          <w:rStyle w:val="113"/>
          <w:b/>
          <w:bCs/>
        </w:rPr>
        <w:t>Государственное регулирование экономики: проблемы и пер</w:t>
      </w:r>
      <w:r>
        <w:rPr>
          <w:rStyle w:val="113"/>
          <w:b/>
          <w:bCs/>
        </w:rPr>
        <w:softHyphen/>
        <w:t>спективы.</w:t>
      </w:r>
    </w:p>
    <w:p w14:paraId="536C9444" w14:textId="77777777" w:rsidR="00350D42" w:rsidRDefault="008E6F64">
      <w:pPr>
        <w:pStyle w:val="111"/>
        <w:numPr>
          <w:ilvl w:val="0"/>
          <w:numId w:val="153"/>
        </w:numPr>
        <w:shd w:val="clear" w:color="auto" w:fill="auto"/>
        <w:tabs>
          <w:tab w:val="left" w:pos="632"/>
        </w:tabs>
        <w:spacing w:before="0" w:after="0" w:line="245" w:lineRule="exact"/>
        <w:ind w:firstLine="320"/>
        <w:jc w:val="both"/>
      </w:pPr>
      <w:r>
        <w:rPr>
          <w:rStyle w:val="113"/>
          <w:b/>
          <w:bCs/>
        </w:rPr>
        <w:t>Положительные и отрицательные стороны вступления Рос</w:t>
      </w:r>
      <w:r>
        <w:rPr>
          <w:rStyle w:val="113"/>
          <w:b/>
          <w:bCs/>
        </w:rPr>
        <w:softHyphen/>
        <w:t>сии в ВТО с позиции российского бизнеса.</w:t>
      </w:r>
    </w:p>
    <w:p w14:paraId="0780E8FF" w14:textId="77777777" w:rsidR="00350D42" w:rsidRDefault="008E6F64">
      <w:pPr>
        <w:pStyle w:val="111"/>
        <w:numPr>
          <w:ilvl w:val="0"/>
          <w:numId w:val="153"/>
        </w:numPr>
        <w:shd w:val="clear" w:color="auto" w:fill="auto"/>
        <w:tabs>
          <w:tab w:val="left" w:pos="643"/>
        </w:tabs>
        <w:spacing w:before="0" w:after="0" w:line="245" w:lineRule="exact"/>
        <w:ind w:firstLine="320"/>
        <w:jc w:val="both"/>
      </w:pPr>
      <w:r>
        <w:rPr>
          <w:rStyle w:val="113"/>
          <w:b/>
          <w:bCs/>
        </w:rPr>
        <w:t>Роль и значение конкуренции для современного бизнеса.</w:t>
      </w:r>
    </w:p>
    <w:p w14:paraId="77772E83" w14:textId="77777777" w:rsidR="00350D42" w:rsidRDefault="008E6F64">
      <w:pPr>
        <w:pStyle w:val="111"/>
        <w:numPr>
          <w:ilvl w:val="0"/>
          <w:numId w:val="153"/>
        </w:numPr>
        <w:shd w:val="clear" w:color="auto" w:fill="auto"/>
        <w:tabs>
          <w:tab w:val="left" w:pos="632"/>
        </w:tabs>
        <w:spacing w:before="0" w:after="0" w:line="245" w:lineRule="exact"/>
        <w:ind w:firstLine="320"/>
        <w:jc w:val="both"/>
      </w:pPr>
      <w:r>
        <w:rPr>
          <w:rStyle w:val="113"/>
          <w:b/>
          <w:bCs/>
        </w:rPr>
        <w:t>Государственная поддержка малого и среднего бизнеса в Ев</w:t>
      </w:r>
      <w:r>
        <w:rPr>
          <w:rStyle w:val="113"/>
          <w:b/>
          <w:bCs/>
        </w:rPr>
        <w:softHyphen/>
        <w:t>ропейском Союзе.</w:t>
      </w:r>
    </w:p>
    <w:p w14:paraId="32405A6A" w14:textId="77777777" w:rsidR="00350D42" w:rsidRDefault="008E6F64">
      <w:pPr>
        <w:pStyle w:val="111"/>
        <w:numPr>
          <w:ilvl w:val="0"/>
          <w:numId w:val="153"/>
        </w:numPr>
        <w:shd w:val="clear" w:color="auto" w:fill="auto"/>
        <w:tabs>
          <w:tab w:val="left" w:pos="643"/>
        </w:tabs>
        <w:spacing w:before="0" w:after="0" w:line="245" w:lineRule="exact"/>
        <w:ind w:firstLine="320"/>
        <w:jc w:val="both"/>
      </w:pPr>
      <w:r>
        <w:rPr>
          <w:rStyle w:val="113"/>
          <w:b/>
          <w:bCs/>
        </w:rPr>
        <w:t>Регулирование деятельности малого бизнеса в США.</w:t>
      </w:r>
    </w:p>
    <w:p w14:paraId="69D9740A" w14:textId="77777777" w:rsidR="00350D42" w:rsidRDefault="008E6F64">
      <w:pPr>
        <w:pStyle w:val="111"/>
        <w:numPr>
          <w:ilvl w:val="0"/>
          <w:numId w:val="153"/>
        </w:numPr>
        <w:shd w:val="clear" w:color="auto" w:fill="auto"/>
        <w:tabs>
          <w:tab w:val="left" w:pos="632"/>
        </w:tabs>
        <w:spacing w:before="0" w:after="0" w:line="245" w:lineRule="exact"/>
        <w:ind w:firstLine="320"/>
        <w:jc w:val="both"/>
      </w:pPr>
      <w:r>
        <w:rPr>
          <w:rStyle w:val="113"/>
          <w:b/>
          <w:bCs/>
        </w:rPr>
        <w:t>Либеральная экономика — неограниченное частное пред</w:t>
      </w:r>
      <w:r>
        <w:rPr>
          <w:rStyle w:val="113"/>
          <w:b/>
          <w:bCs/>
        </w:rPr>
        <w:softHyphen/>
        <w:t>принимательство: достоинства и недостатки.</w:t>
      </w:r>
    </w:p>
    <w:p w14:paraId="5645942D" w14:textId="77777777" w:rsidR="00350D42" w:rsidRDefault="008E6F64">
      <w:pPr>
        <w:pStyle w:val="111"/>
        <w:numPr>
          <w:ilvl w:val="0"/>
          <w:numId w:val="153"/>
        </w:numPr>
        <w:shd w:val="clear" w:color="auto" w:fill="auto"/>
        <w:tabs>
          <w:tab w:val="left" w:pos="632"/>
        </w:tabs>
        <w:spacing w:before="0" w:after="0" w:line="245" w:lineRule="exact"/>
        <w:ind w:firstLine="320"/>
        <w:jc w:val="both"/>
      </w:pPr>
      <w:r>
        <w:rPr>
          <w:rStyle w:val="113"/>
          <w:b/>
          <w:bCs/>
        </w:rPr>
        <w:t>Мировой опыт реализации механизма государственно-част</w:t>
      </w:r>
      <w:r>
        <w:rPr>
          <w:rStyle w:val="113"/>
          <w:b/>
          <w:bCs/>
        </w:rPr>
        <w:softHyphen/>
        <w:t>ного партнерства.</w:t>
      </w:r>
    </w:p>
    <w:p w14:paraId="46525571" w14:textId="77777777" w:rsidR="00350D42" w:rsidRDefault="008E6F64">
      <w:pPr>
        <w:pStyle w:val="111"/>
        <w:numPr>
          <w:ilvl w:val="0"/>
          <w:numId w:val="153"/>
        </w:numPr>
        <w:shd w:val="clear" w:color="auto" w:fill="auto"/>
        <w:tabs>
          <w:tab w:val="left" w:pos="632"/>
        </w:tabs>
        <w:spacing w:before="0" w:after="0" w:line="245" w:lineRule="exact"/>
        <w:ind w:firstLine="320"/>
        <w:jc w:val="both"/>
      </w:pPr>
      <w:r>
        <w:rPr>
          <w:rStyle w:val="113"/>
          <w:b/>
          <w:bCs/>
        </w:rPr>
        <w:t>Особенности проектов государственно-частного партнерства на уровне местного самоуправления.</w:t>
      </w:r>
    </w:p>
    <w:p w14:paraId="5FA4BABF" w14:textId="77777777" w:rsidR="00350D42" w:rsidRDefault="008E6F64">
      <w:pPr>
        <w:pStyle w:val="111"/>
        <w:numPr>
          <w:ilvl w:val="0"/>
          <w:numId w:val="153"/>
        </w:numPr>
        <w:shd w:val="clear" w:color="auto" w:fill="auto"/>
        <w:tabs>
          <w:tab w:val="left" w:pos="632"/>
        </w:tabs>
        <w:spacing w:before="0" w:after="0" w:line="245" w:lineRule="exact"/>
        <w:ind w:firstLine="320"/>
        <w:jc w:val="both"/>
      </w:pPr>
      <w:r>
        <w:rPr>
          <w:rStyle w:val="113"/>
          <w:b/>
          <w:bCs/>
        </w:rPr>
        <w:t>Проблемы реализации механизма совместных инвестиций в развитие инфраструктуры.</w:t>
      </w:r>
    </w:p>
    <w:p w14:paraId="4D9D2467" w14:textId="77777777" w:rsidR="00350D42" w:rsidRDefault="008E6F64">
      <w:pPr>
        <w:pStyle w:val="111"/>
        <w:numPr>
          <w:ilvl w:val="0"/>
          <w:numId w:val="153"/>
        </w:numPr>
        <w:shd w:val="clear" w:color="auto" w:fill="auto"/>
        <w:tabs>
          <w:tab w:val="left" w:pos="717"/>
        </w:tabs>
        <w:spacing w:before="0" w:after="0" w:line="245" w:lineRule="exact"/>
        <w:ind w:firstLine="320"/>
        <w:jc w:val="both"/>
      </w:pPr>
      <w:r>
        <w:rPr>
          <w:rStyle w:val="113"/>
          <w:b/>
          <w:bCs/>
        </w:rPr>
        <w:t>Основные направления государственного регулирования в сфере партнерства с частным бизнесом.</w:t>
      </w:r>
    </w:p>
    <w:p w14:paraId="208A564A" w14:textId="77777777" w:rsidR="00350D42" w:rsidRDefault="008E6F64">
      <w:pPr>
        <w:pStyle w:val="111"/>
        <w:numPr>
          <w:ilvl w:val="0"/>
          <w:numId w:val="153"/>
        </w:numPr>
        <w:shd w:val="clear" w:color="auto" w:fill="auto"/>
        <w:tabs>
          <w:tab w:val="left" w:pos="717"/>
        </w:tabs>
        <w:spacing w:before="0" w:after="0" w:line="245" w:lineRule="exact"/>
        <w:ind w:firstLine="320"/>
        <w:jc w:val="both"/>
      </w:pPr>
      <w:r>
        <w:rPr>
          <w:rStyle w:val="113"/>
          <w:b/>
          <w:bCs/>
        </w:rPr>
        <w:t>Перспективы применения проектов государственно-частного партнерства в России.</w:t>
      </w:r>
    </w:p>
    <w:p w14:paraId="761D2AAC" w14:textId="77777777" w:rsidR="00350D42" w:rsidRDefault="008E6F64">
      <w:pPr>
        <w:pStyle w:val="111"/>
        <w:numPr>
          <w:ilvl w:val="0"/>
          <w:numId w:val="153"/>
        </w:numPr>
        <w:shd w:val="clear" w:color="auto" w:fill="auto"/>
        <w:tabs>
          <w:tab w:val="left" w:pos="717"/>
        </w:tabs>
        <w:spacing w:before="0" w:after="0" w:line="245" w:lineRule="exact"/>
        <w:ind w:firstLine="320"/>
        <w:jc w:val="both"/>
      </w:pPr>
      <w:r>
        <w:rPr>
          <w:rStyle w:val="113"/>
          <w:b/>
          <w:bCs/>
        </w:rPr>
        <w:t>Специфика антимонопольного регулирования в различных отраслях экономики.</w:t>
      </w:r>
    </w:p>
    <w:p w14:paraId="57FB07DD" w14:textId="77777777" w:rsidR="00350D42" w:rsidRDefault="008E6F64">
      <w:pPr>
        <w:pStyle w:val="111"/>
        <w:numPr>
          <w:ilvl w:val="0"/>
          <w:numId w:val="153"/>
        </w:numPr>
        <w:shd w:val="clear" w:color="auto" w:fill="auto"/>
        <w:tabs>
          <w:tab w:val="left" w:pos="722"/>
        </w:tabs>
        <w:spacing w:before="0" w:after="0" w:line="245" w:lineRule="exact"/>
        <w:ind w:firstLine="320"/>
        <w:jc w:val="both"/>
      </w:pPr>
      <w:r>
        <w:rPr>
          <w:rStyle w:val="113"/>
          <w:b/>
          <w:bCs/>
        </w:rPr>
        <w:t>Особенности контроля процедуры организации и проведения торгов со стороны субъектов естественных монополий.</w:t>
      </w:r>
    </w:p>
    <w:p w14:paraId="54697B08" w14:textId="77777777" w:rsidR="00350D42" w:rsidRDefault="008E6F64">
      <w:pPr>
        <w:pStyle w:val="111"/>
        <w:numPr>
          <w:ilvl w:val="0"/>
          <w:numId w:val="153"/>
        </w:numPr>
        <w:shd w:val="clear" w:color="auto" w:fill="auto"/>
        <w:tabs>
          <w:tab w:val="left" w:pos="729"/>
        </w:tabs>
        <w:spacing w:before="0" w:after="0" w:line="250" w:lineRule="exact"/>
        <w:ind w:firstLine="320"/>
        <w:jc w:val="both"/>
      </w:pPr>
      <w:r>
        <w:rPr>
          <w:rStyle w:val="113"/>
          <w:b/>
          <w:bCs/>
        </w:rPr>
        <w:t>Экологические ограничения и практика российского бизнеса.</w:t>
      </w:r>
    </w:p>
    <w:p w14:paraId="6DA1C243" w14:textId="77777777" w:rsidR="00350D42" w:rsidRDefault="008E6F64">
      <w:pPr>
        <w:pStyle w:val="111"/>
        <w:numPr>
          <w:ilvl w:val="0"/>
          <w:numId w:val="153"/>
        </w:numPr>
        <w:shd w:val="clear" w:color="auto" w:fill="auto"/>
        <w:tabs>
          <w:tab w:val="left" w:pos="702"/>
        </w:tabs>
        <w:spacing w:before="0" w:after="0" w:line="250" w:lineRule="exact"/>
        <w:ind w:firstLine="320"/>
        <w:jc w:val="both"/>
      </w:pPr>
      <w:r>
        <w:rPr>
          <w:rStyle w:val="113"/>
          <w:b/>
          <w:bCs/>
        </w:rPr>
        <w:t>Шведская модель государственного регулирования рыночных отношений.</w:t>
      </w:r>
    </w:p>
    <w:p w14:paraId="71A674CE" w14:textId="77777777" w:rsidR="00350D42" w:rsidRDefault="008E6F64">
      <w:pPr>
        <w:pStyle w:val="111"/>
        <w:numPr>
          <w:ilvl w:val="0"/>
          <w:numId w:val="153"/>
        </w:numPr>
        <w:shd w:val="clear" w:color="auto" w:fill="auto"/>
        <w:tabs>
          <w:tab w:val="left" w:pos="702"/>
        </w:tabs>
        <w:spacing w:before="0" w:after="0" w:line="250" w:lineRule="exact"/>
        <w:ind w:firstLine="320"/>
        <w:jc w:val="both"/>
      </w:pPr>
      <w:r>
        <w:rPr>
          <w:rStyle w:val="113"/>
          <w:b/>
          <w:bCs/>
        </w:rPr>
        <w:t>Экономические отношения, рыночные отношения, бизнес- отношения — сходства и различия.</w:t>
      </w:r>
    </w:p>
    <w:p w14:paraId="19DBF567"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Экономическая сущность социальной политики российского государства в сфере трудовых отношений.</w:t>
      </w:r>
    </w:p>
    <w:p w14:paraId="26623FEB" w14:textId="77777777" w:rsidR="00350D42" w:rsidRDefault="008E6F64">
      <w:pPr>
        <w:pStyle w:val="111"/>
        <w:numPr>
          <w:ilvl w:val="0"/>
          <w:numId w:val="153"/>
        </w:numPr>
        <w:shd w:val="clear" w:color="auto" w:fill="auto"/>
        <w:tabs>
          <w:tab w:val="left" w:pos="729"/>
        </w:tabs>
        <w:spacing w:before="0" w:after="0" w:line="250" w:lineRule="exact"/>
        <w:ind w:firstLine="320"/>
        <w:jc w:val="both"/>
      </w:pPr>
      <w:r>
        <w:rPr>
          <w:rStyle w:val="113"/>
          <w:b/>
          <w:bCs/>
        </w:rPr>
        <w:t>Проблемы малого и среднего бизнеса в России.</w:t>
      </w:r>
    </w:p>
    <w:p w14:paraId="223AE97F"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Оффшорный бизнес как экономически обоснованный выбор при отсутствии конкуренции (достоинства и недостатки).</w:t>
      </w:r>
    </w:p>
    <w:p w14:paraId="491C7FC8" w14:textId="77777777" w:rsidR="00350D42" w:rsidRDefault="008E6F64">
      <w:pPr>
        <w:pStyle w:val="111"/>
        <w:numPr>
          <w:ilvl w:val="0"/>
          <w:numId w:val="153"/>
        </w:numPr>
        <w:shd w:val="clear" w:color="auto" w:fill="auto"/>
        <w:tabs>
          <w:tab w:val="left" w:pos="702"/>
        </w:tabs>
        <w:spacing w:before="0" w:after="0" w:line="250" w:lineRule="exact"/>
        <w:ind w:firstLine="320"/>
        <w:jc w:val="both"/>
      </w:pPr>
      <w:r>
        <w:rPr>
          <w:rStyle w:val="113"/>
          <w:b/>
          <w:bCs/>
        </w:rPr>
        <w:t>Японская модель государственного регулирования рыночных отношений.</w:t>
      </w:r>
    </w:p>
    <w:p w14:paraId="655F02E8"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Основные подходы к государственному регулированию эко</w:t>
      </w:r>
      <w:r>
        <w:rPr>
          <w:rStyle w:val="113"/>
          <w:b/>
          <w:bCs/>
        </w:rPr>
        <w:softHyphen/>
        <w:t>номики (Д. Кейнс, М. Фридмен, Ф. Хайек).</w:t>
      </w:r>
    </w:p>
    <w:p w14:paraId="08FF63AA"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Исторические корни и ключевые проблемы взаимоотноше</w:t>
      </w:r>
      <w:r>
        <w:rPr>
          <w:rStyle w:val="113"/>
          <w:b/>
          <w:bCs/>
        </w:rPr>
        <w:softHyphen/>
        <w:t>ний государства и бизнеса.</w:t>
      </w:r>
    </w:p>
    <w:p w14:paraId="489F1B04"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lastRenderedPageBreak/>
        <w:t>Различные модели сочетания рыночных и государственных регуляторов (японская, шведская модели, ФРГ, Австрия, Китай).</w:t>
      </w:r>
    </w:p>
    <w:p w14:paraId="1ADC5361" w14:textId="77777777" w:rsidR="00350D42" w:rsidRDefault="008E6F64">
      <w:pPr>
        <w:pStyle w:val="111"/>
        <w:numPr>
          <w:ilvl w:val="0"/>
          <w:numId w:val="153"/>
        </w:numPr>
        <w:shd w:val="clear" w:color="auto" w:fill="auto"/>
        <w:tabs>
          <w:tab w:val="left" w:pos="702"/>
        </w:tabs>
        <w:spacing w:before="0" w:after="0" w:line="250" w:lineRule="exact"/>
        <w:ind w:firstLine="320"/>
        <w:jc w:val="both"/>
      </w:pPr>
      <w:r>
        <w:rPr>
          <w:rStyle w:val="113"/>
          <w:b/>
          <w:bCs/>
        </w:rPr>
        <w:t>Полный государственный монополизм в управлении хозяй</w:t>
      </w:r>
      <w:r>
        <w:rPr>
          <w:rStyle w:val="113"/>
          <w:b/>
          <w:bCs/>
        </w:rPr>
        <w:softHyphen/>
        <w:t>ством (на примере СССР).</w:t>
      </w:r>
    </w:p>
    <w:p w14:paraId="11776B6F" w14:textId="77777777" w:rsidR="00350D42" w:rsidRDefault="008E6F64">
      <w:pPr>
        <w:pStyle w:val="111"/>
        <w:numPr>
          <w:ilvl w:val="0"/>
          <w:numId w:val="153"/>
        </w:numPr>
        <w:shd w:val="clear" w:color="auto" w:fill="auto"/>
        <w:tabs>
          <w:tab w:val="left" w:pos="702"/>
        </w:tabs>
        <w:spacing w:before="0" w:after="0" w:line="250" w:lineRule="exact"/>
        <w:ind w:firstLine="320"/>
        <w:jc w:val="both"/>
      </w:pPr>
      <w:r>
        <w:rPr>
          <w:rStyle w:val="113"/>
          <w:b/>
          <w:bCs/>
        </w:rPr>
        <w:t>Экономические и правовые основы функционирования си</w:t>
      </w:r>
      <w:r>
        <w:rPr>
          <w:rStyle w:val="113"/>
          <w:b/>
          <w:bCs/>
        </w:rPr>
        <w:softHyphen/>
        <w:t>стемы государственных закупок.</w:t>
      </w:r>
    </w:p>
    <w:p w14:paraId="2D6147D5"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Зарубежный опыт функционирования системы государствен</w:t>
      </w:r>
      <w:r>
        <w:rPr>
          <w:rStyle w:val="113"/>
          <w:b/>
          <w:bCs/>
        </w:rPr>
        <w:softHyphen/>
        <w:t>ных закупок.</w:t>
      </w:r>
    </w:p>
    <w:p w14:paraId="080D8D4D"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Особенности реализации системы государственных закупок в Российской Федерации.</w:t>
      </w:r>
    </w:p>
    <w:p w14:paraId="0AF26B10" w14:textId="77777777" w:rsidR="00350D42" w:rsidRDefault="008E6F64">
      <w:pPr>
        <w:pStyle w:val="111"/>
        <w:numPr>
          <w:ilvl w:val="0"/>
          <w:numId w:val="153"/>
        </w:numPr>
        <w:shd w:val="clear" w:color="auto" w:fill="auto"/>
        <w:tabs>
          <w:tab w:val="left" w:pos="712"/>
        </w:tabs>
        <w:spacing w:before="0" w:after="0" w:line="250" w:lineRule="exact"/>
        <w:ind w:firstLine="320"/>
        <w:jc w:val="both"/>
      </w:pPr>
      <w:r>
        <w:rPr>
          <w:rStyle w:val="113"/>
          <w:b/>
          <w:bCs/>
        </w:rPr>
        <w:t>Экономико-психологические особенности взаимодействия участников государственных закупок.</w:t>
      </w:r>
    </w:p>
    <w:p w14:paraId="1101FF1C"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Мировой опыт реализации механизма государственно-част</w:t>
      </w:r>
      <w:r>
        <w:rPr>
          <w:rStyle w:val="113"/>
          <w:b/>
          <w:bCs/>
        </w:rPr>
        <w:softHyphen/>
        <w:t>ного партнерства (ГЧП).</w:t>
      </w:r>
    </w:p>
    <w:p w14:paraId="14A494CA"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Значение и основные особенности проектов ГЧП на уровне местного самоуправления.</w:t>
      </w:r>
    </w:p>
    <w:p w14:paraId="08ECC508" w14:textId="77777777" w:rsidR="00350D42" w:rsidRDefault="008E6F64">
      <w:pPr>
        <w:pStyle w:val="111"/>
        <w:numPr>
          <w:ilvl w:val="0"/>
          <w:numId w:val="153"/>
        </w:numPr>
        <w:shd w:val="clear" w:color="auto" w:fill="auto"/>
        <w:tabs>
          <w:tab w:val="left" w:pos="712"/>
        </w:tabs>
        <w:spacing w:before="0" w:after="0" w:line="250" w:lineRule="exact"/>
        <w:ind w:firstLine="320"/>
        <w:jc w:val="both"/>
      </w:pPr>
      <w:r>
        <w:rPr>
          <w:rStyle w:val="113"/>
          <w:b/>
          <w:bCs/>
        </w:rPr>
        <w:t>Проблемы реализации механизма совместных инвестиций в развитие инфраструктуры.</w:t>
      </w:r>
    </w:p>
    <w:p w14:paraId="7E4F677E" w14:textId="77777777" w:rsidR="00350D42" w:rsidRDefault="008E6F64">
      <w:pPr>
        <w:pStyle w:val="111"/>
        <w:numPr>
          <w:ilvl w:val="0"/>
          <w:numId w:val="153"/>
        </w:numPr>
        <w:shd w:val="clear" w:color="auto" w:fill="auto"/>
        <w:tabs>
          <w:tab w:val="left" w:pos="712"/>
        </w:tabs>
        <w:spacing w:before="0" w:after="0" w:line="250" w:lineRule="exact"/>
        <w:ind w:firstLine="320"/>
        <w:jc w:val="both"/>
      </w:pPr>
      <w:r>
        <w:rPr>
          <w:rStyle w:val="113"/>
          <w:b/>
          <w:bCs/>
        </w:rPr>
        <w:t>Особенности реализации суверенных функций государства в проектах ГЧП на основе обобщения теоретического и практиче</w:t>
      </w:r>
      <w:r>
        <w:rPr>
          <w:rStyle w:val="113"/>
          <w:b/>
          <w:bCs/>
        </w:rPr>
        <w:softHyphen/>
        <w:t>ского международного опыта.</w:t>
      </w:r>
    </w:p>
    <w:p w14:paraId="474257B1"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Государство, бизнес и общество как основные элементы си</w:t>
      </w:r>
      <w:r>
        <w:rPr>
          <w:rStyle w:val="113"/>
          <w:b/>
          <w:bCs/>
        </w:rPr>
        <w:softHyphen/>
        <w:t>стемы социального партнерства.</w:t>
      </w:r>
    </w:p>
    <w:p w14:paraId="572AF226" w14:textId="77777777" w:rsidR="00350D42" w:rsidRDefault="008E6F64">
      <w:pPr>
        <w:pStyle w:val="111"/>
        <w:numPr>
          <w:ilvl w:val="0"/>
          <w:numId w:val="153"/>
        </w:numPr>
        <w:shd w:val="clear" w:color="auto" w:fill="auto"/>
        <w:tabs>
          <w:tab w:val="left" w:pos="707"/>
        </w:tabs>
        <w:spacing w:before="0" w:after="0" w:line="250" w:lineRule="exact"/>
        <w:ind w:firstLine="320"/>
        <w:jc w:val="both"/>
      </w:pPr>
      <w:r>
        <w:rPr>
          <w:rStyle w:val="113"/>
          <w:b/>
          <w:bCs/>
        </w:rPr>
        <w:t>Взаимосвязь источников формирования предприниматель</w:t>
      </w:r>
      <w:r>
        <w:rPr>
          <w:rStyle w:val="113"/>
          <w:b/>
          <w:bCs/>
        </w:rPr>
        <w:softHyphen/>
        <w:t>ской активности и условий развития науки.</w:t>
      </w:r>
    </w:p>
    <w:p w14:paraId="25987545" w14:textId="77777777" w:rsidR="00350D42" w:rsidRDefault="008E6F64">
      <w:pPr>
        <w:pStyle w:val="111"/>
        <w:numPr>
          <w:ilvl w:val="0"/>
          <w:numId w:val="153"/>
        </w:numPr>
        <w:shd w:val="clear" w:color="auto" w:fill="auto"/>
        <w:tabs>
          <w:tab w:val="left" w:pos="712"/>
        </w:tabs>
        <w:spacing w:before="0" w:after="0" w:line="250" w:lineRule="exact"/>
        <w:ind w:firstLine="320"/>
        <w:jc w:val="both"/>
      </w:pPr>
      <w:r>
        <w:rPr>
          <w:rStyle w:val="113"/>
          <w:b/>
          <w:bCs/>
        </w:rPr>
        <w:t>Сравнительный анализ взаимного влияния науки и бизнеса в мировой практике и в России.</w:t>
      </w:r>
    </w:p>
    <w:p w14:paraId="64D7AD42" w14:textId="77777777" w:rsidR="00350D42" w:rsidRDefault="008E6F64">
      <w:pPr>
        <w:pStyle w:val="111"/>
        <w:numPr>
          <w:ilvl w:val="0"/>
          <w:numId w:val="153"/>
        </w:numPr>
        <w:shd w:val="clear" w:color="auto" w:fill="auto"/>
        <w:tabs>
          <w:tab w:val="left" w:pos="707"/>
        </w:tabs>
        <w:spacing w:before="0" w:after="0" w:line="250" w:lineRule="exact"/>
        <w:ind w:firstLine="320"/>
        <w:jc w:val="both"/>
        <w:sectPr w:rsidR="00350D42">
          <w:footerReference w:type="even" r:id="rId180"/>
          <w:footerReference w:type="default" r:id="rId181"/>
          <w:headerReference w:type="first" r:id="rId182"/>
          <w:footerReference w:type="first" r:id="rId183"/>
          <w:pgSz w:w="8789" w:h="13493"/>
          <w:pgMar w:top="892" w:right="1073" w:bottom="1151" w:left="1069" w:header="0" w:footer="3" w:gutter="0"/>
          <w:cols w:space="720"/>
          <w:noEndnote/>
          <w:titlePg/>
          <w:docGrid w:linePitch="360"/>
        </w:sectPr>
      </w:pPr>
      <w:r>
        <w:rPr>
          <w:rStyle w:val="113"/>
          <w:b/>
          <w:bCs/>
        </w:rPr>
        <w:t>Организационные формы симбиоза предпринимательства с наукой: научные парки, технополисы, бизнес-инкубаторы. Пер</w:t>
      </w:r>
      <w:r>
        <w:rPr>
          <w:rStyle w:val="113"/>
          <w:b/>
          <w:bCs/>
        </w:rPr>
        <w:softHyphen/>
      </w:r>
    </w:p>
    <w:p w14:paraId="411EAAF9" w14:textId="77777777" w:rsidR="00350D42" w:rsidRDefault="008E6F64">
      <w:pPr>
        <w:pStyle w:val="111"/>
        <w:shd w:val="clear" w:color="auto" w:fill="auto"/>
        <w:tabs>
          <w:tab w:val="left" w:pos="707"/>
        </w:tabs>
        <w:spacing w:before="0" w:after="0" w:line="250" w:lineRule="exact"/>
        <w:ind w:firstLine="320"/>
        <w:jc w:val="both"/>
      </w:pPr>
      <w:r>
        <w:rPr>
          <w:rStyle w:val="113"/>
          <w:b/>
          <w:bCs/>
        </w:rPr>
        <w:lastRenderedPageBreak/>
        <w:t>спективы воплощения научного знания в новых видах продукции, работ, услуг.</w:t>
      </w:r>
    </w:p>
    <w:p w14:paraId="5091DECF" w14:textId="77777777" w:rsidR="00350D42" w:rsidRDefault="008E6F64">
      <w:pPr>
        <w:pStyle w:val="111"/>
        <w:numPr>
          <w:ilvl w:val="0"/>
          <w:numId w:val="153"/>
        </w:numPr>
        <w:shd w:val="clear" w:color="auto" w:fill="auto"/>
        <w:tabs>
          <w:tab w:val="left" w:pos="719"/>
        </w:tabs>
        <w:spacing w:before="0" w:after="156" w:line="250" w:lineRule="exact"/>
        <w:ind w:firstLine="320"/>
        <w:jc w:val="both"/>
      </w:pPr>
      <w:r>
        <w:rPr>
          <w:rStyle w:val="113"/>
          <w:b/>
          <w:bCs/>
        </w:rPr>
        <w:t>Уровень социальной ответственности бизнеса. Социальные последствия воздействия деловой активности предприятия на соб</w:t>
      </w:r>
      <w:r>
        <w:rPr>
          <w:rStyle w:val="113"/>
          <w:b/>
          <w:bCs/>
        </w:rPr>
        <w:softHyphen/>
        <w:t>ственный персонал, потребителей и организации, совместно с кото</w:t>
      </w:r>
      <w:r>
        <w:rPr>
          <w:rStyle w:val="113"/>
          <w:b/>
          <w:bCs/>
        </w:rPr>
        <w:softHyphen/>
        <w:t>рыми осуществляется та или иная деятельность.</w:t>
      </w:r>
    </w:p>
    <w:p w14:paraId="071D8890" w14:textId="77777777" w:rsidR="00350D42" w:rsidRDefault="008E6F64">
      <w:pPr>
        <w:pStyle w:val="111"/>
        <w:numPr>
          <w:ilvl w:val="0"/>
          <w:numId w:val="141"/>
        </w:numPr>
        <w:shd w:val="clear" w:color="auto" w:fill="auto"/>
        <w:tabs>
          <w:tab w:val="left" w:pos="2461"/>
        </w:tabs>
        <w:spacing w:before="0" w:after="0" w:line="230" w:lineRule="exact"/>
        <w:ind w:left="1200" w:right="1200" w:firstLine="920"/>
        <w:jc w:val="left"/>
      </w:pPr>
      <w:r>
        <w:rPr>
          <w:rStyle w:val="113"/>
          <w:b/>
          <w:bCs/>
        </w:rPr>
        <w:t>Тесты по дисциплине «Взаимодействие государства и бизнеса»</w:t>
      </w:r>
      <w:r>
        <w:rPr>
          <w:rStyle w:val="113"/>
          <w:b/>
          <w:bCs/>
          <w:vertAlign w:val="superscript"/>
        </w:rPr>
        <w:t>1</w:t>
      </w:r>
    </w:p>
    <w:p w14:paraId="130CBC3B" w14:textId="77777777" w:rsidR="00350D42" w:rsidRDefault="008E6F64">
      <w:pPr>
        <w:pStyle w:val="111"/>
        <w:numPr>
          <w:ilvl w:val="0"/>
          <w:numId w:val="154"/>
        </w:numPr>
        <w:shd w:val="clear" w:color="auto" w:fill="auto"/>
        <w:tabs>
          <w:tab w:val="left" w:pos="643"/>
        </w:tabs>
        <w:spacing w:before="0" w:after="0" w:line="250" w:lineRule="exact"/>
        <w:ind w:firstLine="320"/>
        <w:jc w:val="both"/>
      </w:pPr>
      <w:r>
        <w:rPr>
          <w:rStyle w:val="113"/>
          <w:b/>
          <w:bCs/>
        </w:rPr>
        <w:t>Нормативным актом, который в настоящее время регулирует системы государственных закупок, является:</w:t>
      </w:r>
    </w:p>
    <w:p w14:paraId="6A9DD496" w14:textId="77777777" w:rsidR="00350D42" w:rsidRDefault="008E6F64">
      <w:pPr>
        <w:pStyle w:val="111"/>
        <w:shd w:val="clear" w:color="auto" w:fill="auto"/>
        <w:tabs>
          <w:tab w:val="left" w:pos="643"/>
        </w:tabs>
        <w:spacing w:before="0" w:after="0" w:line="250" w:lineRule="exact"/>
        <w:ind w:firstLine="320"/>
        <w:jc w:val="both"/>
      </w:pPr>
      <w:r>
        <w:rPr>
          <w:rStyle w:val="113"/>
          <w:b/>
          <w:bCs/>
        </w:rPr>
        <w:t>а)</w:t>
      </w:r>
      <w:r>
        <w:rPr>
          <w:rStyle w:val="113"/>
          <w:b/>
          <w:bCs/>
        </w:rPr>
        <w:tab/>
        <w:t>Федеральный закон «О размещении заказов на поставки то</w:t>
      </w:r>
      <w:r>
        <w:rPr>
          <w:rStyle w:val="113"/>
          <w:b/>
          <w:bCs/>
        </w:rPr>
        <w:softHyphen/>
        <w:t>варов, выполнение работ, оказание услуг для государственных и му</w:t>
      </w:r>
      <w:r>
        <w:rPr>
          <w:rStyle w:val="113"/>
          <w:b/>
          <w:bCs/>
        </w:rPr>
        <w:softHyphen/>
        <w:t>ниципальных нужд»;</w:t>
      </w:r>
    </w:p>
    <w:p w14:paraId="43F15E53" w14:textId="77777777" w:rsidR="00350D42" w:rsidRDefault="008E6F64">
      <w:pPr>
        <w:pStyle w:val="111"/>
        <w:shd w:val="clear" w:color="auto" w:fill="auto"/>
        <w:tabs>
          <w:tab w:val="left" w:pos="647"/>
        </w:tabs>
        <w:spacing w:before="0" w:after="0" w:line="250" w:lineRule="exact"/>
        <w:ind w:firstLine="320"/>
        <w:jc w:val="both"/>
      </w:pPr>
      <w:r>
        <w:rPr>
          <w:rStyle w:val="113"/>
          <w:b/>
          <w:bCs/>
        </w:rPr>
        <w:t>б)</w:t>
      </w:r>
      <w:r>
        <w:rPr>
          <w:rStyle w:val="113"/>
          <w:b/>
          <w:bCs/>
        </w:rPr>
        <w:tab/>
        <w:t>Федеральный закон «О контрактной системе в сфере закупок товаров, работ, услуг для обеспечения государственных и муници</w:t>
      </w:r>
      <w:r>
        <w:rPr>
          <w:rStyle w:val="113"/>
          <w:b/>
          <w:bCs/>
        </w:rPr>
        <w:softHyphen/>
        <w:t>пальных нужд»*.</w:t>
      </w:r>
    </w:p>
    <w:p w14:paraId="1DBC7C35" w14:textId="77777777" w:rsidR="00350D42" w:rsidRDefault="008E6F64">
      <w:pPr>
        <w:pStyle w:val="111"/>
        <w:numPr>
          <w:ilvl w:val="0"/>
          <w:numId w:val="154"/>
        </w:numPr>
        <w:shd w:val="clear" w:color="auto" w:fill="auto"/>
        <w:tabs>
          <w:tab w:val="left" w:pos="643"/>
        </w:tabs>
        <w:spacing w:before="0" w:after="0" w:line="250" w:lineRule="exact"/>
        <w:ind w:firstLine="320"/>
        <w:jc w:val="both"/>
      </w:pPr>
      <w:r>
        <w:rPr>
          <w:rStyle w:val="113"/>
          <w:b/>
          <w:bCs/>
        </w:rPr>
        <w:t>Выделяют следующие эффекты функционирования системы государственных закупок:</w:t>
      </w:r>
    </w:p>
    <w:p w14:paraId="62F5BFDD" w14:textId="77777777" w:rsidR="00350D42" w:rsidRDefault="008E6F64">
      <w:pPr>
        <w:pStyle w:val="111"/>
        <w:shd w:val="clear" w:color="auto" w:fill="auto"/>
        <w:tabs>
          <w:tab w:val="left" w:pos="669"/>
        </w:tabs>
        <w:spacing w:before="0" w:after="0" w:line="250" w:lineRule="exact"/>
        <w:ind w:firstLine="320"/>
        <w:jc w:val="both"/>
      </w:pPr>
      <w:r>
        <w:rPr>
          <w:rStyle w:val="113"/>
          <w:b/>
          <w:bCs/>
        </w:rPr>
        <w:t>а)</w:t>
      </w:r>
      <w:r>
        <w:rPr>
          <w:rStyle w:val="113"/>
          <w:b/>
          <w:bCs/>
        </w:rPr>
        <w:tab/>
        <w:t>обеспечивается развитие рынков и конкурентной среды;</w:t>
      </w:r>
    </w:p>
    <w:p w14:paraId="08CE6D7C" w14:textId="77777777" w:rsidR="00350D42" w:rsidRDefault="008E6F64">
      <w:pPr>
        <w:pStyle w:val="111"/>
        <w:shd w:val="clear" w:color="auto" w:fill="auto"/>
        <w:tabs>
          <w:tab w:val="left" w:pos="643"/>
        </w:tabs>
        <w:spacing w:before="0" w:after="0" w:line="250" w:lineRule="exact"/>
        <w:ind w:firstLine="320"/>
        <w:jc w:val="both"/>
      </w:pPr>
      <w:r>
        <w:rPr>
          <w:rStyle w:val="113"/>
          <w:b/>
          <w:bCs/>
        </w:rPr>
        <w:t>б)</w:t>
      </w:r>
      <w:r>
        <w:rPr>
          <w:rStyle w:val="113"/>
          <w:b/>
          <w:bCs/>
        </w:rPr>
        <w:tab/>
        <w:t>поддерживаются регионы и группы населения (трудоизбы</w:t>
      </w:r>
      <w:r>
        <w:rPr>
          <w:rStyle w:val="113"/>
          <w:b/>
          <w:bCs/>
        </w:rPr>
        <w:softHyphen/>
        <w:t>точные или трудонедостаточные, национальные меньшинства и на</w:t>
      </w:r>
      <w:r>
        <w:rPr>
          <w:rStyle w:val="113"/>
          <w:b/>
          <w:bCs/>
        </w:rPr>
        <w:softHyphen/>
        <w:t>родные промыслы, предприятия инвалидов и ветеранов войны);</w:t>
      </w:r>
    </w:p>
    <w:p w14:paraId="724AEC9C" w14:textId="77777777" w:rsidR="00350D42" w:rsidRDefault="008E6F64">
      <w:pPr>
        <w:pStyle w:val="111"/>
        <w:shd w:val="clear" w:color="auto" w:fill="auto"/>
        <w:tabs>
          <w:tab w:val="left" w:pos="643"/>
        </w:tabs>
        <w:spacing w:before="0" w:after="0" w:line="250" w:lineRule="exact"/>
        <w:ind w:firstLine="320"/>
        <w:jc w:val="both"/>
      </w:pPr>
      <w:r>
        <w:rPr>
          <w:rStyle w:val="113"/>
          <w:b/>
          <w:bCs/>
        </w:rPr>
        <w:t>в)</w:t>
      </w:r>
      <w:r>
        <w:rPr>
          <w:rStyle w:val="113"/>
          <w:b/>
          <w:bCs/>
        </w:rPr>
        <w:tab/>
        <w:t>поддерживаются национальные производители, малый биз</w:t>
      </w:r>
      <w:r>
        <w:rPr>
          <w:rStyle w:val="113"/>
          <w:b/>
          <w:bCs/>
        </w:rPr>
        <w:softHyphen/>
        <w:t>нес, отдельные секторы экономики;</w:t>
      </w:r>
    </w:p>
    <w:p w14:paraId="3F641036" w14:textId="77777777" w:rsidR="00350D42" w:rsidRDefault="008E6F64">
      <w:pPr>
        <w:pStyle w:val="111"/>
        <w:shd w:val="clear" w:color="auto" w:fill="auto"/>
        <w:tabs>
          <w:tab w:val="left" w:pos="674"/>
        </w:tabs>
        <w:spacing w:before="0" w:after="0" w:line="250" w:lineRule="exact"/>
        <w:ind w:firstLine="320"/>
        <w:jc w:val="both"/>
      </w:pPr>
      <w:r>
        <w:rPr>
          <w:rStyle w:val="113"/>
          <w:b/>
          <w:bCs/>
        </w:rPr>
        <w:t>г)</w:t>
      </w:r>
      <w:r>
        <w:rPr>
          <w:rStyle w:val="113"/>
          <w:b/>
          <w:bCs/>
        </w:rPr>
        <w:tab/>
        <w:t>все ответы верны*.</w:t>
      </w:r>
    </w:p>
    <w:p w14:paraId="7CCEC50D" w14:textId="77777777" w:rsidR="00350D42" w:rsidRDefault="008E6F64">
      <w:pPr>
        <w:pStyle w:val="111"/>
        <w:numPr>
          <w:ilvl w:val="0"/>
          <w:numId w:val="154"/>
        </w:numPr>
        <w:shd w:val="clear" w:color="auto" w:fill="auto"/>
        <w:tabs>
          <w:tab w:val="left" w:pos="643"/>
        </w:tabs>
        <w:spacing w:before="0" w:after="0" w:line="250" w:lineRule="exact"/>
        <w:ind w:firstLine="320"/>
        <w:jc w:val="both"/>
      </w:pPr>
      <w:r>
        <w:rPr>
          <w:rStyle w:val="113"/>
          <w:b/>
          <w:bCs/>
        </w:rPr>
        <w:t>Базовые признаки государственно-частного партнерства (ГЧП) состоят в следующем:</w:t>
      </w:r>
    </w:p>
    <w:p w14:paraId="236A70F8" w14:textId="77777777" w:rsidR="00350D42" w:rsidRDefault="008E6F64">
      <w:pPr>
        <w:pStyle w:val="111"/>
        <w:shd w:val="clear" w:color="auto" w:fill="auto"/>
        <w:tabs>
          <w:tab w:val="left" w:pos="669"/>
        </w:tabs>
        <w:spacing w:before="0" w:after="0" w:line="250" w:lineRule="exact"/>
        <w:ind w:firstLine="320"/>
        <w:jc w:val="both"/>
      </w:pPr>
      <w:r>
        <w:rPr>
          <w:rStyle w:val="113"/>
          <w:b/>
          <w:bCs/>
        </w:rPr>
        <w:t>а)</w:t>
      </w:r>
      <w:r>
        <w:rPr>
          <w:rStyle w:val="113"/>
          <w:b/>
          <w:bCs/>
        </w:rPr>
        <w:tab/>
        <w:t>сторонами ГЧП являются государство и частный бизнес;</w:t>
      </w:r>
    </w:p>
    <w:p w14:paraId="457CADA4" w14:textId="77777777" w:rsidR="00350D42" w:rsidRDefault="008E6F64">
      <w:pPr>
        <w:pStyle w:val="111"/>
        <w:shd w:val="clear" w:color="auto" w:fill="auto"/>
        <w:tabs>
          <w:tab w:val="left" w:pos="643"/>
        </w:tabs>
        <w:spacing w:before="0" w:after="0" w:line="250" w:lineRule="exact"/>
        <w:ind w:firstLine="320"/>
        <w:jc w:val="both"/>
      </w:pPr>
      <w:r>
        <w:rPr>
          <w:rStyle w:val="113"/>
          <w:b/>
          <w:bCs/>
        </w:rPr>
        <w:t>б)</w:t>
      </w:r>
      <w:r>
        <w:rPr>
          <w:rStyle w:val="113"/>
          <w:b/>
          <w:bCs/>
        </w:rPr>
        <w:tab/>
        <w:t>взаимодействие сторон в ГЧП закрепляется на официальной, юридической основе (соглашения, договоры, контракты и т. п.);</w:t>
      </w:r>
    </w:p>
    <w:p w14:paraId="5B1E345C" w14:textId="77777777" w:rsidR="00350D42" w:rsidRDefault="008E6F64">
      <w:pPr>
        <w:pStyle w:val="111"/>
        <w:shd w:val="clear" w:color="auto" w:fill="auto"/>
        <w:tabs>
          <w:tab w:val="left" w:pos="643"/>
        </w:tabs>
        <w:spacing w:before="0" w:after="0" w:line="250" w:lineRule="exact"/>
        <w:ind w:firstLine="320"/>
        <w:jc w:val="both"/>
      </w:pPr>
      <w:r>
        <w:rPr>
          <w:rStyle w:val="113"/>
          <w:b/>
          <w:bCs/>
        </w:rPr>
        <w:t>в)</w:t>
      </w:r>
      <w:r>
        <w:rPr>
          <w:rStyle w:val="113"/>
          <w:b/>
          <w:bCs/>
        </w:rPr>
        <w:tab/>
        <w:t>взаимодействие указанных сторон имеет действительно пар</w:t>
      </w:r>
      <w:r>
        <w:rPr>
          <w:rStyle w:val="113"/>
          <w:b/>
          <w:bCs/>
        </w:rPr>
        <w:softHyphen/>
        <w:t>тнерский, равноправный характер (т. е. в обязательном порядке должен соблюдаться паритет, баланс обоюдных интересов);</w:t>
      </w:r>
    </w:p>
    <w:p w14:paraId="30CB87B6" w14:textId="77777777" w:rsidR="00350D42" w:rsidRDefault="008E6F64">
      <w:pPr>
        <w:pStyle w:val="111"/>
        <w:shd w:val="clear" w:color="auto" w:fill="auto"/>
        <w:tabs>
          <w:tab w:val="left" w:pos="674"/>
        </w:tabs>
        <w:spacing w:before="0" w:after="0" w:line="250" w:lineRule="exact"/>
        <w:ind w:firstLine="320"/>
        <w:jc w:val="both"/>
      </w:pPr>
      <w:r>
        <w:rPr>
          <w:rStyle w:val="113"/>
          <w:b/>
          <w:bCs/>
        </w:rPr>
        <w:t>г)</w:t>
      </w:r>
      <w:r>
        <w:rPr>
          <w:rStyle w:val="113"/>
          <w:b/>
          <w:bCs/>
        </w:rPr>
        <w:tab/>
        <w:t>все ответы верны*.</w:t>
      </w:r>
    </w:p>
    <w:p w14:paraId="0B22263D" w14:textId="77777777" w:rsidR="00350D42" w:rsidRDefault="008E6F64">
      <w:pPr>
        <w:pStyle w:val="111"/>
        <w:numPr>
          <w:ilvl w:val="0"/>
          <w:numId w:val="154"/>
        </w:numPr>
        <w:shd w:val="clear" w:color="auto" w:fill="auto"/>
        <w:tabs>
          <w:tab w:val="left" w:pos="643"/>
        </w:tabs>
        <w:spacing w:before="0" w:after="0" w:line="250" w:lineRule="exact"/>
        <w:ind w:firstLine="320"/>
        <w:jc w:val="both"/>
      </w:pPr>
      <w:r>
        <w:rPr>
          <w:rStyle w:val="113"/>
          <w:b/>
          <w:bCs/>
        </w:rPr>
        <w:t>Принятыми в мировой практике формами государственно</w:t>
      </w:r>
      <w:r>
        <w:rPr>
          <w:rStyle w:val="113"/>
          <w:b/>
          <w:bCs/>
        </w:rPr>
        <w:softHyphen/>
        <w:t>частного партнерства являются:</w:t>
      </w:r>
    </w:p>
    <w:p w14:paraId="3821B2D3" w14:textId="77777777" w:rsidR="00350D42" w:rsidRDefault="008E6F64">
      <w:pPr>
        <w:pStyle w:val="111"/>
        <w:shd w:val="clear" w:color="auto" w:fill="auto"/>
        <w:tabs>
          <w:tab w:val="left" w:pos="669"/>
        </w:tabs>
        <w:spacing w:before="0" w:after="0" w:line="250" w:lineRule="exact"/>
        <w:ind w:firstLine="320"/>
        <w:jc w:val="both"/>
      </w:pPr>
      <w:r>
        <w:rPr>
          <w:rStyle w:val="113"/>
          <w:b/>
          <w:bCs/>
        </w:rPr>
        <w:t>а)</w:t>
      </w:r>
      <w:r>
        <w:rPr>
          <w:rStyle w:val="113"/>
          <w:b/>
          <w:bCs/>
        </w:rPr>
        <w:tab/>
        <w:t>конкурс;</w:t>
      </w:r>
    </w:p>
    <w:p w14:paraId="7FD6191F" w14:textId="77777777" w:rsidR="00350D42" w:rsidRDefault="008E6F64">
      <w:pPr>
        <w:pStyle w:val="111"/>
        <w:shd w:val="clear" w:color="auto" w:fill="auto"/>
        <w:tabs>
          <w:tab w:val="left" w:pos="674"/>
        </w:tabs>
        <w:spacing w:before="0" w:after="0" w:line="250" w:lineRule="exact"/>
        <w:ind w:firstLine="320"/>
        <w:jc w:val="both"/>
      </w:pPr>
      <w:r>
        <w:rPr>
          <w:rStyle w:val="113"/>
          <w:b/>
          <w:bCs/>
        </w:rPr>
        <w:t>б)</w:t>
      </w:r>
      <w:r>
        <w:rPr>
          <w:rStyle w:val="113"/>
          <w:b/>
          <w:bCs/>
        </w:rPr>
        <w:tab/>
        <w:t>аукцион;</w:t>
      </w:r>
    </w:p>
    <w:p w14:paraId="538EBD9C" w14:textId="77777777" w:rsidR="00350D42" w:rsidRDefault="008E6F64">
      <w:pPr>
        <w:pStyle w:val="111"/>
        <w:shd w:val="clear" w:color="auto" w:fill="auto"/>
        <w:tabs>
          <w:tab w:val="left" w:pos="674"/>
        </w:tabs>
        <w:spacing w:before="0" w:after="0" w:line="250" w:lineRule="exact"/>
        <w:ind w:firstLine="320"/>
        <w:jc w:val="both"/>
      </w:pPr>
      <w:r>
        <w:rPr>
          <w:rStyle w:val="113"/>
          <w:b/>
          <w:bCs/>
        </w:rPr>
        <w:t>в)</w:t>
      </w:r>
      <w:r>
        <w:rPr>
          <w:rStyle w:val="113"/>
          <w:b/>
          <w:bCs/>
        </w:rPr>
        <w:tab/>
        <w:t>контракт*;</w:t>
      </w:r>
    </w:p>
    <w:p w14:paraId="260CF38C" w14:textId="77777777" w:rsidR="00350D42" w:rsidRDefault="008E6F64">
      <w:pPr>
        <w:pStyle w:val="111"/>
        <w:shd w:val="clear" w:color="auto" w:fill="auto"/>
        <w:tabs>
          <w:tab w:val="left" w:pos="674"/>
        </w:tabs>
        <w:spacing w:before="0" w:after="0" w:line="250" w:lineRule="exact"/>
        <w:ind w:firstLine="320"/>
        <w:jc w:val="both"/>
      </w:pPr>
      <w:r>
        <w:rPr>
          <w:rStyle w:val="113"/>
          <w:b/>
          <w:bCs/>
        </w:rPr>
        <w:t>г)</w:t>
      </w:r>
      <w:r>
        <w:rPr>
          <w:rStyle w:val="113"/>
          <w:b/>
          <w:bCs/>
        </w:rPr>
        <w:tab/>
        <w:t>аренда*;</w:t>
      </w:r>
    </w:p>
    <w:p w14:paraId="59E80E96" w14:textId="77777777" w:rsidR="00350D42" w:rsidRDefault="008E6F64">
      <w:pPr>
        <w:pStyle w:val="111"/>
        <w:shd w:val="clear" w:color="auto" w:fill="auto"/>
        <w:tabs>
          <w:tab w:val="left" w:pos="679"/>
        </w:tabs>
        <w:spacing w:before="0" w:after="0" w:line="250" w:lineRule="exact"/>
        <w:ind w:firstLine="320"/>
        <w:jc w:val="both"/>
      </w:pPr>
      <w:r>
        <w:rPr>
          <w:rStyle w:val="113"/>
          <w:b/>
          <w:bCs/>
        </w:rPr>
        <w:t>д)</w:t>
      </w:r>
      <w:r>
        <w:rPr>
          <w:rStyle w:val="113"/>
          <w:b/>
          <w:bCs/>
        </w:rPr>
        <w:tab/>
        <w:t>концессия*;</w:t>
      </w:r>
    </w:p>
    <w:p w14:paraId="36846A55" w14:textId="77777777" w:rsidR="00350D42" w:rsidRDefault="008E6F64">
      <w:pPr>
        <w:pStyle w:val="111"/>
        <w:shd w:val="clear" w:color="auto" w:fill="auto"/>
        <w:tabs>
          <w:tab w:val="left" w:pos="679"/>
        </w:tabs>
        <w:spacing w:before="0" w:after="0" w:line="250" w:lineRule="exact"/>
        <w:ind w:firstLine="320"/>
        <w:jc w:val="both"/>
      </w:pPr>
      <w:r>
        <w:rPr>
          <w:rStyle w:val="113"/>
          <w:b/>
          <w:bCs/>
        </w:rPr>
        <w:t>е)</w:t>
      </w:r>
      <w:r>
        <w:rPr>
          <w:rStyle w:val="113"/>
          <w:b/>
          <w:bCs/>
        </w:rPr>
        <w:tab/>
        <w:t xml:space="preserve">совместные предприятия*. </w:t>
      </w:r>
      <w:r>
        <w:rPr>
          <w:rStyle w:val="113"/>
          <w:b/>
          <w:bCs/>
          <w:vertAlign w:val="superscript"/>
        </w:rPr>
        <w:footnoteReference w:id="226"/>
      </w:r>
    </w:p>
    <w:p w14:paraId="10F0108E" w14:textId="77777777" w:rsidR="00350D42" w:rsidRDefault="008E6F64">
      <w:pPr>
        <w:pStyle w:val="111"/>
        <w:numPr>
          <w:ilvl w:val="0"/>
          <w:numId w:val="154"/>
        </w:numPr>
        <w:shd w:val="clear" w:color="auto" w:fill="auto"/>
        <w:tabs>
          <w:tab w:val="left" w:pos="642"/>
        </w:tabs>
        <w:spacing w:before="0" w:after="0" w:line="254" w:lineRule="exact"/>
        <w:ind w:firstLine="320"/>
        <w:jc w:val="both"/>
      </w:pPr>
      <w:r>
        <w:rPr>
          <w:rStyle w:val="113"/>
          <w:b/>
          <w:bCs/>
        </w:rPr>
        <w:t>Согласно взглядам Питирима Сорокина устойчивость разви</w:t>
      </w:r>
      <w:r>
        <w:rPr>
          <w:rStyle w:val="113"/>
          <w:b/>
          <w:bCs/>
        </w:rPr>
        <w:softHyphen/>
        <w:t>тия общества зависит:</w:t>
      </w:r>
    </w:p>
    <w:p w14:paraId="64B7CA9C" w14:textId="77777777" w:rsidR="00350D42" w:rsidRDefault="008E6F64">
      <w:pPr>
        <w:pStyle w:val="111"/>
        <w:shd w:val="clear" w:color="auto" w:fill="auto"/>
        <w:tabs>
          <w:tab w:val="left" w:pos="707"/>
        </w:tabs>
        <w:spacing w:before="0" w:after="0" w:line="254" w:lineRule="exact"/>
        <w:ind w:firstLine="320"/>
        <w:jc w:val="both"/>
      </w:pPr>
      <w:r>
        <w:rPr>
          <w:rStyle w:val="113"/>
          <w:b/>
          <w:bCs/>
        </w:rPr>
        <w:t>а)</w:t>
      </w:r>
      <w:r>
        <w:rPr>
          <w:rStyle w:val="113"/>
          <w:b/>
          <w:bCs/>
        </w:rPr>
        <w:tab/>
        <w:t>от уровня жизни населения;</w:t>
      </w:r>
    </w:p>
    <w:p w14:paraId="79E4B742" w14:textId="77777777" w:rsidR="00350D42" w:rsidRDefault="008E6F64">
      <w:pPr>
        <w:pStyle w:val="111"/>
        <w:shd w:val="clear" w:color="auto" w:fill="auto"/>
        <w:tabs>
          <w:tab w:val="left" w:pos="707"/>
        </w:tabs>
        <w:spacing w:before="0" w:after="0" w:line="254" w:lineRule="exact"/>
        <w:ind w:firstLine="320"/>
        <w:jc w:val="both"/>
      </w:pPr>
      <w:r>
        <w:rPr>
          <w:rStyle w:val="113"/>
          <w:b/>
          <w:bCs/>
        </w:rPr>
        <w:t>б)</w:t>
      </w:r>
      <w:r>
        <w:rPr>
          <w:rStyle w:val="113"/>
          <w:b/>
          <w:bCs/>
        </w:rPr>
        <w:tab/>
        <w:t>от степени дифференциации доходов;</w:t>
      </w:r>
    </w:p>
    <w:p w14:paraId="56575117" w14:textId="77777777" w:rsidR="00350D42" w:rsidRDefault="008E6F64">
      <w:pPr>
        <w:pStyle w:val="111"/>
        <w:shd w:val="clear" w:color="auto" w:fill="auto"/>
        <w:tabs>
          <w:tab w:val="left" w:pos="707"/>
        </w:tabs>
        <w:spacing w:before="0" w:after="0" w:line="254" w:lineRule="exact"/>
        <w:ind w:firstLine="320"/>
        <w:jc w:val="both"/>
      </w:pPr>
      <w:r>
        <w:rPr>
          <w:rStyle w:val="113"/>
          <w:b/>
          <w:bCs/>
        </w:rPr>
        <w:t>в)</w:t>
      </w:r>
      <w:r>
        <w:rPr>
          <w:rStyle w:val="113"/>
          <w:b/>
          <w:bCs/>
        </w:rPr>
        <w:tab/>
        <w:t>все ответы верны*.</w:t>
      </w:r>
    </w:p>
    <w:p w14:paraId="6ECED1C5" w14:textId="77777777" w:rsidR="00350D42" w:rsidRDefault="008E6F64">
      <w:pPr>
        <w:pStyle w:val="111"/>
        <w:numPr>
          <w:ilvl w:val="0"/>
          <w:numId w:val="154"/>
        </w:numPr>
        <w:shd w:val="clear" w:color="auto" w:fill="auto"/>
        <w:tabs>
          <w:tab w:val="left" w:pos="651"/>
        </w:tabs>
        <w:spacing w:before="0" w:after="0" w:line="254" w:lineRule="exact"/>
        <w:ind w:firstLine="320"/>
        <w:jc w:val="both"/>
      </w:pPr>
      <w:r>
        <w:rPr>
          <w:rStyle w:val="113"/>
          <w:b/>
          <w:bCs/>
        </w:rPr>
        <w:t>Основными задачами социального партнерства в сфере труда являются:</w:t>
      </w:r>
    </w:p>
    <w:p w14:paraId="0F525A6C" w14:textId="77777777" w:rsidR="00350D42" w:rsidRDefault="008E6F64">
      <w:pPr>
        <w:pStyle w:val="111"/>
        <w:shd w:val="clear" w:color="auto" w:fill="auto"/>
        <w:tabs>
          <w:tab w:val="left" w:pos="656"/>
        </w:tabs>
        <w:spacing w:before="0" w:after="0" w:line="254" w:lineRule="exact"/>
        <w:ind w:firstLine="320"/>
        <w:jc w:val="both"/>
      </w:pPr>
      <w:r>
        <w:rPr>
          <w:rStyle w:val="113"/>
          <w:b/>
          <w:bCs/>
        </w:rPr>
        <w:t>а)</w:t>
      </w:r>
      <w:r>
        <w:rPr>
          <w:rStyle w:val="113"/>
          <w:b/>
          <w:bCs/>
        </w:rPr>
        <w:tab/>
        <w:t>повышение производительности труда через усиление моти</w:t>
      </w:r>
      <w:r>
        <w:rPr>
          <w:rStyle w:val="113"/>
          <w:b/>
          <w:bCs/>
        </w:rPr>
        <w:softHyphen/>
        <w:t>вации к труду;</w:t>
      </w:r>
    </w:p>
    <w:p w14:paraId="65638B6B" w14:textId="77777777" w:rsidR="00350D42" w:rsidRDefault="008E6F64">
      <w:pPr>
        <w:pStyle w:val="111"/>
        <w:shd w:val="clear" w:color="auto" w:fill="auto"/>
        <w:tabs>
          <w:tab w:val="left" w:pos="661"/>
        </w:tabs>
        <w:spacing w:before="0" w:after="0" w:line="254" w:lineRule="exact"/>
        <w:ind w:firstLine="320"/>
        <w:jc w:val="both"/>
      </w:pPr>
      <w:r>
        <w:rPr>
          <w:rStyle w:val="113"/>
          <w:b/>
          <w:bCs/>
        </w:rPr>
        <w:lastRenderedPageBreak/>
        <w:t>б)</w:t>
      </w:r>
      <w:r>
        <w:rPr>
          <w:rStyle w:val="113"/>
          <w:b/>
          <w:bCs/>
        </w:rPr>
        <w:tab/>
        <w:t>сохранение экономической стабильности через долгосрочное планирование;</w:t>
      </w:r>
    </w:p>
    <w:p w14:paraId="36E86BD4" w14:textId="77777777" w:rsidR="00350D42" w:rsidRDefault="008E6F64">
      <w:pPr>
        <w:pStyle w:val="111"/>
        <w:shd w:val="clear" w:color="auto" w:fill="auto"/>
        <w:tabs>
          <w:tab w:val="left" w:pos="693"/>
        </w:tabs>
        <w:spacing w:before="0" w:after="0" w:line="254" w:lineRule="exact"/>
        <w:ind w:firstLine="320"/>
        <w:jc w:val="both"/>
      </w:pPr>
      <w:r>
        <w:rPr>
          <w:rStyle w:val="113"/>
          <w:b/>
          <w:bCs/>
        </w:rPr>
        <w:t>в)</w:t>
      </w:r>
      <w:r>
        <w:rPr>
          <w:rStyle w:val="113"/>
          <w:b/>
          <w:bCs/>
        </w:rPr>
        <w:tab/>
        <w:t>все ответы верны*.</w:t>
      </w:r>
    </w:p>
    <w:p w14:paraId="0D7D6355" w14:textId="77777777" w:rsidR="00350D42" w:rsidRDefault="008E6F64">
      <w:pPr>
        <w:pStyle w:val="111"/>
        <w:numPr>
          <w:ilvl w:val="0"/>
          <w:numId w:val="154"/>
        </w:numPr>
        <w:shd w:val="clear" w:color="auto" w:fill="auto"/>
        <w:tabs>
          <w:tab w:val="left" w:pos="674"/>
        </w:tabs>
        <w:spacing w:before="0" w:after="0" w:line="254" w:lineRule="exact"/>
        <w:ind w:firstLine="320"/>
        <w:jc w:val="both"/>
      </w:pPr>
      <w:r>
        <w:rPr>
          <w:rStyle w:val="113"/>
          <w:b/>
          <w:bCs/>
        </w:rPr>
        <w:t>Трипартизм — это:</w:t>
      </w:r>
    </w:p>
    <w:p w14:paraId="1E587A04" w14:textId="77777777" w:rsidR="00350D42" w:rsidRDefault="008E6F64">
      <w:pPr>
        <w:pStyle w:val="111"/>
        <w:shd w:val="clear" w:color="auto" w:fill="auto"/>
        <w:tabs>
          <w:tab w:val="left" w:pos="656"/>
        </w:tabs>
        <w:spacing w:before="0" w:after="0" w:line="254" w:lineRule="exact"/>
        <w:ind w:firstLine="320"/>
        <w:jc w:val="both"/>
      </w:pPr>
      <w:r>
        <w:rPr>
          <w:rStyle w:val="113"/>
          <w:b/>
          <w:bCs/>
        </w:rPr>
        <w:t>а)</w:t>
      </w:r>
      <w:r>
        <w:rPr>
          <w:rStyle w:val="113"/>
          <w:b/>
          <w:bCs/>
        </w:rPr>
        <w:tab/>
        <w:t>форма сотрудничества между наемными работниками, биз</w:t>
      </w:r>
      <w:r>
        <w:rPr>
          <w:rStyle w:val="113"/>
          <w:b/>
          <w:bCs/>
        </w:rPr>
        <w:softHyphen/>
        <w:t>несом и государством*;</w:t>
      </w:r>
    </w:p>
    <w:p w14:paraId="434D9F87" w14:textId="77777777" w:rsidR="00350D42" w:rsidRDefault="008E6F64">
      <w:pPr>
        <w:pStyle w:val="111"/>
        <w:shd w:val="clear" w:color="auto" w:fill="auto"/>
        <w:tabs>
          <w:tab w:val="left" w:pos="693"/>
        </w:tabs>
        <w:spacing w:before="0" w:after="0" w:line="254" w:lineRule="exact"/>
        <w:ind w:firstLine="320"/>
        <w:jc w:val="both"/>
      </w:pPr>
      <w:r>
        <w:rPr>
          <w:rStyle w:val="113"/>
          <w:b/>
          <w:bCs/>
        </w:rPr>
        <w:t>б)</w:t>
      </w:r>
      <w:r>
        <w:rPr>
          <w:rStyle w:val="113"/>
          <w:b/>
          <w:bCs/>
        </w:rPr>
        <w:tab/>
        <w:t>объединение политических партий.</w:t>
      </w:r>
    </w:p>
    <w:p w14:paraId="13EDE11A" w14:textId="77777777" w:rsidR="00350D42" w:rsidRDefault="008E6F64">
      <w:pPr>
        <w:pStyle w:val="111"/>
        <w:numPr>
          <w:ilvl w:val="0"/>
          <w:numId w:val="154"/>
        </w:numPr>
        <w:shd w:val="clear" w:color="auto" w:fill="auto"/>
        <w:tabs>
          <w:tab w:val="left" w:pos="642"/>
        </w:tabs>
        <w:spacing w:before="0" w:after="0" w:line="254" w:lineRule="exact"/>
        <w:ind w:firstLine="320"/>
        <w:jc w:val="both"/>
      </w:pPr>
      <w:r>
        <w:rPr>
          <w:rStyle w:val="113"/>
          <w:b/>
          <w:bCs/>
        </w:rPr>
        <w:t>Является ли необходимость осуществления значительных первоначальных капитальных вложений при длительных сроках окупаемости этих вложений барьером входа на товарные рынки?</w:t>
      </w:r>
    </w:p>
    <w:p w14:paraId="27E15ADE" w14:textId="77777777" w:rsidR="00350D42" w:rsidRDefault="008E6F64">
      <w:pPr>
        <w:pStyle w:val="111"/>
        <w:shd w:val="clear" w:color="auto" w:fill="auto"/>
        <w:tabs>
          <w:tab w:val="left" w:pos="688"/>
        </w:tabs>
        <w:spacing w:before="0" w:after="0" w:line="254" w:lineRule="exact"/>
        <w:ind w:firstLine="320"/>
        <w:jc w:val="both"/>
      </w:pPr>
      <w:r>
        <w:rPr>
          <w:rStyle w:val="113"/>
          <w:b/>
          <w:bCs/>
        </w:rPr>
        <w:t>а)</w:t>
      </w:r>
      <w:r>
        <w:rPr>
          <w:rStyle w:val="113"/>
          <w:b/>
          <w:bCs/>
        </w:rPr>
        <w:tab/>
        <w:t>является*;</w:t>
      </w:r>
    </w:p>
    <w:p w14:paraId="0B67C7E0" w14:textId="77777777" w:rsidR="00350D42" w:rsidRDefault="008E6F64">
      <w:pPr>
        <w:pStyle w:val="111"/>
        <w:shd w:val="clear" w:color="auto" w:fill="auto"/>
        <w:tabs>
          <w:tab w:val="left" w:pos="693"/>
        </w:tabs>
        <w:spacing w:before="0" w:after="0" w:line="254" w:lineRule="exact"/>
        <w:ind w:firstLine="320"/>
        <w:jc w:val="both"/>
      </w:pPr>
      <w:r>
        <w:rPr>
          <w:rStyle w:val="113"/>
          <w:b/>
          <w:bCs/>
        </w:rPr>
        <w:t>б)</w:t>
      </w:r>
      <w:r>
        <w:rPr>
          <w:rStyle w:val="113"/>
          <w:b/>
          <w:bCs/>
        </w:rPr>
        <w:tab/>
        <w:t>не является.</w:t>
      </w:r>
    </w:p>
    <w:p w14:paraId="276B8BF5" w14:textId="77777777" w:rsidR="00350D42" w:rsidRDefault="008E6F64">
      <w:pPr>
        <w:pStyle w:val="111"/>
        <w:numPr>
          <w:ilvl w:val="0"/>
          <w:numId w:val="154"/>
        </w:numPr>
        <w:shd w:val="clear" w:color="auto" w:fill="auto"/>
        <w:tabs>
          <w:tab w:val="left" w:pos="642"/>
        </w:tabs>
        <w:spacing w:before="0" w:after="0" w:line="254" w:lineRule="exact"/>
        <w:ind w:firstLine="320"/>
        <w:jc w:val="both"/>
      </w:pPr>
      <w:r>
        <w:rPr>
          <w:rStyle w:val="113"/>
          <w:b/>
          <w:bCs/>
        </w:rPr>
        <w:t>Требуется ли согласование ЦБ РФ для признания доминирую</w:t>
      </w:r>
      <w:r>
        <w:rPr>
          <w:rStyle w:val="113"/>
          <w:b/>
          <w:bCs/>
        </w:rPr>
        <w:softHyphen/>
        <w:t>щим положения поднадзорной ему финансовой организации?</w:t>
      </w:r>
    </w:p>
    <w:p w14:paraId="63E4F697" w14:textId="77777777" w:rsidR="00350D42" w:rsidRDefault="008E6F64">
      <w:pPr>
        <w:pStyle w:val="111"/>
        <w:shd w:val="clear" w:color="auto" w:fill="auto"/>
        <w:tabs>
          <w:tab w:val="left" w:pos="688"/>
        </w:tabs>
        <w:spacing w:before="0" w:after="0" w:line="254" w:lineRule="exact"/>
        <w:ind w:firstLine="320"/>
        <w:jc w:val="both"/>
      </w:pPr>
      <w:r>
        <w:rPr>
          <w:rStyle w:val="113"/>
          <w:b/>
          <w:bCs/>
        </w:rPr>
        <w:t>а)</w:t>
      </w:r>
      <w:r>
        <w:rPr>
          <w:rStyle w:val="113"/>
          <w:b/>
          <w:bCs/>
        </w:rPr>
        <w:tab/>
        <w:t>требуется*;</w:t>
      </w:r>
    </w:p>
    <w:p w14:paraId="61D4EEB9" w14:textId="77777777" w:rsidR="00350D42" w:rsidRDefault="008E6F64">
      <w:pPr>
        <w:pStyle w:val="111"/>
        <w:shd w:val="clear" w:color="auto" w:fill="auto"/>
        <w:tabs>
          <w:tab w:val="left" w:pos="693"/>
        </w:tabs>
        <w:spacing w:before="0" w:after="0" w:line="254" w:lineRule="exact"/>
        <w:ind w:firstLine="320"/>
        <w:jc w:val="both"/>
      </w:pPr>
      <w:r>
        <w:rPr>
          <w:rStyle w:val="113"/>
          <w:b/>
          <w:bCs/>
        </w:rPr>
        <w:t>б)</w:t>
      </w:r>
      <w:r>
        <w:rPr>
          <w:rStyle w:val="113"/>
          <w:b/>
          <w:bCs/>
        </w:rPr>
        <w:tab/>
        <w:t>не требуется.</w:t>
      </w:r>
    </w:p>
    <w:p w14:paraId="40D71050" w14:textId="77777777" w:rsidR="00350D42" w:rsidRDefault="008E6F64">
      <w:pPr>
        <w:pStyle w:val="111"/>
        <w:numPr>
          <w:ilvl w:val="0"/>
          <w:numId w:val="154"/>
        </w:numPr>
        <w:shd w:val="clear" w:color="auto" w:fill="auto"/>
        <w:tabs>
          <w:tab w:val="left" w:pos="752"/>
        </w:tabs>
        <w:spacing w:before="0" w:after="0" w:line="254" w:lineRule="exact"/>
        <w:ind w:firstLine="320"/>
        <w:jc w:val="both"/>
      </w:pPr>
      <w:r>
        <w:rPr>
          <w:rStyle w:val="113"/>
          <w:b/>
          <w:bCs/>
        </w:rPr>
        <w:t>Какие из нижеперечисленных ситуаций содержат признаки недобросовестной конкуренции?</w:t>
      </w:r>
    </w:p>
    <w:p w14:paraId="1599B67D" w14:textId="77777777" w:rsidR="00350D42" w:rsidRDefault="008E6F64">
      <w:pPr>
        <w:pStyle w:val="111"/>
        <w:shd w:val="clear" w:color="auto" w:fill="auto"/>
        <w:tabs>
          <w:tab w:val="left" w:pos="666"/>
        </w:tabs>
        <w:spacing w:before="0" w:after="0" w:line="254" w:lineRule="exact"/>
        <w:ind w:firstLine="320"/>
        <w:jc w:val="both"/>
      </w:pPr>
      <w:r>
        <w:rPr>
          <w:rStyle w:val="113"/>
          <w:b/>
          <w:bCs/>
        </w:rPr>
        <w:t>а)</w:t>
      </w:r>
      <w:r>
        <w:rPr>
          <w:rStyle w:val="113"/>
          <w:b/>
          <w:bCs/>
        </w:rPr>
        <w:tab/>
        <w:t>распространение ложных, неточных или искаженных сведе</w:t>
      </w:r>
      <w:r>
        <w:rPr>
          <w:rStyle w:val="113"/>
          <w:b/>
          <w:bCs/>
        </w:rPr>
        <w:softHyphen/>
        <w:t>ний, которые могут причинить убытки хозяйствующему субъекту либо нанести ущерб его деловой репутации;</w:t>
      </w:r>
    </w:p>
    <w:p w14:paraId="44FAA2B1" w14:textId="77777777" w:rsidR="00350D42" w:rsidRDefault="008E6F64">
      <w:pPr>
        <w:pStyle w:val="111"/>
        <w:shd w:val="clear" w:color="auto" w:fill="auto"/>
        <w:tabs>
          <w:tab w:val="left" w:pos="666"/>
        </w:tabs>
        <w:spacing w:before="0" w:after="0" w:line="254" w:lineRule="exact"/>
        <w:ind w:firstLine="320"/>
        <w:jc w:val="both"/>
      </w:pPr>
      <w:r>
        <w:rPr>
          <w:rStyle w:val="113"/>
          <w:b/>
          <w:bCs/>
        </w:rPr>
        <w:t>б)</w:t>
      </w:r>
      <w:r>
        <w:rPr>
          <w:rStyle w:val="113"/>
          <w:b/>
          <w:bCs/>
        </w:rPr>
        <w:tab/>
        <w:t>введение в заблуждение в отношении характера, способа и места производства, потребительских свойств, качества и коли</w:t>
      </w:r>
      <w:r>
        <w:rPr>
          <w:rStyle w:val="113"/>
          <w:b/>
          <w:bCs/>
        </w:rPr>
        <w:softHyphen/>
        <w:t>чества товара или в отношении его производителей;</w:t>
      </w:r>
    </w:p>
    <w:p w14:paraId="5E402C80" w14:textId="77777777" w:rsidR="00350D42" w:rsidRDefault="008E6F64">
      <w:pPr>
        <w:pStyle w:val="111"/>
        <w:shd w:val="clear" w:color="auto" w:fill="auto"/>
        <w:tabs>
          <w:tab w:val="left" w:pos="693"/>
        </w:tabs>
        <w:spacing w:before="0" w:after="308" w:line="254" w:lineRule="exact"/>
        <w:ind w:firstLine="320"/>
        <w:jc w:val="both"/>
      </w:pPr>
      <w:r>
        <w:rPr>
          <w:rStyle w:val="113"/>
          <w:b/>
          <w:bCs/>
        </w:rPr>
        <w:t>в)</w:t>
      </w:r>
      <w:r>
        <w:rPr>
          <w:rStyle w:val="113"/>
          <w:b/>
          <w:bCs/>
        </w:rPr>
        <w:tab/>
        <w:t>все ответы верны*.</w:t>
      </w:r>
    </w:p>
    <w:p w14:paraId="5EF82049" w14:textId="77777777" w:rsidR="00350D42" w:rsidRDefault="008E6F64">
      <w:pPr>
        <w:pStyle w:val="111"/>
        <w:numPr>
          <w:ilvl w:val="0"/>
          <w:numId w:val="141"/>
        </w:numPr>
        <w:shd w:val="clear" w:color="auto" w:fill="auto"/>
        <w:tabs>
          <w:tab w:val="left" w:pos="1629"/>
        </w:tabs>
        <w:spacing w:before="0" w:after="132" w:line="194" w:lineRule="exact"/>
        <w:ind w:left="1160"/>
        <w:jc w:val="left"/>
      </w:pPr>
      <w:r>
        <w:rPr>
          <w:rStyle w:val="113"/>
          <w:b/>
          <w:bCs/>
        </w:rPr>
        <w:t>Примеры кейсов и творческих заданий</w:t>
      </w:r>
    </w:p>
    <w:p w14:paraId="6FFB7F09" w14:textId="77777777" w:rsidR="00350D42" w:rsidRDefault="008E6F64">
      <w:pPr>
        <w:pStyle w:val="111"/>
        <w:numPr>
          <w:ilvl w:val="0"/>
          <w:numId w:val="155"/>
        </w:numPr>
        <w:shd w:val="clear" w:color="auto" w:fill="auto"/>
        <w:tabs>
          <w:tab w:val="left" w:pos="642"/>
        </w:tabs>
        <w:spacing w:before="0" w:after="0" w:line="254" w:lineRule="exact"/>
        <w:ind w:firstLine="320"/>
        <w:jc w:val="both"/>
      </w:pPr>
      <w:r>
        <w:rPr>
          <w:rStyle w:val="113"/>
          <w:b/>
          <w:bCs/>
        </w:rPr>
        <w:t>Напишите эссе на тему «Как повысить инвестиционную при</w:t>
      </w:r>
      <w:r>
        <w:rPr>
          <w:rStyle w:val="113"/>
          <w:b/>
          <w:bCs/>
        </w:rPr>
        <w:softHyphen/>
        <w:t>влекательность российской экономики».</w:t>
      </w:r>
    </w:p>
    <w:p w14:paraId="1E457967" w14:textId="77777777" w:rsidR="00350D42" w:rsidRDefault="008E6F64">
      <w:pPr>
        <w:pStyle w:val="111"/>
        <w:numPr>
          <w:ilvl w:val="0"/>
          <w:numId w:val="155"/>
        </w:numPr>
        <w:shd w:val="clear" w:color="auto" w:fill="auto"/>
        <w:tabs>
          <w:tab w:val="left" w:pos="642"/>
        </w:tabs>
        <w:spacing w:before="0" w:after="0" w:line="254" w:lineRule="exact"/>
        <w:ind w:firstLine="320"/>
        <w:jc w:val="both"/>
      </w:pPr>
      <w:r>
        <w:rPr>
          <w:rStyle w:val="113"/>
          <w:b/>
          <w:bCs/>
        </w:rPr>
        <w:t>Оцените эффекты социально-ориентированных проектов. В качестве примеров можно использовать идеи проектов, сгенери</w:t>
      </w:r>
      <w:r>
        <w:rPr>
          <w:rStyle w:val="113"/>
          <w:b/>
          <w:bCs/>
        </w:rPr>
        <w:softHyphen/>
        <w:t>рованные самостоятельно в группах, либо использовать кейсы</w:t>
      </w:r>
      <w:r>
        <w:rPr>
          <w:rStyle w:val="113"/>
          <w:b/>
          <w:bCs/>
          <w:vertAlign w:val="superscript"/>
        </w:rPr>
        <w:t>1</w:t>
      </w:r>
      <w:r>
        <w:rPr>
          <w:rStyle w:val="113"/>
          <w:b/>
          <w:bCs/>
        </w:rPr>
        <w:t xml:space="preserve">. </w:t>
      </w:r>
      <w:r>
        <w:rPr>
          <w:rStyle w:val="113"/>
          <w:b/>
          <w:bCs/>
          <w:vertAlign w:val="superscript"/>
        </w:rPr>
        <w:footnoteReference w:id="227"/>
      </w:r>
    </w:p>
    <w:p w14:paraId="6A4F2514" w14:textId="77777777" w:rsidR="00350D42" w:rsidRDefault="008E6F64">
      <w:pPr>
        <w:pStyle w:val="111"/>
        <w:numPr>
          <w:ilvl w:val="0"/>
          <w:numId w:val="155"/>
        </w:numPr>
        <w:shd w:val="clear" w:color="auto" w:fill="auto"/>
        <w:tabs>
          <w:tab w:val="left" w:pos="632"/>
        </w:tabs>
        <w:spacing w:before="0" w:after="0" w:line="250" w:lineRule="exact"/>
        <w:ind w:firstLine="320"/>
        <w:jc w:val="both"/>
      </w:pPr>
      <w:r>
        <w:rPr>
          <w:rStyle w:val="113"/>
          <w:b/>
          <w:bCs/>
        </w:rPr>
        <w:t>Изучите последние изменения в антимонопольном законода</w:t>
      </w:r>
      <w:r>
        <w:rPr>
          <w:rStyle w:val="113"/>
          <w:b/>
          <w:bCs/>
        </w:rPr>
        <w:softHyphen/>
        <w:t>тельстве</w:t>
      </w:r>
      <w:r>
        <w:rPr>
          <w:rStyle w:val="113"/>
          <w:b/>
          <w:bCs/>
          <w:vertAlign w:val="superscript"/>
        </w:rPr>
        <w:footnoteReference w:id="228"/>
      </w:r>
      <w:r>
        <w:rPr>
          <w:rStyle w:val="113"/>
          <w:b/>
          <w:bCs/>
        </w:rPr>
        <w:t>. Проанализируйте положительные эффекты этих измене</w:t>
      </w:r>
      <w:r>
        <w:rPr>
          <w:rStyle w:val="113"/>
          <w:b/>
          <w:bCs/>
        </w:rPr>
        <w:softHyphen/>
        <w:t>ний с точки зрения бизнес-сектора и государства.</w:t>
      </w:r>
    </w:p>
    <w:p w14:paraId="794E6719" w14:textId="77777777" w:rsidR="00350D42" w:rsidRDefault="008E6F64">
      <w:pPr>
        <w:pStyle w:val="111"/>
        <w:numPr>
          <w:ilvl w:val="0"/>
          <w:numId w:val="155"/>
        </w:numPr>
        <w:shd w:val="clear" w:color="auto" w:fill="auto"/>
        <w:tabs>
          <w:tab w:val="left" w:pos="632"/>
        </w:tabs>
        <w:spacing w:before="0" w:after="0" w:line="250" w:lineRule="exact"/>
        <w:ind w:firstLine="320"/>
        <w:jc w:val="both"/>
      </w:pPr>
      <w:r>
        <w:rPr>
          <w:rStyle w:val="113"/>
          <w:b/>
          <w:bCs/>
        </w:rPr>
        <w:t>С помощью информационного бюллетеня практики антимо</w:t>
      </w:r>
      <w:r>
        <w:rPr>
          <w:rStyle w:val="113"/>
          <w:b/>
          <w:bCs/>
        </w:rPr>
        <w:softHyphen/>
        <w:t>нопольного регулирования проанализируйте наиболее часто встре</w:t>
      </w:r>
      <w:r>
        <w:rPr>
          <w:rStyle w:val="113"/>
          <w:b/>
          <w:bCs/>
        </w:rPr>
        <w:softHyphen/>
        <w:t>чающиеся нарушения антимонопольного законодательства</w:t>
      </w:r>
      <w:r>
        <w:rPr>
          <w:rStyle w:val="113"/>
          <w:b/>
          <w:bCs/>
          <w:vertAlign w:val="superscript"/>
        </w:rPr>
        <w:footnoteReference w:id="229"/>
      </w:r>
      <w:r>
        <w:rPr>
          <w:rStyle w:val="113"/>
          <w:b/>
          <w:bCs/>
        </w:rPr>
        <w:t>.</w:t>
      </w:r>
    </w:p>
    <w:p w14:paraId="4FD62D6E" w14:textId="77777777" w:rsidR="00350D42" w:rsidRDefault="008E6F64">
      <w:pPr>
        <w:pStyle w:val="111"/>
        <w:numPr>
          <w:ilvl w:val="0"/>
          <w:numId w:val="155"/>
        </w:numPr>
        <w:shd w:val="clear" w:color="auto" w:fill="auto"/>
        <w:tabs>
          <w:tab w:val="left" w:pos="632"/>
        </w:tabs>
        <w:spacing w:before="0" w:after="0" w:line="250" w:lineRule="exact"/>
        <w:ind w:firstLine="320"/>
        <w:jc w:val="both"/>
      </w:pPr>
      <w:r>
        <w:rPr>
          <w:rStyle w:val="113"/>
          <w:b/>
          <w:bCs/>
        </w:rPr>
        <w:t>Изучив точки зрения разных экспертов из области социоло</w:t>
      </w:r>
      <w:r>
        <w:rPr>
          <w:rStyle w:val="113"/>
          <w:b/>
          <w:bCs/>
        </w:rPr>
        <w:softHyphen/>
        <w:t>гии, политологии, экономики, сделайте сравнительный анализ мо</w:t>
      </w:r>
      <w:r>
        <w:rPr>
          <w:rStyle w:val="113"/>
          <w:b/>
          <w:bCs/>
        </w:rPr>
        <w:softHyphen/>
        <w:t>делей взаимодействия государства и бизнеса</w:t>
      </w:r>
      <w:r>
        <w:rPr>
          <w:rStyle w:val="113"/>
          <w:b/>
          <w:bCs/>
          <w:vertAlign w:val="superscript"/>
        </w:rPr>
        <w:footnoteReference w:id="230"/>
      </w:r>
      <w:r>
        <w:rPr>
          <w:rStyle w:val="113"/>
          <w:b/>
          <w:bCs/>
        </w:rPr>
        <w:t>.</w:t>
      </w:r>
    </w:p>
    <w:p w14:paraId="6699BED5" w14:textId="77777777" w:rsidR="00350D42" w:rsidRDefault="008E6F64">
      <w:pPr>
        <w:pStyle w:val="3f8"/>
        <w:keepNext/>
        <w:keepLines/>
        <w:shd w:val="clear" w:color="auto" w:fill="auto"/>
      </w:pPr>
      <w:bookmarkStart w:id="137" w:name="bookmark117"/>
      <w:r>
        <w:rPr>
          <w:rStyle w:val="3f9"/>
          <w:i/>
          <w:iCs/>
        </w:rPr>
        <w:lastRenderedPageBreak/>
        <w:t>Приложение 2</w:t>
      </w:r>
      <w:bookmarkEnd w:id="137"/>
    </w:p>
    <w:p w14:paraId="333AE478" w14:textId="0B06EB38" w:rsidR="00350D42" w:rsidRDefault="008E6F64">
      <w:pPr>
        <w:pStyle w:val="39"/>
        <w:keepNext/>
        <w:keepLines/>
        <w:shd w:val="clear" w:color="auto" w:fill="auto"/>
        <w:spacing w:after="406" w:line="432" w:lineRule="exact"/>
        <w:rPr>
          <w:rStyle w:val="3a"/>
          <w:b/>
          <w:bCs/>
        </w:rPr>
      </w:pPr>
      <w:bookmarkStart w:id="138" w:name="bookmark118"/>
      <w:r>
        <w:rPr>
          <w:rStyle w:val="3a"/>
          <w:b/>
          <w:bCs/>
        </w:rPr>
        <w:t>Методика оценки рисков долгосрочного</w:t>
      </w:r>
      <w:r>
        <w:rPr>
          <w:rStyle w:val="3a"/>
          <w:b/>
          <w:bCs/>
        </w:rPr>
        <w:br/>
        <w:t>финансирования инвестиционного проекта</w:t>
      </w:r>
      <w:bookmarkEnd w:id="138"/>
    </w:p>
    <w:p w14:paraId="237A7AB8" w14:textId="3E7A3BD7" w:rsidR="00E861F0" w:rsidRDefault="00E861F0">
      <w:pPr>
        <w:pStyle w:val="39"/>
        <w:keepNext/>
        <w:keepLines/>
        <w:shd w:val="clear" w:color="auto" w:fill="auto"/>
        <w:spacing w:after="406" w:line="432" w:lineRule="exact"/>
      </w:pPr>
      <w:r>
        <w:rPr>
          <w:rStyle w:val="3a"/>
          <w:b/>
          <w:bCs/>
        </w:rPr>
        <w:t xml:space="preserve">(автор Марковская Е.И.) </w:t>
      </w:r>
    </w:p>
    <w:p w14:paraId="755BA96E" w14:textId="77777777" w:rsidR="00350D42" w:rsidRDefault="008E6F64">
      <w:pPr>
        <w:pStyle w:val="111"/>
        <w:shd w:val="clear" w:color="auto" w:fill="auto"/>
        <w:spacing w:before="0" w:after="0" w:line="250" w:lineRule="exact"/>
        <w:ind w:firstLine="320"/>
        <w:jc w:val="both"/>
      </w:pPr>
      <w:r>
        <w:rPr>
          <w:rStyle w:val="113"/>
          <w:b/>
          <w:bCs/>
        </w:rPr>
        <w:t xml:space="preserve">Оценка уровня кредитного риска </w:t>
      </w:r>
      <w:r>
        <w:rPr>
          <w:rStyle w:val="112"/>
          <w:lang w:val="en-US" w:eastAsia="en-US" w:bidi="en-US"/>
        </w:rPr>
        <w:t>R</w:t>
      </w:r>
      <w:r w:rsidRPr="000E0C7E">
        <w:rPr>
          <w:rStyle w:val="112"/>
          <w:vertAlign w:val="subscript"/>
          <w:lang w:eastAsia="en-US" w:bidi="en-US"/>
        </w:rPr>
        <w:t>1</w:t>
      </w:r>
      <w:r w:rsidRPr="000E0C7E">
        <w:rPr>
          <w:rStyle w:val="113"/>
          <w:b/>
          <w:bCs/>
          <w:lang w:eastAsia="en-US" w:bidi="en-US"/>
        </w:rPr>
        <w:t xml:space="preserve"> </w:t>
      </w:r>
      <w:r>
        <w:rPr>
          <w:rStyle w:val="113"/>
          <w:b/>
          <w:bCs/>
        </w:rPr>
        <w:t>(являющегося основной для определения характера финансового состояния) осуществляет</w:t>
      </w:r>
      <w:r>
        <w:rPr>
          <w:rStyle w:val="113"/>
          <w:b/>
          <w:bCs/>
        </w:rPr>
        <w:softHyphen/>
        <w:t>ся на основе анализа основных показателей, характеризующих со</w:t>
      </w:r>
      <w:r>
        <w:rPr>
          <w:rStyle w:val="113"/>
          <w:b/>
          <w:bCs/>
        </w:rPr>
        <w:softHyphen/>
        <w:t>стояние внешней и внутренней среды инициатора проекта. Направ</w:t>
      </w:r>
      <w:r>
        <w:rPr>
          <w:rStyle w:val="113"/>
          <w:b/>
          <w:bCs/>
        </w:rPr>
        <w:softHyphen/>
        <w:t>ления анализа и входящие в их состав показатели представлены в табл. П.2.1. Распределение удельных весов произведено с учетом значимости тех или иных факторов при анализе проектов, финан</w:t>
      </w:r>
      <w:r>
        <w:rPr>
          <w:rStyle w:val="113"/>
          <w:b/>
          <w:bCs/>
        </w:rPr>
        <w:softHyphen/>
        <w:t>сируемых на принципах проектного финансированиями инвести</w:t>
      </w:r>
      <w:r>
        <w:rPr>
          <w:rStyle w:val="113"/>
          <w:b/>
          <w:bCs/>
        </w:rPr>
        <w:softHyphen/>
        <w:t>ционного кредитования. Так, удельный вес фактора «характеристи</w:t>
      </w:r>
      <w:r>
        <w:rPr>
          <w:rStyle w:val="113"/>
          <w:b/>
          <w:bCs/>
        </w:rPr>
        <w:softHyphen/>
        <w:t>ка проекта» в случае проектного финансирования составляет 0,6, а в случае инвестиционного кредитования — 0,2. Это объясняется тем, что в случае проектного финансирования особое внимание в процессе анализа долгосрочных рисков уделяется проекту ввиду того, что именно денежные потоки, генерируемые проектом, явля</w:t>
      </w:r>
      <w:r>
        <w:rPr>
          <w:rStyle w:val="113"/>
          <w:b/>
          <w:bCs/>
        </w:rPr>
        <w:softHyphen/>
        <w:t>ются источником получения дохода инвесторами, а также источни</w:t>
      </w:r>
      <w:r>
        <w:rPr>
          <w:rStyle w:val="113"/>
          <w:b/>
          <w:bCs/>
        </w:rPr>
        <w:softHyphen/>
        <w:t>ком погашения долга для банка.</w:t>
      </w:r>
    </w:p>
    <w:p w14:paraId="587FD8FF" w14:textId="77777777" w:rsidR="00350D42" w:rsidRDefault="008E6F64">
      <w:pPr>
        <w:pStyle w:val="190"/>
        <w:shd w:val="clear" w:color="auto" w:fill="auto"/>
      </w:pPr>
      <w:r>
        <w:rPr>
          <w:rStyle w:val="191"/>
          <w:i/>
          <w:iCs/>
        </w:rPr>
        <w:t>Таблица П.2.1</w:t>
      </w:r>
    </w:p>
    <w:p w14:paraId="3BB4882D" w14:textId="77777777" w:rsidR="00350D42" w:rsidRDefault="008E6F64">
      <w:pPr>
        <w:pStyle w:val="3f2"/>
        <w:framePr w:w="6581" w:wrap="notBeside" w:vAnchor="text" w:hAnchor="text" w:xAlign="center" w:y="1"/>
        <w:shd w:val="clear" w:color="auto" w:fill="auto"/>
        <w:jc w:val="both"/>
      </w:pPr>
      <w:r>
        <w:rPr>
          <w:rStyle w:val="3f3"/>
          <w:b/>
          <w:bCs/>
        </w:rPr>
        <w:t>Основные направления исследования состояния внешней и внутренней среды инициатора проекта/проекта, соответствующие показатели и их удельные веса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9"/>
        <w:gridCol w:w="998"/>
        <w:gridCol w:w="1013"/>
        <w:gridCol w:w="1354"/>
        <w:gridCol w:w="1032"/>
        <w:gridCol w:w="1085"/>
      </w:tblGrid>
      <w:tr w:rsidR="00350D42" w14:paraId="109E51B9" w14:textId="77777777">
        <w:trPr>
          <w:trHeight w:hRule="exact" w:val="331"/>
          <w:jc w:val="center"/>
        </w:trPr>
        <w:tc>
          <w:tcPr>
            <w:tcW w:w="1099" w:type="dxa"/>
            <w:vMerge w:val="restart"/>
            <w:tcBorders>
              <w:top w:val="single" w:sz="4" w:space="0" w:color="auto"/>
              <w:left w:val="single" w:sz="4" w:space="0" w:color="auto"/>
            </w:tcBorders>
            <w:shd w:val="clear" w:color="auto" w:fill="FFFFFF"/>
          </w:tcPr>
          <w:p w14:paraId="17D90283" w14:textId="77777777" w:rsidR="00350D42" w:rsidRDefault="008E6F64">
            <w:pPr>
              <w:pStyle w:val="2c"/>
              <w:framePr w:w="6581" w:wrap="notBeside" w:vAnchor="text" w:hAnchor="text" w:xAlign="center" w:y="1"/>
              <w:shd w:val="clear" w:color="auto" w:fill="auto"/>
              <w:spacing w:before="0" w:line="221" w:lineRule="exact"/>
              <w:ind w:left="200"/>
              <w:jc w:val="left"/>
            </w:pPr>
            <w:r>
              <w:rPr>
                <w:rStyle w:val="275pt"/>
              </w:rPr>
              <w:t>Направ</w:t>
            </w:r>
            <w:r>
              <w:rPr>
                <w:rStyle w:val="275pt"/>
              </w:rPr>
              <w:softHyphen/>
            </w:r>
          </w:p>
          <w:p w14:paraId="7B421F19"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ления</w:t>
            </w:r>
          </w:p>
          <w:p w14:paraId="32AFF52C"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анализа</w:t>
            </w:r>
          </w:p>
        </w:tc>
        <w:tc>
          <w:tcPr>
            <w:tcW w:w="2011" w:type="dxa"/>
            <w:gridSpan w:val="2"/>
            <w:tcBorders>
              <w:top w:val="single" w:sz="4" w:space="0" w:color="auto"/>
              <w:left w:val="single" w:sz="4" w:space="0" w:color="auto"/>
            </w:tcBorders>
            <w:shd w:val="clear" w:color="auto" w:fill="FFFFFF"/>
            <w:vAlign w:val="bottom"/>
          </w:tcPr>
          <w:p w14:paraId="235D72D3"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Удельный вес</w:t>
            </w:r>
          </w:p>
        </w:tc>
        <w:tc>
          <w:tcPr>
            <w:tcW w:w="1354" w:type="dxa"/>
            <w:vMerge w:val="restart"/>
            <w:tcBorders>
              <w:top w:val="single" w:sz="4" w:space="0" w:color="auto"/>
              <w:left w:val="single" w:sz="4" w:space="0" w:color="auto"/>
            </w:tcBorders>
            <w:shd w:val="clear" w:color="auto" w:fill="FFFFFF"/>
          </w:tcPr>
          <w:p w14:paraId="530ADA53" w14:textId="77777777" w:rsidR="00350D42" w:rsidRDefault="008E6F64">
            <w:pPr>
              <w:pStyle w:val="2c"/>
              <w:framePr w:w="6581" w:wrap="notBeside" w:vAnchor="text" w:hAnchor="text" w:xAlign="center" w:y="1"/>
              <w:shd w:val="clear" w:color="auto" w:fill="auto"/>
              <w:spacing w:before="0" w:line="176" w:lineRule="exact"/>
              <w:ind w:left="180"/>
              <w:jc w:val="left"/>
            </w:pPr>
            <w:r>
              <w:rPr>
                <w:rStyle w:val="275pt"/>
              </w:rPr>
              <w:t>Показатели</w:t>
            </w:r>
          </w:p>
        </w:tc>
        <w:tc>
          <w:tcPr>
            <w:tcW w:w="2117" w:type="dxa"/>
            <w:gridSpan w:val="2"/>
            <w:tcBorders>
              <w:top w:val="single" w:sz="4" w:space="0" w:color="auto"/>
              <w:left w:val="single" w:sz="4" w:space="0" w:color="auto"/>
              <w:right w:val="single" w:sz="4" w:space="0" w:color="auto"/>
            </w:tcBorders>
            <w:shd w:val="clear" w:color="auto" w:fill="FFFFFF"/>
            <w:vAlign w:val="bottom"/>
          </w:tcPr>
          <w:p w14:paraId="62667B8A"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Удельный вес</w:t>
            </w:r>
          </w:p>
        </w:tc>
      </w:tr>
      <w:tr w:rsidR="00350D42" w14:paraId="78D51D24" w14:textId="77777777">
        <w:trPr>
          <w:trHeight w:hRule="exact" w:val="984"/>
          <w:jc w:val="center"/>
        </w:trPr>
        <w:tc>
          <w:tcPr>
            <w:tcW w:w="1099" w:type="dxa"/>
            <w:vMerge/>
            <w:tcBorders>
              <w:left w:val="single" w:sz="4" w:space="0" w:color="auto"/>
            </w:tcBorders>
            <w:shd w:val="clear" w:color="auto" w:fill="FFFFFF"/>
          </w:tcPr>
          <w:p w14:paraId="24B1F1F6" w14:textId="77777777" w:rsidR="00350D42" w:rsidRDefault="00350D42">
            <w:pPr>
              <w:framePr w:w="6581" w:wrap="notBeside" w:vAnchor="text" w:hAnchor="text" w:xAlign="center" w:y="1"/>
            </w:pPr>
          </w:p>
        </w:tc>
        <w:tc>
          <w:tcPr>
            <w:tcW w:w="998" w:type="dxa"/>
            <w:tcBorders>
              <w:top w:val="single" w:sz="4" w:space="0" w:color="auto"/>
              <w:left w:val="single" w:sz="4" w:space="0" w:color="auto"/>
            </w:tcBorders>
            <w:shd w:val="clear" w:color="auto" w:fill="FFFFFF"/>
            <w:vAlign w:val="bottom"/>
          </w:tcPr>
          <w:p w14:paraId="599C3658"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про</w:t>
            </w:r>
            <w:r>
              <w:rPr>
                <w:rStyle w:val="275pt"/>
              </w:rPr>
              <w:softHyphen/>
            </w:r>
          </w:p>
          <w:p w14:paraId="58DDAEDA"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ектное</w:t>
            </w:r>
          </w:p>
          <w:p w14:paraId="4B89B5B7"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финанси</w:t>
            </w:r>
            <w:r>
              <w:rPr>
                <w:rStyle w:val="275pt"/>
              </w:rPr>
              <w:softHyphen/>
            </w:r>
          </w:p>
          <w:p w14:paraId="7D0D031F"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рование</w:t>
            </w:r>
          </w:p>
        </w:tc>
        <w:tc>
          <w:tcPr>
            <w:tcW w:w="1013" w:type="dxa"/>
            <w:tcBorders>
              <w:top w:val="single" w:sz="4" w:space="0" w:color="auto"/>
              <w:left w:val="single" w:sz="4" w:space="0" w:color="auto"/>
            </w:tcBorders>
            <w:shd w:val="clear" w:color="auto" w:fill="FFFFFF"/>
            <w:vAlign w:val="bottom"/>
          </w:tcPr>
          <w:p w14:paraId="773DADB3"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инвести</w:t>
            </w:r>
            <w:r>
              <w:rPr>
                <w:rStyle w:val="275pt"/>
              </w:rPr>
              <w:softHyphen/>
            </w:r>
          </w:p>
          <w:p w14:paraId="143DAC88"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ционное</w:t>
            </w:r>
          </w:p>
          <w:p w14:paraId="1D10A4AA"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кредито</w:t>
            </w:r>
            <w:r>
              <w:rPr>
                <w:rStyle w:val="275pt"/>
              </w:rPr>
              <w:softHyphen/>
            </w:r>
          </w:p>
          <w:p w14:paraId="2289DDA2"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вание</w:t>
            </w:r>
          </w:p>
        </w:tc>
        <w:tc>
          <w:tcPr>
            <w:tcW w:w="1354" w:type="dxa"/>
            <w:vMerge/>
            <w:tcBorders>
              <w:left w:val="single" w:sz="4" w:space="0" w:color="auto"/>
            </w:tcBorders>
            <w:shd w:val="clear" w:color="auto" w:fill="FFFFFF"/>
          </w:tcPr>
          <w:p w14:paraId="1E085B75" w14:textId="77777777" w:rsidR="00350D42" w:rsidRDefault="00350D42">
            <w:pPr>
              <w:framePr w:w="6581" w:wrap="notBeside" w:vAnchor="text" w:hAnchor="text" w:xAlign="center" w:y="1"/>
            </w:pPr>
          </w:p>
        </w:tc>
        <w:tc>
          <w:tcPr>
            <w:tcW w:w="1032" w:type="dxa"/>
            <w:tcBorders>
              <w:top w:val="single" w:sz="4" w:space="0" w:color="auto"/>
              <w:left w:val="single" w:sz="4" w:space="0" w:color="auto"/>
            </w:tcBorders>
            <w:shd w:val="clear" w:color="auto" w:fill="FFFFFF"/>
            <w:vAlign w:val="bottom"/>
          </w:tcPr>
          <w:p w14:paraId="41A9558B"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про</w:t>
            </w:r>
            <w:r>
              <w:rPr>
                <w:rStyle w:val="275pt"/>
              </w:rPr>
              <w:softHyphen/>
            </w:r>
          </w:p>
          <w:p w14:paraId="18439EA0"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ектное</w:t>
            </w:r>
          </w:p>
          <w:p w14:paraId="75290D87"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финанси</w:t>
            </w:r>
            <w:r>
              <w:rPr>
                <w:rStyle w:val="275pt"/>
              </w:rPr>
              <w:softHyphen/>
            </w:r>
          </w:p>
          <w:p w14:paraId="42F8F718"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рование</w:t>
            </w:r>
          </w:p>
        </w:tc>
        <w:tc>
          <w:tcPr>
            <w:tcW w:w="1085" w:type="dxa"/>
            <w:tcBorders>
              <w:top w:val="single" w:sz="4" w:space="0" w:color="auto"/>
              <w:left w:val="single" w:sz="4" w:space="0" w:color="auto"/>
              <w:right w:val="single" w:sz="4" w:space="0" w:color="auto"/>
            </w:tcBorders>
            <w:shd w:val="clear" w:color="auto" w:fill="FFFFFF"/>
            <w:vAlign w:val="bottom"/>
          </w:tcPr>
          <w:p w14:paraId="642C21B8" w14:textId="77777777" w:rsidR="00350D42" w:rsidRDefault="008E6F64">
            <w:pPr>
              <w:pStyle w:val="2c"/>
              <w:framePr w:w="6581" w:wrap="notBeside" w:vAnchor="text" w:hAnchor="text" w:xAlign="center" w:y="1"/>
              <w:shd w:val="clear" w:color="auto" w:fill="auto"/>
              <w:spacing w:before="0" w:line="216" w:lineRule="exact"/>
              <w:ind w:left="160"/>
              <w:jc w:val="left"/>
            </w:pPr>
            <w:r>
              <w:rPr>
                <w:rStyle w:val="275pt"/>
              </w:rPr>
              <w:t>инвести</w:t>
            </w:r>
            <w:r>
              <w:rPr>
                <w:rStyle w:val="275pt"/>
              </w:rPr>
              <w:softHyphen/>
            </w:r>
          </w:p>
          <w:p w14:paraId="0C166D0F" w14:textId="77777777" w:rsidR="00350D42" w:rsidRDefault="008E6F64">
            <w:pPr>
              <w:pStyle w:val="2c"/>
              <w:framePr w:w="6581" w:wrap="notBeside" w:vAnchor="text" w:hAnchor="text" w:xAlign="center" w:y="1"/>
              <w:shd w:val="clear" w:color="auto" w:fill="auto"/>
              <w:spacing w:before="0" w:line="216" w:lineRule="exact"/>
              <w:ind w:left="160"/>
              <w:jc w:val="left"/>
            </w:pPr>
            <w:r>
              <w:rPr>
                <w:rStyle w:val="275pt"/>
              </w:rPr>
              <w:t>ционное</w:t>
            </w:r>
          </w:p>
          <w:p w14:paraId="53628A6D" w14:textId="77777777" w:rsidR="00350D42" w:rsidRDefault="008E6F64">
            <w:pPr>
              <w:pStyle w:val="2c"/>
              <w:framePr w:w="6581" w:wrap="notBeside" w:vAnchor="text" w:hAnchor="text" w:xAlign="center" w:y="1"/>
              <w:shd w:val="clear" w:color="auto" w:fill="auto"/>
              <w:spacing w:before="0" w:line="216" w:lineRule="exact"/>
              <w:ind w:left="160"/>
              <w:jc w:val="left"/>
            </w:pPr>
            <w:r>
              <w:rPr>
                <w:rStyle w:val="275pt"/>
              </w:rPr>
              <w:t>кредито</w:t>
            </w:r>
            <w:r>
              <w:rPr>
                <w:rStyle w:val="275pt"/>
              </w:rPr>
              <w:softHyphen/>
            </w:r>
          </w:p>
          <w:p w14:paraId="0665575C"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вание</w:t>
            </w:r>
          </w:p>
        </w:tc>
      </w:tr>
      <w:tr w:rsidR="00350D42" w14:paraId="0DB4942E" w14:textId="77777777">
        <w:trPr>
          <w:trHeight w:hRule="exact" w:val="547"/>
          <w:jc w:val="center"/>
        </w:trPr>
        <w:tc>
          <w:tcPr>
            <w:tcW w:w="1099" w:type="dxa"/>
            <w:vMerge w:val="restart"/>
            <w:tcBorders>
              <w:top w:val="single" w:sz="4" w:space="0" w:color="auto"/>
              <w:left w:val="single" w:sz="4" w:space="0" w:color="auto"/>
            </w:tcBorders>
            <w:shd w:val="clear" w:color="auto" w:fill="FFFFFF"/>
          </w:tcPr>
          <w:p w14:paraId="22CBDB2D"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Характери</w:t>
            </w:r>
            <w:r>
              <w:rPr>
                <w:rStyle w:val="275pt0"/>
              </w:rPr>
              <w:softHyphen/>
              <w:t>стика ини</w:t>
            </w:r>
            <w:r>
              <w:rPr>
                <w:rStyle w:val="275pt0"/>
              </w:rPr>
              <w:softHyphen/>
              <w:t>циатора</w:t>
            </w:r>
          </w:p>
          <w:p w14:paraId="01A412C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проекта и его соб</w:t>
            </w:r>
            <w:r>
              <w:rPr>
                <w:rStyle w:val="275pt0"/>
              </w:rPr>
              <w:softHyphen/>
              <w:t>ственников</w:t>
            </w:r>
          </w:p>
        </w:tc>
        <w:tc>
          <w:tcPr>
            <w:tcW w:w="998" w:type="dxa"/>
            <w:vMerge w:val="restart"/>
            <w:tcBorders>
              <w:top w:val="single" w:sz="4" w:space="0" w:color="auto"/>
              <w:left w:val="single" w:sz="4" w:space="0" w:color="auto"/>
            </w:tcBorders>
            <w:shd w:val="clear" w:color="auto" w:fill="FFFFFF"/>
          </w:tcPr>
          <w:p w14:paraId="0E72514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c>
          <w:tcPr>
            <w:tcW w:w="1013" w:type="dxa"/>
            <w:vMerge w:val="restart"/>
            <w:tcBorders>
              <w:top w:val="single" w:sz="4" w:space="0" w:color="auto"/>
              <w:left w:val="single" w:sz="4" w:space="0" w:color="auto"/>
            </w:tcBorders>
            <w:shd w:val="clear" w:color="auto" w:fill="FFFFFF"/>
          </w:tcPr>
          <w:p w14:paraId="52A53F4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0,4</w:t>
            </w:r>
          </w:p>
        </w:tc>
        <w:tc>
          <w:tcPr>
            <w:tcW w:w="1354" w:type="dxa"/>
            <w:tcBorders>
              <w:top w:val="single" w:sz="4" w:space="0" w:color="auto"/>
              <w:left w:val="single" w:sz="4" w:space="0" w:color="auto"/>
            </w:tcBorders>
            <w:shd w:val="clear" w:color="auto" w:fill="FFFFFF"/>
            <w:vAlign w:val="center"/>
          </w:tcPr>
          <w:p w14:paraId="287A53E3" w14:textId="77777777" w:rsidR="00350D42" w:rsidRDefault="008E6F64">
            <w:pPr>
              <w:pStyle w:val="2c"/>
              <w:framePr w:w="6581" w:wrap="notBeside" w:vAnchor="text" w:hAnchor="text" w:xAlign="center" w:y="1"/>
              <w:shd w:val="clear" w:color="auto" w:fill="auto"/>
              <w:spacing w:before="0" w:line="221" w:lineRule="exact"/>
            </w:pPr>
            <w:r>
              <w:rPr>
                <w:rStyle w:val="275pt0"/>
              </w:rPr>
              <w:t>Влияние соб</w:t>
            </w:r>
            <w:r>
              <w:rPr>
                <w:rStyle w:val="275pt0"/>
              </w:rPr>
              <w:softHyphen/>
              <w:t>ственников</w:t>
            </w:r>
          </w:p>
        </w:tc>
        <w:tc>
          <w:tcPr>
            <w:tcW w:w="1032" w:type="dxa"/>
            <w:tcBorders>
              <w:top w:val="single" w:sz="4" w:space="0" w:color="auto"/>
              <w:left w:val="single" w:sz="4" w:space="0" w:color="auto"/>
            </w:tcBorders>
            <w:shd w:val="clear" w:color="auto" w:fill="FFFFFF"/>
            <w:vAlign w:val="center"/>
          </w:tcPr>
          <w:p w14:paraId="77F104A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c>
          <w:tcPr>
            <w:tcW w:w="1085" w:type="dxa"/>
            <w:tcBorders>
              <w:top w:val="single" w:sz="4" w:space="0" w:color="auto"/>
              <w:left w:val="single" w:sz="4" w:space="0" w:color="auto"/>
              <w:right w:val="single" w:sz="4" w:space="0" w:color="auto"/>
            </w:tcBorders>
            <w:shd w:val="clear" w:color="auto" w:fill="FFFFFF"/>
            <w:vAlign w:val="center"/>
          </w:tcPr>
          <w:p w14:paraId="744B742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r>
      <w:tr w:rsidR="00350D42" w14:paraId="4175F392" w14:textId="77777777">
        <w:trPr>
          <w:trHeight w:hRule="exact" w:val="542"/>
          <w:jc w:val="center"/>
        </w:trPr>
        <w:tc>
          <w:tcPr>
            <w:tcW w:w="1099" w:type="dxa"/>
            <w:vMerge/>
            <w:tcBorders>
              <w:left w:val="single" w:sz="4" w:space="0" w:color="auto"/>
            </w:tcBorders>
            <w:shd w:val="clear" w:color="auto" w:fill="FFFFFF"/>
          </w:tcPr>
          <w:p w14:paraId="63A5543E" w14:textId="77777777" w:rsidR="00350D42" w:rsidRDefault="00350D42">
            <w:pPr>
              <w:framePr w:w="6581" w:wrap="notBeside" w:vAnchor="text" w:hAnchor="text" w:xAlign="center" w:y="1"/>
            </w:pPr>
          </w:p>
        </w:tc>
        <w:tc>
          <w:tcPr>
            <w:tcW w:w="998" w:type="dxa"/>
            <w:vMerge/>
            <w:tcBorders>
              <w:left w:val="single" w:sz="4" w:space="0" w:color="auto"/>
            </w:tcBorders>
            <w:shd w:val="clear" w:color="auto" w:fill="FFFFFF"/>
          </w:tcPr>
          <w:p w14:paraId="589DBCD1" w14:textId="77777777" w:rsidR="00350D42" w:rsidRDefault="00350D42">
            <w:pPr>
              <w:framePr w:w="6581" w:wrap="notBeside" w:vAnchor="text" w:hAnchor="text" w:xAlign="center" w:y="1"/>
            </w:pPr>
          </w:p>
        </w:tc>
        <w:tc>
          <w:tcPr>
            <w:tcW w:w="1013" w:type="dxa"/>
            <w:vMerge/>
            <w:tcBorders>
              <w:left w:val="single" w:sz="4" w:space="0" w:color="auto"/>
            </w:tcBorders>
            <w:shd w:val="clear" w:color="auto" w:fill="FFFFFF"/>
          </w:tcPr>
          <w:p w14:paraId="36618627" w14:textId="77777777" w:rsidR="00350D42" w:rsidRDefault="00350D42">
            <w:pPr>
              <w:framePr w:w="6581" w:wrap="notBeside" w:vAnchor="text" w:hAnchor="text" w:xAlign="center" w:y="1"/>
            </w:pPr>
          </w:p>
        </w:tc>
        <w:tc>
          <w:tcPr>
            <w:tcW w:w="1354" w:type="dxa"/>
            <w:tcBorders>
              <w:top w:val="single" w:sz="4" w:space="0" w:color="auto"/>
              <w:left w:val="single" w:sz="4" w:space="0" w:color="auto"/>
            </w:tcBorders>
            <w:shd w:val="clear" w:color="auto" w:fill="FFFFFF"/>
            <w:vAlign w:val="center"/>
          </w:tcPr>
          <w:p w14:paraId="5664530B" w14:textId="77777777" w:rsidR="00350D42" w:rsidRDefault="008E6F64">
            <w:pPr>
              <w:pStyle w:val="2c"/>
              <w:framePr w:w="6581" w:wrap="notBeside" w:vAnchor="text" w:hAnchor="text" w:xAlign="center" w:y="1"/>
              <w:shd w:val="clear" w:color="auto" w:fill="auto"/>
              <w:spacing w:before="0" w:line="168" w:lineRule="exact"/>
            </w:pPr>
            <w:r>
              <w:rPr>
                <w:rStyle w:val="275pt0"/>
              </w:rPr>
              <w:t>Стабильность</w:t>
            </w:r>
          </w:p>
          <w:p w14:paraId="61D2B4C5" w14:textId="77777777" w:rsidR="00350D42" w:rsidRDefault="008E6F64">
            <w:pPr>
              <w:pStyle w:val="2c"/>
              <w:framePr w:w="6581" w:wrap="notBeside" w:vAnchor="text" w:hAnchor="text" w:xAlign="center" w:y="1"/>
              <w:shd w:val="clear" w:color="auto" w:fill="auto"/>
              <w:spacing w:before="0" w:line="168" w:lineRule="exact"/>
            </w:pPr>
            <w:r>
              <w:rPr>
                <w:rStyle w:val="275pt0"/>
              </w:rPr>
              <w:t>группы</w:t>
            </w:r>
          </w:p>
        </w:tc>
        <w:tc>
          <w:tcPr>
            <w:tcW w:w="1032" w:type="dxa"/>
            <w:tcBorders>
              <w:top w:val="single" w:sz="4" w:space="0" w:color="auto"/>
              <w:left w:val="single" w:sz="4" w:space="0" w:color="auto"/>
            </w:tcBorders>
            <w:shd w:val="clear" w:color="auto" w:fill="FFFFFF"/>
            <w:vAlign w:val="center"/>
          </w:tcPr>
          <w:p w14:paraId="6B6DD95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c>
          <w:tcPr>
            <w:tcW w:w="1085" w:type="dxa"/>
            <w:tcBorders>
              <w:top w:val="single" w:sz="4" w:space="0" w:color="auto"/>
              <w:left w:val="single" w:sz="4" w:space="0" w:color="auto"/>
              <w:right w:val="single" w:sz="4" w:space="0" w:color="auto"/>
            </w:tcBorders>
            <w:shd w:val="clear" w:color="auto" w:fill="FFFFFF"/>
            <w:vAlign w:val="center"/>
          </w:tcPr>
          <w:p w14:paraId="7038788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3AE9F2D5" w14:textId="77777777">
        <w:trPr>
          <w:trHeight w:hRule="exact" w:val="547"/>
          <w:jc w:val="center"/>
        </w:trPr>
        <w:tc>
          <w:tcPr>
            <w:tcW w:w="1099" w:type="dxa"/>
            <w:vMerge/>
            <w:tcBorders>
              <w:left w:val="single" w:sz="4" w:space="0" w:color="auto"/>
            </w:tcBorders>
            <w:shd w:val="clear" w:color="auto" w:fill="FFFFFF"/>
          </w:tcPr>
          <w:p w14:paraId="650DF7FC" w14:textId="77777777" w:rsidR="00350D42" w:rsidRDefault="00350D42">
            <w:pPr>
              <w:framePr w:w="6581" w:wrap="notBeside" w:vAnchor="text" w:hAnchor="text" w:xAlign="center" w:y="1"/>
            </w:pPr>
          </w:p>
        </w:tc>
        <w:tc>
          <w:tcPr>
            <w:tcW w:w="998" w:type="dxa"/>
            <w:vMerge/>
            <w:tcBorders>
              <w:left w:val="single" w:sz="4" w:space="0" w:color="auto"/>
            </w:tcBorders>
            <w:shd w:val="clear" w:color="auto" w:fill="FFFFFF"/>
          </w:tcPr>
          <w:p w14:paraId="63EF777B" w14:textId="77777777" w:rsidR="00350D42" w:rsidRDefault="00350D42">
            <w:pPr>
              <w:framePr w:w="6581" w:wrap="notBeside" w:vAnchor="text" w:hAnchor="text" w:xAlign="center" w:y="1"/>
            </w:pPr>
          </w:p>
        </w:tc>
        <w:tc>
          <w:tcPr>
            <w:tcW w:w="1013" w:type="dxa"/>
            <w:vMerge/>
            <w:tcBorders>
              <w:left w:val="single" w:sz="4" w:space="0" w:color="auto"/>
            </w:tcBorders>
            <w:shd w:val="clear" w:color="auto" w:fill="FFFFFF"/>
          </w:tcPr>
          <w:p w14:paraId="74C789F7" w14:textId="77777777" w:rsidR="00350D42" w:rsidRDefault="00350D42">
            <w:pPr>
              <w:framePr w:w="6581" w:wrap="notBeside" w:vAnchor="text" w:hAnchor="text" w:xAlign="center" w:y="1"/>
            </w:pPr>
          </w:p>
        </w:tc>
        <w:tc>
          <w:tcPr>
            <w:tcW w:w="1354" w:type="dxa"/>
            <w:tcBorders>
              <w:top w:val="single" w:sz="4" w:space="0" w:color="auto"/>
              <w:left w:val="single" w:sz="4" w:space="0" w:color="auto"/>
            </w:tcBorders>
            <w:shd w:val="clear" w:color="auto" w:fill="FFFFFF"/>
            <w:vAlign w:val="center"/>
          </w:tcPr>
          <w:p w14:paraId="2604B23B" w14:textId="77777777" w:rsidR="00350D42" w:rsidRDefault="008E6F64">
            <w:pPr>
              <w:pStyle w:val="2c"/>
              <w:framePr w:w="6581" w:wrap="notBeside" w:vAnchor="text" w:hAnchor="text" w:xAlign="center" w:y="1"/>
              <w:shd w:val="clear" w:color="auto" w:fill="auto"/>
              <w:spacing w:before="0" w:line="221" w:lineRule="exact"/>
            </w:pPr>
            <w:r>
              <w:rPr>
                <w:rStyle w:val="275pt0"/>
              </w:rPr>
              <w:t>Опыт реализа</w:t>
            </w:r>
            <w:r>
              <w:rPr>
                <w:rStyle w:val="275pt0"/>
              </w:rPr>
              <w:softHyphen/>
              <w:t>ции проектов</w:t>
            </w:r>
          </w:p>
        </w:tc>
        <w:tc>
          <w:tcPr>
            <w:tcW w:w="1032" w:type="dxa"/>
            <w:tcBorders>
              <w:top w:val="single" w:sz="4" w:space="0" w:color="auto"/>
              <w:left w:val="single" w:sz="4" w:space="0" w:color="auto"/>
            </w:tcBorders>
            <w:shd w:val="clear" w:color="auto" w:fill="FFFFFF"/>
            <w:vAlign w:val="center"/>
          </w:tcPr>
          <w:p w14:paraId="1D3651A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c>
          <w:tcPr>
            <w:tcW w:w="1085" w:type="dxa"/>
            <w:tcBorders>
              <w:top w:val="single" w:sz="4" w:space="0" w:color="auto"/>
              <w:left w:val="single" w:sz="4" w:space="0" w:color="auto"/>
              <w:right w:val="single" w:sz="4" w:space="0" w:color="auto"/>
            </w:tcBorders>
            <w:shd w:val="clear" w:color="auto" w:fill="FFFFFF"/>
            <w:vAlign w:val="center"/>
          </w:tcPr>
          <w:p w14:paraId="47E86EA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15C1FBF8" w14:textId="77777777">
        <w:trPr>
          <w:trHeight w:hRule="exact" w:val="552"/>
          <w:jc w:val="center"/>
        </w:trPr>
        <w:tc>
          <w:tcPr>
            <w:tcW w:w="1099" w:type="dxa"/>
            <w:vMerge/>
            <w:tcBorders>
              <w:left w:val="single" w:sz="4" w:space="0" w:color="auto"/>
              <w:bottom w:val="single" w:sz="4" w:space="0" w:color="auto"/>
            </w:tcBorders>
            <w:shd w:val="clear" w:color="auto" w:fill="FFFFFF"/>
          </w:tcPr>
          <w:p w14:paraId="3C159A04" w14:textId="77777777" w:rsidR="00350D42" w:rsidRDefault="00350D42">
            <w:pPr>
              <w:framePr w:w="6581" w:wrap="notBeside" w:vAnchor="text" w:hAnchor="text" w:xAlign="center" w:y="1"/>
            </w:pPr>
          </w:p>
        </w:tc>
        <w:tc>
          <w:tcPr>
            <w:tcW w:w="998" w:type="dxa"/>
            <w:vMerge/>
            <w:tcBorders>
              <w:left w:val="single" w:sz="4" w:space="0" w:color="auto"/>
              <w:bottom w:val="single" w:sz="4" w:space="0" w:color="auto"/>
            </w:tcBorders>
            <w:shd w:val="clear" w:color="auto" w:fill="FFFFFF"/>
          </w:tcPr>
          <w:p w14:paraId="23C24D9E" w14:textId="77777777" w:rsidR="00350D42" w:rsidRDefault="00350D42">
            <w:pPr>
              <w:framePr w:w="6581" w:wrap="notBeside" w:vAnchor="text" w:hAnchor="text" w:xAlign="center" w:y="1"/>
            </w:pPr>
          </w:p>
        </w:tc>
        <w:tc>
          <w:tcPr>
            <w:tcW w:w="1013" w:type="dxa"/>
            <w:vMerge/>
            <w:tcBorders>
              <w:left w:val="single" w:sz="4" w:space="0" w:color="auto"/>
              <w:bottom w:val="single" w:sz="4" w:space="0" w:color="auto"/>
            </w:tcBorders>
            <w:shd w:val="clear" w:color="auto" w:fill="FFFFFF"/>
          </w:tcPr>
          <w:p w14:paraId="702868C8" w14:textId="77777777" w:rsidR="00350D42" w:rsidRDefault="00350D42">
            <w:pPr>
              <w:framePr w:w="6581" w:wrap="notBeside" w:vAnchor="text" w:hAnchor="text" w:xAlign="center" w:y="1"/>
            </w:pPr>
          </w:p>
        </w:tc>
        <w:tc>
          <w:tcPr>
            <w:tcW w:w="1354" w:type="dxa"/>
            <w:tcBorders>
              <w:top w:val="single" w:sz="4" w:space="0" w:color="auto"/>
              <w:left w:val="single" w:sz="4" w:space="0" w:color="auto"/>
              <w:bottom w:val="single" w:sz="4" w:space="0" w:color="auto"/>
            </w:tcBorders>
            <w:shd w:val="clear" w:color="auto" w:fill="FFFFFF"/>
            <w:vAlign w:val="center"/>
          </w:tcPr>
          <w:p w14:paraId="5948BE4F" w14:textId="77777777" w:rsidR="00350D42" w:rsidRDefault="008E6F64">
            <w:pPr>
              <w:pStyle w:val="2c"/>
              <w:framePr w:w="6581" w:wrap="notBeside" w:vAnchor="text" w:hAnchor="text" w:xAlign="center" w:y="1"/>
              <w:shd w:val="clear" w:color="auto" w:fill="auto"/>
              <w:spacing w:before="0" w:line="168" w:lineRule="exact"/>
            </w:pPr>
            <w:r>
              <w:rPr>
                <w:rStyle w:val="275pt0"/>
              </w:rPr>
              <w:t>Финансовое</w:t>
            </w:r>
          </w:p>
          <w:p w14:paraId="56B9CE11" w14:textId="77777777" w:rsidR="00350D42" w:rsidRDefault="008E6F64">
            <w:pPr>
              <w:pStyle w:val="2c"/>
              <w:framePr w:w="6581" w:wrap="notBeside" w:vAnchor="text" w:hAnchor="text" w:xAlign="center" w:y="1"/>
              <w:shd w:val="clear" w:color="auto" w:fill="auto"/>
              <w:spacing w:before="0" w:line="168" w:lineRule="exact"/>
            </w:pPr>
            <w:r>
              <w:rPr>
                <w:rStyle w:val="275pt0"/>
              </w:rPr>
              <w:t>состояние</w:t>
            </w:r>
          </w:p>
        </w:tc>
        <w:tc>
          <w:tcPr>
            <w:tcW w:w="1032" w:type="dxa"/>
            <w:tcBorders>
              <w:top w:val="single" w:sz="4" w:space="0" w:color="auto"/>
              <w:left w:val="single" w:sz="4" w:space="0" w:color="auto"/>
              <w:bottom w:val="single" w:sz="4" w:space="0" w:color="auto"/>
            </w:tcBorders>
            <w:shd w:val="clear" w:color="auto" w:fill="FFFFFF"/>
            <w:vAlign w:val="center"/>
          </w:tcPr>
          <w:p w14:paraId="3123353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c>
          <w:tcPr>
            <w:tcW w:w="1085" w:type="dxa"/>
            <w:tcBorders>
              <w:top w:val="single" w:sz="4" w:space="0" w:color="auto"/>
              <w:left w:val="single" w:sz="4" w:space="0" w:color="auto"/>
              <w:bottom w:val="single" w:sz="4" w:space="0" w:color="auto"/>
              <w:right w:val="single" w:sz="4" w:space="0" w:color="auto"/>
            </w:tcBorders>
            <w:shd w:val="clear" w:color="auto" w:fill="FFFFFF"/>
            <w:vAlign w:val="center"/>
          </w:tcPr>
          <w:p w14:paraId="2EBCA2E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bl>
    <w:p w14:paraId="4DEC053A" w14:textId="77777777" w:rsidR="00350D42" w:rsidRDefault="00350D42">
      <w:pPr>
        <w:framePr w:w="6581" w:wrap="notBeside" w:vAnchor="text" w:hAnchor="text" w:xAlign="center" w:y="1"/>
        <w:rPr>
          <w:sz w:val="2"/>
          <w:szCs w:val="2"/>
        </w:rPr>
      </w:pPr>
    </w:p>
    <w:p w14:paraId="72915B62" w14:textId="77777777" w:rsidR="00350D42" w:rsidRDefault="00350D42">
      <w:pPr>
        <w:rPr>
          <w:sz w:val="2"/>
          <w:szCs w:val="2"/>
        </w:rPr>
        <w:sectPr w:rsidR="00350D42">
          <w:footerReference w:type="even" r:id="rId184"/>
          <w:footerReference w:type="default" r:id="rId185"/>
          <w:footerReference w:type="first" r:id="rId186"/>
          <w:pgSz w:w="8789" w:h="13493"/>
          <w:pgMar w:top="892" w:right="1073" w:bottom="1151" w:left="1069"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99"/>
        <w:gridCol w:w="998"/>
        <w:gridCol w:w="1013"/>
        <w:gridCol w:w="1354"/>
        <w:gridCol w:w="1032"/>
        <w:gridCol w:w="1085"/>
      </w:tblGrid>
      <w:tr w:rsidR="00350D42" w14:paraId="574BA391" w14:textId="77777777">
        <w:trPr>
          <w:trHeight w:hRule="exact" w:val="331"/>
          <w:jc w:val="center"/>
        </w:trPr>
        <w:tc>
          <w:tcPr>
            <w:tcW w:w="1099" w:type="dxa"/>
            <w:tcBorders>
              <w:top w:val="single" w:sz="4" w:space="0" w:color="auto"/>
              <w:left w:val="single" w:sz="4" w:space="0" w:color="auto"/>
            </w:tcBorders>
            <w:shd w:val="clear" w:color="auto" w:fill="FFFFFF"/>
            <w:vAlign w:val="bottom"/>
          </w:tcPr>
          <w:p w14:paraId="4D6BAC39" w14:textId="77777777" w:rsidR="00350D42" w:rsidRDefault="008E6F64">
            <w:pPr>
              <w:pStyle w:val="2c"/>
              <w:framePr w:w="6581" w:wrap="notBeside" w:vAnchor="text" w:hAnchor="text" w:xAlign="center" w:y="1"/>
              <w:shd w:val="clear" w:color="auto" w:fill="auto"/>
              <w:spacing w:before="0" w:line="176" w:lineRule="exact"/>
              <w:ind w:left="200"/>
              <w:jc w:val="left"/>
            </w:pPr>
            <w:r>
              <w:rPr>
                <w:rStyle w:val="275pt"/>
              </w:rPr>
              <w:lastRenderedPageBreak/>
              <w:t>Направ-</w:t>
            </w:r>
          </w:p>
        </w:tc>
        <w:tc>
          <w:tcPr>
            <w:tcW w:w="2011" w:type="dxa"/>
            <w:gridSpan w:val="2"/>
            <w:tcBorders>
              <w:top w:val="single" w:sz="4" w:space="0" w:color="auto"/>
              <w:left w:val="single" w:sz="4" w:space="0" w:color="auto"/>
            </w:tcBorders>
            <w:shd w:val="clear" w:color="auto" w:fill="FFFFFF"/>
            <w:vAlign w:val="bottom"/>
          </w:tcPr>
          <w:p w14:paraId="36BAD6A8"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Удельный вес</w:t>
            </w:r>
          </w:p>
        </w:tc>
        <w:tc>
          <w:tcPr>
            <w:tcW w:w="1354" w:type="dxa"/>
            <w:tcBorders>
              <w:top w:val="single" w:sz="4" w:space="0" w:color="auto"/>
              <w:left w:val="single" w:sz="4" w:space="0" w:color="auto"/>
            </w:tcBorders>
            <w:shd w:val="clear" w:color="auto" w:fill="FFFFFF"/>
            <w:vAlign w:val="bottom"/>
          </w:tcPr>
          <w:p w14:paraId="38C9BD9A" w14:textId="77777777" w:rsidR="00350D42" w:rsidRDefault="008E6F64">
            <w:pPr>
              <w:pStyle w:val="2c"/>
              <w:framePr w:w="6581" w:wrap="notBeside" w:vAnchor="text" w:hAnchor="text" w:xAlign="center" w:y="1"/>
              <w:shd w:val="clear" w:color="auto" w:fill="auto"/>
              <w:spacing w:before="0" w:line="176" w:lineRule="exact"/>
              <w:ind w:left="180"/>
              <w:jc w:val="left"/>
            </w:pPr>
            <w:r>
              <w:rPr>
                <w:rStyle w:val="275pt"/>
              </w:rPr>
              <w:t>Показатели</w:t>
            </w:r>
          </w:p>
        </w:tc>
        <w:tc>
          <w:tcPr>
            <w:tcW w:w="2117" w:type="dxa"/>
            <w:gridSpan w:val="2"/>
            <w:tcBorders>
              <w:top w:val="single" w:sz="4" w:space="0" w:color="auto"/>
              <w:left w:val="single" w:sz="4" w:space="0" w:color="auto"/>
              <w:right w:val="single" w:sz="4" w:space="0" w:color="auto"/>
            </w:tcBorders>
            <w:shd w:val="clear" w:color="auto" w:fill="FFFFFF"/>
            <w:vAlign w:val="bottom"/>
          </w:tcPr>
          <w:p w14:paraId="2E7B9D3B"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Удельный вес</w:t>
            </w:r>
          </w:p>
        </w:tc>
      </w:tr>
      <w:tr w:rsidR="00350D42" w14:paraId="102A564D" w14:textId="77777777">
        <w:trPr>
          <w:trHeight w:hRule="exact" w:val="989"/>
          <w:jc w:val="center"/>
        </w:trPr>
        <w:tc>
          <w:tcPr>
            <w:tcW w:w="1099" w:type="dxa"/>
            <w:tcBorders>
              <w:left w:val="single" w:sz="4" w:space="0" w:color="auto"/>
            </w:tcBorders>
            <w:shd w:val="clear" w:color="auto" w:fill="FFFFFF"/>
          </w:tcPr>
          <w:p w14:paraId="0BCEE84A"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ления</w:t>
            </w:r>
          </w:p>
          <w:p w14:paraId="1BB226F7"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анализа</w:t>
            </w:r>
          </w:p>
        </w:tc>
        <w:tc>
          <w:tcPr>
            <w:tcW w:w="998" w:type="dxa"/>
            <w:tcBorders>
              <w:top w:val="single" w:sz="4" w:space="0" w:color="auto"/>
              <w:left w:val="single" w:sz="4" w:space="0" w:color="auto"/>
            </w:tcBorders>
            <w:shd w:val="clear" w:color="auto" w:fill="FFFFFF"/>
            <w:vAlign w:val="bottom"/>
          </w:tcPr>
          <w:p w14:paraId="1C8DA188"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про</w:t>
            </w:r>
            <w:r>
              <w:rPr>
                <w:rStyle w:val="275pt"/>
              </w:rPr>
              <w:softHyphen/>
            </w:r>
          </w:p>
          <w:p w14:paraId="007AA30B"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ектное</w:t>
            </w:r>
          </w:p>
          <w:p w14:paraId="7BCD9F28" w14:textId="77777777" w:rsidR="00350D42" w:rsidRDefault="008E6F64">
            <w:pPr>
              <w:pStyle w:val="2c"/>
              <w:framePr w:w="6581" w:wrap="notBeside" w:vAnchor="text" w:hAnchor="text" w:xAlign="center" w:y="1"/>
              <w:shd w:val="clear" w:color="auto" w:fill="auto"/>
              <w:spacing w:before="0" w:line="221" w:lineRule="exact"/>
              <w:jc w:val="left"/>
            </w:pPr>
            <w:r>
              <w:rPr>
                <w:rStyle w:val="275pt"/>
              </w:rPr>
              <w:t>финанси</w:t>
            </w:r>
            <w:r>
              <w:rPr>
                <w:rStyle w:val="275pt"/>
              </w:rPr>
              <w:softHyphen/>
            </w:r>
          </w:p>
          <w:p w14:paraId="1A5FAA49" w14:textId="77777777" w:rsidR="00350D42" w:rsidRDefault="008E6F64">
            <w:pPr>
              <w:pStyle w:val="2c"/>
              <w:framePr w:w="6581" w:wrap="notBeside" w:vAnchor="text" w:hAnchor="text" w:xAlign="center" w:y="1"/>
              <w:shd w:val="clear" w:color="auto" w:fill="auto"/>
              <w:spacing w:before="0" w:line="221" w:lineRule="exact"/>
              <w:jc w:val="left"/>
            </w:pPr>
            <w:r>
              <w:rPr>
                <w:rStyle w:val="275pt"/>
              </w:rPr>
              <w:t>рование</w:t>
            </w:r>
          </w:p>
        </w:tc>
        <w:tc>
          <w:tcPr>
            <w:tcW w:w="1013" w:type="dxa"/>
            <w:tcBorders>
              <w:top w:val="single" w:sz="4" w:space="0" w:color="auto"/>
              <w:left w:val="single" w:sz="4" w:space="0" w:color="auto"/>
            </w:tcBorders>
            <w:shd w:val="clear" w:color="auto" w:fill="FFFFFF"/>
            <w:vAlign w:val="bottom"/>
          </w:tcPr>
          <w:p w14:paraId="63146EFC" w14:textId="77777777" w:rsidR="00350D42" w:rsidRDefault="008E6F64">
            <w:pPr>
              <w:pStyle w:val="2c"/>
              <w:framePr w:w="6581" w:wrap="notBeside" w:vAnchor="text" w:hAnchor="text" w:xAlign="center" w:y="1"/>
              <w:shd w:val="clear" w:color="auto" w:fill="auto"/>
              <w:spacing w:before="0" w:line="221" w:lineRule="exact"/>
              <w:jc w:val="left"/>
            </w:pPr>
            <w:r>
              <w:rPr>
                <w:rStyle w:val="275pt"/>
              </w:rPr>
              <w:t>инвести</w:t>
            </w:r>
            <w:r>
              <w:rPr>
                <w:rStyle w:val="275pt"/>
              </w:rPr>
              <w:softHyphen/>
            </w:r>
          </w:p>
          <w:p w14:paraId="21F2A9CB" w14:textId="77777777" w:rsidR="00350D42" w:rsidRDefault="008E6F64">
            <w:pPr>
              <w:pStyle w:val="2c"/>
              <w:framePr w:w="6581" w:wrap="notBeside" w:vAnchor="text" w:hAnchor="text" w:xAlign="center" w:y="1"/>
              <w:shd w:val="clear" w:color="auto" w:fill="auto"/>
              <w:spacing w:before="0" w:line="221" w:lineRule="exact"/>
              <w:jc w:val="left"/>
            </w:pPr>
            <w:r>
              <w:rPr>
                <w:rStyle w:val="275pt"/>
              </w:rPr>
              <w:t>ционное</w:t>
            </w:r>
          </w:p>
          <w:p w14:paraId="756887F7" w14:textId="77777777" w:rsidR="00350D42" w:rsidRDefault="008E6F64">
            <w:pPr>
              <w:pStyle w:val="2c"/>
              <w:framePr w:w="6581" w:wrap="notBeside" w:vAnchor="text" w:hAnchor="text" w:xAlign="center" w:y="1"/>
              <w:shd w:val="clear" w:color="auto" w:fill="auto"/>
              <w:spacing w:before="0" w:line="221" w:lineRule="exact"/>
              <w:jc w:val="left"/>
            </w:pPr>
            <w:r>
              <w:rPr>
                <w:rStyle w:val="275pt"/>
              </w:rPr>
              <w:t>кредито</w:t>
            </w:r>
            <w:r>
              <w:rPr>
                <w:rStyle w:val="275pt"/>
              </w:rPr>
              <w:softHyphen/>
            </w:r>
          </w:p>
          <w:p w14:paraId="463509EA"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вание</w:t>
            </w:r>
          </w:p>
        </w:tc>
        <w:tc>
          <w:tcPr>
            <w:tcW w:w="1354" w:type="dxa"/>
            <w:tcBorders>
              <w:left w:val="single" w:sz="4" w:space="0" w:color="auto"/>
            </w:tcBorders>
            <w:shd w:val="clear" w:color="auto" w:fill="FFFFFF"/>
          </w:tcPr>
          <w:p w14:paraId="7BCA2128" w14:textId="77777777" w:rsidR="00350D42" w:rsidRDefault="00350D42">
            <w:pPr>
              <w:framePr w:w="6581" w:wrap="notBeside" w:vAnchor="text" w:hAnchor="text" w:xAlign="center" w:y="1"/>
              <w:rPr>
                <w:sz w:val="10"/>
                <w:szCs w:val="10"/>
              </w:rPr>
            </w:pPr>
          </w:p>
        </w:tc>
        <w:tc>
          <w:tcPr>
            <w:tcW w:w="1032" w:type="dxa"/>
            <w:tcBorders>
              <w:top w:val="single" w:sz="4" w:space="0" w:color="auto"/>
              <w:left w:val="single" w:sz="4" w:space="0" w:color="auto"/>
            </w:tcBorders>
            <w:shd w:val="clear" w:color="auto" w:fill="FFFFFF"/>
            <w:vAlign w:val="bottom"/>
          </w:tcPr>
          <w:p w14:paraId="146702DB"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про</w:t>
            </w:r>
            <w:r>
              <w:rPr>
                <w:rStyle w:val="275pt"/>
              </w:rPr>
              <w:softHyphen/>
            </w:r>
          </w:p>
          <w:p w14:paraId="4EE540D5"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ектное</w:t>
            </w:r>
          </w:p>
          <w:p w14:paraId="4BF50AD6" w14:textId="77777777" w:rsidR="00350D42" w:rsidRDefault="008E6F64">
            <w:pPr>
              <w:pStyle w:val="2c"/>
              <w:framePr w:w="6581" w:wrap="notBeside" w:vAnchor="text" w:hAnchor="text" w:xAlign="center" w:y="1"/>
              <w:shd w:val="clear" w:color="auto" w:fill="auto"/>
              <w:spacing w:before="0" w:line="221" w:lineRule="exact"/>
              <w:jc w:val="left"/>
            </w:pPr>
            <w:r>
              <w:rPr>
                <w:rStyle w:val="275pt"/>
              </w:rPr>
              <w:t>финанси</w:t>
            </w:r>
            <w:r>
              <w:rPr>
                <w:rStyle w:val="275pt"/>
              </w:rPr>
              <w:softHyphen/>
            </w:r>
          </w:p>
          <w:p w14:paraId="12AD9D52" w14:textId="77777777" w:rsidR="00350D42" w:rsidRDefault="008E6F64">
            <w:pPr>
              <w:pStyle w:val="2c"/>
              <w:framePr w:w="6581" w:wrap="notBeside" w:vAnchor="text" w:hAnchor="text" w:xAlign="center" w:y="1"/>
              <w:shd w:val="clear" w:color="auto" w:fill="auto"/>
              <w:spacing w:before="0" w:line="221" w:lineRule="exact"/>
              <w:jc w:val="left"/>
            </w:pPr>
            <w:r>
              <w:rPr>
                <w:rStyle w:val="275pt"/>
              </w:rPr>
              <w:t>рование</w:t>
            </w:r>
          </w:p>
        </w:tc>
        <w:tc>
          <w:tcPr>
            <w:tcW w:w="1085" w:type="dxa"/>
            <w:tcBorders>
              <w:top w:val="single" w:sz="4" w:space="0" w:color="auto"/>
              <w:left w:val="single" w:sz="4" w:space="0" w:color="auto"/>
              <w:right w:val="single" w:sz="4" w:space="0" w:color="auto"/>
            </w:tcBorders>
            <w:shd w:val="clear" w:color="auto" w:fill="FFFFFF"/>
            <w:vAlign w:val="bottom"/>
          </w:tcPr>
          <w:p w14:paraId="297903A5" w14:textId="77777777" w:rsidR="00350D42" w:rsidRDefault="008E6F64">
            <w:pPr>
              <w:pStyle w:val="2c"/>
              <w:framePr w:w="6581" w:wrap="notBeside" w:vAnchor="text" w:hAnchor="text" w:xAlign="center" w:y="1"/>
              <w:shd w:val="clear" w:color="auto" w:fill="auto"/>
              <w:spacing w:before="0" w:line="221" w:lineRule="exact"/>
              <w:ind w:left="160"/>
              <w:jc w:val="left"/>
            </w:pPr>
            <w:r>
              <w:rPr>
                <w:rStyle w:val="275pt"/>
              </w:rPr>
              <w:t>инвести</w:t>
            </w:r>
            <w:r>
              <w:rPr>
                <w:rStyle w:val="275pt"/>
              </w:rPr>
              <w:softHyphen/>
            </w:r>
          </w:p>
          <w:p w14:paraId="228D94E7" w14:textId="77777777" w:rsidR="00350D42" w:rsidRDefault="008E6F64">
            <w:pPr>
              <w:pStyle w:val="2c"/>
              <w:framePr w:w="6581" w:wrap="notBeside" w:vAnchor="text" w:hAnchor="text" w:xAlign="center" w:y="1"/>
              <w:shd w:val="clear" w:color="auto" w:fill="auto"/>
              <w:spacing w:before="0" w:line="221" w:lineRule="exact"/>
              <w:ind w:left="160"/>
              <w:jc w:val="left"/>
            </w:pPr>
            <w:r>
              <w:rPr>
                <w:rStyle w:val="275pt"/>
              </w:rPr>
              <w:t>ционное</w:t>
            </w:r>
          </w:p>
          <w:p w14:paraId="2C963218" w14:textId="77777777" w:rsidR="00350D42" w:rsidRDefault="008E6F64">
            <w:pPr>
              <w:pStyle w:val="2c"/>
              <w:framePr w:w="6581" w:wrap="notBeside" w:vAnchor="text" w:hAnchor="text" w:xAlign="center" w:y="1"/>
              <w:shd w:val="clear" w:color="auto" w:fill="auto"/>
              <w:spacing w:before="0" w:line="221" w:lineRule="exact"/>
              <w:ind w:left="160"/>
              <w:jc w:val="left"/>
            </w:pPr>
            <w:r>
              <w:rPr>
                <w:rStyle w:val="275pt"/>
              </w:rPr>
              <w:t>кредито</w:t>
            </w:r>
            <w:r>
              <w:rPr>
                <w:rStyle w:val="275pt"/>
              </w:rPr>
              <w:softHyphen/>
            </w:r>
          </w:p>
          <w:p w14:paraId="190C83D6" w14:textId="77777777" w:rsidR="00350D42" w:rsidRDefault="008E6F64">
            <w:pPr>
              <w:pStyle w:val="2c"/>
              <w:framePr w:w="6581" w:wrap="notBeside" w:vAnchor="text" w:hAnchor="text" w:xAlign="center" w:y="1"/>
              <w:shd w:val="clear" w:color="auto" w:fill="auto"/>
              <w:spacing w:before="0" w:line="221" w:lineRule="exact"/>
              <w:jc w:val="center"/>
            </w:pPr>
            <w:r>
              <w:rPr>
                <w:rStyle w:val="275pt"/>
              </w:rPr>
              <w:t>вание</w:t>
            </w:r>
          </w:p>
        </w:tc>
      </w:tr>
      <w:tr w:rsidR="00350D42" w14:paraId="2A08A93A" w14:textId="77777777">
        <w:trPr>
          <w:trHeight w:hRule="exact" w:val="542"/>
          <w:jc w:val="center"/>
        </w:trPr>
        <w:tc>
          <w:tcPr>
            <w:tcW w:w="1099" w:type="dxa"/>
            <w:tcBorders>
              <w:top w:val="single" w:sz="4" w:space="0" w:color="auto"/>
              <w:left w:val="single" w:sz="4" w:space="0" w:color="auto"/>
            </w:tcBorders>
            <w:shd w:val="clear" w:color="auto" w:fill="FFFFFF"/>
          </w:tcPr>
          <w:p w14:paraId="433D8C3C" w14:textId="77777777" w:rsidR="00350D42" w:rsidRDefault="00350D42">
            <w:pPr>
              <w:framePr w:w="6581" w:wrap="notBeside" w:vAnchor="text" w:hAnchor="text" w:xAlign="center" w:y="1"/>
              <w:rPr>
                <w:sz w:val="10"/>
                <w:szCs w:val="10"/>
              </w:rPr>
            </w:pPr>
          </w:p>
        </w:tc>
        <w:tc>
          <w:tcPr>
            <w:tcW w:w="998" w:type="dxa"/>
            <w:tcBorders>
              <w:top w:val="single" w:sz="4" w:space="0" w:color="auto"/>
              <w:left w:val="single" w:sz="4" w:space="0" w:color="auto"/>
            </w:tcBorders>
            <w:shd w:val="clear" w:color="auto" w:fill="FFFFFF"/>
          </w:tcPr>
          <w:p w14:paraId="2B399F7B"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CA808AD"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14:paraId="3561AA44"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Деловая репу</w:t>
            </w:r>
            <w:r>
              <w:rPr>
                <w:rStyle w:val="275pt0"/>
              </w:rPr>
              <w:softHyphen/>
              <w:t>тация</w:t>
            </w:r>
          </w:p>
        </w:tc>
        <w:tc>
          <w:tcPr>
            <w:tcW w:w="1032" w:type="dxa"/>
            <w:tcBorders>
              <w:top w:val="single" w:sz="4" w:space="0" w:color="auto"/>
              <w:left w:val="single" w:sz="4" w:space="0" w:color="auto"/>
            </w:tcBorders>
            <w:shd w:val="clear" w:color="auto" w:fill="FFFFFF"/>
            <w:vAlign w:val="center"/>
          </w:tcPr>
          <w:p w14:paraId="7ECDCF3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c>
          <w:tcPr>
            <w:tcW w:w="1085" w:type="dxa"/>
            <w:tcBorders>
              <w:top w:val="single" w:sz="4" w:space="0" w:color="auto"/>
              <w:left w:val="single" w:sz="4" w:space="0" w:color="auto"/>
              <w:right w:val="single" w:sz="4" w:space="0" w:color="auto"/>
            </w:tcBorders>
            <w:shd w:val="clear" w:color="auto" w:fill="FFFFFF"/>
            <w:vAlign w:val="center"/>
          </w:tcPr>
          <w:p w14:paraId="38943D8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5E696658" w14:textId="77777777">
        <w:trPr>
          <w:trHeight w:hRule="exact" w:val="768"/>
          <w:jc w:val="center"/>
        </w:trPr>
        <w:tc>
          <w:tcPr>
            <w:tcW w:w="1099" w:type="dxa"/>
            <w:tcBorders>
              <w:top w:val="single" w:sz="4" w:space="0" w:color="auto"/>
              <w:left w:val="single" w:sz="4" w:space="0" w:color="auto"/>
            </w:tcBorders>
            <w:shd w:val="clear" w:color="auto" w:fill="FFFFFF"/>
            <w:vAlign w:val="center"/>
          </w:tcPr>
          <w:p w14:paraId="2950D95C"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Характе</w:t>
            </w:r>
            <w:r>
              <w:rPr>
                <w:rStyle w:val="275pt0"/>
              </w:rPr>
              <w:softHyphen/>
            </w:r>
          </w:p>
          <w:p w14:paraId="1DAF563F"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ристика</w:t>
            </w:r>
          </w:p>
          <w:p w14:paraId="6A8C6EB9"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проекта</w:t>
            </w:r>
          </w:p>
        </w:tc>
        <w:tc>
          <w:tcPr>
            <w:tcW w:w="998" w:type="dxa"/>
            <w:tcBorders>
              <w:top w:val="single" w:sz="4" w:space="0" w:color="auto"/>
              <w:left w:val="single" w:sz="4" w:space="0" w:color="auto"/>
            </w:tcBorders>
            <w:shd w:val="clear" w:color="auto" w:fill="FFFFFF"/>
          </w:tcPr>
          <w:p w14:paraId="2880A61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0,6</w:t>
            </w:r>
          </w:p>
        </w:tc>
        <w:tc>
          <w:tcPr>
            <w:tcW w:w="1013" w:type="dxa"/>
            <w:tcBorders>
              <w:top w:val="single" w:sz="4" w:space="0" w:color="auto"/>
              <w:left w:val="single" w:sz="4" w:space="0" w:color="auto"/>
            </w:tcBorders>
            <w:shd w:val="clear" w:color="auto" w:fill="FFFFFF"/>
          </w:tcPr>
          <w:p w14:paraId="6A71B0D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c>
          <w:tcPr>
            <w:tcW w:w="1354" w:type="dxa"/>
            <w:tcBorders>
              <w:top w:val="single" w:sz="4" w:space="0" w:color="auto"/>
              <w:left w:val="single" w:sz="4" w:space="0" w:color="auto"/>
            </w:tcBorders>
            <w:shd w:val="clear" w:color="auto" w:fill="FFFFFF"/>
            <w:vAlign w:val="center"/>
          </w:tcPr>
          <w:p w14:paraId="269A80E0"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Финансово-</w:t>
            </w:r>
          </w:p>
          <w:p w14:paraId="104ED783"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экономиче</w:t>
            </w:r>
            <w:r>
              <w:rPr>
                <w:rStyle w:val="275pt0"/>
              </w:rPr>
              <w:softHyphen/>
              <w:t>ская модель</w:t>
            </w:r>
          </w:p>
        </w:tc>
        <w:tc>
          <w:tcPr>
            <w:tcW w:w="1032" w:type="dxa"/>
            <w:tcBorders>
              <w:top w:val="single" w:sz="4" w:space="0" w:color="auto"/>
              <w:left w:val="single" w:sz="4" w:space="0" w:color="auto"/>
            </w:tcBorders>
            <w:shd w:val="clear" w:color="auto" w:fill="FFFFFF"/>
          </w:tcPr>
          <w:p w14:paraId="3BAE70A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c>
          <w:tcPr>
            <w:tcW w:w="1085" w:type="dxa"/>
            <w:tcBorders>
              <w:top w:val="single" w:sz="4" w:space="0" w:color="auto"/>
              <w:left w:val="single" w:sz="4" w:space="0" w:color="auto"/>
              <w:right w:val="single" w:sz="4" w:space="0" w:color="auto"/>
            </w:tcBorders>
            <w:shd w:val="clear" w:color="auto" w:fill="FFFFFF"/>
          </w:tcPr>
          <w:p w14:paraId="2E250CD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r>
      <w:tr w:rsidR="00350D42" w14:paraId="1874F2AC" w14:textId="77777777">
        <w:trPr>
          <w:trHeight w:hRule="exact" w:val="586"/>
          <w:jc w:val="center"/>
        </w:trPr>
        <w:tc>
          <w:tcPr>
            <w:tcW w:w="1099" w:type="dxa"/>
            <w:tcBorders>
              <w:left w:val="single" w:sz="4" w:space="0" w:color="auto"/>
            </w:tcBorders>
            <w:shd w:val="clear" w:color="auto" w:fill="FFFFFF"/>
          </w:tcPr>
          <w:p w14:paraId="0C88358F" w14:textId="77777777" w:rsidR="00350D42" w:rsidRDefault="00350D42">
            <w:pPr>
              <w:framePr w:w="6581" w:wrap="notBeside" w:vAnchor="text" w:hAnchor="text" w:xAlign="center" w:y="1"/>
              <w:rPr>
                <w:sz w:val="10"/>
                <w:szCs w:val="10"/>
              </w:rPr>
            </w:pPr>
          </w:p>
        </w:tc>
        <w:tc>
          <w:tcPr>
            <w:tcW w:w="998" w:type="dxa"/>
            <w:tcBorders>
              <w:left w:val="single" w:sz="4" w:space="0" w:color="auto"/>
            </w:tcBorders>
            <w:shd w:val="clear" w:color="auto" w:fill="FFFFFF"/>
          </w:tcPr>
          <w:p w14:paraId="607B5E87"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77E647FE"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14:paraId="5864CB24"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Сбыт продук</w:t>
            </w:r>
            <w:r>
              <w:rPr>
                <w:rStyle w:val="275pt0"/>
              </w:rPr>
              <w:softHyphen/>
              <w:t>ции (услуг)</w:t>
            </w:r>
          </w:p>
        </w:tc>
        <w:tc>
          <w:tcPr>
            <w:tcW w:w="1032" w:type="dxa"/>
            <w:tcBorders>
              <w:top w:val="single" w:sz="4" w:space="0" w:color="auto"/>
              <w:left w:val="single" w:sz="4" w:space="0" w:color="auto"/>
            </w:tcBorders>
            <w:shd w:val="clear" w:color="auto" w:fill="FFFFFF"/>
            <w:vAlign w:val="center"/>
          </w:tcPr>
          <w:p w14:paraId="2DD2054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c>
          <w:tcPr>
            <w:tcW w:w="1085" w:type="dxa"/>
            <w:tcBorders>
              <w:top w:val="single" w:sz="4" w:space="0" w:color="auto"/>
              <w:left w:val="single" w:sz="4" w:space="0" w:color="auto"/>
              <w:right w:val="single" w:sz="4" w:space="0" w:color="auto"/>
            </w:tcBorders>
            <w:shd w:val="clear" w:color="auto" w:fill="FFFFFF"/>
          </w:tcPr>
          <w:p w14:paraId="6D20A55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0,15</w:t>
            </w:r>
          </w:p>
        </w:tc>
      </w:tr>
      <w:tr w:rsidR="00350D42" w14:paraId="090A40C0" w14:textId="77777777">
        <w:trPr>
          <w:trHeight w:hRule="exact" w:val="590"/>
          <w:jc w:val="center"/>
        </w:trPr>
        <w:tc>
          <w:tcPr>
            <w:tcW w:w="1099" w:type="dxa"/>
            <w:tcBorders>
              <w:left w:val="single" w:sz="4" w:space="0" w:color="auto"/>
            </w:tcBorders>
            <w:shd w:val="clear" w:color="auto" w:fill="FFFFFF"/>
          </w:tcPr>
          <w:p w14:paraId="598E7D23" w14:textId="77777777" w:rsidR="00350D42" w:rsidRDefault="00350D42">
            <w:pPr>
              <w:framePr w:w="6581" w:wrap="notBeside" w:vAnchor="text" w:hAnchor="text" w:xAlign="center" w:y="1"/>
              <w:rPr>
                <w:sz w:val="10"/>
                <w:szCs w:val="10"/>
              </w:rPr>
            </w:pPr>
          </w:p>
        </w:tc>
        <w:tc>
          <w:tcPr>
            <w:tcW w:w="998" w:type="dxa"/>
            <w:tcBorders>
              <w:left w:val="single" w:sz="4" w:space="0" w:color="auto"/>
            </w:tcBorders>
            <w:shd w:val="clear" w:color="auto" w:fill="FFFFFF"/>
          </w:tcPr>
          <w:p w14:paraId="4A637A96"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562A248"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14:paraId="13F8A38A"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Снабжение</w:t>
            </w:r>
          </w:p>
          <w:p w14:paraId="44A69084"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ресурсами</w:t>
            </w:r>
          </w:p>
        </w:tc>
        <w:tc>
          <w:tcPr>
            <w:tcW w:w="1032" w:type="dxa"/>
            <w:tcBorders>
              <w:top w:val="single" w:sz="4" w:space="0" w:color="auto"/>
              <w:left w:val="single" w:sz="4" w:space="0" w:color="auto"/>
            </w:tcBorders>
            <w:shd w:val="clear" w:color="auto" w:fill="FFFFFF"/>
            <w:vAlign w:val="center"/>
          </w:tcPr>
          <w:p w14:paraId="4502F85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c>
          <w:tcPr>
            <w:tcW w:w="1085" w:type="dxa"/>
            <w:tcBorders>
              <w:top w:val="single" w:sz="4" w:space="0" w:color="auto"/>
              <w:left w:val="single" w:sz="4" w:space="0" w:color="auto"/>
              <w:right w:val="single" w:sz="4" w:space="0" w:color="auto"/>
            </w:tcBorders>
            <w:shd w:val="clear" w:color="auto" w:fill="FFFFFF"/>
          </w:tcPr>
          <w:p w14:paraId="1DFCDF2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0,15</w:t>
            </w:r>
          </w:p>
        </w:tc>
      </w:tr>
      <w:tr w:rsidR="00350D42" w14:paraId="765767A1" w14:textId="77777777">
        <w:trPr>
          <w:trHeight w:hRule="exact" w:val="586"/>
          <w:jc w:val="center"/>
        </w:trPr>
        <w:tc>
          <w:tcPr>
            <w:tcW w:w="1099" w:type="dxa"/>
            <w:tcBorders>
              <w:left w:val="single" w:sz="4" w:space="0" w:color="auto"/>
            </w:tcBorders>
            <w:shd w:val="clear" w:color="auto" w:fill="FFFFFF"/>
          </w:tcPr>
          <w:p w14:paraId="6962CE34" w14:textId="77777777" w:rsidR="00350D42" w:rsidRDefault="00350D42">
            <w:pPr>
              <w:framePr w:w="6581" w:wrap="notBeside" w:vAnchor="text" w:hAnchor="text" w:xAlign="center" w:y="1"/>
              <w:rPr>
                <w:sz w:val="10"/>
                <w:szCs w:val="10"/>
              </w:rPr>
            </w:pPr>
          </w:p>
        </w:tc>
        <w:tc>
          <w:tcPr>
            <w:tcW w:w="998" w:type="dxa"/>
            <w:tcBorders>
              <w:left w:val="single" w:sz="4" w:space="0" w:color="auto"/>
            </w:tcBorders>
            <w:shd w:val="clear" w:color="auto" w:fill="FFFFFF"/>
          </w:tcPr>
          <w:p w14:paraId="0E8D9389"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68619ECC"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14:paraId="0415E283"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Создание</w:t>
            </w:r>
          </w:p>
          <w:p w14:paraId="569F6C5E"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актива</w:t>
            </w:r>
          </w:p>
        </w:tc>
        <w:tc>
          <w:tcPr>
            <w:tcW w:w="1032" w:type="dxa"/>
            <w:tcBorders>
              <w:top w:val="single" w:sz="4" w:space="0" w:color="auto"/>
              <w:left w:val="single" w:sz="4" w:space="0" w:color="auto"/>
            </w:tcBorders>
            <w:shd w:val="clear" w:color="auto" w:fill="FFFFFF"/>
            <w:vAlign w:val="center"/>
          </w:tcPr>
          <w:p w14:paraId="3D0D358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c>
          <w:tcPr>
            <w:tcW w:w="1085" w:type="dxa"/>
            <w:tcBorders>
              <w:top w:val="single" w:sz="4" w:space="0" w:color="auto"/>
              <w:left w:val="single" w:sz="4" w:space="0" w:color="auto"/>
              <w:right w:val="single" w:sz="4" w:space="0" w:color="auto"/>
            </w:tcBorders>
            <w:shd w:val="clear" w:color="auto" w:fill="FFFFFF"/>
            <w:vAlign w:val="center"/>
          </w:tcPr>
          <w:p w14:paraId="3ECA6A2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r w:rsidR="00350D42" w14:paraId="4E9164B1" w14:textId="77777777">
        <w:trPr>
          <w:trHeight w:hRule="exact" w:val="590"/>
          <w:jc w:val="center"/>
        </w:trPr>
        <w:tc>
          <w:tcPr>
            <w:tcW w:w="1099" w:type="dxa"/>
            <w:tcBorders>
              <w:left w:val="single" w:sz="4" w:space="0" w:color="auto"/>
            </w:tcBorders>
            <w:shd w:val="clear" w:color="auto" w:fill="FFFFFF"/>
          </w:tcPr>
          <w:p w14:paraId="122F894C" w14:textId="77777777" w:rsidR="00350D42" w:rsidRDefault="00350D42">
            <w:pPr>
              <w:framePr w:w="6581" w:wrap="notBeside" w:vAnchor="text" w:hAnchor="text" w:xAlign="center" w:y="1"/>
              <w:rPr>
                <w:sz w:val="10"/>
                <w:szCs w:val="10"/>
              </w:rPr>
            </w:pPr>
          </w:p>
        </w:tc>
        <w:tc>
          <w:tcPr>
            <w:tcW w:w="998" w:type="dxa"/>
            <w:tcBorders>
              <w:left w:val="single" w:sz="4" w:space="0" w:color="auto"/>
            </w:tcBorders>
            <w:shd w:val="clear" w:color="auto" w:fill="FFFFFF"/>
          </w:tcPr>
          <w:p w14:paraId="44B2DB30"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1C8F8B38"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14:paraId="49DCA17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Эксплуатация</w:t>
            </w:r>
          </w:p>
          <w:p w14:paraId="302AF599"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актива</w:t>
            </w:r>
          </w:p>
        </w:tc>
        <w:tc>
          <w:tcPr>
            <w:tcW w:w="1032" w:type="dxa"/>
            <w:tcBorders>
              <w:top w:val="single" w:sz="4" w:space="0" w:color="auto"/>
              <w:left w:val="single" w:sz="4" w:space="0" w:color="auto"/>
            </w:tcBorders>
            <w:shd w:val="clear" w:color="auto" w:fill="FFFFFF"/>
            <w:vAlign w:val="center"/>
          </w:tcPr>
          <w:p w14:paraId="7B1CBE3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c>
          <w:tcPr>
            <w:tcW w:w="1085" w:type="dxa"/>
            <w:tcBorders>
              <w:top w:val="single" w:sz="4" w:space="0" w:color="auto"/>
              <w:left w:val="single" w:sz="4" w:space="0" w:color="auto"/>
              <w:right w:val="single" w:sz="4" w:space="0" w:color="auto"/>
            </w:tcBorders>
            <w:shd w:val="clear" w:color="auto" w:fill="FFFFFF"/>
            <w:vAlign w:val="center"/>
          </w:tcPr>
          <w:p w14:paraId="18BABA7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r w:rsidR="00350D42" w14:paraId="1BCF59AD" w14:textId="77777777">
        <w:trPr>
          <w:trHeight w:hRule="exact" w:val="590"/>
          <w:jc w:val="center"/>
        </w:trPr>
        <w:tc>
          <w:tcPr>
            <w:tcW w:w="1099" w:type="dxa"/>
            <w:tcBorders>
              <w:left w:val="single" w:sz="4" w:space="0" w:color="auto"/>
            </w:tcBorders>
            <w:shd w:val="clear" w:color="auto" w:fill="FFFFFF"/>
          </w:tcPr>
          <w:p w14:paraId="3AD0A9E0" w14:textId="77777777" w:rsidR="00350D42" w:rsidRDefault="00350D42">
            <w:pPr>
              <w:framePr w:w="6581" w:wrap="notBeside" w:vAnchor="text" w:hAnchor="text" w:xAlign="center" w:y="1"/>
              <w:rPr>
                <w:sz w:val="10"/>
                <w:szCs w:val="10"/>
              </w:rPr>
            </w:pPr>
          </w:p>
        </w:tc>
        <w:tc>
          <w:tcPr>
            <w:tcW w:w="998" w:type="dxa"/>
            <w:tcBorders>
              <w:left w:val="single" w:sz="4" w:space="0" w:color="auto"/>
            </w:tcBorders>
            <w:shd w:val="clear" w:color="auto" w:fill="FFFFFF"/>
          </w:tcPr>
          <w:p w14:paraId="7211CC77"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2FDDE61F"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14:paraId="6ED1F48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Политические</w:t>
            </w:r>
          </w:p>
          <w:p w14:paraId="079E9A8A"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риски</w:t>
            </w:r>
          </w:p>
        </w:tc>
        <w:tc>
          <w:tcPr>
            <w:tcW w:w="1032" w:type="dxa"/>
            <w:tcBorders>
              <w:top w:val="single" w:sz="4" w:space="0" w:color="auto"/>
              <w:left w:val="single" w:sz="4" w:space="0" w:color="auto"/>
            </w:tcBorders>
            <w:shd w:val="clear" w:color="auto" w:fill="FFFFFF"/>
            <w:vAlign w:val="center"/>
          </w:tcPr>
          <w:p w14:paraId="6A9B5C4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c>
          <w:tcPr>
            <w:tcW w:w="1085" w:type="dxa"/>
            <w:tcBorders>
              <w:top w:val="single" w:sz="4" w:space="0" w:color="auto"/>
              <w:left w:val="single" w:sz="4" w:space="0" w:color="auto"/>
              <w:right w:val="single" w:sz="4" w:space="0" w:color="auto"/>
            </w:tcBorders>
            <w:shd w:val="clear" w:color="auto" w:fill="FFFFFF"/>
            <w:vAlign w:val="center"/>
          </w:tcPr>
          <w:p w14:paraId="6530CA5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r w:rsidR="00350D42" w14:paraId="4488465D" w14:textId="77777777">
        <w:trPr>
          <w:trHeight w:hRule="exact" w:val="322"/>
          <w:jc w:val="center"/>
        </w:trPr>
        <w:tc>
          <w:tcPr>
            <w:tcW w:w="1099" w:type="dxa"/>
            <w:tcBorders>
              <w:left w:val="single" w:sz="4" w:space="0" w:color="auto"/>
            </w:tcBorders>
            <w:shd w:val="clear" w:color="auto" w:fill="FFFFFF"/>
          </w:tcPr>
          <w:p w14:paraId="7CB0152A" w14:textId="77777777" w:rsidR="00350D42" w:rsidRDefault="00350D42">
            <w:pPr>
              <w:framePr w:w="6581" w:wrap="notBeside" w:vAnchor="text" w:hAnchor="text" w:xAlign="center" w:y="1"/>
              <w:rPr>
                <w:sz w:val="10"/>
                <w:szCs w:val="10"/>
              </w:rPr>
            </w:pPr>
          </w:p>
        </w:tc>
        <w:tc>
          <w:tcPr>
            <w:tcW w:w="998" w:type="dxa"/>
            <w:tcBorders>
              <w:left w:val="single" w:sz="4" w:space="0" w:color="auto"/>
            </w:tcBorders>
            <w:shd w:val="clear" w:color="auto" w:fill="FFFFFF"/>
          </w:tcPr>
          <w:p w14:paraId="0A28EBDD"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5EED3DA6"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14:paraId="4E62E444"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Прочие риски</w:t>
            </w:r>
          </w:p>
        </w:tc>
        <w:tc>
          <w:tcPr>
            <w:tcW w:w="1032" w:type="dxa"/>
            <w:tcBorders>
              <w:top w:val="single" w:sz="4" w:space="0" w:color="auto"/>
              <w:left w:val="single" w:sz="4" w:space="0" w:color="auto"/>
            </w:tcBorders>
            <w:shd w:val="clear" w:color="auto" w:fill="FFFFFF"/>
            <w:vAlign w:val="bottom"/>
          </w:tcPr>
          <w:p w14:paraId="42DBF22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c>
          <w:tcPr>
            <w:tcW w:w="1085" w:type="dxa"/>
            <w:tcBorders>
              <w:top w:val="single" w:sz="4" w:space="0" w:color="auto"/>
              <w:left w:val="single" w:sz="4" w:space="0" w:color="auto"/>
              <w:right w:val="single" w:sz="4" w:space="0" w:color="auto"/>
            </w:tcBorders>
            <w:shd w:val="clear" w:color="auto" w:fill="FFFFFF"/>
            <w:vAlign w:val="bottom"/>
          </w:tcPr>
          <w:p w14:paraId="0AE66A4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r w:rsidR="00350D42" w14:paraId="1B249A76" w14:textId="77777777">
        <w:trPr>
          <w:trHeight w:hRule="exact" w:val="547"/>
          <w:jc w:val="center"/>
        </w:trPr>
        <w:tc>
          <w:tcPr>
            <w:tcW w:w="1099" w:type="dxa"/>
            <w:tcBorders>
              <w:top w:val="single" w:sz="4" w:space="0" w:color="auto"/>
              <w:left w:val="single" w:sz="4" w:space="0" w:color="auto"/>
            </w:tcBorders>
            <w:shd w:val="clear" w:color="auto" w:fill="FFFFFF"/>
            <w:vAlign w:val="bottom"/>
          </w:tcPr>
          <w:p w14:paraId="3B00417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Характе</w:t>
            </w:r>
            <w:r>
              <w:rPr>
                <w:rStyle w:val="275pt0"/>
              </w:rPr>
              <w:softHyphen/>
            </w:r>
          </w:p>
          <w:p w14:paraId="13DB55DC"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ристика</w:t>
            </w:r>
          </w:p>
        </w:tc>
        <w:tc>
          <w:tcPr>
            <w:tcW w:w="998" w:type="dxa"/>
            <w:tcBorders>
              <w:top w:val="single" w:sz="4" w:space="0" w:color="auto"/>
              <w:left w:val="single" w:sz="4" w:space="0" w:color="auto"/>
            </w:tcBorders>
            <w:shd w:val="clear" w:color="auto" w:fill="FFFFFF"/>
          </w:tcPr>
          <w:p w14:paraId="6079892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c>
          <w:tcPr>
            <w:tcW w:w="1013" w:type="dxa"/>
            <w:tcBorders>
              <w:top w:val="single" w:sz="4" w:space="0" w:color="auto"/>
              <w:left w:val="single" w:sz="4" w:space="0" w:color="auto"/>
            </w:tcBorders>
            <w:shd w:val="clear" w:color="auto" w:fill="FFFFFF"/>
          </w:tcPr>
          <w:p w14:paraId="31905C4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0,4</w:t>
            </w:r>
          </w:p>
        </w:tc>
        <w:tc>
          <w:tcPr>
            <w:tcW w:w="1354" w:type="dxa"/>
            <w:tcBorders>
              <w:top w:val="single" w:sz="4" w:space="0" w:color="auto"/>
              <w:left w:val="single" w:sz="4" w:space="0" w:color="auto"/>
            </w:tcBorders>
            <w:shd w:val="clear" w:color="auto" w:fill="FFFFFF"/>
            <w:vAlign w:val="bottom"/>
          </w:tcPr>
          <w:p w14:paraId="0A314DAA"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Обеспечен</w:t>
            </w:r>
            <w:r>
              <w:rPr>
                <w:rStyle w:val="275pt0"/>
              </w:rPr>
              <w:softHyphen/>
              <w:t>ность кредита</w:t>
            </w:r>
          </w:p>
        </w:tc>
        <w:tc>
          <w:tcPr>
            <w:tcW w:w="1032" w:type="dxa"/>
            <w:tcBorders>
              <w:top w:val="single" w:sz="4" w:space="0" w:color="auto"/>
              <w:left w:val="single" w:sz="4" w:space="0" w:color="auto"/>
            </w:tcBorders>
            <w:shd w:val="clear" w:color="auto" w:fill="FFFFFF"/>
          </w:tcPr>
          <w:p w14:paraId="207D30E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0,4</w:t>
            </w:r>
          </w:p>
        </w:tc>
        <w:tc>
          <w:tcPr>
            <w:tcW w:w="1085" w:type="dxa"/>
            <w:tcBorders>
              <w:top w:val="single" w:sz="4" w:space="0" w:color="auto"/>
              <w:left w:val="single" w:sz="4" w:space="0" w:color="auto"/>
              <w:right w:val="single" w:sz="4" w:space="0" w:color="auto"/>
            </w:tcBorders>
            <w:shd w:val="clear" w:color="auto" w:fill="FFFFFF"/>
          </w:tcPr>
          <w:p w14:paraId="7DC8CB1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0,4</w:t>
            </w:r>
          </w:p>
        </w:tc>
      </w:tr>
      <w:tr w:rsidR="00350D42" w14:paraId="15EED3E4" w14:textId="77777777">
        <w:trPr>
          <w:trHeight w:hRule="exact" w:val="1205"/>
          <w:jc w:val="center"/>
        </w:trPr>
        <w:tc>
          <w:tcPr>
            <w:tcW w:w="1099" w:type="dxa"/>
            <w:tcBorders>
              <w:left w:val="single" w:sz="4" w:space="0" w:color="auto"/>
            </w:tcBorders>
            <w:shd w:val="clear" w:color="auto" w:fill="FFFFFF"/>
          </w:tcPr>
          <w:p w14:paraId="664657A3"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кредитной/</w:t>
            </w:r>
          </w:p>
          <w:p w14:paraId="339CFFF4"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инвести</w:t>
            </w:r>
            <w:r>
              <w:rPr>
                <w:rStyle w:val="275pt0"/>
              </w:rPr>
              <w:softHyphen/>
            </w:r>
          </w:p>
          <w:p w14:paraId="2913F129"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ционной</w:t>
            </w:r>
          </w:p>
          <w:p w14:paraId="7D176A3D"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сделки</w:t>
            </w:r>
          </w:p>
        </w:tc>
        <w:tc>
          <w:tcPr>
            <w:tcW w:w="998" w:type="dxa"/>
            <w:tcBorders>
              <w:left w:val="single" w:sz="4" w:space="0" w:color="auto"/>
            </w:tcBorders>
            <w:shd w:val="clear" w:color="auto" w:fill="FFFFFF"/>
          </w:tcPr>
          <w:p w14:paraId="065396C8"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tcBorders>
            <w:shd w:val="clear" w:color="auto" w:fill="FFFFFF"/>
          </w:tcPr>
          <w:p w14:paraId="4FCC2A6E"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tcBorders>
            <w:shd w:val="clear" w:color="auto" w:fill="FFFFFF"/>
            <w:vAlign w:val="center"/>
          </w:tcPr>
          <w:p w14:paraId="6684AB81"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Наличие до</w:t>
            </w:r>
            <w:r>
              <w:rPr>
                <w:rStyle w:val="275pt0"/>
              </w:rPr>
              <w:softHyphen/>
              <w:t>полнительных</w:t>
            </w:r>
          </w:p>
          <w:p w14:paraId="0AB46323"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источников</w:t>
            </w:r>
          </w:p>
          <w:p w14:paraId="454BDF13"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финансирова</w:t>
            </w:r>
            <w:r>
              <w:rPr>
                <w:rStyle w:val="275pt0"/>
              </w:rPr>
              <w:softHyphen/>
            </w:r>
          </w:p>
          <w:p w14:paraId="0AB9BFE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ния</w:t>
            </w:r>
          </w:p>
        </w:tc>
        <w:tc>
          <w:tcPr>
            <w:tcW w:w="1032" w:type="dxa"/>
            <w:tcBorders>
              <w:top w:val="single" w:sz="4" w:space="0" w:color="auto"/>
              <w:left w:val="single" w:sz="4" w:space="0" w:color="auto"/>
            </w:tcBorders>
            <w:shd w:val="clear" w:color="auto" w:fill="FFFFFF"/>
          </w:tcPr>
          <w:p w14:paraId="1304FA1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c>
          <w:tcPr>
            <w:tcW w:w="1085" w:type="dxa"/>
            <w:tcBorders>
              <w:top w:val="single" w:sz="4" w:space="0" w:color="auto"/>
              <w:left w:val="single" w:sz="4" w:space="0" w:color="auto"/>
              <w:right w:val="single" w:sz="4" w:space="0" w:color="auto"/>
            </w:tcBorders>
            <w:shd w:val="clear" w:color="auto" w:fill="FFFFFF"/>
          </w:tcPr>
          <w:p w14:paraId="40FBC62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r>
      <w:tr w:rsidR="00350D42" w14:paraId="1869789B" w14:textId="77777777">
        <w:trPr>
          <w:trHeight w:hRule="exact" w:val="773"/>
          <w:jc w:val="center"/>
        </w:trPr>
        <w:tc>
          <w:tcPr>
            <w:tcW w:w="1099" w:type="dxa"/>
            <w:tcBorders>
              <w:left w:val="single" w:sz="4" w:space="0" w:color="auto"/>
              <w:bottom w:val="single" w:sz="4" w:space="0" w:color="auto"/>
            </w:tcBorders>
            <w:shd w:val="clear" w:color="auto" w:fill="FFFFFF"/>
          </w:tcPr>
          <w:p w14:paraId="06438B01" w14:textId="77777777" w:rsidR="00350D42" w:rsidRDefault="00350D42">
            <w:pPr>
              <w:framePr w:w="6581" w:wrap="notBeside" w:vAnchor="text" w:hAnchor="text" w:xAlign="center" w:y="1"/>
              <w:rPr>
                <w:sz w:val="10"/>
                <w:szCs w:val="10"/>
              </w:rPr>
            </w:pPr>
          </w:p>
        </w:tc>
        <w:tc>
          <w:tcPr>
            <w:tcW w:w="998" w:type="dxa"/>
            <w:tcBorders>
              <w:left w:val="single" w:sz="4" w:space="0" w:color="auto"/>
              <w:bottom w:val="single" w:sz="4" w:space="0" w:color="auto"/>
            </w:tcBorders>
            <w:shd w:val="clear" w:color="auto" w:fill="FFFFFF"/>
          </w:tcPr>
          <w:p w14:paraId="6838492D" w14:textId="77777777" w:rsidR="00350D42" w:rsidRDefault="00350D42">
            <w:pPr>
              <w:framePr w:w="6581" w:wrap="notBeside" w:vAnchor="text" w:hAnchor="text" w:xAlign="center" w:y="1"/>
              <w:rPr>
                <w:sz w:val="10"/>
                <w:szCs w:val="10"/>
              </w:rPr>
            </w:pPr>
          </w:p>
        </w:tc>
        <w:tc>
          <w:tcPr>
            <w:tcW w:w="1013" w:type="dxa"/>
            <w:tcBorders>
              <w:top w:val="single" w:sz="4" w:space="0" w:color="auto"/>
              <w:left w:val="single" w:sz="4" w:space="0" w:color="auto"/>
              <w:bottom w:val="single" w:sz="4" w:space="0" w:color="auto"/>
            </w:tcBorders>
            <w:shd w:val="clear" w:color="auto" w:fill="FFFFFF"/>
          </w:tcPr>
          <w:p w14:paraId="525C3CCE" w14:textId="77777777" w:rsidR="00350D42" w:rsidRDefault="00350D42">
            <w:pPr>
              <w:framePr w:w="6581" w:wrap="notBeside" w:vAnchor="text" w:hAnchor="text" w:xAlign="center" w:y="1"/>
              <w:rPr>
                <w:sz w:val="10"/>
                <w:szCs w:val="10"/>
              </w:rPr>
            </w:pPr>
          </w:p>
        </w:tc>
        <w:tc>
          <w:tcPr>
            <w:tcW w:w="1354" w:type="dxa"/>
            <w:tcBorders>
              <w:top w:val="single" w:sz="4" w:space="0" w:color="auto"/>
              <w:left w:val="single" w:sz="4" w:space="0" w:color="auto"/>
              <w:bottom w:val="single" w:sz="4" w:space="0" w:color="auto"/>
            </w:tcBorders>
            <w:shd w:val="clear" w:color="auto" w:fill="FFFFFF"/>
            <w:vAlign w:val="bottom"/>
          </w:tcPr>
          <w:p w14:paraId="37959589"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Степень конт</w:t>
            </w:r>
            <w:r>
              <w:rPr>
                <w:rStyle w:val="275pt0"/>
              </w:rPr>
              <w:softHyphen/>
              <w:t>роля за заем</w:t>
            </w:r>
            <w:r>
              <w:rPr>
                <w:rStyle w:val="275pt0"/>
              </w:rPr>
              <w:softHyphen/>
              <w:t>щиком</w:t>
            </w:r>
          </w:p>
        </w:tc>
        <w:tc>
          <w:tcPr>
            <w:tcW w:w="1032" w:type="dxa"/>
            <w:tcBorders>
              <w:top w:val="single" w:sz="4" w:space="0" w:color="auto"/>
              <w:left w:val="single" w:sz="4" w:space="0" w:color="auto"/>
              <w:bottom w:val="single" w:sz="4" w:space="0" w:color="auto"/>
            </w:tcBorders>
            <w:shd w:val="clear" w:color="auto" w:fill="FFFFFF"/>
          </w:tcPr>
          <w:p w14:paraId="0096756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c>
          <w:tcPr>
            <w:tcW w:w="1085" w:type="dxa"/>
            <w:tcBorders>
              <w:top w:val="single" w:sz="4" w:space="0" w:color="auto"/>
              <w:left w:val="single" w:sz="4" w:space="0" w:color="auto"/>
              <w:bottom w:val="single" w:sz="4" w:space="0" w:color="auto"/>
              <w:right w:val="single" w:sz="4" w:space="0" w:color="auto"/>
            </w:tcBorders>
            <w:shd w:val="clear" w:color="auto" w:fill="FFFFFF"/>
          </w:tcPr>
          <w:p w14:paraId="2723831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r>
    </w:tbl>
    <w:p w14:paraId="21449077" w14:textId="77777777" w:rsidR="00350D42" w:rsidRDefault="00350D42">
      <w:pPr>
        <w:framePr w:w="6581" w:wrap="notBeside" w:vAnchor="text" w:hAnchor="text" w:xAlign="center" w:y="1"/>
        <w:rPr>
          <w:sz w:val="2"/>
          <w:szCs w:val="2"/>
        </w:rPr>
      </w:pPr>
    </w:p>
    <w:p w14:paraId="5E66DF43" w14:textId="77777777" w:rsidR="00350D42" w:rsidRDefault="00350D42">
      <w:pPr>
        <w:rPr>
          <w:sz w:val="2"/>
          <w:szCs w:val="2"/>
        </w:rPr>
      </w:pPr>
    </w:p>
    <w:p w14:paraId="2B8FEE1C" w14:textId="77777777" w:rsidR="00350D42" w:rsidRDefault="008E6F64">
      <w:pPr>
        <w:pStyle w:val="2c"/>
        <w:shd w:val="clear" w:color="auto" w:fill="auto"/>
        <w:spacing w:before="104"/>
        <w:ind w:firstLine="320"/>
      </w:pPr>
      <w:r>
        <w:rPr>
          <w:rStyle w:val="2d"/>
        </w:rPr>
        <w:t xml:space="preserve">Расчет числового значения уровня риска </w:t>
      </w:r>
      <w:r>
        <w:rPr>
          <w:rStyle w:val="2f4"/>
          <w:lang w:val="en-US" w:eastAsia="en-US" w:bidi="en-US"/>
        </w:rPr>
        <w:t>R</w:t>
      </w:r>
      <w:r w:rsidRPr="000E0C7E">
        <w:rPr>
          <w:rStyle w:val="2f4"/>
          <w:vertAlign w:val="subscript"/>
          <w:lang w:eastAsia="en-US" w:bidi="en-US"/>
        </w:rPr>
        <w:t>1</w:t>
      </w:r>
      <w:r w:rsidRPr="000E0C7E">
        <w:rPr>
          <w:rStyle w:val="2d"/>
          <w:lang w:eastAsia="en-US" w:bidi="en-US"/>
        </w:rPr>
        <w:t xml:space="preserve"> </w:t>
      </w:r>
      <w:r>
        <w:rPr>
          <w:rStyle w:val="2d"/>
        </w:rPr>
        <w:t>осуществляется сле</w:t>
      </w:r>
      <w:r>
        <w:rPr>
          <w:rStyle w:val="2d"/>
        </w:rPr>
        <w:softHyphen/>
        <w:t>дующим образом:</w:t>
      </w:r>
    </w:p>
    <w:p w14:paraId="4BAE8562" w14:textId="77777777" w:rsidR="00350D42" w:rsidRDefault="008E6F64">
      <w:pPr>
        <w:pStyle w:val="2c"/>
        <w:numPr>
          <w:ilvl w:val="0"/>
          <w:numId w:val="156"/>
        </w:numPr>
        <w:shd w:val="clear" w:color="auto" w:fill="auto"/>
        <w:tabs>
          <w:tab w:val="left" w:pos="626"/>
        </w:tabs>
        <w:spacing w:before="0"/>
        <w:ind w:firstLine="320"/>
      </w:pPr>
      <w:r>
        <w:rPr>
          <w:rStyle w:val="2d"/>
        </w:rPr>
        <w:t>изучаются инициатор проекта и его внешняя среда по каждо</w:t>
      </w:r>
      <w:r>
        <w:rPr>
          <w:rStyle w:val="2d"/>
        </w:rPr>
        <w:softHyphen/>
        <w:t>му показателю;</w:t>
      </w:r>
    </w:p>
    <w:p w14:paraId="013FD8F2" w14:textId="77777777" w:rsidR="00350D42" w:rsidRDefault="008E6F64">
      <w:pPr>
        <w:pStyle w:val="2c"/>
        <w:numPr>
          <w:ilvl w:val="0"/>
          <w:numId w:val="156"/>
        </w:numPr>
        <w:shd w:val="clear" w:color="auto" w:fill="auto"/>
        <w:tabs>
          <w:tab w:val="left" w:pos="626"/>
        </w:tabs>
        <w:spacing w:before="0"/>
        <w:ind w:firstLine="320"/>
      </w:pPr>
      <w:r>
        <w:rPr>
          <w:rStyle w:val="2d"/>
        </w:rPr>
        <w:t>определяются значения показателей и соответствующие им балльные оценки; если в состав показателя входят подгруппы, определяется балльное значение для каждой подгруппы;</w:t>
      </w:r>
    </w:p>
    <w:p w14:paraId="09727550" w14:textId="77777777" w:rsidR="00350D42" w:rsidRDefault="008E6F64">
      <w:pPr>
        <w:pStyle w:val="2c"/>
        <w:numPr>
          <w:ilvl w:val="0"/>
          <w:numId w:val="156"/>
        </w:numPr>
        <w:shd w:val="clear" w:color="auto" w:fill="auto"/>
        <w:tabs>
          <w:tab w:val="left" w:pos="626"/>
        </w:tabs>
        <w:spacing w:before="0"/>
        <w:ind w:firstLine="320"/>
        <w:sectPr w:rsidR="00350D42">
          <w:footerReference w:type="even" r:id="rId187"/>
          <w:footerReference w:type="default" r:id="rId188"/>
          <w:headerReference w:type="first" r:id="rId189"/>
          <w:footerReference w:type="first" r:id="rId190"/>
          <w:pgSz w:w="8789" w:h="13493"/>
          <w:pgMar w:top="892" w:right="1073" w:bottom="1151" w:left="1069" w:header="0" w:footer="3" w:gutter="0"/>
          <w:cols w:space="720"/>
          <w:noEndnote/>
          <w:titlePg/>
          <w:docGrid w:linePitch="360"/>
        </w:sectPr>
      </w:pPr>
      <w:r>
        <w:rPr>
          <w:rStyle w:val="2d"/>
        </w:rPr>
        <w:t>рассчитываются значения показателей, в состав которых вхо</w:t>
      </w:r>
      <w:r>
        <w:rPr>
          <w:rStyle w:val="2d"/>
        </w:rPr>
        <w:softHyphen/>
        <w:t>дят подгруппы, путем умножения балльных оценок по подгруппам на их удельные веса и суммирования взвешенных показателей;</w:t>
      </w:r>
    </w:p>
    <w:p w14:paraId="070B36CA" w14:textId="77777777" w:rsidR="00350D42" w:rsidRDefault="008E6F64">
      <w:pPr>
        <w:pStyle w:val="2c"/>
        <w:numPr>
          <w:ilvl w:val="0"/>
          <w:numId w:val="156"/>
        </w:numPr>
        <w:shd w:val="clear" w:color="auto" w:fill="auto"/>
        <w:tabs>
          <w:tab w:val="left" w:pos="633"/>
        </w:tabs>
        <w:spacing w:before="0"/>
        <w:ind w:firstLine="320"/>
      </w:pPr>
      <w:r>
        <w:rPr>
          <w:rStyle w:val="2d"/>
        </w:rPr>
        <w:lastRenderedPageBreak/>
        <w:t>рассчитываются взвешенные значения показателей путем умножения их балльных значений (полученных сумм по подгруп</w:t>
      </w:r>
      <w:r>
        <w:rPr>
          <w:rStyle w:val="2d"/>
        </w:rPr>
        <w:softHyphen/>
        <w:t>пам) на их удельные веса;</w:t>
      </w:r>
    </w:p>
    <w:p w14:paraId="54418F41" w14:textId="77777777" w:rsidR="00350D42" w:rsidRDefault="008E6F64">
      <w:pPr>
        <w:pStyle w:val="2c"/>
        <w:numPr>
          <w:ilvl w:val="0"/>
          <w:numId w:val="156"/>
        </w:numPr>
        <w:shd w:val="clear" w:color="auto" w:fill="auto"/>
        <w:tabs>
          <w:tab w:val="left" w:pos="633"/>
        </w:tabs>
        <w:spacing w:before="0"/>
        <w:ind w:firstLine="320"/>
      </w:pPr>
      <w:r>
        <w:rPr>
          <w:rStyle w:val="2d"/>
        </w:rPr>
        <w:t>рассчитывается оценка уровня риска для каждого направле</w:t>
      </w:r>
      <w:r>
        <w:rPr>
          <w:rStyle w:val="2d"/>
        </w:rPr>
        <w:softHyphen/>
        <w:t>ния исследования внутренней и внешней среды инициатора путем суммирования взвешенных оценок показателей в составе каждого направления;</w:t>
      </w:r>
    </w:p>
    <w:p w14:paraId="722184B8" w14:textId="77777777" w:rsidR="00350D42" w:rsidRDefault="008E6F64">
      <w:pPr>
        <w:pStyle w:val="2c"/>
        <w:numPr>
          <w:ilvl w:val="0"/>
          <w:numId w:val="156"/>
        </w:numPr>
        <w:shd w:val="clear" w:color="auto" w:fill="auto"/>
        <w:tabs>
          <w:tab w:val="left" w:pos="633"/>
        </w:tabs>
        <w:spacing w:before="0"/>
        <w:ind w:firstLine="320"/>
      </w:pPr>
      <w:r>
        <w:rPr>
          <w:rStyle w:val="2d"/>
        </w:rPr>
        <w:t xml:space="preserve">рассчитывается итоговая оценка уровня риска </w:t>
      </w:r>
      <w:r>
        <w:rPr>
          <w:rStyle w:val="2f4"/>
          <w:lang w:val="en-US" w:eastAsia="en-US" w:bidi="en-US"/>
        </w:rPr>
        <w:t>R</w:t>
      </w:r>
      <w:r w:rsidRPr="000E0C7E">
        <w:rPr>
          <w:rStyle w:val="2f4"/>
          <w:vertAlign w:val="subscript"/>
          <w:lang w:eastAsia="en-US" w:bidi="en-US"/>
        </w:rPr>
        <w:t>1</w:t>
      </w:r>
      <w:r w:rsidRPr="000E0C7E">
        <w:rPr>
          <w:rStyle w:val="2d"/>
          <w:lang w:eastAsia="en-US" w:bidi="en-US"/>
        </w:rPr>
        <w:t xml:space="preserve"> </w:t>
      </w:r>
      <w:r>
        <w:rPr>
          <w:rStyle w:val="2d"/>
        </w:rPr>
        <w:t>путем умно</w:t>
      </w:r>
      <w:r>
        <w:rPr>
          <w:rStyle w:val="2d"/>
        </w:rPr>
        <w:softHyphen/>
        <w:t>жения оценок риска по направлениям исследования на соответству</w:t>
      </w:r>
      <w:r>
        <w:rPr>
          <w:rStyle w:val="2d"/>
        </w:rPr>
        <w:softHyphen/>
        <w:t>ющие удельные веса и суммирования взвешенных значений.</w:t>
      </w:r>
    </w:p>
    <w:p w14:paraId="0AED6FBF" w14:textId="77777777" w:rsidR="00350D42" w:rsidRDefault="008E6F64">
      <w:pPr>
        <w:pStyle w:val="2c"/>
        <w:shd w:val="clear" w:color="auto" w:fill="auto"/>
        <w:spacing w:before="0" w:after="160"/>
        <w:ind w:firstLine="320"/>
      </w:pPr>
      <w:r>
        <w:rPr>
          <w:rStyle w:val="2d"/>
        </w:rPr>
        <w:t xml:space="preserve">Исходя из числовой оценки риска </w:t>
      </w:r>
      <w:r>
        <w:rPr>
          <w:rStyle w:val="2f4"/>
          <w:lang w:val="en-US" w:eastAsia="en-US" w:bidi="en-US"/>
        </w:rPr>
        <w:t>R</w:t>
      </w:r>
      <w:r w:rsidRPr="000E0C7E">
        <w:rPr>
          <w:rStyle w:val="2f4"/>
          <w:vertAlign w:val="subscript"/>
          <w:lang w:eastAsia="en-US" w:bidi="en-US"/>
        </w:rPr>
        <w:t>1</w:t>
      </w:r>
      <w:r w:rsidRPr="000E0C7E">
        <w:rPr>
          <w:rStyle w:val="2d"/>
          <w:lang w:eastAsia="en-US" w:bidi="en-US"/>
        </w:rPr>
        <w:t xml:space="preserve"> </w:t>
      </w:r>
      <w:r>
        <w:rPr>
          <w:rStyle w:val="2d"/>
        </w:rPr>
        <w:t>определяется возможность участия банка/инвестора в финансировании проекта и характер финансового состояния инициатора (для определения категории качества кредитных ресурсов).</w:t>
      </w:r>
    </w:p>
    <w:p w14:paraId="51E4B140" w14:textId="77777777" w:rsidR="00350D42" w:rsidRDefault="008E6F64">
      <w:pPr>
        <w:pStyle w:val="90"/>
        <w:shd w:val="clear" w:color="auto" w:fill="auto"/>
        <w:spacing w:after="80" w:line="200" w:lineRule="exact"/>
        <w:ind w:firstLine="0"/>
        <w:jc w:val="center"/>
      </w:pPr>
      <w:r>
        <w:rPr>
          <w:rStyle w:val="91"/>
          <w:b/>
          <w:bCs/>
          <w:i/>
          <w:iCs/>
        </w:rPr>
        <w:t>Характеристика инициатора и его собственников</w:t>
      </w:r>
    </w:p>
    <w:p w14:paraId="4D70CD4D" w14:textId="77777777" w:rsidR="00350D42" w:rsidRDefault="008E6F64">
      <w:pPr>
        <w:pStyle w:val="180"/>
        <w:numPr>
          <w:ilvl w:val="0"/>
          <w:numId w:val="157"/>
        </w:numPr>
        <w:shd w:val="clear" w:color="auto" w:fill="auto"/>
        <w:tabs>
          <w:tab w:val="left" w:pos="633"/>
        </w:tabs>
        <w:spacing w:line="250" w:lineRule="exact"/>
        <w:ind w:firstLine="320"/>
        <w:jc w:val="both"/>
      </w:pPr>
      <w:r>
        <w:rPr>
          <w:rStyle w:val="181"/>
          <w:i/>
          <w:iCs/>
        </w:rPr>
        <w:t>Оценка фактора «влияние собственника».</w:t>
      </w:r>
    </w:p>
    <w:p w14:paraId="7B80CFC5" w14:textId="77777777" w:rsidR="00350D42" w:rsidRDefault="008E6F64">
      <w:pPr>
        <w:pStyle w:val="2c"/>
        <w:shd w:val="clear" w:color="auto" w:fill="auto"/>
        <w:spacing w:before="0"/>
        <w:ind w:firstLine="320"/>
      </w:pPr>
      <w:r>
        <w:rPr>
          <w:rStyle w:val="2d"/>
        </w:rPr>
        <w:t>Значимость данного критерия обусловлена принципиальным значением, которое имеют для результатов функционирования бизнеса целевые установки собственников (реализуемые через со</w:t>
      </w:r>
      <w:r>
        <w:rPr>
          <w:rStyle w:val="2d"/>
        </w:rPr>
        <w:softHyphen/>
        <w:t>ответствующие стратегические решения) и их возможности по про</w:t>
      </w:r>
      <w:r>
        <w:rPr>
          <w:rStyle w:val="2d"/>
        </w:rPr>
        <w:softHyphen/>
        <w:t>движению интересов бизнеса (оказанию поддержки). Действия, предпринимаемые на уровне менеджмента, ограничены общей стратегией собственника и оказывают на итоговый результат су</w:t>
      </w:r>
      <w:r>
        <w:rPr>
          <w:rStyle w:val="2d"/>
        </w:rPr>
        <w:softHyphen/>
        <w:t>щественно меньшее влияние. Наиболее благоприятной является ситуация, когда собственники заинтересованы в развитии бизнеса и предпринимают для этого необходимые действия, включая уча</w:t>
      </w:r>
      <w:r>
        <w:rPr>
          <w:rStyle w:val="2d"/>
        </w:rPr>
        <w:softHyphen/>
        <w:t>стие в управлении</w:t>
      </w:r>
      <w:r>
        <w:rPr>
          <w:rStyle w:val="2d"/>
          <w:vertAlign w:val="superscript"/>
        </w:rPr>
        <w:footnoteReference w:id="231"/>
      </w:r>
      <w:r>
        <w:rPr>
          <w:rStyle w:val="2d"/>
        </w:rPr>
        <w:t xml:space="preserve"> и лоббирование интересов бизнеса. При пассив</w:t>
      </w:r>
      <w:r>
        <w:rPr>
          <w:rStyle w:val="2d"/>
        </w:rPr>
        <w:softHyphen/>
        <w:t>ной роли собственников существует риск действия менеджмента в собственных интересах, кроме того, в этом случае, как свиде</w:t>
      </w:r>
      <w:r>
        <w:rPr>
          <w:rStyle w:val="2d"/>
        </w:rPr>
        <w:softHyphen/>
        <w:t>тельствует ряд исследований</w:t>
      </w:r>
      <w:r>
        <w:rPr>
          <w:rStyle w:val="2d"/>
          <w:vertAlign w:val="superscript"/>
        </w:rPr>
        <w:footnoteReference w:id="232"/>
      </w:r>
      <w:r>
        <w:rPr>
          <w:rStyle w:val="2d"/>
        </w:rPr>
        <w:t>, обычно происходит снижение опе</w:t>
      </w:r>
      <w:r>
        <w:rPr>
          <w:rStyle w:val="2d"/>
        </w:rPr>
        <w:softHyphen/>
        <w:t>ративной эффективности бизнеса. Наличие конфликтов среди соб</w:t>
      </w:r>
      <w:r>
        <w:rPr>
          <w:rStyle w:val="2d"/>
        </w:rPr>
        <w:softHyphen/>
        <w:t>ственников связано с угрозой оказания негативного воздействия на юридическое лицо с целью приобретения его активов.</w:t>
      </w:r>
    </w:p>
    <w:p w14:paraId="17AFBFBD" w14:textId="77777777" w:rsidR="00350D42" w:rsidRDefault="008E6F64">
      <w:pPr>
        <w:pStyle w:val="2c"/>
        <w:shd w:val="clear" w:color="auto" w:fill="auto"/>
        <w:spacing w:before="0"/>
        <w:ind w:firstLine="320"/>
      </w:pPr>
      <w:r>
        <w:rPr>
          <w:rStyle w:val="2d"/>
        </w:rPr>
        <w:t>Показатели оценки влияния собственника представлены в табл. П.2.2.</w:t>
      </w:r>
    </w:p>
    <w:p w14:paraId="4C5B8336" w14:textId="77777777" w:rsidR="00350D42" w:rsidRDefault="008E6F64">
      <w:pPr>
        <w:pStyle w:val="2c"/>
        <w:shd w:val="clear" w:color="auto" w:fill="auto"/>
        <w:spacing w:before="0"/>
        <w:ind w:firstLine="320"/>
      </w:pPr>
      <w:r>
        <w:rPr>
          <w:rStyle w:val="2d"/>
        </w:rPr>
        <w:t>Для выбора соответствующего значения критерия могут учи</w:t>
      </w:r>
      <w:r>
        <w:rPr>
          <w:rStyle w:val="2d"/>
        </w:rPr>
        <w:softHyphen/>
        <w:t>тываться следующие параметры: 1) состав собственников, харак</w:t>
      </w:r>
      <w:r>
        <w:rPr>
          <w:rStyle w:val="2d"/>
        </w:rPr>
        <w:softHyphen/>
        <w:t>тер их взаимоотношения, участие в органах управления; 2) статус собственников, наличие административного ресурса; 3) объем осуществляемых инвестиций, динамика финансового результата, планы и прогнозы; 4) степень участия собственников в перегово</w:t>
      </w:r>
      <w:r>
        <w:rPr>
          <w:rStyle w:val="2d"/>
        </w:rPr>
        <w:softHyphen/>
        <w:t xml:space="preserve">рах о </w:t>
      </w:r>
      <w:r>
        <w:rPr>
          <w:rStyle w:val="2d"/>
        </w:rPr>
        <w:lastRenderedPageBreak/>
        <w:t>привлечении средств и владение предметом переговоров; 5) факты поддержки бизнеса в прошлом, готовность обеспечить по</w:t>
      </w:r>
      <w:r>
        <w:rPr>
          <w:rStyle w:val="2d"/>
        </w:rPr>
        <w:softHyphen/>
        <w:t>ручительство; 6) достигнутые договоренности с органами государ</w:t>
      </w:r>
      <w:r>
        <w:rPr>
          <w:rStyle w:val="2d"/>
        </w:rPr>
        <w:softHyphen/>
        <w:t>ственной власти в отношении реализуемых проектов; 7) соответ</w:t>
      </w:r>
      <w:r>
        <w:rPr>
          <w:rStyle w:val="2d"/>
        </w:rPr>
        <w:softHyphen/>
        <w:t>ствие заявленной стоимости проекта среднерыночной стоимости строительства подобных объектов и приобретения аналогичного оборудования.</w:t>
      </w:r>
    </w:p>
    <w:p w14:paraId="6DC58861" w14:textId="77777777" w:rsidR="00350D42" w:rsidRDefault="008E6F64">
      <w:pPr>
        <w:pStyle w:val="190"/>
        <w:shd w:val="clear" w:color="auto" w:fill="auto"/>
      </w:pPr>
      <w:r>
        <w:rPr>
          <w:rStyle w:val="191"/>
          <w:i/>
          <w:iCs/>
        </w:rPr>
        <w:t>Таблица П.2.2</w:t>
      </w:r>
    </w:p>
    <w:p w14:paraId="4E0DE24E" w14:textId="77777777" w:rsidR="00350D42" w:rsidRDefault="008E6F64">
      <w:pPr>
        <w:pStyle w:val="3f2"/>
        <w:framePr w:w="6581" w:wrap="notBeside" w:vAnchor="text" w:hAnchor="text" w:xAlign="center" w:y="1"/>
        <w:shd w:val="clear" w:color="auto" w:fill="auto"/>
        <w:spacing w:line="194" w:lineRule="exact"/>
        <w:jc w:val="left"/>
      </w:pPr>
      <w:r>
        <w:rPr>
          <w:rStyle w:val="3f3"/>
          <w:b/>
          <w:bCs/>
        </w:rPr>
        <w:t>Оценка фактора «влияние собственника»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08"/>
        <w:gridCol w:w="3346"/>
        <w:gridCol w:w="1027"/>
      </w:tblGrid>
      <w:tr w:rsidR="00350D42" w14:paraId="61455BBD" w14:textId="77777777">
        <w:trPr>
          <w:trHeight w:hRule="exact" w:val="331"/>
          <w:jc w:val="center"/>
        </w:trPr>
        <w:tc>
          <w:tcPr>
            <w:tcW w:w="5554" w:type="dxa"/>
            <w:gridSpan w:val="2"/>
            <w:tcBorders>
              <w:top w:val="single" w:sz="4" w:space="0" w:color="auto"/>
              <w:left w:val="single" w:sz="4" w:space="0" w:color="auto"/>
            </w:tcBorders>
            <w:shd w:val="clear" w:color="auto" w:fill="FFFFFF"/>
            <w:vAlign w:val="center"/>
          </w:tcPr>
          <w:p w14:paraId="05AFA7ED"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Показатель</w:t>
            </w:r>
          </w:p>
        </w:tc>
        <w:tc>
          <w:tcPr>
            <w:tcW w:w="1027" w:type="dxa"/>
            <w:tcBorders>
              <w:top w:val="single" w:sz="4" w:space="0" w:color="auto"/>
              <w:left w:val="single" w:sz="4" w:space="0" w:color="auto"/>
              <w:right w:val="single" w:sz="4" w:space="0" w:color="auto"/>
            </w:tcBorders>
            <w:shd w:val="clear" w:color="auto" w:fill="FFFFFF"/>
            <w:vAlign w:val="center"/>
          </w:tcPr>
          <w:p w14:paraId="3EC9DD8E"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Баллы</w:t>
            </w:r>
          </w:p>
        </w:tc>
      </w:tr>
      <w:tr w:rsidR="00350D42" w14:paraId="20CD285D" w14:textId="77777777">
        <w:trPr>
          <w:trHeight w:hRule="exact" w:val="547"/>
          <w:jc w:val="center"/>
        </w:trPr>
        <w:tc>
          <w:tcPr>
            <w:tcW w:w="2208" w:type="dxa"/>
            <w:vMerge w:val="restart"/>
            <w:tcBorders>
              <w:top w:val="single" w:sz="4" w:space="0" w:color="auto"/>
              <w:left w:val="single" w:sz="4" w:space="0" w:color="auto"/>
            </w:tcBorders>
            <w:shd w:val="clear" w:color="auto" w:fill="FFFFFF"/>
            <w:vAlign w:val="center"/>
          </w:tcPr>
          <w:p w14:paraId="3CDD429E"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Собственники заинте</w:t>
            </w:r>
            <w:r>
              <w:rPr>
                <w:rStyle w:val="275pt0"/>
              </w:rPr>
              <w:softHyphen/>
              <w:t>ресованы в развитии бизнеса и принимают участие в управлении</w:t>
            </w:r>
          </w:p>
        </w:tc>
        <w:tc>
          <w:tcPr>
            <w:tcW w:w="3346" w:type="dxa"/>
            <w:tcBorders>
              <w:top w:val="single" w:sz="4" w:space="0" w:color="auto"/>
              <w:left w:val="single" w:sz="4" w:space="0" w:color="auto"/>
            </w:tcBorders>
            <w:shd w:val="clear" w:color="auto" w:fill="FFFFFF"/>
            <w:vAlign w:val="center"/>
          </w:tcPr>
          <w:p w14:paraId="0F5182E4" w14:textId="77777777" w:rsidR="00350D42" w:rsidRDefault="008E6F64">
            <w:pPr>
              <w:pStyle w:val="2c"/>
              <w:framePr w:w="6581" w:wrap="notBeside" w:vAnchor="text" w:hAnchor="text" w:xAlign="center" w:y="1"/>
              <w:shd w:val="clear" w:color="auto" w:fill="auto"/>
              <w:spacing w:before="0" w:line="221" w:lineRule="exact"/>
            </w:pPr>
            <w:r>
              <w:rPr>
                <w:rStyle w:val="275pt0"/>
              </w:rPr>
              <w:t>Возможна значимая поддержка биз</w:t>
            </w:r>
            <w:r>
              <w:rPr>
                <w:rStyle w:val="275pt0"/>
              </w:rPr>
              <w:softHyphen/>
              <w:t>неса со стороны собственника</w:t>
            </w:r>
          </w:p>
        </w:tc>
        <w:tc>
          <w:tcPr>
            <w:tcW w:w="1027" w:type="dxa"/>
            <w:tcBorders>
              <w:top w:val="single" w:sz="4" w:space="0" w:color="auto"/>
              <w:left w:val="single" w:sz="4" w:space="0" w:color="auto"/>
              <w:right w:val="single" w:sz="4" w:space="0" w:color="auto"/>
            </w:tcBorders>
            <w:shd w:val="clear" w:color="auto" w:fill="FFFFFF"/>
            <w:vAlign w:val="center"/>
          </w:tcPr>
          <w:p w14:paraId="45170FF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r>
      <w:tr w:rsidR="00350D42" w14:paraId="38469A8C" w14:textId="77777777">
        <w:trPr>
          <w:trHeight w:hRule="exact" w:val="542"/>
          <w:jc w:val="center"/>
        </w:trPr>
        <w:tc>
          <w:tcPr>
            <w:tcW w:w="2208" w:type="dxa"/>
            <w:vMerge/>
            <w:tcBorders>
              <w:left w:val="single" w:sz="4" w:space="0" w:color="auto"/>
            </w:tcBorders>
            <w:shd w:val="clear" w:color="auto" w:fill="FFFFFF"/>
            <w:vAlign w:val="center"/>
          </w:tcPr>
          <w:p w14:paraId="79924E40" w14:textId="77777777" w:rsidR="00350D42" w:rsidRDefault="00350D42">
            <w:pPr>
              <w:framePr w:w="6581" w:wrap="notBeside" w:vAnchor="text" w:hAnchor="text" w:xAlign="center" w:y="1"/>
            </w:pPr>
          </w:p>
        </w:tc>
        <w:tc>
          <w:tcPr>
            <w:tcW w:w="3346" w:type="dxa"/>
            <w:tcBorders>
              <w:top w:val="single" w:sz="4" w:space="0" w:color="auto"/>
              <w:left w:val="single" w:sz="4" w:space="0" w:color="auto"/>
            </w:tcBorders>
            <w:shd w:val="clear" w:color="auto" w:fill="FFFFFF"/>
            <w:vAlign w:val="bottom"/>
          </w:tcPr>
          <w:p w14:paraId="7CD0DE9D" w14:textId="77777777" w:rsidR="00350D42" w:rsidRDefault="008E6F64">
            <w:pPr>
              <w:pStyle w:val="2c"/>
              <w:framePr w:w="6581" w:wrap="notBeside" w:vAnchor="text" w:hAnchor="text" w:xAlign="center" w:y="1"/>
              <w:shd w:val="clear" w:color="auto" w:fill="auto"/>
              <w:spacing w:before="0" w:line="221" w:lineRule="exact"/>
            </w:pPr>
            <w:r>
              <w:rPr>
                <w:rStyle w:val="275pt0"/>
              </w:rPr>
              <w:t>Значимая поддержка бизнеса со сто</w:t>
            </w:r>
            <w:r>
              <w:rPr>
                <w:rStyle w:val="275pt0"/>
              </w:rPr>
              <w:softHyphen/>
              <w:t>роны собственника маловероятна</w:t>
            </w:r>
          </w:p>
        </w:tc>
        <w:tc>
          <w:tcPr>
            <w:tcW w:w="1027" w:type="dxa"/>
            <w:tcBorders>
              <w:top w:val="single" w:sz="4" w:space="0" w:color="auto"/>
              <w:left w:val="single" w:sz="4" w:space="0" w:color="auto"/>
              <w:right w:val="single" w:sz="4" w:space="0" w:color="auto"/>
            </w:tcBorders>
            <w:shd w:val="clear" w:color="auto" w:fill="FFFFFF"/>
            <w:vAlign w:val="center"/>
          </w:tcPr>
          <w:p w14:paraId="73F9267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80</w:t>
            </w:r>
          </w:p>
        </w:tc>
      </w:tr>
      <w:tr w:rsidR="00350D42" w14:paraId="2B1CCB62" w14:textId="77777777">
        <w:trPr>
          <w:trHeight w:hRule="exact" w:val="768"/>
          <w:jc w:val="center"/>
        </w:trPr>
        <w:tc>
          <w:tcPr>
            <w:tcW w:w="5554" w:type="dxa"/>
            <w:gridSpan w:val="2"/>
            <w:tcBorders>
              <w:top w:val="single" w:sz="4" w:space="0" w:color="auto"/>
              <w:left w:val="single" w:sz="4" w:space="0" w:color="auto"/>
            </w:tcBorders>
            <w:shd w:val="clear" w:color="auto" w:fill="FFFFFF"/>
            <w:vAlign w:val="center"/>
          </w:tcPr>
          <w:p w14:paraId="07A3C08F"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Собственники не оказывают существенного влияния на разви</w:t>
            </w:r>
            <w:r>
              <w:rPr>
                <w:rStyle w:val="275pt0"/>
              </w:rPr>
              <w:softHyphen/>
              <w:t>тие бизнеса и не осуществляют жесткого контроля за действия</w:t>
            </w:r>
            <w:r>
              <w:rPr>
                <w:rStyle w:val="275pt0"/>
              </w:rPr>
              <w:softHyphen/>
              <w:t>ми менеджмента</w:t>
            </w:r>
          </w:p>
        </w:tc>
        <w:tc>
          <w:tcPr>
            <w:tcW w:w="1027" w:type="dxa"/>
            <w:tcBorders>
              <w:top w:val="single" w:sz="4" w:space="0" w:color="auto"/>
              <w:left w:val="single" w:sz="4" w:space="0" w:color="auto"/>
              <w:right w:val="single" w:sz="4" w:space="0" w:color="auto"/>
            </w:tcBorders>
            <w:shd w:val="clear" w:color="auto" w:fill="FFFFFF"/>
          </w:tcPr>
          <w:p w14:paraId="301EDD4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60</w:t>
            </w:r>
          </w:p>
        </w:tc>
      </w:tr>
      <w:tr w:rsidR="00350D42" w14:paraId="05CEEE65" w14:textId="77777777">
        <w:trPr>
          <w:trHeight w:hRule="exact" w:val="542"/>
          <w:jc w:val="center"/>
        </w:trPr>
        <w:tc>
          <w:tcPr>
            <w:tcW w:w="5554" w:type="dxa"/>
            <w:gridSpan w:val="2"/>
            <w:tcBorders>
              <w:top w:val="single" w:sz="4" w:space="0" w:color="auto"/>
              <w:left w:val="single" w:sz="4" w:space="0" w:color="auto"/>
            </w:tcBorders>
            <w:shd w:val="clear" w:color="auto" w:fill="FFFFFF"/>
            <w:vAlign w:val="center"/>
          </w:tcPr>
          <w:p w14:paraId="0AB34479"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Существует угроза возникновения конфликта между собствен</w:t>
            </w:r>
            <w:r>
              <w:rPr>
                <w:rStyle w:val="275pt0"/>
              </w:rPr>
              <w:softHyphen/>
              <w:t>никами</w:t>
            </w:r>
          </w:p>
        </w:tc>
        <w:tc>
          <w:tcPr>
            <w:tcW w:w="1027" w:type="dxa"/>
            <w:tcBorders>
              <w:top w:val="single" w:sz="4" w:space="0" w:color="auto"/>
              <w:left w:val="single" w:sz="4" w:space="0" w:color="auto"/>
              <w:right w:val="single" w:sz="4" w:space="0" w:color="auto"/>
            </w:tcBorders>
            <w:shd w:val="clear" w:color="auto" w:fill="FFFFFF"/>
          </w:tcPr>
          <w:p w14:paraId="1A568F9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25</w:t>
            </w:r>
          </w:p>
        </w:tc>
      </w:tr>
      <w:tr w:rsidR="00350D42" w14:paraId="5F2B27BA" w14:textId="77777777">
        <w:trPr>
          <w:trHeight w:hRule="exact" w:val="778"/>
          <w:jc w:val="center"/>
        </w:trPr>
        <w:tc>
          <w:tcPr>
            <w:tcW w:w="5554" w:type="dxa"/>
            <w:gridSpan w:val="2"/>
            <w:tcBorders>
              <w:top w:val="single" w:sz="4" w:space="0" w:color="auto"/>
              <w:left w:val="single" w:sz="4" w:space="0" w:color="auto"/>
              <w:bottom w:val="single" w:sz="4" w:space="0" w:color="auto"/>
            </w:tcBorders>
            <w:shd w:val="clear" w:color="auto" w:fill="FFFFFF"/>
            <w:vAlign w:val="center"/>
          </w:tcPr>
          <w:p w14:paraId="6E9C530F"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Собственники не заинтересованы в развитии бизнеса, их вли</w:t>
            </w:r>
            <w:r>
              <w:rPr>
                <w:rStyle w:val="275pt0"/>
              </w:rPr>
              <w:softHyphen/>
              <w:t>яние может быть оценено как отрицательное. Имеет место конфликт между собственниками</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7E2B536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r>
    </w:tbl>
    <w:p w14:paraId="159FE2EA" w14:textId="77777777" w:rsidR="00350D42" w:rsidRDefault="00350D42">
      <w:pPr>
        <w:framePr w:w="6581" w:wrap="notBeside" w:vAnchor="text" w:hAnchor="text" w:xAlign="center" w:y="1"/>
        <w:rPr>
          <w:sz w:val="2"/>
          <w:szCs w:val="2"/>
        </w:rPr>
      </w:pPr>
    </w:p>
    <w:p w14:paraId="31D0E467" w14:textId="77777777" w:rsidR="00350D42" w:rsidRDefault="00350D42">
      <w:pPr>
        <w:rPr>
          <w:sz w:val="2"/>
          <w:szCs w:val="2"/>
        </w:rPr>
      </w:pPr>
    </w:p>
    <w:p w14:paraId="35D72281" w14:textId="77777777" w:rsidR="00350D42" w:rsidRDefault="008E6F64">
      <w:pPr>
        <w:pStyle w:val="2c"/>
        <w:shd w:val="clear" w:color="auto" w:fill="auto"/>
        <w:spacing w:before="98"/>
        <w:ind w:firstLine="320"/>
      </w:pPr>
      <w:r>
        <w:rPr>
          <w:rStyle w:val="2d"/>
        </w:rPr>
        <w:t>В случае если собственники владеют еще и другими активами, при наличии возможности выявляются состав группы, схемы вла</w:t>
      </w:r>
      <w:r>
        <w:rPr>
          <w:rStyle w:val="2d"/>
        </w:rPr>
        <w:softHyphen/>
        <w:t>дения, управления и финансовых потоков (роль юридических лиц, в первую очередь корпоративного клиента, в составе группы).</w:t>
      </w:r>
    </w:p>
    <w:p w14:paraId="19537599" w14:textId="77777777" w:rsidR="00350D42" w:rsidRDefault="008E6F64">
      <w:pPr>
        <w:pStyle w:val="180"/>
        <w:numPr>
          <w:ilvl w:val="0"/>
          <w:numId w:val="157"/>
        </w:numPr>
        <w:shd w:val="clear" w:color="auto" w:fill="auto"/>
        <w:tabs>
          <w:tab w:val="left" w:pos="666"/>
        </w:tabs>
        <w:spacing w:line="250" w:lineRule="exact"/>
        <w:ind w:firstLine="320"/>
        <w:jc w:val="both"/>
      </w:pPr>
      <w:r>
        <w:rPr>
          <w:rStyle w:val="181"/>
          <w:i/>
          <w:iCs/>
        </w:rPr>
        <w:t>Оценка фактора «стабильность группы».</w:t>
      </w:r>
    </w:p>
    <w:p w14:paraId="31D3340B" w14:textId="77777777" w:rsidR="00350D42" w:rsidRDefault="008E6F64">
      <w:pPr>
        <w:pStyle w:val="2c"/>
        <w:shd w:val="clear" w:color="auto" w:fill="auto"/>
        <w:spacing w:before="0"/>
        <w:ind w:firstLine="320"/>
      </w:pPr>
      <w:r>
        <w:rPr>
          <w:rStyle w:val="2d"/>
        </w:rPr>
        <w:t>Показатели оценки стабильности группы представлены в табл. П.2.3.</w:t>
      </w:r>
    </w:p>
    <w:p w14:paraId="0E804C16" w14:textId="77777777" w:rsidR="00350D42" w:rsidRDefault="008E6F64">
      <w:pPr>
        <w:pStyle w:val="2c"/>
        <w:shd w:val="clear" w:color="auto" w:fill="auto"/>
        <w:spacing w:before="0"/>
        <w:ind w:firstLine="320"/>
        <w:sectPr w:rsidR="00350D42">
          <w:pgSz w:w="8789" w:h="13493"/>
          <w:pgMar w:top="737" w:right="1075" w:bottom="1301" w:left="1071" w:header="0" w:footer="3" w:gutter="0"/>
          <w:cols w:space="720"/>
          <w:noEndnote/>
          <w:docGrid w:linePitch="360"/>
        </w:sectPr>
      </w:pPr>
      <w:r>
        <w:rPr>
          <w:rStyle w:val="2d"/>
        </w:rPr>
        <w:t>Если инициатор входит в состав группы, возможно, что его фи</w:t>
      </w:r>
      <w:r>
        <w:rPr>
          <w:rStyle w:val="2d"/>
        </w:rPr>
        <w:softHyphen/>
        <w:t>нансовый результат, за счет которого осуществляется собственное участие инициатора в проекте, уплата процентов и погашение за</w:t>
      </w:r>
      <w:r>
        <w:rPr>
          <w:rStyle w:val="2d"/>
        </w:rPr>
        <w:softHyphen/>
        <w:t>долженности по кредиту, формируются или будут формироваться на основе взаимодействия с аффилированными контрагентами на нерыночных принципах. Вместе с этим создаются условия, ког</w:t>
      </w:r>
      <w:r>
        <w:rPr>
          <w:rStyle w:val="2d"/>
        </w:rPr>
        <w:softHyphen/>
        <w:t>да собственное участие инициатора в проекте формируется за счет финансовых ресурсов, генерируемых аффилированными структу</w:t>
      </w:r>
      <w:r>
        <w:rPr>
          <w:rStyle w:val="2d"/>
        </w:rPr>
        <w:softHyphen/>
        <w:t>рами. В этом случае невозможность аффилированного контрагента осуществлять взаимодействие на прежних нерыночных условиях или обеспечивать инициатору финансовые ресурсы в необходимом объеме вследствие ухудшения финансового положения (как резуль</w:t>
      </w:r>
      <w:r>
        <w:rPr>
          <w:rStyle w:val="2d"/>
        </w:rPr>
        <w:softHyphen/>
        <w:t>тат сокращения сбыта или роста затрат и т. д.) или выхода из соста</w:t>
      </w:r>
      <w:r>
        <w:rPr>
          <w:rStyle w:val="2d"/>
        </w:rPr>
        <w:softHyphen/>
      </w:r>
    </w:p>
    <w:p w14:paraId="6AF3A368" w14:textId="77777777" w:rsidR="00350D42" w:rsidRDefault="008E6F64">
      <w:pPr>
        <w:pStyle w:val="2c"/>
        <w:shd w:val="clear" w:color="auto" w:fill="auto"/>
        <w:spacing w:before="0"/>
        <w:ind w:firstLine="320"/>
      </w:pPr>
      <w:r>
        <w:rPr>
          <w:rStyle w:val="113"/>
        </w:rPr>
        <w:lastRenderedPageBreak/>
        <w:t>ва группы может негативно отразиться на перспективах реализа</w:t>
      </w:r>
      <w:r>
        <w:rPr>
          <w:rStyle w:val="113"/>
        </w:rPr>
        <w:softHyphen/>
        <w:t>ции проекта. В связи с этим анализируются риски потери контроля корпоративного центра над значимыми для инициатора предпри</w:t>
      </w:r>
      <w:r>
        <w:rPr>
          <w:rStyle w:val="113"/>
        </w:rPr>
        <w:softHyphen/>
        <w:t>ятиями и ухудшения их финансового положения.</w:t>
      </w:r>
    </w:p>
    <w:p w14:paraId="1FD0CE8F" w14:textId="77777777" w:rsidR="00350D42" w:rsidRDefault="008E6F64">
      <w:pPr>
        <w:pStyle w:val="190"/>
        <w:shd w:val="clear" w:color="auto" w:fill="auto"/>
      </w:pPr>
      <w:r>
        <w:rPr>
          <w:rStyle w:val="191"/>
          <w:i/>
          <w:iCs/>
        </w:rPr>
        <w:t>Таблица П.2.3</w:t>
      </w:r>
    </w:p>
    <w:p w14:paraId="28910E81" w14:textId="77777777" w:rsidR="00350D42" w:rsidRDefault="008E6F64">
      <w:pPr>
        <w:pStyle w:val="3f2"/>
        <w:framePr w:w="6581" w:wrap="notBeside" w:vAnchor="text" w:hAnchor="text" w:xAlign="center" w:y="1"/>
        <w:shd w:val="clear" w:color="auto" w:fill="auto"/>
        <w:spacing w:line="194" w:lineRule="exact"/>
        <w:jc w:val="left"/>
      </w:pPr>
      <w:r>
        <w:rPr>
          <w:rStyle w:val="3f3"/>
          <w:b/>
          <w:bCs/>
        </w:rPr>
        <w:t>Оценка фактора «стабильность группы»</w:t>
      </w:r>
      <w:r>
        <w:rPr>
          <w:rStyle w:val="3f3"/>
          <w:b/>
          <w:bCs/>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78"/>
        <w:gridCol w:w="1378"/>
        <w:gridCol w:w="826"/>
      </w:tblGrid>
      <w:tr w:rsidR="00350D42" w14:paraId="64F6B72E" w14:textId="77777777">
        <w:trPr>
          <w:trHeight w:hRule="exact" w:val="389"/>
          <w:jc w:val="center"/>
        </w:trPr>
        <w:tc>
          <w:tcPr>
            <w:tcW w:w="5756" w:type="dxa"/>
            <w:gridSpan w:val="2"/>
            <w:tcBorders>
              <w:top w:val="single" w:sz="4" w:space="0" w:color="auto"/>
              <w:left w:val="single" w:sz="4" w:space="0" w:color="auto"/>
            </w:tcBorders>
            <w:shd w:val="clear" w:color="auto" w:fill="FFFFFF"/>
            <w:vAlign w:val="center"/>
          </w:tcPr>
          <w:p w14:paraId="5FE63A6F"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Показатель</w:t>
            </w:r>
          </w:p>
        </w:tc>
        <w:tc>
          <w:tcPr>
            <w:tcW w:w="826" w:type="dxa"/>
            <w:tcBorders>
              <w:top w:val="single" w:sz="4" w:space="0" w:color="auto"/>
              <w:left w:val="single" w:sz="4" w:space="0" w:color="auto"/>
              <w:right w:val="single" w:sz="4" w:space="0" w:color="auto"/>
            </w:tcBorders>
            <w:shd w:val="clear" w:color="auto" w:fill="FFFFFF"/>
            <w:vAlign w:val="center"/>
          </w:tcPr>
          <w:p w14:paraId="1E5CB0C8"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Баллы</w:t>
            </w:r>
          </w:p>
        </w:tc>
      </w:tr>
      <w:tr w:rsidR="00350D42" w14:paraId="679BF176" w14:textId="77777777">
        <w:trPr>
          <w:trHeight w:hRule="exact" w:val="830"/>
          <w:jc w:val="center"/>
        </w:trPr>
        <w:tc>
          <w:tcPr>
            <w:tcW w:w="5756" w:type="dxa"/>
            <w:gridSpan w:val="2"/>
            <w:tcBorders>
              <w:top w:val="single" w:sz="4" w:space="0" w:color="auto"/>
              <w:left w:val="single" w:sz="4" w:space="0" w:color="auto"/>
            </w:tcBorders>
            <w:shd w:val="clear" w:color="auto" w:fill="FFFFFF"/>
            <w:vAlign w:val="center"/>
          </w:tcPr>
          <w:p w14:paraId="67DE4756"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Ухудшение финансового состояние значимых для инициатора предприятий и (или) потери контроля над ними маловероятны; зависимость от аффилированных предприятий отсутствует</w:t>
            </w:r>
          </w:p>
        </w:tc>
        <w:tc>
          <w:tcPr>
            <w:tcW w:w="826" w:type="dxa"/>
            <w:tcBorders>
              <w:top w:val="single" w:sz="4" w:space="0" w:color="auto"/>
              <w:left w:val="single" w:sz="4" w:space="0" w:color="auto"/>
              <w:right w:val="single" w:sz="4" w:space="0" w:color="auto"/>
            </w:tcBorders>
            <w:shd w:val="clear" w:color="auto" w:fill="FFFFFF"/>
          </w:tcPr>
          <w:p w14:paraId="5563901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r>
      <w:tr w:rsidR="00350D42" w14:paraId="41B1B2D3" w14:textId="77777777">
        <w:trPr>
          <w:trHeight w:hRule="exact" w:val="605"/>
          <w:jc w:val="center"/>
        </w:trPr>
        <w:tc>
          <w:tcPr>
            <w:tcW w:w="4378" w:type="dxa"/>
            <w:vMerge w:val="restart"/>
            <w:tcBorders>
              <w:top w:val="single" w:sz="4" w:space="0" w:color="auto"/>
              <w:left w:val="single" w:sz="4" w:space="0" w:color="auto"/>
            </w:tcBorders>
            <w:shd w:val="clear" w:color="auto" w:fill="FFFFFF"/>
          </w:tcPr>
          <w:p w14:paraId="648B28A9"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Ухудшение финансового состояние значимых для инициатора предприятий (или) потери кон</w:t>
            </w:r>
            <w:r>
              <w:rPr>
                <w:rStyle w:val="275pt0"/>
              </w:rPr>
              <w:softHyphen/>
              <w:t>троля над ними вероятны, уровень потерь иници</w:t>
            </w:r>
            <w:r>
              <w:rPr>
                <w:rStyle w:val="275pt0"/>
              </w:rPr>
              <w:softHyphen/>
              <w:t>атора в случае реализации данных угроз</w:t>
            </w:r>
          </w:p>
        </w:tc>
        <w:tc>
          <w:tcPr>
            <w:tcW w:w="1378" w:type="dxa"/>
            <w:tcBorders>
              <w:top w:val="single" w:sz="4" w:space="0" w:color="auto"/>
              <w:left w:val="single" w:sz="4" w:space="0" w:color="auto"/>
            </w:tcBorders>
            <w:shd w:val="clear" w:color="auto" w:fill="FFFFFF"/>
            <w:vAlign w:val="center"/>
          </w:tcPr>
          <w:p w14:paraId="49A3D1B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незначитель-</w:t>
            </w:r>
          </w:p>
          <w:p w14:paraId="2CB0DF54"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ный</w:t>
            </w:r>
            <w:r>
              <w:rPr>
                <w:rStyle w:val="275pt0"/>
                <w:vertAlign w:val="superscript"/>
              </w:rPr>
              <w:t>1</w:t>
            </w:r>
          </w:p>
        </w:tc>
        <w:tc>
          <w:tcPr>
            <w:tcW w:w="826" w:type="dxa"/>
            <w:tcBorders>
              <w:top w:val="single" w:sz="4" w:space="0" w:color="auto"/>
              <w:left w:val="single" w:sz="4" w:space="0" w:color="auto"/>
              <w:right w:val="single" w:sz="4" w:space="0" w:color="auto"/>
            </w:tcBorders>
            <w:shd w:val="clear" w:color="auto" w:fill="FFFFFF"/>
            <w:vAlign w:val="center"/>
          </w:tcPr>
          <w:p w14:paraId="1874537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60</w:t>
            </w:r>
          </w:p>
        </w:tc>
      </w:tr>
      <w:tr w:rsidR="00350D42" w14:paraId="0E903E1C" w14:textId="77777777">
        <w:trPr>
          <w:trHeight w:hRule="exact" w:val="384"/>
          <w:jc w:val="center"/>
        </w:trPr>
        <w:tc>
          <w:tcPr>
            <w:tcW w:w="4378" w:type="dxa"/>
            <w:vMerge/>
            <w:tcBorders>
              <w:left w:val="single" w:sz="4" w:space="0" w:color="auto"/>
            </w:tcBorders>
            <w:shd w:val="clear" w:color="auto" w:fill="FFFFFF"/>
          </w:tcPr>
          <w:p w14:paraId="592618E6" w14:textId="77777777" w:rsidR="00350D42" w:rsidRDefault="00350D42">
            <w:pPr>
              <w:framePr w:w="6581" w:wrap="notBeside" w:vAnchor="text" w:hAnchor="text" w:xAlign="center" w:y="1"/>
            </w:pPr>
          </w:p>
        </w:tc>
        <w:tc>
          <w:tcPr>
            <w:tcW w:w="1378" w:type="dxa"/>
            <w:tcBorders>
              <w:top w:val="single" w:sz="4" w:space="0" w:color="auto"/>
              <w:left w:val="single" w:sz="4" w:space="0" w:color="auto"/>
            </w:tcBorders>
            <w:shd w:val="clear" w:color="auto" w:fill="FFFFFF"/>
            <w:vAlign w:val="center"/>
          </w:tcPr>
          <w:p w14:paraId="25961E00"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значительный</w:t>
            </w:r>
          </w:p>
        </w:tc>
        <w:tc>
          <w:tcPr>
            <w:tcW w:w="826" w:type="dxa"/>
            <w:tcBorders>
              <w:top w:val="single" w:sz="4" w:space="0" w:color="auto"/>
              <w:left w:val="single" w:sz="4" w:space="0" w:color="auto"/>
              <w:right w:val="single" w:sz="4" w:space="0" w:color="auto"/>
            </w:tcBorders>
            <w:shd w:val="clear" w:color="auto" w:fill="FFFFFF"/>
            <w:vAlign w:val="center"/>
          </w:tcPr>
          <w:p w14:paraId="0B09B5C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25</w:t>
            </w:r>
          </w:p>
        </w:tc>
      </w:tr>
      <w:tr w:rsidR="00350D42" w14:paraId="53DF6D95" w14:textId="77777777">
        <w:trPr>
          <w:trHeight w:hRule="exact" w:val="398"/>
          <w:jc w:val="center"/>
        </w:trPr>
        <w:tc>
          <w:tcPr>
            <w:tcW w:w="4378" w:type="dxa"/>
            <w:vMerge/>
            <w:tcBorders>
              <w:left w:val="single" w:sz="4" w:space="0" w:color="auto"/>
              <w:bottom w:val="single" w:sz="4" w:space="0" w:color="auto"/>
            </w:tcBorders>
            <w:shd w:val="clear" w:color="auto" w:fill="FFFFFF"/>
          </w:tcPr>
          <w:p w14:paraId="4EAB7A55" w14:textId="77777777" w:rsidR="00350D42" w:rsidRDefault="00350D42">
            <w:pPr>
              <w:framePr w:w="6581" w:wrap="notBeside" w:vAnchor="text" w:hAnchor="text" w:xAlign="center" w:y="1"/>
            </w:pPr>
          </w:p>
        </w:tc>
        <w:tc>
          <w:tcPr>
            <w:tcW w:w="1378" w:type="dxa"/>
            <w:tcBorders>
              <w:top w:val="single" w:sz="4" w:space="0" w:color="auto"/>
              <w:left w:val="single" w:sz="4" w:space="0" w:color="auto"/>
              <w:bottom w:val="single" w:sz="4" w:space="0" w:color="auto"/>
            </w:tcBorders>
            <w:shd w:val="clear" w:color="auto" w:fill="FFFFFF"/>
            <w:vAlign w:val="center"/>
          </w:tcPr>
          <w:p w14:paraId="2380F7A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высокий</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14:paraId="25A8B2C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r>
    </w:tbl>
    <w:p w14:paraId="3D7BDF8B" w14:textId="77777777" w:rsidR="00350D42" w:rsidRDefault="00350D42">
      <w:pPr>
        <w:framePr w:w="6581" w:wrap="notBeside" w:vAnchor="text" w:hAnchor="text" w:xAlign="center" w:y="1"/>
        <w:rPr>
          <w:sz w:val="2"/>
          <w:szCs w:val="2"/>
        </w:rPr>
      </w:pPr>
    </w:p>
    <w:p w14:paraId="543BBF59" w14:textId="77777777" w:rsidR="00350D42" w:rsidRDefault="00350D42">
      <w:pPr>
        <w:rPr>
          <w:sz w:val="2"/>
          <w:szCs w:val="2"/>
        </w:rPr>
      </w:pPr>
    </w:p>
    <w:p w14:paraId="132889BC" w14:textId="77777777" w:rsidR="00350D42" w:rsidRDefault="008E6F64">
      <w:pPr>
        <w:pStyle w:val="111"/>
        <w:shd w:val="clear" w:color="auto" w:fill="auto"/>
        <w:spacing w:before="98" w:after="0" w:line="250" w:lineRule="exact"/>
        <w:ind w:firstLine="320"/>
        <w:jc w:val="both"/>
      </w:pPr>
      <w:r>
        <w:rPr>
          <w:rStyle w:val="113"/>
          <w:b/>
          <w:bCs/>
        </w:rPr>
        <w:t>Для выбора соответствующего значения критерия:</w:t>
      </w:r>
    </w:p>
    <w:p w14:paraId="1538A0F4" w14:textId="77777777" w:rsidR="00350D42" w:rsidRDefault="008E6F64">
      <w:pPr>
        <w:pStyle w:val="111"/>
        <w:numPr>
          <w:ilvl w:val="0"/>
          <w:numId w:val="158"/>
        </w:numPr>
        <w:shd w:val="clear" w:color="auto" w:fill="auto"/>
        <w:tabs>
          <w:tab w:val="left" w:pos="630"/>
        </w:tabs>
        <w:spacing w:before="0" w:after="0" w:line="250" w:lineRule="exact"/>
        <w:ind w:firstLine="320"/>
        <w:jc w:val="both"/>
      </w:pPr>
      <w:r>
        <w:rPr>
          <w:rStyle w:val="113"/>
          <w:b/>
          <w:bCs/>
        </w:rPr>
        <w:t>выявляется источник средств для обеспечения собственного участия инициатора в проекте;</w:t>
      </w:r>
    </w:p>
    <w:p w14:paraId="38837833" w14:textId="77777777" w:rsidR="00350D42" w:rsidRDefault="008E6F64">
      <w:pPr>
        <w:pStyle w:val="111"/>
        <w:numPr>
          <w:ilvl w:val="0"/>
          <w:numId w:val="158"/>
        </w:numPr>
        <w:shd w:val="clear" w:color="auto" w:fill="auto"/>
        <w:tabs>
          <w:tab w:val="left" w:pos="630"/>
        </w:tabs>
        <w:spacing w:before="0" w:after="0" w:line="250" w:lineRule="exact"/>
        <w:ind w:firstLine="320"/>
        <w:jc w:val="both"/>
      </w:pPr>
      <w:r>
        <w:rPr>
          <w:rStyle w:val="113"/>
          <w:b/>
          <w:bCs/>
        </w:rPr>
        <w:t>выявляется состав основных контрагентов и проверяется их аффилированность с инициатором;</w:t>
      </w:r>
    </w:p>
    <w:p w14:paraId="26A701EA" w14:textId="77777777" w:rsidR="00350D42" w:rsidRDefault="008E6F64">
      <w:pPr>
        <w:pStyle w:val="111"/>
        <w:numPr>
          <w:ilvl w:val="0"/>
          <w:numId w:val="158"/>
        </w:numPr>
        <w:shd w:val="clear" w:color="auto" w:fill="auto"/>
        <w:tabs>
          <w:tab w:val="left" w:pos="634"/>
        </w:tabs>
        <w:spacing w:before="0" w:after="0" w:line="250" w:lineRule="exact"/>
        <w:ind w:firstLine="320"/>
        <w:jc w:val="both"/>
      </w:pPr>
      <w:r>
        <w:rPr>
          <w:rStyle w:val="113"/>
          <w:b/>
          <w:bCs/>
        </w:rPr>
        <w:t>в случае наличия аффилированных контрагентов или компа</w:t>
      </w:r>
      <w:r>
        <w:rPr>
          <w:rStyle w:val="113"/>
          <w:b/>
          <w:bCs/>
        </w:rPr>
        <w:softHyphen/>
        <w:t>нии, обеспечивающей финансирование инвестиционной деятель</w:t>
      </w:r>
      <w:r>
        <w:rPr>
          <w:rStyle w:val="113"/>
          <w:b/>
          <w:bCs/>
        </w:rPr>
        <w:softHyphen/>
        <w:t>ности инициатора:</w:t>
      </w:r>
    </w:p>
    <w:p w14:paraId="70012920"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выявляется состав их основных акционеров, характер их вза</w:t>
      </w:r>
      <w:r>
        <w:rPr>
          <w:rStyle w:val="113"/>
          <w:b/>
          <w:bCs/>
        </w:rPr>
        <w:softHyphen/>
        <w:t>имоотношений,</w:t>
      </w:r>
    </w:p>
    <w:p w14:paraId="77939686" w14:textId="77777777" w:rsidR="00350D42" w:rsidRDefault="008E6F64">
      <w:pPr>
        <w:pStyle w:val="111"/>
        <w:numPr>
          <w:ilvl w:val="0"/>
          <w:numId w:val="142"/>
        </w:numPr>
        <w:shd w:val="clear" w:color="auto" w:fill="auto"/>
        <w:tabs>
          <w:tab w:val="left" w:pos="639"/>
        </w:tabs>
        <w:spacing w:before="0" w:after="0" w:line="250" w:lineRule="exact"/>
        <w:ind w:firstLine="320"/>
        <w:jc w:val="both"/>
      </w:pPr>
      <w:r>
        <w:rPr>
          <w:rStyle w:val="113"/>
          <w:b/>
          <w:bCs/>
        </w:rPr>
        <w:t>анализируются доля закупок или доля продаж в общем объ</w:t>
      </w:r>
      <w:r>
        <w:rPr>
          <w:rStyle w:val="113"/>
          <w:b/>
          <w:bCs/>
        </w:rPr>
        <w:softHyphen/>
        <w:t>еме затрат и продаж инициатора соответственно, соответствие ус</w:t>
      </w:r>
      <w:r>
        <w:rPr>
          <w:rStyle w:val="113"/>
          <w:b/>
          <w:bCs/>
        </w:rPr>
        <w:softHyphen/>
        <w:t>ловий работы аффилированных контрагентов условиям, сложив</w:t>
      </w:r>
      <w:r>
        <w:rPr>
          <w:rStyle w:val="113"/>
          <w:b/>
          <w:bCs/>
        </w:rPr>
        <w:softHyphen/>
        <w:t>шимся на рынке (что позволяет судить о возможном уровне потерь инициатора при переходе к работе на рыночных условиях),</w:t>
      </w:r>
    </w:p>
    <w:p w14:paraId="74029414"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анализируется финансовое состояние аффилированных контра</w:t>
      </w:r>
      <w:r>
        <w:rPr>
          <w:rStyle w:val="113"/>
          <w:b/>
          <w:bCs/>
        </w:rPr>
        <w:softHyphen/>
        <w:t>гентов и компании, финансирующей инвестиционную деятельность инициатора, с учетом их роли в группе (в зависимости от их значи</w:t>
      </w:r>
      <w:r>
        <w:rPr>
          <w:rStyle w:val="113"/>
          <w:b/>
          <w:bCs/>
        </w:rPr>
        <w:softHyphen/>
        <w:t>мости — от финансового анализа текущего состояния до постро</w:t>
      </w:r>
      <w:r>
        <w:rPr>
          <w:rStyle w:val="113"/>
          <w:b/>
          <w:bCs/>
        </w:rPr>
        <w:softHyphen/>
        <w:t>ения финансово-экономической модели, выполнения отраслевых обзоров и формирования соответствующих прогнозов),</w:t>
      </w:r>
    </w:p>
    <w:p w14:paraId="21F7B7C8" w14:textId="77777777" w:rsidR="00350D42" w:rsidRDefault="008E6F64">
      <w:pPr>
        <w:pStyle w:val="111"/>
        <w:numPr>
          <w:ilvl w:val="0"/>
          <w:numId w:val="142"/>
        </w:numPr>
        <w:shd w:val="clear" w:color="auto" w:fill="auto"/>
        <w:tabs>
          <w:tab w:val="left" w:pos="630"/>
        </w:tabs>
        <w:spacing w:before="0" w:after="0" w:line="250" w:lineRule="exact"/>
        <w:ind w:firstLine="320"/>
        <w:jc w:val="both"/>
      </w:pPr>
      <w:r>
        <w:rPr>
          <w:rStyle w:val="113"/>
          <w:b/>
          <w:bCs/>
        </w:rPr>
        <w:t>оценивается вероятность ухудшения финансового состояния в будущем и (или) потери контроля со стороны корпоративного центра по двоичной системе — вероятно/маловероятно.</w:t>
      </w:r>
    </w:p>
    <w:p w14:paraId="37523884" w14:textId="77777777" w:rsidR="00350D42" w:rsidRDefault="008E6F64">
      <w:pPr>
        <w:pStyle w:val="190"/>
        <w:numPr>
          <w:ilvl w:val="0"/>
          <w:numId w:val="157"/>
        </w:numPr>
        <w:shd w:val="clear" w:color="auto" w:fill="auto"/>
        <w:tabs>
          <w:tab w:val="left" w:pos="633"/>
        </w:tabs>
        <w:spacing w:line="250" w:lineRule="exact"/>
        <w:ind w:firstLine="320"/>
        <w:jc w:val="both"/>
      </w:pPr>
      <w:r>
        <w:rPr>
          <w:rStyle w:val="191"/>
          <w:i/>
          <w:iCs/>
        </w:rPr>
        <w:t>Оценка фактора</w:t>
      </w:r>
      <w:r>
        <w:rPr>
          <w:rStyle w:val="192"/>
        </w:rPr>
        <w:t xml:space="preserve"> </w:t>
      </w:r>
      <w:r>
        <w:rPr>
          <w:rStyle w:val="191"/>
          <w:i/>
          <w:iCs/>
        </w:rPr>
        <w:t>«опыт реализации проектов</w:t>
      </w:r>
      <w:r>
        <w:rPr>
          <w:rStyle w:val="192"/>
        </w:rPr>
        <w:t>».</w:t>
      </w:r>
    </w:p>
    <w:p w14:paraId="684EF705" w14:textId="77777777" w:rsidR="00350D42" w:rsidRDefault="008E6F64">
      <w:pPr>
        <w:pStyle w:val="111"/>
        <w:shd w:val="clear" w:color="auto" w:fill="auto"/>
        <w:spacing w:before="0" w:after="0" w:line="250" w:lineRule="exact"/>
        <w:ind w:firstLine="320"/>
        <w:jc w:val="both"/>
      </w:pPr>
      <w:r>
        <w:rPr>
          <w:rStyle w:val="113"/>
          <w:b/>
          <w:bCs/>
        </w:rPr>
        <w:t>Финансовая состоятельность проекта обеспечивается успешной реализацией следующих основных направлений.</w:t>
      </w:r>
    </w:p>
    <w:p w14:paraId="38675734" w14:textId="77777777" w:rsidR="00350D42" w:rsidRDefault="008E6F64">
      <w:pPr>
        <w:pStyle w:val="111"/>
        <w:numPr>
          <w:ilvl w:val="0"/>
          <w:numId w:val="159"/>
        </w:numPr>
        <w:shd w:val="clear" w:color="auto" w:fill="auto"/>
        <w:tabs>
          <w:tab w:val="left" w:pos="633"/>
        </w:tabs>
        <w:spacing w:before="0" w:after="0" w:line="250" w:lineRule="exact"/>
        <w:ind w:firstLine="320"/>
        <w:jc w:val="both"/>
      </w:pPr>
      <w:r>
        <w:rPr>
          <w:rStyle w:val="113"/>
          <w:b/>
          <w:bCs/>
        </w:rPr>
        <w:t>Техническая реализация — корректный выбор проектной ор</w:t>
      </w:r>
      <w:r>
        <w:rPr>
          <w:rStyle w:val="113"/>
          <w:b/>
          <w:bCs/>
        </w:rPr>
        <w:softHyphen/>
        <w:t>ганизации, генерального подрядчика, поставщиков оборудования, эффективное взаимодействие с ними.</w:t>
      </w:r>
    </w:p>
    <w:p w14:paraId="6F893E4E" w14:textId="77777777" w:rsidR="00350D42" w:rsidRDefault="008E6F64">
      <w:pPr>
        <w:pStyle w:val="111"/>
        <w:numPr>
          <w:ilvl w:val="0"/>
          <w:numId w:val="159"/>
        </w:numPr>
        <w:shd w:val="clear" w:color="auto" w:fill="auto"/>
        <w:tabs>
          <w:tab w:val="left" w:pos="633"/>
        </w:tabs>
        <w:spacing w:before="0" w:after="0" w:line="250" w:lineRule="exact"/>
        <w:ind w:firstLine="320"/>
        <w:jc w:val="both"/>
      </w:pPr>
      <w:r>
        <w:rPr>
          <w:rStyle w:val="113"/>
          <w:b/>
          <w:bCs/>
        </w:rPr>
        <w:t>Коммерческое окружение — наличие поставщиков и поку</w:t>
      </w:r>
      <w:r>
        <w:rPr>
          <w:rStyle w:val="113"/>
          <w:b/>
          <w:bCs/>
        </w:rPr>
        <w:softHyphen/>
        <w:t>пателей, их надежность, возможность заключения долгосрочных договоров.</w:t>
      </w:r>
    </w:p>
    <w:p w14:paraId="7F281D0F" w14:textId="77777777" w:rsidR="00350D42" w:rsidRDefault="008E6F64">
      <w:pPr>
        <w:pStyle w:val="111"/>
        <w:numPr>
          <w:ilvl w:val="0"/>
          <w:numId w:val="159"/>
        </w:numPr>
        <w:shd w:val="clear" w:color="auto" w:fill="auto"/>
        <w:tabs>
          <w:tab w:val="left" w:pos="633"/>
        </w:tabs>
        <w:spacing w:before="0" w:after="0" w:line="250" w:lineRule="exact"/>
        <w:ind w:firstLine="320"/>
        <w:jc w:val="both"/>
      </w:pPr>
      <w:r>
        <w:rPr>
          <w:rStyle w:val="113"/>
          <w:b/>
          <w:bCs/>
        </w:rPr>
        <w:lastRenderedPageBreak/>
        <w:t>Административное окружение — возможность получения не</w:t>
      </w:r>
      <w:r>
        <w:rPr>
          <w:rStyle w:val="113"/>
          <w:b/>
          <w:bCs/>
        </w:rPr>
        <w:softHyphen/>
        <w:t>обходимых согласований и разрешений на всех этапах инвестици</w:t>
      </w:r>
      <w:r>
        <w:rPr>
          <w:rStyle w:val="113"/>
          <w:b/>
          <w:bCs/>
        </w:rPr>
        <w:softHyphen/>
        <w:t>онной стадии проекта.</w:t>
      </w:r>
    </w:p>
    <w:p w14:paraId="40EFC9DA" w14:textId="77777777" w:rsidR="00350D42" w:rsidRDefault="008E6F64">
      <w:pPr>
        <w:pStyle w:val="111"/>
        <w:shd w:val="clear" w:color="auto" w:fill="auto"/>
        <w:spacing w:before="0" w:after="0" w:line="250" w:lineRule="exact"/>
        <w:ind w:firstLine="320"/>
        <w:jc w:val="both"/>
      </w:pPr>
      <w:r>
        <w:rPr>
          <w:rStyle w:val="113"/>
          <w:b/>
          <w:bCs/>
        </w:rPr>
        <w:t>Опыт по всем составляющим данных направлений нарабатыва</w:t>
      </w:r>
      <w:r>
        <w:rPr>
          <w:rStyle w:val="113"/>
          <w:b/>
          <w:bCs/>
        </w:rPr>
        <w:softHyphen/>
        <w:t>ется в ходе реализации аналогичных проектов. При этом предпо</w:t>
      </w:r>
      <w:r>
        <w:rPr>
          <w:rStyle w:val="113"/>
          <w:b/>
          <w:bCs/>
        </w:rPr>
        <w:softHyphen/>
        <w:t>чтительно его получение в рамках бизнеса инициатора или аффи</w:t>
      </w:r>
      <w:r>
        <w:rPr>
          <w:rStyle w:val="113"/>
          <w:b/>
          <w:bCs/>
        </w:rPr>
        <w:softHyphen/>
        <w:t>лированных с ним структур, что является некоторой гарантией его полноты (при условии стабильности состава персонала) и примени</w:t>
      </w:r>
      <w:r>
        <w:rPr>
          <w:rStyle w:val="113"/>
          <w:b/>
          <w:bCs/>
        </w:rPr>
        <w:softHyphen/>
        <w:t>мости с учетом специфики бизнеса инициатора.</w:t>
      </w:r>
    </w:p>
    <w:p w14:paraId="4A1F7E58" w14:textId="77777777" w:rsidR="00350D42" w:rsidRDefault="008E6F64">
      <w:pPr>
        <w:pStyle w:val="111"/>
        <w:shd w:val="clear" w:color="auto" w:fill="auto"/>
        <w:spacing w:before="0" w:after="0" w:line="250" w:lineRule="exact"/>
        <w:ind w:firstLine="320"/>
        <w:jc w:val="both"/>
      </w:pPr>
      <w:r>
        <w:rPr>
          <w:rStyle w:val="113"/>
          <w:b/>
          <w:bCs/>
        </w:rPr>
        <w:t>Однако глубокое понимание ситуации в отрасли (коммерческое окружение), а часто и отработанные контакты с регулирующими органами (частично административный аспект), хорошее знание поставщиков оборудования (частично техническая реализация) возникают в процессе эксплуатации объектов, аналогичных созда</w:t>
      </w:r>
      <w:r>
        <w:rPr>
          <w:rStyle w:val="113"/>
          <w:b/>
          <w:bCs/>
        </w:rPr>
        <w:softHyphen/>
        <w:t>ваемому. Наличие соответствующих знаний (подразумевающих по</w:t>
      </w:r>
      <w:r>
        <w:rPr>
          <w:rStyle w:val="113"/>
          <w:b/>
          <w:bCs/>
        </w:rPr>
        <w:softHyphen/>
        <w:t>нимание сути бизнеса) желательно для специалистов, реализующих проект, и принципиально для лиц, подготовивших и принявших ре</w:t>
      </w:r>
      <w:r>
        <w:rPr>
          <w:rStyle w:val="113"/>
          <w:b/>
          <w:bCs/>
        </w:rPr>
        <w:softHyphen/>
        <w:t>шение об инициации проекта (что является некоторой гарантией общей адекватности проекта, отработанности отдельных контактов и его активного продвижения, так как принципиальные вопросы решаются на высшем уровне).</w:t>
      </w:r>
    </w:p>
    <w:p w14:paraId="353EE11E" w14:textId="77777777" w:rsidR="00350D42" w:rsidRDefault="008E6F64">
      <w:pPr>
        <w:pStyle w:val="111"/>
        <w:shd w:val="clear" w:color="auto" w:fill="auto"/>
        <w:spacing w:before="0" w:after="0" w:line="250" w:lineRule="exact"/>
        <w:ind w:firstLine="320"/>
        <w:jc w:val="both"/>
      </w:pPr>
      <w:r>
        <w:rPr>
          <w:rStyle w:val="113"/>
          <w:b/>
          <w:bCs/>
        </w:rPr>
        <w:t>Показатели оценки опыта реализации проектов даны в табл. П.2.4.</w:t>
      </w:r>
    </w:p>
    <w:p w14:paraId="484F0BFF" w14:textId="77777777" w:rsidR="00350D42" w:rsidRDefault="008E6F64">
      <w:pPr>
        <w:pStyle w:val="190"/>
        <w:shd w:val="clear" w:color="auto" w:fill="auto"/>
      </w:pPr>
      <w:r>
        <w:rPr>
          <w:rStyle w:val="191"/>
          <w:i/>
          <w:iCs/>
        </w:rPr>
        <w:t>Таблица П.2.4</w:t>
      </w:r>
    </w:p>
    <w:p w14:paraId="1B8C1626" w14:textId="77777777" w:rsidR="00350D42" w:rsidRDefault="008E6F64">
      <w:pPr>
        <w:pStyle w:val="3f2"/>
        <w:framePr w:w="6581" w:wrap="notBeside" w:vAnchor="text" w:hAnchor="text" w:xAlign="center" w:y="1"/>
        <w:shd w:val="clear" w:color="auto" w:fill="auto"/>
        <w:spacing w:line="194" w:lineRule="exact"/>
        <w:jc w:val="left"/>
      </w:pPr>
      <w:r>
        <w:rPr>
          <w:rStyle w:val="3f3"/>
          <w:b/>
          <w:bCs/>
        </w:rPr>
        <w:t>Оценка фактора «опыт реализации проектов»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86"/>
        <w:gridCol w:w="4512"/>
        <w:gridCol w:w="782"/>
      </w:tblGrid>
      <w:tr w:rsidR="00350D42" w14:paraId="6B16BB07" w14:textId="77777777">
        <w:trPr>
          <w:trHeight w:hRule="exact" w:val="331"/>
          <w:jc w:val="center"/>
        </w:trPr>
        <w:tc>
          <w:tcPr>
            <w:tcW w:w="5798" w:type="dxa"/>
            <w:gridSpan w:val="2"/>
            <w:tcBorders>
              <w:top w:val="single" w:sz="4" w:space="0" w:color="auto"/>
              <w:left w:val="single" w:sz="4" w:space="0" w:color="auto"/>
            </w:tcBorders>
            <w:shd w:val="clear" w:color="auto" w:fill="FFFFFF"/>
            <w:vAlign w:val="center"/>
          </w:tcPr>
          <w:p w14:paraId="683A617B"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Показатель</w:t>
            </w:r>
          </w:p>
        </w:tc>
        <w:tc>
          <w:tcPr>
            <w:tcW w:w="782" w:type="dxa"/>
            <w:tcBorders>
              <w:top w:val="single" w:sz="4" w:space="0" w:color="auto"/>
              <w:left w:val="single" w:sz="4" w:space="0" w:color="auto"/>
              <w:right w:val="single" w:sz="4" w:space="0" w:color="auto"/>
            </w:tcBorders>
            <w:shd w:val="clear" w:color="auto" w:fill="FFFFFF"/>
            <w:vAlign w:val="center"/>
          </w:tcPr>
          <w:p w14:paraId="22BA95EF"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Баллы</w:t>
            </w:r>
          </w:p>
        </w:tc>
      </w:tr>
      <w:tr w:rsidR="00350D42" w14:paraId="2310636D" w14:textId="77777777">
        <w:trPr>
          <w:trHeight w:hRule="exact" w:val="840"/>
          <w:jc w:val="center"/>
        </w:trPr>
        <w:tc>
          <w:tcPr>
            <w:tcW w:w="1286" w:type="dxa"/>
            <w:vMerge w:val="restart"/>
            <w:tcBorders>
              <w:top w:val="single" w:sz="4" w:space="0" w:color="auto"/>
              <w:left w:val="single" w:sz="4" w:space="0" w:color="auto"/>
            </w:tcBorders>
            <w:shd w:val="clear" w:color="auto" w:fill="FFFFFF"/>
          </w:tcPr>
          <w:p w14:paraId="6211E723"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Инициатор (собственни</w:t>
            </w:r>
            <w:r>
              <w:rPr>
                <w:rStyle w:val="275pt0"/>
              </w:rPr>
              <w:softHyphen/>
              <w:t>ки) имеют</w:t>
            </w:r>
          </w:p>
          <w:p w14:paraId="63DD239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опыт экс</w:t>
            </w:r>
            <w:r>
              <w:rPr>
                <w:rStyle w:val="275pt0"/>
              </w:rPr>
              <w:softHyphen/>
              <w:t>плуатации</w:t>
            </w:r>
          </w:p>
          <w:p w14:paraId="35AC78E8"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аналогичных</w:t>
            </w:r>
          </w:p>
          <w:p w14:paraId="34A73692"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объектов</w:t>
            </w:r>
          </w:p>
        </w:tc>
        <w:tc>
          <w:tcPr>
            <w:tcW w:w="4512" w:type="dxa"/>
            <w:tcBorders>
              <w:top w:val="single" w:sz="4" w:space="0" w:color="auto"/>
              <w:left w:val="single" w:sz="4" w:space="0" w:color="auto"/>
            </w:tcBorders>
            <w:shd w:val="clear" w:color="auto" w:fill="FFFFFF"/>
            <w:vAlign w:val="center"/>
          </w:tcPr>
          <w:p w14:paraId="0DE55429"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Инициатор (его собственники) имеют опыт реа</w:t>
            </w:r>
            <w:r>
              <w:rPr>
                <w:rStyle w:val="275pt0"/>
              </w:rPr>
              <w:softHyphen/>
              <w:t>лизации аналогичных проектов (соответствующий персонал сохранен)</w:t>
            </w:r>
          </w:p>
        </w:tc>
        <w:tc>
          <w:tcPr>
            <w:tcW w:w="782" w:type="dxa"/>
            <w:tcBorders>
              <w:top w:val="single" w:sz="4" w:space="0" w:color="auto"/>
              <w:left w:val="single" w:sz="4" w:space="0" w:color="auto"/>
              <w:right w:val="single" w:sz="4" w:space="0" w:color="auto"/>
            </w:tcBorders>
            <w:shd w:val="clear" w:color="auto" w:fill="FFFFFF"/>
          </w:tcPr>
          <w:p w14:paraId="31DA698F" w14:textId="77777777" w:rsidR="00350D42" w:rsidRDefault="008E6F64">
            <w:pPr>
              <w:pStyle w:val="2c"/>
              <w:framePr w:w="6581" w:wrap="notBeside" w:vAnchor="text" w:hAnchor="text" w:xAlign="center" w:y="1"/>
              <w:shd w:val="clear" w:color="auto" w:fill="auto"/>
              <w:spacing w:before="0" w:line="168" w:lineRule="exact"/>
              <w:ind w:right="280"/>
              <w:jc w:val="right"/>
            </w:pPr>
            <w:r>
              <w:rPr>
                <w:rStyle w:val="275pt0"/>
              </w:rPr>
              <w:t>100</w:t>
            </w:r>
          </w:p>
        </w:tc>
      </w:tr>
      <w:tr w:rsidR="00350D42" w14:paraId="0E393C7E" w14:textId="77777777">
        <w:trPr>
          <w:trHeight w:hRule="exact" w:val="840"/>
          <w:jc w:val="center"/>
        </w:trPr>
        <w:tc>
          <w:tcPr>
            <w:tcW w:w="1286" w:type="dxa"/>
            <w:vMerge/>
            <w:tcBorders>
              <w:left w:val="single" w:sz="4" w:space="0" w:color="auto"/>
            </w:tcBorders>
            <w:shd w:val="clear" w:color="auto" w:fill="FFFFFF"/>
          </w:tcPr>
          <w:p w14:paraId="46C30338" w14:textId="77777777" w:rsidR="00350D42" w:rsidRDefault="00350D42">
            <w:pPr>
              <w:framePr w:w="6581" w:wrap="notBeside" w:vAnchor="text" w:hAnchor="text" w:xAlign="center" w:y="1"/>
            </w:pPr>
          </w:p>
        </w:tc>
        <w:tc>
          <w:tcPr>
            <w:tcW w:w="4512" w:type="dxa"/>
            <w:tcBorders>
              <w:top w:val="single" w:sz="4" w:space="0" w:color="auto"/>
              <w:left w:val="single" w:sz="4" w:space="0" w:color="auto"/>
            </w:tcBorders>
            <w:shd w:val="clear" w:color="auto" w:fill="FFFFFF"/>
          </w:tcPr>
          <w:p w14:paraId="425F6525"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Имеются высококлассные привлеченные специали</w:t>
            </w:r>
            <w:r>
              <w:rPr>
                <w:rStyle w:val="275pt0"/>
              </w:rPr>
              <w:softHyphen/>
              <w:t>сты с опытом реализации аналогичных проектов</w:t>
            </w:r>
          </w:p>
        </w:tc>
        <w:tc>
          <w:tcPr>
            <w:tcW w:w="782" w:type="dxa"/>
            <w:tcBorders>
              <w:top w:val="single" w:sz="4" w:space="0" w:color="auto"/>
              <w:left w:val="single" w:sz="4" w:space="0" w:color="auto"/>
              <w:right w:val="single" w:sz="4" w:space="0" w:color="auto"/>
            </w:tcBorders>
            <w:shd w:val="clear" w:color="auto" w:fill="FFFFFF"/>
          </w:tcPr>
          <w:p w14:paraId="60B8023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90</w:t>
            </w:r>
          </w:p>
        </w:tc>
      </w:tr>
      <w:tr w:rsidR="00350D42" w14:paraId="3A076ABC" w14:textId="77777777">
        <w:trPr>
          <w:trHeight w:hRule="exact" w:val="850"/>
          <w:jc w:val="center"/>
        </w:trPr>
        <w:tc>
          <w:tcPr>
            <w:tcW w:w="1286" w:type="dxa"/>
            <w:vMerge/>
            <w:tcBorders>
              <w:left w:val="single" w:sz="4" w:space="0" w:color="auto"/>
              <w:bottom w:val="single" w:sz="4" w:space="0" w:color="auto"/>
            </w:tcBorders>
            <w:shd w:val="clear" w:color="auto" w:fill="FFFFFF"/>
          </w:tcPr>
          <w:p w14:paraId="44D258B5" w14:textId="77777777" w:rsidR="00350D42" w:rsidRDefault="00350D42">
            <w:pPr>
              <w:framePr w:w="6581" w:wrap="notBeside" w:vAnchor="text" w:hAnchor="text" w:xAlign="center" w:y="1"/>
            </w:pPr>
          </w:p>
        </w:tc>
        <w:tc>
          <w:tcPr>
            <w:tcW w:w="4512" w:type="dxa"/>
            <w:tcBorders>
              <w:top w:val="single" w:sz="4" w:space="0" w:color="auto"/>
              <w:left w:val="single" w:sz="4" w:space="0" w:color="auto"/>
              <w:bottom w:val="single" w:sz="4" w:space="0" w:color="auto"/>
            </w:tcBorders>
            <w:shd w:val="clear" w:color="auto" w:fill="FFFFFF"/>
            <w:vAlign w:val="center"/>
          </w:tcPr>
          <w:p w14:paraId="54A1F4AA"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Имеются специалисты с опытом реализации других проектов либо отдельных направлений аналогич</w:t>
            </w:r>
            <w:r>
              <w:rPr>
                <w:rStyle w:val="275pt0"/>
              </w:rPr>
              <w:softHyphen/>
              <w:t>ных проектов</w:t>
            </w:r>
          </w:p>
        </w:tc>
        <w:tc>
          <w:tcPr>
            <w:tcW w:w="782" w:type="dxa"/>
            <w:tcBorders>
              <w:top w:val="single" w:sz="4" w:space="0" w:color="auto"/>
              <w:left w:val="single" w:sz="4" w:space="0" w:color="auto"/>
              <w:bottom w:val="single" w:sz="4" w:space="0" w:color="auto"/>
              <w:right w:val="single" w:sz="4" w:space="0" w:color="auto"/>
            </w:tcBorders>
            <w:shd w:val="clear" w:color="auto" w:fill="FFFFFF"/>
          </w:tcPr>
          <w:p w14:paraId="6434009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80</w:t>
            </w:r>
          </w:p>
        </w:tc>
      </w:tr>
    </w:tbl>
    <w:p w14:paraId="49968BE2" w14:textId="77777777" w:rsidR="00350D42" w:rsidRDefault="00350D42">
      <w:pPr>
        <w:framePr w:w="6581" w:wrap="notBeside" w:vAnchor="text" w:hAnchor="text" w:xAlign="center" w:y="1"/>
        <w:rPr>
          <w:sz w:val="2"/>
          <w:szCs w:val="2"/>
        </w:rPr>
      </w:pPr>
    </w:p>
    <w:p w14:paraId="2F8131EC" w14:textId="77777777" w:rsidR="00350D42" w:rsidRDefault="00350D42">
      <w:pPr>
        <w:rPr>
          <w:sz w:val="2"/>
          <w:szCs w:val="2"/>
        </w:rPr>
      </w:pPr>
    </w:p>
    <w:p w14:paraId="0A64F5E4" w14:textId="77777777" w:rsidR="00350D42" w:rsidRDefault="00350D42">
      <w:pPr>
        <w:rPr>
          <w:sz w:val="2"/>
          <w:szCs w:val="2"/>
        </w:rPr>
        <w:sectPr w:rsidR="00350D42">
          <w:headerReference w:type="default" r:id="rId191"/>
          <w:footerReference w:type="even" r:id="rId192"/>
          <w:footerReference w:type="default" r:id="rId193"/>
          <w:headerReference w:type="first" r:id="rId194"/>
          <w:footerReference w:type="first" r:id="rId195"/>
          <w:pgSz w:w="8789" w:h="13493"/>
          <w:pgMar w:top="737" w:right="1075" w:bottom="1301" w:left="1071"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86"/>
        <w:gridCol w:w="4512"/>
        <w:gridCol w:w="782"/>
      </w:tblGrid>
      <w:tr w:rsidR="00350D42" w14:paraId="1874C2BB" w14:textId="77777777">
        <w:trPr>
          <w:trHeight w:hRule="exact" w:val="331"/>
          <w:jc w:val="center"/>
        </w:trPr>
        <w:tc>
          <w:tcPr>
            <w:tcW w:w="5798" w:type="dxa"/>
            <w:gridSpan w:val="2"/>
            <w:tcBorders>
              <w:top w:val="single" w:sz="4" w:space="0" w:color="auto"/>
              <w:left w:val="single" w:sz="4" w:space="0" w:color="auto"/>
            </w:tcBorders>
            <w:shd w:val="clear" w:color="auto" w:fill="FFFFFF"/>
            <w:vAlign w:val="center"/>
          </w:tcPr>
          <w:p w14:paraId="5E39E66C"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lastRenderedPageBreak/>
              <w:t>Показатель</w:t>
            </w:r>
          </w:p>
        </w:tc>
        <w:tc>
          <w:tcPr>
            <w:tcW w:w="782" w:type="dxa"/>
            <w:tcBorders>
              <w:top w:val="single" w:sz="4" w:space="0" w:color="auto"/>
              <w:left w:val="single" w:sz="4" w:space="0" w:color="auto"/>
              <w:right w:val="single" w:sz="4" w:space="0" w:color="auto"/>
            </w:tcBorders>
            <w:shd w:val="clear" w:color="auto" w:fill="FFFFFF"/>
            <w:vAlign w:val="center"/>
          </w:tcPr>
          <w:p w14:paraId="6E4998B8"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Баллы</w:t>
            </w:r>
          </w:p>
        </w:tc>
      </w:tr>
      <w:tr w:rsidR="00350D42" w14:paraId="55BAB327" w14:textId="77777777">
        <w:trPr>
          <w:trHeight w:hRule="exact" w:val="547"/>
          <w:jc w:val="center"/>
        </w:trPr>
        <w:tc>
          <w:tcPr>
            <w:tcW w:w="1286" w:type="dxa"/>
            <w:vMerge w:val="restart"/>
            <w:tcBorders>
              <w:top w:val="single" w:sz="4" w:space="0" w:color="auto"/>
              <w:left w:val="single" w:sz="4" w:space="0" w:color="auto"/>
            </w:tcBorders>
            <w:shd w:val="clear" w:color="auto" w:fill="FFFFFF"/>
            <w:vAlign w:val="center"/>
          </w:tcPr>
          <w:p w14:paraId="525F4B63"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Инициа</w:t>
            </w:r>
            <w:r>
              <w:rPr>
                <w:rStyle w:val="275pt0"/>
              </w:rPr>
              <w:softHyphen/>
              <w:t>тор (соб</w:t>
            </w:r>
            <w:r>
              <w:rPr>
                <w:rStyle w:val="275pt0"/>
              </w:rPr>
              <w:softHyphen/>
              <w:t>ственники)</w:t>
            </w:r>
          </w:p>
          <w:p w14:paraId="2CDBEB6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не имеют</w:t>
            </w:r>
          </w:p>
          <w:p w14:paraId="0BE3CC55"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опыта экс</w:t>
            </w:r>
            <w:r>
              <w:rPr>
                <w:rStyle w:val="275pt0"/>
              </w:rPr>
              <w:softHyphen/>
              <w:t>плуатации</w:t>
            </w:r>
          </w:p>
          <w:p w14:paraId="3D228589"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аналогичных</w:t>
            </w:r>
          </w:p>
          <w:p w14:paraId="7069BC7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объектов</w:t>
            </w:r>
          </w:p>
        </w:tc>
        <w:tc>
          <w:tcPr>
            <w:tcW w:w="4512" w:type="dxa"/>
            <w:tcBorders>
              <w:top w:val="single" w:sz="4" w:space="0" w:color="auto"/>
              <w:left w:val="single" w:sz="4" w:space="0" w:color="auto"/>
            </w:tcBorders>
            <w:shd w:val="clear" w:color="auto" w:fill="FFFFFF"/>
            <w:vAlign w:val="bottom"/>
          </w:tcPr>
          <w:p w14:paraId="23714B46"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Имеются высококлассные привлеченные специали</w:t>
            </w:r>
            <w:r>
              <w:rPr>
                <w:rStyle w:val="275pt0"/>
              </w:rPr>
              <w:softHyphen/>
              <w:t>сты с опытом реализации аналогичных проектов</w:t>
            </w:r>
          </w:p>
        </w:tc>
        <w:tc>
          <w:tcPr>
            <w:tcW w:w="782" w:type="dxa"/>
            <w:tcBorders>
              <w:top w:val="single" w:sz="4" w:space="0" w:color="auto"/>
              <w:left w:val="single" w:sz="4" w:space="0" w:color="auto"/>
              <w:right w:val="single" w:sz="4" w:space="0" w:color="auto"/>
            </w:tcBorders>
            <w:shd w:val="clear" w:color="auto" w:fill="FFFFFF"/>
          </w:tcPr>
          <w:p w14:paraId="4C618F1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75</w:t>
            </w:r>
          </w:p>
        </w:tc>
      </w:tr>
      <w:tr w:rsidR="00350D42" w14:paraId="3F9BA7F1" w14:textId="77777777">
        <w:trPr>
          <w:trHeight w:hRule="exact" w:val="763"/>
          <w:jc w:val="center"/>
        </w:trPr>
        <w:tc>
          <w:tcPr>
            <w:tcW w:w="1286" w:type="dxa"/>
            <w:vMerge/>
            <w:tcBorders>
              <w:left w:val="single" w:sz="4" w:space="0" w:color="auto"/>
            </w:tcBorders>
            <w:shd w:val="clear" w:color="auto" w:fill="FFFFFF"/>
            <w:vAlign w:val="center"/>
          </w:tcPr>
          <w:p w14:paraId="7677C48B" w14:textId="77777777" w:rsidR="00350D42" w:rsidRDefault="00350D42">
            <w:pPr>
              <w:framePr w:w="6581" w:wrap="notBeside" w:vAnchor="text" w:hAnchor="text" w:xAlign="center" w:y="1"/>
            </w:pPr>
          </w:p>
        </w:tc>
        <w:tc>
          <w:tcPr>
            <w:tcW w:w="4512" w:type="dxa"/>
            <w:tcBorders>
              <w:top w:val="single" w:sz="4" w:space="0" w:color="auto"/>
              <w:left w:val="single" w:sz="4" w:space="0" w:color="auto"/>
            </w:tcBorders>
            <w:shd w:val="clear" w:color="auto" w:fill="FFFFFF"/>
            <w:vAlign w:val="bottom"/>
          </w:tcPr>
          <w:p w14:paraId="6BBBFF7B"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Имеются специалисты с опытом реализации других проектов либо отдельных направлений аналогич</w:t>
            </w:r>
            <w:r>
              <w:rPr>
                <w:rStyle w:val="275pt0"/>
              </w:rPr>
              <w:softHyphen/>
              <w:t>ных проектов</w:t>
            </w:r>
          </w:p>
        </w:tc>
        <w:tc>
          <w:tcPr>
            <w:tcW w:w="782" w:type="dxa"/>
            <w:tcBorders>
              <w:top w:val="single" w:sz="4" w:space="0" w:color="auto"/>
              <w:left w:val="single" w:sz="4" w:space="0" w:color="auto"/>
              <w:right w:val="single" w:sz="4" w:space="0" w:color="auto"/>
            </w:tcBorders>
            <w:shd w:val="clear" w:color="auto" w:fill="FFFFFF"/>
          </w:tcPr>
          <w:p w14:paraId="2644FC9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50</w:t>
            </w:r>
          </w:p>
        </w:tc>
      </w:tr>
      <w:tr w:rsidR="00350D42" w14:paraId="04E8D61A" w14:textId="77777777">
        <w:trPr>
          <w:trHeight w:hRule="exact" w:val="566"/>
          <w:jc w:val="center"/>
        </w:trPr>
        <w:tc>
          <w:tcPr>
            <w:tcW w:w="1286" w:type="dxa"/>
            <w:vMerge/>
            <w:tcBorders>
              <w:left w:val="single" w:sz="4" w:space="0" w:color="auto"/>
              <w:bottom w:val="single" w:sz="4" w:space="0" w:color="auto"/>
            </w:tcBorders>
            <w:shd w:val="clear" w:color="auto" w:fill="FFFFFF"/>
            <w:vAlign w:val="center"/>
          </w:tcPr>
          <w:p w14:paraId="51869607" w14:textId="77777777" w:rsidR="00350D42" w:rsidRDefault="00350D42">
            <w:pPr>
              <w:framePr w:w="6581" w:wrap="notBeside" w:vAnchor="text" w:hAnchor="text" w:xAlign="center" w:y="1"/>
            </w:pPr>
          </w:p>
        </w:tc>
        <w:tc>
          <w:tcPr>
            <w:tcW w:w="4512" w:type="dxa"/>
            <w:tcBorders>
              <w:top w:val="single" w:sz="4" w:space="0" w:color="auto"/>
              <w:left w:val="single" w:sz="4" w:space="0" w:color="auto"/>
              <w:bottom w:val="single" w:sz="4" w:space="0" w:color="auto"/>
            </w:tcBorders>
            <w:shd w:val="clear" w:color="auto" w:fill="FFFFFF"/>
            <w:vAlign w:val="center"/>
          </w:tcPr>
          <w:p w14:paraId="33365D57"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Отсутствуют специалисты с опытом реализации проектов</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47A7A16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r>
    </w:tbl>
    <w:p w14:paraId="736A4E74" w14:textId="77777777" w:rsidR="00350D42" w:rsidRDefault="00350D42">
      <w:pPr>
        <w:framePr w:w="6581" w:wrap="notBeside" w:vAnchor="text" w:hAnchor="text" w:xAlign="center" w:y="1"/>
        <w:rPr>
          <w:sz w:val="2"/>
          <w:szCs w:val="2"/>
        </w:rPr>
      </w:pPr>
    </w:p>
    <w:p w14:paraId="50509C05" w14:textId="77777777" w:rsidR="00350D42" w:rsidRDefault="00350D42">
      <w:pPr>
        <w:rPr>
          <w:sz w:val="2"/>
          <w:szCs w:val="2"/>
        </w:rPr>
      </w:pPr>
    </w:p>
    <w:p w14:paraId="3F7E4A9A" w14:textId="77777777" w:rsidR="00350D42" w:rsidRDefault="008E6F64">
      <w:pPr>
        <w:pStyle w:val="2c"/>
        <w:shd w:val="clear" w:color="auto" w:fill="auto"/>
        <w:spacing w:before="95" w:line="254" w:lineRule="exact"/>
        <w:ind w:firstLine="320"/>
      </w:pPr>
      <w:r>
        <w:rPr>
          <w:rStyle w:val="2d"/>
        </w:rPr>
        <w:t>Для выбора соответствующего значения критерия:</w:t>
      </w:r>
    </w:p>
    <w:p w14:paraId="6B00C72A" w14:textId="77777777" w:rsidR="00350D42" w:rsidRDefault="008E6F64">
      <w:pPr>
        <w:pStyle w:val="2c"/>
        <w:numPr>
          <w:ilvl w:val="0"/>
          <w:numId w:val="142"/>
        </w:numPr>
        <w:shd w:val="clear" w:color="auto" w:fill="auto"/>
        <w:tabs>
          <w:tab w:val="left" w:pos="633"/>
        </w:tabs>
        <w:spacing w:before="0" w:line="254" w:lineRule="exact"/>
        <w:ind w:firstLine="320"/>
      </w:pPr>
      <w:r>
        <w:rPr>
          <w:rStyle w:val="2d"/>
        </w:rPr>
        <w:t>выявляются инвестиционные проекты, реализованные ини</w:t>
      </w:r>
      <w:r>
        <w:rPr>
          <w:rStyle w:val="2d"/>
        </w:rPr>
        <w:softHyphen/>
        <w:t>циатором, его собственниками или аффилированными структура</w:t>
      </w:r>
      <w:r>
        <w:rPr>
          <w:rStyle w:val="2d"/>
        </w:rPr>
        <w:softHyphen/>
        <w:t>ми, выполняется их анализ на предмет схожести с рассматривае</w:t>
      </w:r>
      <w:r>
        <w:rPr>
          <w:rStyle w:val="2d"/>
        </w:rPr>
        <w:softHyphen/>
        <w:t>мым проектом;</w:t>
      </w:r>
    </w:p>
    <w:p w14:paraId="17E59291" w14:textId="77777777" w:rsidR="00350D42" w:rsidRDefault="008E6F64">
      <w:pPr>
        <w:pStyle w:val="2c"/>
        <w:numPr>
          <w:ilvl w:val="0"/>
          <w:numId w:val="142"/>
        </w:numPr>
        <w:shd w:val="clear" w:color="auto" w:fill="auto"/>
        <w:tabs>
          <w:tab w:val="left" w:pos="633"/>
        </w:tabs>
        <w:spacing w:before="0" w:line="254" w:lineRule="exact"/>
        <w:ind w:firstLine="320"/>
      </w:pPr>
      <w:r>
        <w:rPr>
          <w:rStyle w:val="2d"/>
        </w:rPr>
        <w:t>выявляются имеющиеся в настоящее время и имевшиеся ра</w:t>
      </w:r>
      <w:r>
        <w:rPr>
          <w:rStyle w:val="2d"/>
        </w:rPr>
        <w:softHyphen/>
        <w:t>нее бизнесы инициатора и его собственников, сходные с бизнесом, создаваемым в результате реализации рассматриваемого проекта; выявляется срок управления ими;</w:t>
      </w:r>
    </w:p>
    <w:p w14:paraId="5D348556" w14:textId="77777777" w:rsidR="00350D42" w:rsidRDefault="008E6F64">
      <w:pPr>
        <w:pStyle w:val="2c"/>
        <w:numPr>
          <w:ilvl w:val="0"/>
          <w:numId w:val="142"/>
        </w:numPr>
        <w:shd w:val="clear" w:color="auto" w:fill="auto"/>
        <w:tabs>
          <w:tab w:val="left" w:pos="633"/>
        </w:tabs>
        <w:spacing w:before="0" w:line="254" w:lineRule="exact"/>
        <w:ind w:firstLine="320"/>
      </w:pPr>
      <w:r>
        <w:rPr>
          <w:rStyle w:val="2d"/>
        </w:rPr>
        <w:t>определяется состав лиц, курировавших основные функцио</w:t>
      </w:r>
      <w:r>
        <w:rPr>
          <w:rStyle w:val="2d"/>
        </w:rPr>
        <w:softHyphen/>
        <w:t>нальные области реализованных ранее инвестиционных проектов, по прошлым и настоящим бизнесам, сходных с тем, который станет результатом реализации рассматриваемого инвестиционного про</w:t>
      </w:r>
      <w:r>
        <w:rPr>
          <w:rStyle w:val="2d"/>
        </w:rPr>
        <w:softHyphen/>
        <w:t>екта. Выявляется уровень опыта этих лиц (количество реализован</w:t>
      </w:r>
      <w:r>
        <w:rPr>
          <w:rStyle w:val="2d"/>
        </w:rPr>
        <w:softHyphen/>
        <w:t>ных проектов, стаж работы в должности и т. д.) и степень участия в реализации рассматриваемого инвестиционного проекта;</w:t>
      </w:r>
    </w:p>
    <w:p w14:paraId="42EC2B14" w14:textId="77777777" w:rsidR="00350D42" w:rsidRDefault="008E6F64">
      <w:pPr>
        <w:pStyle w:val="2c"/>
        <w:numPr>
          <w:ilvl w:val="0"/>
          <w:numId w:val="142"/>
        </w:numPr>
        <w:shd w:val="clear" w:color="auto" w:fill="auto"/>
        <w:tabs>
          <w:tab w:val="left" w:pos="633"/>
        </w:tabs>
        <w:spacing w:before="0" w:line="254" w:lineRule="exact"/>
        <w:ind w:firstLine="320"/>
      </w:pPr>
      <w:r>
        <w:rPr>
          <w:rStyle w:val="2d"/>
        </w:rPr>
        <w:t>анализируется уровень опыта привлеченных специалистов (количество и характер реализованных проектов; состав куриро</w:t>
      </w:r>
      <w:r>
        <w:rPr>
          <w:rStyle w:val="2d"/>
        </w:rPr>
        <w:softHyphen/>
        <w:t>вавшихся функциональных областей);</w:t>
      </w:r>
    </w:p>
    <w:p w14:paraId="793D7B40" w14:textId="77777777" w:rsidR="00350D42" w:rsidRDefault="008E6F64">
      <w:pPr>
        <w:pStyle w:val="2c"/>
        <w:numPr>
          <w:ilvl w:val="0"/>
          <w:numId w:val="142"/>
        </w:numPr>
        <w:shd w:val="clear" w:color="auto" w:fill="auto"/>
        <w:tabs>
          <w:tab w:val="left" w:pos="633"/>
        </w:tabs>
        <w:spacing w:before="0" w:line="254" w:lineRule="exact"/>
        <w:ind w:firstLine="320"/>
      </w:pPr>
      <w:r>
        <w:rPr>
          <w:rStyle w:val="2d"/>
        </w:rPr>
        <w:t>анализируется характерная для бизнеса данных собствен</w:t>
      </w:r>
      <w:r>
        <w:rPr>
          <w:rStyle w:val="2d"/>
        </w:rPr>
        <w:softHyphen/>
        <w:t>ников степень текучести кадров, вероятность ухода специалистов на этапе реализации проекта.</w:t>
      </w:r>
    </w:p>
    <w:p w14:paraId="46AE300C" w14:textId="77777777" w:rsidR="00350D42" w:rsidRDefault="008E6F64">
      <w:pPr>
        <w:pStyle w:val="180"/>
        <w:numPr>
          <w:ilvl w:val="0"/>
          <w:numId w:val="159"/>
        </w:numPr>
        <w:shd w:val="clear" w:color="auto" w:fill="auto"/>
        <w:tabs>
          <w:tab w:val="left" w:pos="633"/>
        </w:tabs>
        <w:spacing w:line="254" w:lineRule="exact"/>
        <w:ind w:firstLine="320"/>
        <w:jc w:val="both"/>
      </w:pPr>
      <w:r>
        <w:rPr>
          <w:rStyle w:val="181"/>
          <w:i/>
          <w:iCs/>
        </w:rPr>
        <w:t>Оценка фактора «финансовое состояние».</w:t>
      </w:r>
    </w:p>
    <w:p w14:paraId="2376287C" w14:textId="77777777" w:rsidR="00350D42" w:rsidRDefault="008E6F64">
      <w:pPr>
        <w:pStyle w:val="2c"/>
        <w:shd w:val="clear" w:color="auto" w:fill="auto"/>
        <w:spacing w:before="0" w:line="254" w:lineRule="exact"/>
        <w:ind w:firstLine="320"/>
      </w:pPr>
      <w:r>
        <w:rPr>
          <w:rStyle w:val="2d"/>
        </w:rPr>
        <w:t>Финансовый анализ инициатора проекта является одним из раз</w:t>
      </w:r>
      <w:r>
        <w:rPr>
          <w:rStyle w:val="2d"/>
        </w:rPr>
        <w:softHyphen/>
        <w:t>делов кредитного заключения и обеспечивает подготовку части исходных данных и формирование некоторых допущений для по</w:t>
      </w:r>
      <w:r>
        <w:rPr>
          <w:rStyle w:val="2d"/>
        </w:rPr>
        <w:softHyphen/>
        <w:t>строения финансово-экономической модели бизнеса инициатора (с учетом реализуемого проекта); а также выявление основных тен</w:t>
      </w:r>
      <w:r>
        <w:rPr>
          <w:rStyle w:val="2d"/>
        </w:rPr>
        <w:softHyphen/>
        <w:t>денций развития бизнеса, присущих ему особенностей и проблем в финансово-экономическом контуре.</w:t>
      </w:r>
    </w:p>
    <w:p w14:paraId="06FBD4A6" w14:textId="77777777" w:rsidR="00350D42" w:rsidRDefault="008E6F64">
      <w:pPr>
        <w:pStyle w:val="2c"/>
        <w:shd w:val="clear" w:color="auto" w:fill="auto"/>
        <w:spacing w:before="0" w:after="130" w:line="254" w:lineRule="exact"/>
        <w:ind w:firstLine="320"/>
      </w:pPr>
      <w:r>
        <w:rPr>
          <w:rStyle w:val="2d"/>
        </w:rPr>
        <w:t>Вместе с этим финансово-экономическая модель конструируется с учетом текущего положения бизнеса на основе натуральных по</w:t>
      </w:r>
      <w:r>
        <w:rPr>
          <w:rStyle w:val="2d"/>
        </w:rPr>
        <w:softHyphen/>
        <w:t xml:space="preserve">казателей, указанных в табл. П.2.5. Эти показатели соответствуют </w:t>
      </w:r>
      <w:r>
        <w:rPr>
          <w:rStyle w:val="2d"/>
        </w:rPr>
        <w:lastRenderedPageBreak/>
        <w:t>удельным расценкам, которые сложились из порядка взаимодей</w:t>
      </w:r>
      <w:r>
        <w:rPr>
          <w:rStyle w:val="2d"/>
        </w:rPr>
        <w:softHyphen/>
      </w:r>
      <w:r>
        <w:rPr>
          <w:rStyle w:val="113"/>
        </w:rPr>
        <w:t>ствия с контрагентами, из установленных сроков погашения креди</w:t>
      </w:r>
      <w:r>
        <w:rPr>
          <w:rStyle w:val="113"/>
        </w:rPr>
        <w:softHyphen/>
        <w:t>тов, осуществления капитальных вложений и отраслевых прогно</w:t>
      </w:r>
      <w:r>
        <w:rPr>
          <w:rStyle w:val="113"/>
        </w:rPr>
        <w:softHyphen/>
        <w:t>зов. Модель обеспечивает существенно более полное по сравнению с финансовым анализом представление о платежеспособности биз</w:t>
      </w:r>
      <w:r>
        <w:rPr>
          <w:rStyle w:val="113"/>
        </w:rPr>
        <w:softHyphen/>
        <w:t>неса и генерируемом им финансовом результате (как с учетом, так и без учета реализуемого проекта). Вследствие этого информатив</w:t>
      </w:r>
      <w:r>
        <w:rPr>
          <w:rStyle w:val="113"/>
        </w:rPr>
        <w:softHyphen/>
        <w:t>ность соответствующих финансовых коэффициентов для прогнози</w:t>
      </w:r>
      <w:r>
        <w:rPr>
          <w:rStyle w:val="113"/>
        </w:rPr>
        <w:softHyphen/>
        <w:t>рования будущего финансового состояния (будущей платежеспо</w:t>
      </w:r>
      <w:r>
        <w:rPr>
          <w:rStyle w:val="113"/>
        </w:rPr>
        <w:softHyphen/>
        <w:t>собности) снижается.</w:t>
      </w:r>
    </w:p>
    <w:p w14:paraId="06198F3E" w14:textId="77777777" w:rsidR="00350D42" w:rsidRDefault="008E6F64">
      <w:pPr>
        <w:pStyle w:val="190"/>
        <w:shd w:val="clear" w:color="auto" w:fill="auto"/>
        <w:spacing w:after="78"/>
      </w:pPr>
      <w:r>
        <w:rPr>
          <w:rStyle w:val="191"/>
          <w:i/>
          <w:iCs/>
        </w:rPr>
        <w:t>Таблица П.2.5</w:t>
      </w:r>
    </w:p>
    <w:p w14:paraId="1D98F413" w14:textId="77777777" w:rsidR="00350D42" w:rsidRDefault="008E6F64">
      <w:pPr>
        <w:pStyle w:val="111"/>
        <w:shd w:val="clear" w:color="auto" w:fill="auto"/>
        <w:spacing w:before="0" w:after="0" w:line="194" w:lineRule="exact"/>
        <w:ind w:left="20"/>
      </w:pPr>
      <w:r>
        <w:rPr>
          <w:rStyle w:val="113"/>
          <w:b/>
          <w:bCs/>
        </w:rPr>
        <w:t>Оценка фактора «финансовое состояние»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1"/>
        <w:gridCol w:w="3485"/>
        <w:gridCol w:w="878"/>
        <w:gridCol w:w="1037"/>
        <w:gridCol w:w="854"/>
      </w:tblGrid>
      <w:tr w:rsidR="00350D42" w14:paraId="10AAC8EB" w14:textId="77777777">
        <w:trPr>
          <w:trHeight w:hRule="exact" w:val="307"/>
          <w:jc w:val="center"/>
        </w:trPr>
        <w:tc>
          <w:tcPr>
            <w:tcW w:w="5741" w:type="dxa"/>
            <w:gridSpan w:val="4"/>
            <w:tcBorders>
              <w:top w:val="single" w:sz="4" w:space="0" w:color="auto"/>
              <w:left w:val="single" w:sz="4" w:space="0" w:color="auto"/>
            </w:tcBorders>
            <w:shd w:val="clear" w:color="auto" w:fill="FFFFFF"/>
            <w:vAlign w:val="bottom"/>
          </w:tcPr>
          <w:p w14:paraId="0FD8395F" w14:textId="77777777" w:rsidR="00350D42" w:rsidRDefault="008E6F64">
            <w:pPr>
              <w:pStyle w:val="2c"/>
              <w:framePr w:w="6595" w:wrap="notBeside" w:vAnchor="text" w:hAnchor="text" w:xAlign="center" w:y="1"/>
              <w:shd w:val="clear" w:color="auto" w:fill="auto"/>
              <w:spacing w:before="0" w:line="176" w:lineRule="exact"/>
              <w:jc w:val="center"/>
            </w:pPr>
            <w:r>
              <w:rPr>
                <w:rStyle w:val="275pt"/>
              </w:rPr>
              <w:t>Показатель</w:t>
            </w:r>
          </w:p>
        </w:tc>
        <w:tc>
          <w:tcPr>
            <w:tcW w:w="854" w:type="dxa"/>
            <w:tcBorders>
              <w:top w:val="single" w:sz="4" w:space="0" w:color="auto"/>
              <w:left w:val="single" w:sz="4" w:space="0" w:color="auto"/>
              <w:right w:val="single" w:sz="4" w:space="0" w:color="auto"/>
            </w:tcBorders>
            <w:shd w:val="clear" w:color="auto" w:fill="FFFFFF"/>
            <w:vAlign w:val="bottom"/>
          </w:tcPr>
          <w:p w14:paraId="751DBB63" w14:textId="77777777" w:rsidR="00350D42" w:rsidRDefault="008E6F64">
            <w:pPr>
              <w:pStyle w:val="2c"/>
              <w:framePr w:w="6595" w:wrap="notBeside" w:vAnchor="text" w:hAnchor="text" w:xAlign="center" w:y="1"/>
              <w:shd w:val="clear" w:color="auto" w:fill="auto"/>
              <w:spacing w:before="0" w:line="176" w:lineRule="exact"/>
              <w:jc w:val="left"/>
            </w:pPr>
            <w:r>
              <w:rPr>
                <w:rStyle w:val="275pt"/>
              </w:rPr>
              <w:t>Баллы</w:t>
            </w:r>
          </w:p>
        </w:tc>
      </w:tr>
      <w:tr w:rsidR="00350D42" w14:paraId="508672CD" w14:textId="77777777">
        <w:trPr>
          <w:trHeight w:hRule="exact" w:val="302"/>
          <w:jc w:val="center"/>
        </w:trPr>
        <w:tc>
          <w:tcPr>
            <w:tcW w:w="4704" w:type="dxa"/>
            <w:gridSpan w:val="3"/>
            <w:vMerge w:val="restart"/>
            <w:tcBorders>
              <w:top w:val="single" w:sz="4" w:space="0" w:color="auto"/>
              <w:left w:val="single" w:sz="4" w:space="0" w:color="auto"/>
            </w:tcBorders>
            <w:shd w:val="clear" w:color="auto" w:fill="FFFFFF"/>
          </w:tcPr>
          <w:p w14:paraId="02EA8DE8"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Предприятие является стабильно убыточным,</w:t>
            </w:r>
          </w:p>
          <w:p w14:paraId="7B52A909"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при этом просроченная кредиторская задолженность:</w:t>
            </w:r>
          </w:p>
        </w:tc>
        <w:tc>
          <w:tcPr>
            <w:tcW w:w="1037" w:type="dxa"/>
            <w:tcBorders>
              <w:top w:val="single" w:sz="4" w:space="0" w:color="auto"/>
              <w:left w:val="single" w:sz="4" w:space="0" w:color="auto"/>
            </w:tcBorders>
            <w:shd w:val="clear" w:color="auto" w:fill="FFFFFF"/>
            <w:vAlign w:val="center"/>
          </w:tcPr>
          <w:p w14:paraId="2D2BC179"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имеется</w:t>
            </w:r>
          </w:p>
        </w:tc>
        <w:tc>
          <w:tcPr>
            <w:tcW w:w="854" w:type="dxa"/>
            <w:tcBorders>
              <w:top w:val="single" w:sz="4" w:space="0" w:color="auto"/>
              <w:left w:val="single" w:sz="4" w:space="0" w:color="auto"/>
              <w:right w:val="single" w:sz="4" w:space="0" w:color="auto"/>
            </w:tcBorders>
            <w:shd w:val="clear" w:color="auto" w:fill="FFFFFF"/>
            <w:vAlign w:val="bottom"/>
          </w:tcPr>
          <w:p w14:paraId="02AA0B76"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0</w:t>
            </w:r>
          </w:p>
        </w:tc>
      </w:tr>
      <w:tr w:rsidR="00350D42" w14:paraId="74A7C6EC" w14:textId="77777777">
        <w:trPr>
          <w:trHeight w:hRule="exact" w:val="523"/>
          <w:jc w:val="center"/>
        </w:trPr>
        <w:tc>
          <w:tcPr>
            <w:tcW w:w="4704" w:type="dxa"/>
            <w:gridSpan w:val="3"/>
            <w:vMerge/>
            <w:tcBorders>
              <w:left w:val="single" w:sz="4" w:space="0" w:color="auto"/>
            </w:tcBorders>
            <w:shd w:val="clear" w:color="auto" w:fill="FFFFFF"/>
          </w:tcPr>
          <w:p w14:paraId="50EF0082" w14:textId="77777777" w:rsidR="00350D42" w:rsidRDefault="00350D42">
            <w:pPr>
              <w:framePr w:w="6595" w:wrap="notBeside" w:vAnchor="text" w:hAnchor="text" w:xAlign="center" w:y="1"/>
            </w:pPr>
          </w:p>
        </w:tc>
        <w:tc>
          <w:tcPr>
            <w:tcW w:w="1037" w:type="dxa"/>
            <w:tcBorders>
              <w:top w:val="single" w:sz="4" w:space="0" w:color="auto"/>
              <w:left w:val="single" w:sz="4" w:space="0" w:color="auto"/>
            </w:tcBorders>
            <w:shd w:val="clear" w:color="auto" w:fill="FFFFFF"/>
            <w:vAlign w:val="bottom"/>
          </w:tcPr>
          <w:p w14:paraId="7BF36A7E"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отсутству</w:t>
            </w:r>
            <w:r>
              <w:rPr>
                <w:rStyle w:val="275pt0"/>
              </w:rPr>
              <w:softHyphen/>
            </w:r>
          </w:p>
          <w:p w14:paraId="444959DC"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ет</w:t>
            </w:r>
          </w:p>
        </w:tc>
        <w:tc>
          <w:tcPr>
            <w:tcW w:w="854" w:type="dxa"/>
            <w:tcBorders>
              <w:top w:val="single" w:sz="4" w:space="0" w:color="auto"/>
              <w:left w:val="single" w:sz="4" w:space="0" w:color="auto"/>
              <w:right w:val="single" w:sz="4" w:space="0" w:color="auto"/>
            </w:tcBorders>
            <w:shd w:val="clear" w:color="auto" w:fill="FFFFFF"/>
          </w:tcPr>
          <w:p w14:paraId="4D0930F3"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15</w:t>
            </w:r>
          </w:p>
        </w:tc>
      </w:tr>
      <w:tr w:rsidR="00350D42" w14:paraId="0ED7A680" w14:textId="77777777">
        <w:trPr>
          <w:trHeight w:hRule="exact" w:val="302"/>
          <w:jc w:val="center"/>
        </w:trPr>
        <w:tc>
          <w:tcPr>
            <w:tcW w:w="4704" w:type="dxa"/>
            <w:gridSpan w:val="3"/>
            <w:vMerge w:val="restart"/>
            <w:tcBorders>
              <w:top w:val="single" w:sz="4" w:space="0" w:color="auto"/>
              <w:left w:val="single" w:sz="4" w:space="0" w:color="auto"/>
            </w:tcBorders>
            <w:shd w:val="clear" w:color="auto" w:fill="FFFFFF"/>
          </w:tcPr>
          <w:p w14:paraId="6387341C"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Предприятие является планово-убыточным</w:t>
            </w:r>
            <w:r>
              <w:rPr>
                <w:rStyle w:val="275pt0"/>
                <w:vertAlign w:val="superscript"/>
              </w:rPr>
              <w:t>1</w:t>
            </w:r>
            <w:r>
              <w:rPr>
                <w:rStyle w:val="275pt0"/>
              </w:rPr>
              <w:t>,</w:t>
            </w:r>
          </w:p>
          <w:p w14:paraId="54E6F10F"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при этом просроченная кредиторская задолженность:</w:t>
            </w:r>
          </w:p>
        </w:tc>
        <w:tc>
          <w:tcPr>
            <w:tcW w:w="1037" w:type="dxa"/>
            <w:tcBorders>
              <w:top w:val="single" w:sz="4" w:space="0" w:color="auto"/>
              <w:left w:val="single" w:sz="4" w:space="0" w:color="auto"/>
            </w:tcBorders>
            <w:shd w:val="clear" w:color="auto" w:fill="FFFFFF"/>
            <w:vAlign w:val="center"/>
          </w:tcPr>
          <w:p w14:paraId="3ABAB2F4"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имеется</w:t>
            </w:r>
          </w:p>
        </w:tc>
        <w:tc>
          <w:tcPr>
            <w:tcW w:w="854" w:type="dxa"/>
            <w:tcBorders>
              <w:top w:val="single" w:sz="4" w:space="0" w:color="auto"/>
              <w:left w:val="single" w:sz="4" w:space="0" w:color="auto"/>
              <w:right w:val="single" w:sz="4" w:space="0" w:color="auto"/>
            </w:tcBorders>
            <w:shd w:val="clear" w:color="auto" w:fill="FFFFFF"/>
            <w:vAlign w:val="bottom"/>
          </w:tcPr>
          <w:p w14:paraId="277000B3"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20</w:t>
            </w:r>
          </w:p>
        </w:tc>
      </w:tr>
      <w:tr w:rsidR="00350D42" w14:paraId="545C47C7" w14:textId="77777777">
        <w:trPr>
          <w:trHeight w:hRule="exact" w:val="523"/>
          <w:jc w:val="center"/>
        </w:trPr>
        <w:tc>
          <w:tcPr>
            <w:tcW w:w="4704" w:type="dxa"/>
            <w:gridSpan w:val="3"/>
            <w:vMerge/>
            <w:tcBorders>
              <w:left w:val="single" w:sz="4" w:space="0" w:color="auto"/>
            </w:tcBorders>
            <w:shd w:val="clear" w:color="auto" w:fill="FFFFFF"/>
          </w:tcPr>
          <w:p w14:paraId="021B3D51" w14:textId="77777777" w:rsidR="00350D42" w:rsidRDefault="00350D42">
            <w:pPr>
              <w:framePr w:w="6595" w:wrap="notBeside" w:vAnchor="text" w:hAnchor="text" w:xAlign="center" w:y="1"/>
            </w:pPr>
          </w:p>
        </w:tc>
        <w:tc>
          <w:tcPr>
            <w:tcW w:w="1037" w:type="dxa"/>
            <w:tcBorders>
              <w:top w:val="single" w:sz="4" w:space="0" w:color="auto"/>
              <w:left w:val="single" w:sz="4" w:space="0" w:color="auto"/>
            </w:tcBorders>
            <w:shd w:val="clear" w:color="auto" w:fill="FFFFFF"/>
            <w:vAlign w:val="bottom"/>
          </w:tcPr>
          <w:p w14:paraId="6A0C0478"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отсутству</w:t>
            </w:r>
            <w:r>
              <w:rPr>
                <w:rStyle w:val="275pt0"/>
              </w:rPr>
              <w:softHyphen/>
            </w:r>
          </w:p>
          <w:p w14:paraId="6A146AB3"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ет</w:t>
            </w:r>
          </w:p>
        </w:tc>
        <w:tc>
          <w:tcPr>
            <w:tcW w:w="854" w:type="dxa"/>
            <w:tcBorders>
              <w:top w:val="single" w:sz="4" w:space="0" w:color="auto"/>
              <w:left w:val="single" w:sz="4" w:space="0" w:color="auto"/>
              <w:right w:val="single" w:sz="4" w:space="0" w:color="auto"/>
            </w:tcBorders>
            <w:shd w:val="clear" w:color="auto" w:fill="FFFFFF"/>
          </w:tcPr>
          <w:p w14:paraId="2C4E5694"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40</w:t>
            </w:r>
          </w:p>
        </w:tc>
      </w:tr>
      <w:tr w:rsidR="00350D42" w14:paraId="68C8A4AE" w14:textId="77777777">
        <w:trPr>
          <w:trHeight w:hRule="exact" w:val="302"/>
          <w:jc w:val="center"/>
        </w:trPr>
        <w:tc>
          <w:tcPr>
            <w:tcW w:w="4704" w:type="dxa"/>
            <w:gridSpan w:val="3"/>
            <w:vMerge w:val="restart"/>
            <w:tcBorders>
              <w:top w:val="single" w:sz="4" w:space="0" w:color="auto"/>
              <w:left w:val="single" w:sz="4" w:space="0" w:color="auto"/>
            </w:tcBorders>
            <w:shd w:val="clear" w:color="auto" w:fill="FFFFFF"/>
          </w:tcPr>
          <w:p w14:paraId="733A793A" w14:textId="77777777" w:rsidR="00350D42" w:rsidRDefault="008E6F64">
            <w:pPr>
              <w:pStyle w:val="2c"/>
              <w:framePr w:w="6595" w:wrap="notBeside" w:vAnchor="text" w:hAnchor="text" w:xAlign="center" w:y="1"/>
              <w:shd w:val="clear" w:color="auto" w:fill="auto"/>
              <w:spacing w:before="0" w:line="221" w:lineRule="exact"/>
              <w:jc w:val="left"/>
            </w:pPr>
            <w:r>
              <w:rPr>
                <w:rStyle w:val="275pt0"/>
              </w:rPr>
              <w:t>В отдельные периоды имеются значимые убытки, при этом просроченная кредиторская задолженность:</w:t>
            </w:r>
          </w:p>
        </w:tc>
        <w:tc>
          <w:tcPr>
            <w:tcW w:w="1037" w:type="dxa"/>
            <w:tcBorders>
              <w:top w:val="single" w:sz="4" w:space="0" w:color="auto"/>
              <w:left w:val="single" w:sz="4" w:space="0" w:color="auto"/>
            </w:tcBorders>
            <w:shd w:val="clear" w:color="auto" w:fill="FFFFFF"/>
            <w:vAlign w:val="bottom"/>
          </w:tcPr>
          <w:p w14:paraId="2549A167"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имеется</w:t>
            </w:r>
          </w:p>
        </w:tc>
        <w:tc>
          <w:tcPr>
            <w:tcW w:w="854" w:type="dxa"/>
            <w:tcBorders>
              <w:top w:val="single" w:sz="4" w:space="0" w:color="auto"/>
              <w:left w:val="single" w:sz="4" w:space="0" w:color="auto"/>
              <w:right w:val="single" w:sz="4" w:space="0" w:color="auto"/>
            </w:tcBorders>
            <w:shd w:val="clear" w:color="auto" w:fill="FFFFFF"/>
            <w:vAlign w:val="bottom"/>
          </w:tcPr>
          <w:p w14:paraId="14C1C5A9"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45</w:t>
            </w:r>
          </w:p>
        </w:tc>
      </w:tr>
      <w:tr w:rsidR="00350D42" w14:paraId="6379039A" w14:textId="77777777">
        <w:trPr>
          <w:trHeight w:hRule="exact" w:val="523"/>
          <w:jc w:val="center"/>
        </w:trPr>
        <w:tc>
          <w:tcPr>
            <w:tcW w:w="4704" w:type="dxa"/>
            <w:gridSpan w:val="3"/>
            <w:vMerge/>
            <w:tcBorders>
              <w:left w:val="single" w:sz="4" w:space="0" w:color="auto"/>
            </w:tcBorders>
            <w:shd w:val="clear" w:color="auto" w:fill="FFFFFF"/>
          </w:tcPr>
          <w:p w14:paraId="7462A191" w14:textId="77777777" w:rsidR="00350D42" w:rsidRDefault="00350D42">
            <w:pPr>
              <w:framePr w:w="6595" w:wrap="notBeside" w:vAnchor="text" w:hAnchor="text" w:xAlign="center" w:y="1"/>
            </w:pPr>
          </w:p>
        </w:tc>
        <w:tc>
          <w:tcPr>
            <w:tcW w:w="1037" w:type="dxa"/>
            <w:tcBorders>
              <w:top w:val="single" w:sz="4" w:space="0" w:color="auto"/>
              <w:left w:val="single" w:sz="4" w:space="0" w:color="auto"/>
            </w:tcBorders>
            <w:shd w:val="clear" w:color="auto" w:fill="FFFFFF"/>
            <w:vAlign w:val="bottom"/>
          </w:tcPr>
          <w:p w14:paraId="06DD2945"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отсутству</w:t>
            </w:r>
            <w:r>
              <w:rPr>
                <w:rStyle w:val="275pt0"/>
              </w:rPr>
              <w:softHyphen/>
            </w:r>
          </w:p>
          <w:p w14:paraId="6D84FDA0" w14:textId="77777777" w:rsidR="00350D42" w:rsidRDefault="008E6F64">
            <w:pPr>
              <w:pStyle w:val="2c"/>
              <w:framePr w:w="6595" w:wrap="notBeside" w:vAnchor="text" w:hAnchor="text" w:xAlign="center" w:y="1"/>
              <w:shd w:val="clear" w:color="auto" w:fill="auto"/>
              <w:spacing w:before="0" w:line="168" w:lineRule="exact"/>
              <w:ind w:left="200" w:hanging="200"/>
              <w:jc w:val="left"/>
            </w:pPr>
            <w:r>
              <w:rPr>
                <w:rStyle w:val="275pt0"/>
              </w:rPr>
              <w:t>ет</w:t>
            </w:r>
          </w:p>
        </w:tc>
        <w:tc>
          <w:tcPr>
            <w:tcW w:w="854" w:type="dxa"/>
            <w:tcBorders>
              <w:top w:val="single" w:sz="4" w:space="0" w:color="auto"/>
              <w:left w:val="single" w:sz="4" w:space="0" w:color="auto"/>
              <w:right w:val="single" w:sz="4" w:space="0" w:color="auto"/>
            </w:tcBorders>
            <w:shd w:val="clear" w:color="auto" w:fill="FFFFFF"/>
          </w:tcPr>
          <w:p w14:paraId="2202E0DB"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50</w:t>
            </w:r>
          </w:p>
        </w:tc>
      </w:tr>
      <w:tr w:rsidR="00350D42" w14:paraId="680456C5" w14:textId="77777777">
        <w:trPr>
          <w:trHeight w:hRule="exact" w:val="744"/>
          <w:jc w:val="center"/>
        </w:trPr>
        <w:tc>
          <w:tcPr>
            <w:tcW w:w="341" w:type="dxa"/>
            <w:vMerge w:val="restart"/>
            <w:tcBorders>
              <w:top w:val="single" w:sz="4" w:space="0" w:color="auto"/>
              <w:left w:val="single" w:sz="4" w:space="0" w:color="auto"/>
            </w:tcBorders>
            <w:shd w:val="clear" w:color="auto" w:fill="FFFFFF"/>
            <w:textDirection w:val="btLr"/>
          </w:tcPr>
          <w:p w14:paraId="348C272D"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Значительные убытки отсутствуют</w:t>
            </w:r>
          </w:p>
        </w:tc>
        <w:tc>
          <w:tcPr>
            <w:tcW w:w="3485" w:type="dxa"/>
            <w:tcBorders>
              <w:top w:val="single" w:sz="4" w:space="0" w:color="auto"/>
              <w:left w:val="single" w:sz="4" w:space="0" w:color="auto"/>
            </w:tcBorders>
            <w:shd w:val="clear" w:color="auto" w:fill="FFFFFF"/>
          </w:tcPr>
          <w:p w14:paraId="7FC7C954" w14:textId="77777777" w:rsidR="00350D42" w:rsidRDefault="008E6F64">
            <w:pPr>
              <w:pStyle w:val="2c"/>
              <w:framePr w:w="6595" w:wrap="notBeside" w:vAnchor="text" w:hAnchor="text" w:xAlign="center" w:y="1"/>
              <w:shd w:val="clear" w:color="auto" w:fill="auto"/>
              <w:spacing w:before="0" w:line="168" w:lineRule="exact"/>
              <w:ind w:left="240"/>
              <w:jc w:val="left"/>
            </w:pPr>
            <w:r>
              <w:rPr>
                <w:rStyle w:val="275pt0"/>
              </w:rPr>
              <w:t>Значения показателя по подгруппам</w:t>
            </w:r>
          </w:p>
        </w:tc>
        <w:tc>
          <w:tcPr>
            <w:tcW w:w="878" w:type="dxa"/>
            <w:tcBorders>
              <w:top w:val="single" w:sz="4" w:space="0" w:color="auto"/>
              <w:left w:val="single" w:sz="4" w:space="0" w:color="auto"/>
            </w:tcBorders>
            <w:shd w:val="clear" w:color="auto" w:fill="FFFFFF"/>
            <w:vAlign w:val="bottom"/>
          </w:tcPr>
          <w:p w14:paraId="2E838F82" w14:textId="77777777" w:rsidR="00350D42" w:rsidRDefault="008E6F64">
            <w:pPr>
              <w:pStyle w:val="2c"/>
              <w:framePr w:w="6595" w:wrap="notBeside" w:vAnchor="text" w:hAnchor="text" w:xAlign="center" w:y="1"/>
              <w:shd w:val="clear" w:color="auto" w:fill="auto"/>
              <w:spacing w:before="0" w:line="216" w:lineRule="exact"/>
            </w:pPr>
            <w:r>
              <w:rPr>
                <w:rStyle w:val="275pt0"/>
              </w:rPr>
              <w:t>Баллы</w:t>
            </w:r>
          </w:p>
          <w:p w14:paraId="08252899" w14:textId="77777777" w:rsidR="00350D42" w:rsidRDefault="008E6F64">
            <w:pPr>
              <w:pStyle w:val="2c"/>
              <w:framePr w:w="6595" w:wrap="notBeside" w:vAnchor="text" w:hAnchor="text" w:xAlign="center" w:y="1"/>
              <w:shd w:val="clear" w:color="auto" w:fill="auto"/>
              <w:spacing w:before="0" w:line="216" w:lineRule="exact"/>
            </w:pPr>
            <w:r>
              <w:rPr>
                <w:rStyle w:val="275pt0"/>
              </w:rPr>
              <w:t>по под</w:t>
            </w:r>
            <w:r>
              <w:rPr>
                <w:rStyle w:val="275pt0"/>
              </w:rPr>
              <w:softHyphen/>
              <w:t>группе</w:t>
            </w:r>
          </w:p>
        </w:tc>
        <w:tc>
          <w:tcPr>
            <w:tcW w:w="1037" w:type="dxa"/>
            <w:tcBorders>
              <w:top w:val="single" w:sz="4" w:space="0" w:color="auto"/>
              <w:left w:val="single" w:sz="4" w:space="0" w:color="auto"/>
            </w:tcBorders>
            <w:shd w:val="clear" w:color="auto" w:fill="FFFFFF"/>
            <w:vAlign w:val="bottom"/>
          </w:tcPr>
          <w:p w14:paraId="14933C2B" w14:textId="77777777" w:rsidR="00350D42" w:rsidRDefault="008E6F64">
            <w:pPr>
              <w:pStyle w:val="2c"/>
              <w:framePr w:w="6595" w:wrap="notBeside" w:vAnchor="text" w:hAnchor="text" w:xAlign="center" w:y="1"/>
              <w:shd w:val="clear" w:color="auto" w:fill="auto"/>
              <w:spacing w:before="0" w:line="216" w:lineRule="exact"/>
              <w:ind w:left="200" w:hanging="200"/>
              <w:jc w:val="left"/>
            </w:pPr>
            <w:r>
              <w:rPr>
                <w:rStyle w:val="275pt0"/>
              </w:rPr>
              <w:t>Удельный вес под</w:t>
            </w:r>
            <w:r>
              <w:rPr>
                <w:rStyle w:val="275pt0"/>
              </w:rPr>
              <w:softHyphen/>
              <w:t>группы</w:t>
            </w:r>
          </w:p>
        </w:tc>
        <w:tc>
          <w:tcPr>
            <w:tcW w:w="854" w:type="dxa"/>
            <w:vMerge w:val="restart"/>
            <w:tcBorders>
              <w:top w:val="single" w:sz="4" w:space="0" w:color="auto"/>
              <w:left w:val="single" w:sz="4" w:space="0" w:color="auto"/>
              <w:right w:val="single" w:sz="4" w:space="0" w:color="auto"/>
            </w:tcBorders>
            <w:shd w:val="clear" w:color="auto" w:fill="FFFFFF"/>
          </w:tcPr>
          <w:p w14:paraId="6F77F524"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70—100</w:t>
            </w:r>
          </w:p>
        </w:tc>
      </w:tr>
      <w:tr w:rsidR="00350D42" w14:paraId="2204A219" w14:textId="77777777">
        <w:trPr>
          <w:trHeight w:hRule="exact" w:val="360"/>
          <w:jc w:val="center"/>
        </w:trPr>
        <w:tc>
          <w:tcPr>
            <w:tcW w:w="341" w:type="dxa"/>
            <w:vMerge/>
            <w:tcBorders>
              <w:left w:val="single" w:sz="4" w:space="0" w:color="auto"/>
            </w:tcBorders>
            <w:shd w:val="clear" w:color="auto" w:fill="FFFFFF"/>
            <w:textDirection w:val="btLr"/>
          </w:tcPr>
          <w:p w14:paraId="0981A49A" w14:textId="77777777" w:rsidR="00350D42" w:rsidRDefault="00350D42">
            <w:pPr>
              <w:framePr w:w="6595" w:wrap="notBeside" w:vAnchor="text" w:hAnchor="text" w:xAlign="center" w:y="1"/>
            </w:pPr>
          </w:p>
        </w:tc>
        <w:tc>
          <w:tcPr>
            <w:tcW w:w="5400" w:type="dxa"/>
            <w:gridSpan w:val="3"/>
            <w:tcBorders>
              <w:top w:val="single" w:sz="4" w:space="0" w:color="auto"/>
              <w:left w:val="single" w:sz="4" w:space="0" w:color="auto"/>
            </w:tcBorders>
            <w:shd w:val="clear" w:color="auto" w:fill="FFFFFF"/>
            <w:vAlign w:val="center"/>
          </w:tcPr>
          <w:p w14:paraId="4D94640A"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Динамика выручки</w:t>
            </w:r>
          </w:p>
        </w:tc>
        <w:tc>
          <w:tcPr>
            <w:tcW w:w="854" w:type="dxa"/>
            <w:vMerge/>
            <w:tcBorders>
              <w:left w:val="single" w:sz="4" w:space="0" w:color="auto"/>
              <w:right w:val="single" w:sz="4" w:space="0" w:color="auto"/>
            </w:tcBorders>
            <w:shd w:val="clear" w:color="auto" w:fill="FFFFFF"/>
          </w:tcPr>
          <w:p w14:paraId="50CEA108" w14:textId="77777777" w:rsidR="00350D42" w:rsidRDefault="00350D42">
            <w:pPr>
              <w:framePr w:w="6595" w:wrap="notBeside" w:vAnchor="text" w:hAnchor="text" w:xAlign="center" w:y="1"/>
            </w:pPr>
          </w:p>
        </w:tc>
      </w:tr>
      <w:tr w:rsidR="00350D42" w14:paraId="33C29E19" w14:textId="77777777">
        <w:trPr>
          <w:trHeight w:hRule="exact" w:val="365"/>
          <w:jc w:val="center"/>
        </w:trPr>
        <w:tc>
          <w:tcPr>
            <w:tcW w:w="341" w:type="dxa"/>
            <w:vMerge/>
            <w:tcBorders>
              <w:left w:val="single" w:sz="4" w:space="0" w:color="auto"/>
            </w:tcBorders>
            <w:shd w:val="clear" w:color="auto" w:fill="FFFFFF"/>
            <w:textDirection w:val="btLr"/>
          </w:tcPr>
          <w:p w14:paraId="26CB6C08"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center"/>
          </w:tcPr>
          <w:p w14:paraId="64FC254D"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Выручка снижается</w:t>
            </w:r>
          </w:p>
        </w:tc>
        <w:tc>
          <w:tcPr>
            <w:tcW w:w="878" w:type="dxa"/>
            <w:tcBorders>
              <w:top w:val="single" w:sz="4" w:space="0" w:color="auto"/>
              <w:left w:val="single" w:sz="4" w:space="0" w:color="auto"/>
            </w:tcBorders>
            <w:shd w:val="clear" w:color="auto" w:fill="FFFFFF"/>
            <w:vAlign w:val="center"/>
          </w:tcPr>
          <w:p w14:paraId="382FF63B"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50</w:t>
            </w:r>
          </w:p>
        </w:tc>
        <w:tc>
          <w:tcPr>
            <w:tcW w:w="1037" w:type="dxa"/>
            <w:vMerge w:val="restart"/>
            <w:tcBorders>
              <w:top w:val="single" w:sz="4" w:space="0" w:color="auto"/>
              <w:left w:val="single" w:sz="4" w:space="0" w:color="auto"/>
            </w:tcBorders>
            <w:shd w:val="clear" w:color="auto" w:fill="FFFFFF"/>
          </w:tcPr>
          <w:p w14:paraId="2306078F"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0,25</w:t>
            </w:r>
          </w:p>
        </w:tc>
        <w:tc>
          <w:tcPr>
            <w:tcW w:w="854" w:type="dxa"/>
            <w:vMerge/>
            <w:tcBorders>
              <w:left w:val="single" w:sz="4" w:space="0" w:color="auto"/>
              <w:right w:val="single" w:sz="4" w:space="0" w:color="auto"/>
            </w:tcBorders>
            <w:shd w:val="clear" w:color="auto" w:fill="FFFFFF"/>
          </w:tcPr>
          <w:p w14:paraId="395CAF6C" w14:textId="77777777" w:rsidR="00350D42" w:rsidRDefault="00350D42">
            <w:pPr>
              <w:framePr w:w="6595" w:wrap="notBeside" w:vAnchor="text" w:hAnchor="text" w:xAlign="center" w:y="1"/>
            </w:pPr>
          </w:p>
        </w:tc>
      </w:tr>
      <w:tr w:rsidR="00350D42" w14:paraId="0DB2FA46" w14:textId="77777777">
        <w:trPr>
          <w:trHeight w:hRule="exact" w:val="365"/>
          <w:jc w:val="center"/>
        </w:trPr>
        <w:tc>
          <w:tcPr>
            <w:tcW w:w="341" w:type="dxa"/>
            <w:vMerge/>
            <w:tcBorders>
              <w:left w:val="single" w:sz="4" w:space="0" w:color="auto"/>
            </w:tcBorders>
            <w:shd w:val="clear" w:color="auto" w:fill="FFFFFF"/>
            <w:textDirection w:val="btLr"/>
          </w:tcPr>
          <w:p w14:paraId="4C37F315"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center"/>
          </w:tcPr>
          <w:p w14:paraId="197549D8"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Выручка стабильна</w:t>
            </w:r>
          </w:p>
        </w:tc>
        <w:tc>
          <w:tcPr>
            <w:tcW w:w="878" w:type="dxa"/>
            <w:tcBorders>
              <w:top w:val="single" w:sz="4" w:space="0" w:color="auto"/>
              <w:left w:val="single" w:sz="4" w:space="0" w:color="auto"/>
            </w:tcBorders>
            <w:shd w:val="clear" w:color="auto" w:fill="FFFFFF"/>
            <w:vAlign w:val="center"/>
          </w:tcPr>
          <w:p w14:paraId="439E9572"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75</w:t>
            </w:r>
          </w:p>
        </w:tc>
        <w:tc>
          <w:tcPr>
            <w:tcW w:w="1037" w:type="dxa"/>
            <w:vMerge/>
            <w:tcBorders>
              <w:left w:val="single" w:sz="4" w:space="0" w:color="auto"/>
            </w:tcBorders>
            <w:shd w:val="clear" w:color="auto" w:fill="FFFFFF"/>
          </w:tcPr>
          <w:p w14:paraId="35D8162C" w14:textId="77777777" w:rsidR="00350D42" w:rsidRDefault="00350D42">
            <w:pPr>
              <w:framePr w:w="6595" w:wrap="notBeside" w:vAnchor="text" w:hAnchor="text" w:xAlign="center" w:y="1"/>
            </w:pPr>
          </w:p>
        </w:tc>
        <w:tc>
          <w:tcPr>
            <w:tcW w:w="854" w:type="dxa"/>
            <w:vMerge/>
            <w:tcBorders>
              <w:left w:val="single" w:sz="4" w:space="0" w:color="auto"/>
              <w:right w:val="single" w:sz="4" w:space="0" w:color="auto"/>
            </w:tcBorders>
            <w:shd w:val="clear" w:color="auto" w:fill="FFFFFF"/>
          </w:tcPr>
          <w:p w14:paraId="3DD77512" w14:textId="77777777" w:rsidR="00350D42" w:rsidRDefault="00350D42">
            <w:pPr>
              <w:framePr w:w="6595" w:wrap="notBeside" w:vAnchor="text" w:hAnchor="text" w:xAlign="center" w:y="1"/>
            </w:pPr>
          </w:p>
        </w:tc>
      </w:tr>
      <w:tr w:rsidR="00350D42" w14:paraId="22E7BF55" w14:textId="77777777">
        <w:trPr>
          <w:trHeight w:hRule="exact" w:val="360"/>
          <w:jc w:val="center"/>
        </w:trPr>
        <w:tc>
          <w:tcPr>
            <w:tcW w:w="341" w:type="dxa"/>
            <w:vMerge/>
            <w:tcBorders>
              <w:left w:val="single" w:sz="4" w:space="0" w:color="auto"/>
            </w:tcBorders>
            <w:shd w:val="clear" w:color="auto" w:fill="FFFFFF"/>
            <w:textDirection w:val="btLr"/>
          </w:tcPr>
          <w:p w14:paraId="263814E4"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center"/>
          </w:tcPr>
          <w:p w14:paraId="508630EA"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Выручка растет</w:t>
            </w:r>
          </w:p>
        </w:tc>
        <w:tc>
          <w:tcPr>
            <w:tcW w:w="878" w:type="dxa"/>
            <w:tcBorders>
              <w:top w:val="single" w:sz="4" w:space="0" w:color="auto"/>
              <w:left w:val="single" w:sz="4" w:space="0" w:color="auto"/>
            </w:tcBorders>
            <w:shd w:val="clear" w:color="auto" w:fill="FFFFFF"/>
            <w:vAlign w:val="center"/>
          </w:tcPr>
          <w:p w14:paraId="470F62CA"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100</w:t>
            </w:r>
          </w:p>
        </w:tc>
        <w:tc>
          <w:tcPr>
            <w:tcW w:w="1037" w:type="dxa"/>
            <w:vMerge/>
            <w:tcBorders>
              <w:left w:val="single" w:sz="4" w:space="0" w:color="auto"/>
            </w:tcBorders>
            <w:shd w:val="clear" w:color="auto" w:fill="FFFFFF"/>
          </w:tcPr>
          <w:p w14:paraId="344DBACC" w14:textId="77777777" w:rsidR="00350D42" w:rsidRDefault="00350D42">
            <w:pPr>
              <w:framePr w:w="6595" w:wrap="notBeside" w:vAnchor="text" w:hAnchor="text" w:xAlign="center" w:y="1"/>
            </w:pPr>
          </w:p>
        </w:tc>
        <w:tc>
          <w:tcPr>
            <w:tcW w:w="854" w:type="dxa"/>
            <w:vMerge/>
            <w:tcBorders>
              <w:left w:val="single" w:sz="4" w:space="0" w:color="auto"/>
              <w:right w:val="single" w:sz="4" w:space="0" w:color="auto"/>
            </w:tcBorders>
            <w:shd w:val="clear" w:color="auto" w:fill="FFFFFF"/>
          </w:tcPr>
          <w:p w14:paraId="2503EEAA" w14:textId="77777777" w:rsidR="00350D42" w:rsidRDefault="00350D42">
            <w:pPr>
              <w:framePr w:w="6595" w:wrap="notBeside" w:vAnchor="text" w:hAnchor="text" w:xAlign="center" w:y="1"/>
            </w:pPr>
          </w:p>
        </w:tc>
      </w:tr>
      <w:tr w:rsidR="00350D42" w14:paraId="2D39320F" w14:textId="77777777">
        <w:trPr>
          <w:trHeight w:hRule="exact" w:val="365"/>
          <w:jc w:val="center"/>
        </w:trPr>
        <w:tc>
          <w:tcPr>
            <w:tcW w:w="341" w:type="dxa"/>
            <w:vMerge/>
            <w:tcBorders>
              <w:left w:val="single" w:sz="4" w:space="0" w:color="auto"/>
            </w:tcBorders>
            <w:shd w:val="clear" w:color="auto" w:fill="FFFFFF"/>
            <w:textDirection w:val="btLr"/>
          </w:tcPr>
          <w:p w14:paraId="2FA3F5F9" w14:textId="77777777" w:rsidR="00350D42" w:rsidRDefault="00350D42">
            <w:pPr>
              <w:framePr w:w="6595" w:wrap="notBeside" w:vAnchor="text" w:hAnchor="text" w:xAlign="center" w:y="1"/>
            </w:pPr>
          </w:p>
        </w:tc>
        <w:tc>
          <w:tcPr>
            <w:tcW w:w="5400" w:type="dxa"/>
            <w:gridSpan w:val="3"/>
            <w:tcBorders>
              <w:top w:val="single" w:sz="4" w:space="0" w:color="auto"/>
              <w:left w:val="single" w:sz="4" w:space="0" w:color="auto"/>
            </w:tcBorders>
            <w:shd w:val="clear" w:color="auto" w:fill="FFFFFF"/>
            <w:vAlign w:val="center"/>
          </w:tcPr>
          <w:p w14:paraId="40201FFB"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Динамика рентабельности:</w:t>
            </w:r>
          </w:p>
        </w:tc>
        <w:tc>
          <w:tcPr>
            <w:tcW w:w="854" w:type="dxa"/>
            <w:vMerge/>
            <w:tcBorders>
              <w:left w:val="single" w:sz="4" w:space="0" w:color="auto"/>
              <w:right w:val="single" w:sz="4" w:space="0" w:color="auto"/>
            </w:tcBorders>
            <w:shd w:val="clear" w:color="auto" w:fill="FFFFFF"/>
          </w:tcPr>
          <w:p w14:paraId="2B77C7D0" w14:textId="77777777" w:rsidR="00350D42" w:rsidRDefault="00350D42">
            <w:pPr>
              <w:framePr w:w="6595" w:wrap="notBeside" w:vAnchor="text" w:hAnchor="text" w:xAlign="center" w:y="1"/>
            </w:pPr>
          </w:p>
        </w:tc>
      </w:tr>
      <w:tr w:rsidR="00350D42" w14:paraId="496E93C0" w14:textId="77777777">
        <w:trPr>
          <w:trHeight w:hRule="exact" w:val="365"/>
          <w:jc w:val="center"/>
        </w:trPr>
        <w:tc>
          <w:tcPr>
            <w:tcW w:w="341" w:type="dxa"/>
            <w:vMerge/>
            <w:tcBorders>
              <w:left w:val="single" w:sz="4" w:space="0" w:color="auto"/>
            </w:tcBorders>
            <w:shd w:val="clear" w:color="auto" w:fill="FFFFFF"/>
            <w:textDirection w:val="btLr"/>
          </w:tcPr>
          <w:p w14:paraId="06422578"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center"/>
          </w:tcPr>
          <w:p w14:paraId="32A43307"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рентабельность продаж снижается</w:t>
            </w:r>
          </w:p>
        </w:tc>
        <w:tc>
          <w:tcPr>
            <w:tcW w:w="878" w:type="dxa"/>
            <w:tcBorders>
              <w:top w:val="single" w:sz="4" w:space="0" w:color="auto"/>
              <w:left w:val="single" w:sz="4" w:space="0" w:color="auto"/>
            </w:tcBorders>
            <w:shd w:val="clear" w:color="auto" w:fill="FFFFFF"/>
            <w:vAlign w:val="center"/>
          </w:tcPr>
          <w:p w14:paraId="6046637D"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50</w:t>
            </w:r>
          </w:p>
        </w:tc>
        <w:tc>
          <w:tcPr>
            <w:tcW w:w="1037" w:type="dxa"/>
            <w:vMerge w:val="restart"/>
            <w:tcBorders>
              <w:top w:val="single" w:sz="4" w:space="0" w:color="auto"/>
              <w:left w:val="single" w:sz="4" w:space="0" w:color="auto"/>
            </w:tcBorders>
            <w:shd w:val="clear" w:color="auto" w:fill="FFFFFF"/>
          </w:tcPr>
          <w:p w14:paraId="0763AB59"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0,25</w:t>
            </w:r>
          </w:p>
        </w:tc>
        <w:tc>
          <w:tcPr>
            <w:tcW w:w="854" w:type="dxa"/>
            <w:vMerge/>
            <w:tcBorders>
              <w:left w:val="single" w:sz="4" w:space="0" w:color="auto"/>
              <w:right w:val="single" w:sz="4" w:space="0" w:color="auto"/>
            </w:tcBorders>
            <w:shd w:val="clear" w:color="auto" w:fill="FFFFFF"/>
          </w:tcPr>
          <w:p w14:paraId="15B12F41" w14:textId="77777777" w:rsidR="00350D42" w:rsidRDefault="00350D42">
            <w:pPr>
              <w:framePr w:w="6595" w:wrap="notBeside" w:vAnchor="text" w:hAnchor="text" w:xAlign="center" w:y="1"/>
            </w:pPr>
          </w:p>
        </w:tc>
      </w:tr>
      <w:tr w:rsidR="00350D42" w14:paraId="12D47EC7" w14:textId="77777777">
        <w:trPr>
          <w:trHeight w:hRule="exact" w:val="365"/>
          <w:jc w:val="center"/>
        </w:trPr>
        <w:tc>
          <w:tcPr>
            <w:tcW w:w="341" w:type="dxa"/>
            <w:vMerge/>
            <w:tcBorders>
              <w:left w:val="single" w:sz="4" w:space="0" w:color="auto"/>
            </w:tcBorders>
            <w:shd w:val="clear" w:color="auto" w:fill="FFFFFF"/>
            <w:textDirection w:val="btLr"/>
          </w:tcPr>
          <w:p w14:paraId="3226FD00"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center"/>
          </w:tcPr>
          <w:p w14:paraId="1CC4B115"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рентабельность продаж стабильна</w:t>
            </w:r>
          </w:p>
        </w:tc>
        <w:tc>
          <w:tcPr>
            <w:tcW w:w="878" w:type="dxa"/>
            <w:tcBorders>
              <w:top w:val="single" w:sz="4" w:space="0" w:color="auto"/>
              <w:left w:val="single" w:sz="4" w:space="0" w:color="auto"/>
            </w:tcBorders>
            <w:shd w:val="clear" w:color="auto" w:fill="FFFFFF"/>
            <w:vAlign w:val="center"/>
          </w:tcPr>
          <w:p w14:paraId="40CA426E"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75</w:t>
            </w:r>
          </w:p>
        </w:tc>
        <w:tc>
          <w:tcPr>
            <w:tcW w:w="1037" w:type="dxa"/>
            <w:vMerge/>
            <w:tcBorders>
              <w:left w:val="single" w:sz="4" w:space="0" w:color="auto"/>
            </w:tcBorders>
            <w:shd w:val="clear" w:color="auto" w:fill="FFFFFF"/>
          </w:tcPr>
          <w:p w14:paraId="2A633A99" w14:textId="77777777" w:rsidR="00350D42" w:rsidRDefault="00350D42">
            <w:pPr>
              <w:framePr w:w="6595" w:wrap="notBeside" w:vAnchor="text" w:hAnchor="text" w:xAlign="center" w:y="1"/>
            </w:pPr>
          </w:p>
        </w:tc>
        <w:tc>
          <w:tcPr>
            <w:tcW w:w="854" w:type="dxa"/>
            <w:vMerge/>
            <w:tcBorders>
              <w:left w:val="single" w:sz="4" w:space="0" w:color="auto"/>
              <w:right w:val="single" w:sz="4" w:space="0" w:color="auto"/>
            </w:tcBorders>
            <w:shd w:val="clear" w:color="auto" w:fill="FFFFFF"/>
          </w:tcPr>
          <w:p w14:paraId="3BCBC1BF" w14:textId="77777777" w:rsidR="00350D42" w:rsidRDefault="00350D42">
            <w:pPr>
              <w:framePr w:w="6595" w:wrap="notBeside" w:vAnchor="text" w:hAnchor="text" w:xAlign="center" w:y="1"/>
            </w:pPr>
          </w:p>
        </w:tc>
      </w:tr>
      <w:tr w:rsidR="00350D42" w14:paraId="72AE4D74" w14:textId="77777777">
        <w:trPr>
          <w:trHeight w:hRule="exact" w:val="360"/>
          <w:jc w:val="center"/>
        </w:trPr>
        <w:tc>
          <w:tcPr>
            <w:tcW w:w="341" w:type="dxa"/>
            <w:vMerge/>
            <w:tcBorders>
              <w:left w:val="single" w:sz="4" w:space="0" w:color="auto"/>
            </w:tcBorders>
            <w:shd w:val="clear" w:color="auto" w:fill="FFFFFF"/>
            <w:textDirection w:val="btLr"/>
          </w:tcPr>
          <w:p w14:paraId="7D104938"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center"/>
          </w:tcPr>
          <w:p w14:paraId="74D5DAA2"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рентабельность продаж растет</w:t>
            </w:r>
          </w:p>
        </w:tc>
        <w:tc>
          <w:tcPr>
            <w:tcW w:w="878" w:type="dxa"/>
            <w:tcBorders>
              <w:top w:val="single" w:sz="4" w:space="0" w:color="auto"/>
              <w:left w:val="single" w:sz="4" w:space="0" w:color="auto"/>
            </w:tcBorders>
            <w:shd w:val="clear" w:color="auto" w:fill="FFFFFF"/>
            <w:vAlign w:val="center"/>
          </w:tcPr>
          <w:p w14:paraId="4B316B44"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100</w:t>
            </w:r>
          </w:p>
        </w:tc>
        <w:tc>
          <w:tcPr>
            <w:tcW w:w="1037" w:type="dxa"/>
            <w:vMerge/>
            <w:tcBorders>
              <w:left w:val="single" w:sz="4" w:space="0" w:color="auto"/>
            </w:tcBorders>
            <w:shd w:val="clear" w:color="auto" w:fill="FFFFFF"/>
          </w:tcPr>
          <w:p w14:paraId="41ECF7A1" w14:textId="77777777" w:rsidR="00350D42" w:rsidRDefault="00350D42">
            <w:pPr>
              <w:framePr w:w="6595" w:wrap="notBeside" w:vAnchor="text" w:hAnchor="text" w:xAlign="center" w:y="1"/>
            </w:pPr>
          </w:p>
        </w:tc>
        <w:tc>
          <w:tcPr>
            <w:tcW w:w="854" w:type="dxa"/>
            <w:vMerge/>
            <w:tcBorders>
              <w:left w:val="single" w:sz="4" w:space="0" w:color="auto"/>
              <w:right w:val="single" w:sz="4" w:space="0" w:color="auto"/>
            </w:tcBorders>
            <w:shd w:val="clear" w:color="auto" w:fill="FFFFFF"/>
          </w:tcPr>
          <w:p w14:paraId="3AE4B2DB" w14:textId="77777777" w:rsidR="00350D42" w:rsidRDefault="00350D42">
            <w:pPr>
              <w:framePr w:w="6595" w:wrap="notBeside" w:vAnchor="text" w:hAnchor="text" w:xAlign="center" w:y="1"/>
            </w:pPr>
          </w:p>
        </w:tc>
      </w:tr>
      <w:tr w:rsidR="00350D42" w14:paraId="162AE3DC" w14:textId="77777777">
        <w:trPr>
          <w:trHeight w:hRule="exact" w:val="365"/>
          <w:jc w:val="center"/>
        </w:trPr>
        <w:tc>
          <w:tcPr>
            <w:tcW w:w="341" w:type="dxa"/>
            <w:vMerge/>
            <w:tcBorders>
              <w:left w:val="single" w:sz="4" w:space="0" w:color="auto"/>
            </w:tcBorders>
            <w:shd w:val="clear" w:color="auto" w:fill="FFFFFF"/>
            <w:textDirection w:val="btLr"/>
          </w:tcPr>
          <w:p w14:paraId="23DE4970" w14:textId="77777777" w:rsidR="00350D42" w:rsidRDefault="00350D42">
            <w:pPr>
              <w:framePr w:w="6595" w:wrap="notBeside" w:vAnchor="text" w:hAnchor="text" w:xAlign="center" w:y="1"/>
            </w:pPr>
          </w:p>
        </w:tc>
        <w:tc>
          <w:tcPr>
            <w:tcW w:w="5400" w:type="dxa"/>
            <w:gridSpan w:val="3"/>
            <w:tcBorders>
              <w:top w:val="single" w:sz="4" w:space="0" w:color="auto"/>
              <w:left w:val="single" w:sz="4" w:space="0" w:color="auto"/>
            </w:tcBorders>
            <w:shd w:val="clear" w:color="auto" w:fill="FFFFFF"/>
            <w:vAlign w:val="center"/>
          </w:tcPr>
          <w:p w14:paraId="21B40F8D"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Наличие просроченной кредиторской задолженности:</w:t>
            </w:r>
          </w:p>
        </w:tc>
        <w:tc>
          <w:tcPr>
            <w:tcW w:w="854" w:type="dxa"/>
            <w:vMerge/>
            <w:tcBorders>
              <w:left w:val="single" w:sz="4" w:space="0" w:color="auto"/>
              <w:right w:val="single" w:sz="4" w:space="0" w:color="auto"/>
            </w:tcBorders>
            <w:shd w:val="clear" w:color="auto" w:fill="FFFFFF"/>
          </w:tcPr>
          <w:p w14:paraId="13C5611A" w14:textId="77777777" w:rsidR="00350D42" w:rsidRDefault="00350D42">
            <w:pPr>
              <w:framePr w:w="6595" w:wrap="notBeside" w:vAnchor="text" w:hAnchor="text" w:xAlign="center" w:y="1"/>
            </w:pPr>
          </w:p>
        </w:tc>
      </w:tr>
      <w:tr w:rsidR="00350D42" w14:paraId="44816006" w14:textId="77777777">
        <w:trPr>
          <w:trHeight w:hRule="exact" w:val="374"/>
          <w:jc w:val="center"/>
        </w:trPr>
        <w:tc>
          <w:tcPr>
            <w:tcW w:w="341" w:type="dxa"/>
            <w:vMerge/>
            <w:tcBorders>
              <w:left w:val="single" w:sz="4" w:space="0" w:color="auto"/>
              <w:bottom w:val="single" w:sz="4" w:space="0" w:color="auto"/>
            </w:tcBorders>
            <w:shd w:val="clear" w:color="auto" w:fill="FFFFFF"/>
            <w:textDirection w:val="btLr"/>
          </w:tcPr>
          <w:p w14:paraId="0674385B" w14:textId="77777777" w:rsidR="00350D42" w:rsidRDefault="00350D42">
            <w:pPr>
              <w:framePr w:w="6595" w:wrap="notBeside" w:vAnchor="text" w:hAnchor="text" w:xAlign="center" w:y="1"/>
            </w:pPr>
          </w:p>
        </w:tc>
        <w:tc>
          <w:tcPr>
            <w:tcW w:w="3485" w:type="dxa"/>
            <w:tcBorders>
              <w:top w:val="single" w:sz="4" w:space="0" w:color="auto"/>
              <w:left w:val="single" w:sz="4" w:space="0" w:color="auto"/>
              <w:bottom w:val="single" w:sz="4" w:space="0" w:color="auto"/>
            </w:tcBorders>
            <w:shd w:val="clear" w:color="auto" w:fill="FFFFFF"/>
            <w:vAlign w:val="center"/>
          </w:tcPr>
          <w:p w14:paraId="33A2AED6"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имеется</w:t>
            </w:r>
          </w:p>
        </w:tc>
        <w:tc>
          <w:tcPr>
            <w:tcW w:w="878" w:type="dxa"/>
            <w:tcBorders>
              <w:top w:val="single" w:sz="4" w:space="0" w:color="auto"/>
              <w:left w:val="single" w:sz="4" w:space="0" w:color="auto"/>
              <w:bottom w:val="single" w:sz="4" w:space="0" w:color="auto"/>
            </w:tcBorders>
            <w:shd w:val="clear" w:color="auto" w:fill="FFFFFF"/>
            <w:vAlign w:val="center"/>
          </w:tcPr>
          <w:p w14:paraId="031A0EEE"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50</w:t>
            </w:r>
          </w:p>
        </w:tc>
        <w:tc>
          <w:tcPr>
            <w:tcW w:w="1037" w:type="dxa"/>
            <w:tcBorders>
              <w:top w:val="single" w:sz="4" w:space="0" w:color="auto"/>
              <w:left w:val="single" w:sz="4" w:space="0" w:color="auto"/>
              <w:bottom w:val="single" w:sz="4" w:space="0" w:color="auto"/>
            </w:tcBorders>
            <w:shd w:val="clear" w:color="auto" w:fill="FFFFFF"/>
            <w:vAlign w:val="center"/>
          </w:tcPr>
          <w:p w14:paraId="19BB6301"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0,3</w:t>
            </w:r>
          </w:p>
        </w:tc>
        <w:tc>
          <w:tcPr>
            <w:tcW w:w="854" w:type="dxa"/>
            <w:vMerge/>
            <w:tcBorders>
              <w:left w:val="single" w:sz="4" w:space="0" w:color="auto"/>
              <w:bottom w:val="single" w:sz="4" w:space="0" w:color="auto"/>
              <w:right w:val="single" w:sz="4" w:space="0" w:color="auto"/>
            </w:tcBorders>
            <w:shd w:val="clear" w:color="auto" w:fill="FFFFFF"/>
          </w:tcPr>
          <w:p w14:paraId="44D1ED17" w14:textId="77777777" w:rsidR="00350D42" w:rsidRDefault="00350D42">
            <w:pPr>
              <w:framePr w:w="6595" w:wrap="notBeside" w:vAnchor="text" w:hAnchor="text" w:xAlign="center" w:y="1"/>
            </w:pPr>
          </w:p>
        </w:tc>
      </w:tr>
    </w:tbl>
    <w:p w14:paraId="324DA9C3" w14:textId="77777777" w:rsidR="00350D42" w:rsidRDefault="008E6F64">
      <w:pPr>
        <w:pStyle w:val="3f2"/>
        <w:framePr w:w="6595" w:wrap="notBeside" w:vAnchor="text" w:hAnchor="text" w:xAlign="center" w:y="1"/>
        <w:shd w:val="clear" w:color="auto" w:fill="auto"/>
        <w:spacing w:line="197" w:lineRule="exact"/>
        <w:jc w:val="both"/>
      </w:pPr>
      <w:r>
        <w:rPr>
          <w:rStyle w:val="3f3"/>
          <w:b/>
          <w:bCs/>
          <w:vertAlign w:val="superscript"/>
        </w:rPr>
        <w:t>1</w:t>
      </w:r>
      <w:r>
        <w:rPr>
          <w:rStyle w:val="3f3"/>
          <w:b/>
          <w:bCs/>
        </w:rPr>
        <w:t xml:space="preserve"> Предприятие приобретено для реализации на его базе инвестиционного про</w:t>
      </w:r>
      <w:r>
        <w:rPr>
          <w:rStyle w:val="3f3"/>
          <w:b/>
          <w:bCs/>
        </w:rPr>
        <w:softHyphen/>
        <w:t>екта, не является основным бизнесом для собственника и получает финансовую помощь, обеспечивающую покрытие убытков. При этом инвестиционный проект не предполагает полной замены активов, что позволяет классифицировать финан</w:t>
      </w:r>
      <w:r>
        <w:rPr>
          <w:rStyle w:val="3f3"/>
          <w:b/>
          <w:bCs/>
        </w:rPr>
        <w:softHyphen/>
        <w:t>сирование проекта как инвестиционное кредитование.</w:t>
      </w:r>
    </w:p>
    <w:p w14:paraId="687660AC" w14:textId="77777777" w:rsidR="00350D42" w:rsidRDefault="00350D42">
      <w:pPr>
        <w:framePr w:w="6595" w:wrap="notBeside" w:vAnchor="text" w:hAnchor="text" w:xAlign="center" w:y="1"/>
        <w:rPr>
          <w:sz w:val="2"/>
          <w:szCs w:val="2"/>
        </w:rPr>
      </w:pPr>
    </w:p>
    <w:p w14:paraId="2067A797" w14:textId="77777777" w:rsidR="00350D42" w:rsidRDefault="00350D42">
      <w:pPr>
        <w:rPr>
          <w:sz w:val="2"/>
          <w:szCs w:val="2"/>
        </w:rPr>
        <w:sectPr w:rsidR="00350D42">
          <w:pgSz w:w="8789" w:h="13493"/>
          <w:pgMar w:top="1070" w:right="1076" w:bottom="1157" w:left="107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1"/>
        <w:gridCol w:w="3485"/>
        <w:gridCol w:w="878"/>
        <w:gridCol w:w="1037"/>
        <w:gridCol w:w="854"/>
      </w:tblGrid>
      <w:tr w:rsidR="00350D42" w14:paraId="0B9D44ED" w14:textId="77777777">
        <w:trPr>
          <w:trHeight w:hRule="exact" w:val="749"/>
          <w:jc w:val="center"/>
        </w:trPr>
        <w:tc>
          <w:tcPr>
            <w:tcW w:w="341" w:type="dxa"/>
            <w:vMerge w:val="restart"/>
            <w:tcBorders>
              <w:top w:val="single" w:sz="4" w:space="0" w:color="auto"/>
              <w:left w:val="single" w:sz="4" w:space="0" w:color="auto"/>
            </w:tcBorders>
            <w:shd w:val="clear" w:color="auto" w:fill="FFFFFF"/>
            <w:textDirection w:val="btLr"/>
          </w:tcPr>
          <w:p w14:paraId="4394FE0F"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lastRenderedPageBreak/>
              <w:t>Значительные убытки отсутствуют</w:t>
            </w:r>
          </w:p>
        </w:tc>
        <w:tc>
          <w:tcPr>
            <w:tcW w:w="3485" w:type="dxa"/>
            <w:tcBorders>
              <w:top w:val="single" w:sz="4" w:space="0" w:color="auto"/>
              <w:left w:val="single" w:sz="4" w:space="0" w:color="auto"/>
            </w:tcBorders>
            <w:shd w:val="clear" w:color="auto" w:fill="FFFFFF"/>
          </w:tcPr>
          <w:p w14:paraId="45E353C0" w14:textId="77777777" w:rsidR="00350D42" w:rsidRDefault="008E6F64">
            <w:pPr>
              <w:pStyle w:val="2c"/>
              <w:framePr w:w="6595" w:wrap="notBeside" w:vAnchor="text" w:hAnchor="text" w:xAlign="center" w:y="1"/>
              <w:shd w:val="clear" w:color="auto" w:fill="auto"/>
              <w:spacing w:before="0" w:line="168" w:lineRule="exact"/>
              <w:ind w:left="240"/>
              <w:jc w:val="left"/>
            </w:pPr>
            <w:r>
              <w:rPr>
                <w:rStyle w:val="275pt0"/>
              </w:rPr>
              <w:t>Значения показателя по подгруппам</w:t>
            </w:r>
          </w:p>
        </w:tc>
        <w:tc>
          <w:tcPr>
            <w:tcW w:w="878" w:type="dxa"/>
            <w:tcBorders>
              <w:top w:val="single" w:sz="4" w:space="0" w:color="auto"/>
              <w:left w:val="single" w:sz="4" w:space="0" w:color="auto"/>
            </w:tcBorders>
            <w:shd w:val="clear" w:color="auto" w:fill="FFFFFF"/>
            <w:vAlign w:val="bottom"/>
          </w:tcPr>
          <w:p w14:paraId="3D10BF79" w14:textId="77777777" w:rsidR="00350D42" w:rsidRDefault="008E6F64">
            <w:pPr>
              <w:pStyle w:val="2c"/>
              <w:framePr w:w="6595" w:wrap="notBeside" w:vAnchor="text" w:hAnchor="text" w:xAlign="center" w:y="1"/>
              <w:shd w:val="clear" w:color="auto" w:fill="auto"/>
              <w:spacing w:before="0" w:line="221" w:lineRule="exact"/>
            </w:pPr>
            <w:r>
              <w:rPr>
                <w:rStyle w:val="275pt0"/>
              </w:rPr>
              <w:t>Баллы</w:t>
            </w:r>
          </w:p>
          <w:p w14:paraId="468E4CD0" w14:textId="77777777" w:rsidR="00350D42" w:rsidRDefault="008E6F64">
            <w:pPr>
              <w:pStyle w:val="2c"/>
              <w:framePr w:w="6595" w:wrap="notBeside" w:vAnchor="text" w:hAnchor="text" w:xAlign="center" w:y="1"/>
              <w:shd w:val="clear" w:color="auto" w:fill="auto"/>
              <w:spacing w:before="0" w:line="221" w:lineRule="exact"/>
            </w:pPr>
            <w:r>
              <w:rPr>
                <w:rStyle w:val="275pt0"/>
              </w:rPr>
              <w:t>по под</w:t>
            </w:r>
            <w:r>
              <w:rPr>
                <w:rStyle w:val="275pt0"/>
              </w:rPr>
              <w:softHyphen/>
              <w:t>группе</w:t>
            </w:r>
          </w:p>
        </w:tc>
        <w:tc>
          <w:tcPr>
            <w:tcW w:w="1037" w:type="dxa"/>
            <w:tcBorders>
              <w:top w:val="single" w:sz="4" w:space="0" w:color="auto"/>
              <w:left w:val="single" w:sz="4" w:space="0" w:color="auto"/>
            </w:tcBorders>
            <w:shd w:val="clear" w:color="auto" w:fill="FFFFFF"/>
            <w:vAlign w:val="bottom"/>
          </w:tcPr>
          <w:p w14:paraId="5C25A8D1" w14:textId="77777777" w:rsidR="00350D42" w:rsidRDefault="008E6F64">
            <w:pPr>
              <w:pStyle w:val="2c"/>
              <w:framePr w:w="6595" w:wrap="notBeside" w:vAnchor="text" w:hAnchor="text" w:xAlign="center" w:y="1"/>
              <w:shd w:val="clear" w:color="auto" w:fill="auto"/>
              <w:spacing w:before="0" w:line="221" w:lineRule="exact"/>
              <w:ind w:left="200" w:hanging="200"/>
              <w:jc w:val="left"/>
            </w:pPr>
            <w:r>
              <w:rPr>
                <w:rStyle w:val="275pt0"/>
              </w:rPr>
              <w:t>Удельный вес под</w:t>
            </w:r>
            <w:r>
              <w:rPr>
                <w:rStyle w:val="275pt0"/>
              </w:rPr>
              <w:softHyphen/>
              <w:t>группы</w:t>
            </w:r>
          </w:p>
        </w:tc>
        <w:tc>
          <w:tcPr>
            <w:tcW w:w="854" w:type="dxa"/>
            <w:tcBorders>
              <w:top w:val="single" w:sz="4" w:space="0" w:color="auto"/>
              <w:left w:val="single" w:sz="4" w:space="0" w:color="auto"/>
              <w:right w:val="single" w:sz="4" w:space="0" w:color="auto"/>
            </w:tcBorders>
            <w:shd w:val="clear" w:color="auto" w:fill="FFFFFF"/>
          </w:tcPr>
          <w:p w14:paraId="2BCA514A" w14:textId="77777777" w:rsidR="00350D42" w:rsidRDefault="008E6F64">
            <w:pPr>
              <w:pStyle w:val="2c"/>
              <w:framePr w:w="6595" w:wrap="notBeside" w:vAnchor="text" w:hAnchor="text" w:xAlign="center" w:y="1"/>
              <w:shd w:val="clear" w:color="auto" w:fill="auto"/>
              <w:spacing w:before="0" w:line="168" w:lineRule="exact"/>
              <w:ind w:left="160"/>
              <w:jc w:val="left"/>
            </w:pPr>
            <w:r>
              <w:rPr>
                <w:rStyle w:val="275pt0"/>
              </w:rPr>
              <w:t>Баллы</w:t>
            </w:r>
          </w:p>
        </w:tc>
      </w:tr>
      <w:tr w:rsidR="00350D42" w14:paraId="23A00C30" w14:textId="77777777">
        <w:trPr>
          <w:trHeight w:hRule="exact" w:val="302"/>
          <w:jc w:val="center"/>
        </w:trPr>
        <w:tc>
          <w:tcPr>
            <w:tcW w:w="341" w:type="dxa"/>
            <w:vMerge/>
            <w:tcBorders>
              <w:left w:val="single" w:sz="4" w:space="0" w:color="auto"/>
            </w:tcBorders>
            <w:shd w:val="clear" w:color="auto" w:fill="FFFFFF"/>
            <w:textDirection w:val="btLr"/>
          </w:tcPr>
          <w:p w14:paraId="2B69DEB0"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center"/>
          </w:tcPr>
          <w:p w14:paraId="1790CE52"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отсутствует</w:t>
            </w:r>
          </w:p>
        </w:tc>
        <w:tc>
          <w:tcPr>
            <w:tcW w:w="878" w:type="dxa"/>
            <w:tcBorders>
              <w:top w:val="single" w:sz="4" w:space="0" w:color="auto"/>
              <w:left w:val="single" w:sz="4" w:space="0" w:color="auto"/>
            </w:tcBorders>
            <w:shd w:val="clear" w:color="auto" w:fill="FFFFFF"/>
            <w:vAlign w:val="center"/>
          </w:tcPr>
          <w:p w14:paraId="2947E519"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100</w:t>
            </w:r>
          </w:p>
        </w:tc>
        <w:tc>
          <w:tcPr>
            <w:tcW w:w="1037" w:type="dxa"/>
            <w:tcBorders>
              <w:top w:val="single" w:sz="4" w:space="0" w:color="auto"/>
              <w:left w:val="single" w:sz="4" w:space="0" w:color="auto"/>
            </w:tcBorders>
            <w:shd w:val="clear" w:color="auto" w:fill="FFFFFF"/>
            <w:vAlign w:val="center"/>
          </w:tcPr>
          <w:p w14:paraId="462CCA98"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0,3</w:t>
            </w:r>
          </w:p>
        </w:tc>
        <w:tc>
          <w:tcPr>
            <w:tcW w:w="854" w:type="dxa"/>
            <w:vMerge w:val="restart"/>
            <w:tcBorders>
              <w:top w:val="single" w:sz="4" w:space="0" w:color="auto"/>
              <w:left w:val="single" w:sz="4" w:space="0" w:color="auto"/>
              <w:right w:val="single" w:sz="4" w:space="0" w:color="auto"/>
            </w:tcBorders>
            <w:shd w:val="clear" w:color="auto" w:fill="FFFFFF"/>
          </w:tcPr>
          <w:p w14:paraId="3F65133E" w14:textId="77777777" w:rsidR="00350D42" w:rsidRDefault="00350D42">
            <w:pPr>
              <w:framePr w:w="6595" w:wrap="notBeside" w:vAnchor="text" w:hAnchor="text" w:xAlign="center" w:y="1"/>
              <w:rPr>
                <w:sz w:val="10"/>
                <w:szCs w:val="10"/>
              </w:rPr>
            </w:pPr>
          </w:p>
        </w:tc>
      </w:tr>
      <w:tr w:rsidR="00350D42" w14:paraId="359941C2" w14:textId="77777777">
        <w:trPr>
          <w:trHeight w:hRule="exact" w:val="302"/>
          <w:jc w:val="center"/>
        </w:trPr>
        <w:tc>
          <w:tcPr>
            <w:tcW w:w="341" w:type="dxa"/>
            <w:vMerge/>
            <w:tcBorders>
              <w:left w:val="single" w:sz="4" w:space="0" w:color="auto"/>
            </w:tcBorders>
            <w:shd w:val="clear" w:color="auto" w:fill="FFFFFF"/>
            <w:textDirection w:val="btLr"/>
          </w:tcPr>
          <w:p w14:paraId="4E005F09" w14:textId="77777777" w:rsidR="00350D42" w:rsidRDefault="00350D42">
            <w:pPr>
              <w:framePr w:w="6595" w:wrap="notBeside" w:vAnchor="text" w:hAnchor="text" w:xAlign="center" w:y="1"/>
            </w:pPr>
          </w:p>
        </w:tc>
        <w:tc>
          <w:tcPr>
            <w:tcW w:w="5400" w:type="dxa"/>
            <w:gridSpan w:val="3"/>
            <w:tcBorders>
              <w:top w:val="single" w:sz="4" w:space="0" w:color="auto"/>
              <w:left w:val="single" w:sz="4" w:space="0" w:color="auto"/>
            </w:tcBorders>
            <w:shd w:val="clear" w:color="auto" w:fill="FFFFFF"/>
            <w:vAlign w:val="bottom"/>
          </w:tcPr>
          <w:p w14:paraId="7F4AAEB0"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Динамика оборачиваемости запасов:</w:t>
            </w:r>
          </w:p>
        </w:tc>
        <w:tc>
          <w:tcPr>
            <w:tcW w:w="854" w:type="dxa"/>
            <w:vMerge/>
            <w:tcBorders>
              <w:left w:val="single" w:sz="4" w:space="0" w:color="auto"/>
              <w:right w:val="single" w:sz="4" w:space="0" w:color="auto"/>
            </w:tcBorders>
            <w:shd w:val="clear" w:color="auto" w:fill="FFFFFF"/>
          </w:tcPr>
          <w:p w14:paraId="6F1C8EA5" w14:textId="77777777" w:rsidR="00350D42" w:rsidRDefault="00350D42">
            <w:pPr>
              <w:framePr w:w="6595" w:wrap="notBeside" w:vAnchor="text" w:hAnchor="text" w:xAlign="center" w:y="1"/>
            </w:pPr>
          </w:p>
        </w:tc>
      </w:tr>
      <w:tr w:rsidR="00350D42" w14:paraId="7F3F7AFF" w14:textId="77777777">
        <w:trPr>
          <w:trHeight w:hRule="exact" w:val="302"/>
          <w:jc w:val="center"/>
        </w:trPr>
        <w:tc>
          <w:tcPr>
            <w:tcW w:w="341" w:type="dxa"/>
            <w:vMerge/>
            <w:tcBorders>
              <w:left w:val="single" w:sz="4" w:space="0" w:color="auto"/>
            </w:tcBorders>
            <w:shd w:val="clear" w:color="auto" w:fill="FFFFFF"/>
            <w:textDirection w:val="btLr"/>
          </w:tcPr>
          <w:p w14:paraId="537C8605"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bottom"/>
          </w:tcPr>
          <w:p w14:paraId="6B2E3FC9"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оборачиваемость запасов снижается</w:t>
            </w:r>
          </w:p>
        </w:tc>
        <w:tc>
          <w:tcPr>
            <w:tcW w:w="878" w:type="dxa"/>
            <w:tcBorders>
              <w:top w:val="single" w:sz="4" w:space="0" w:color="auto"/>
              <w:left w:val="single" w:sz="4" w:space="0" w:color="auto"/>
            </w:tcBorders>
            <w:shd w:val="clear" w:color="auto" w:fill="FFFFFF"/>
            <w:vAlign w:val="bottom"/>
          </w:tcPr>
          <w:p w14:paraId="6851F748"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50</w:t>
            </w:r>
          </w:p>
        </w:tc>
        <w:tc>
          <w:tcPr>
            <w:tcW w:w="1037" w:type="dxa"/>
            <w:vMerge w:val="restart"/>
            <w:tcBorders>
              <w:top w:val="single" w:sz="4" w:space="0" w:color="auto"/>
              <w:left w:val="single" w:sz="4" w:space="0" w:color="auto"/>
            </w:tcBorders>
            <w:shd w:val="clear" w:color="auto" w:fill="FFFFFF"/>
          </w:tcPr>
          <w:p w14:paraId="2B886956"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0,1</w:t>
            </w:r>
          </w:p>
        </w:tc>
        <w:tc>
          <w:tcPr>
            <w:tcW w:w="854" w:type="dxa"/>
            <w:vMerge/>
            <w:tcBorders>
              <w:left w:val="single" w:sz="4" w:space="0" w:color="auto"/>
              <w:right w:val="single" w:sz="4" w:space="0" w:color="auto"/>
            </w:tcBorders>
            <w:shd w:val="clear" w:color="auto" w:fill="FFFFFF"/>
          </w:tcPr>
          <w:p w14:paraId="2B3DDC77" w14:textId="77777777" w:rsidR="00350D42" w:rsidRDefault="00350D42">
            <w:pPr>
              <w:framePr w:w="6595" w:wrap="notBeside" w:vAnchor="text" w:hAnchor="text" w:xAlign="center" w:y="1"/>
            </w:pPr>
          </w:p>
        </w:tc>
      </w:tr>
      <w:tr w:rsidR="00350D42" w14:paraId="75F239A1" w14:textId="77777777">
        <w:trPr>
          <w:trHeight w:hRule="exact" w:val="302"/>
          <w:jc w:val="center"/>
        </w:trPr>
        <w:tc>
          <w:tcPr>
            <w:tcW w:w="341" w:type="dxa"/>
            <w:vMerge/>
            <w:tcBorders>
              <w:left w:val="single" w:sz="4" w:space="0" w:color="auto"/>
            </w:tcBorders>
            <w:shd w:val="clear" w:color="auto" w:fill="FFFFFF"/>
            <w:textDirection w:val="btLr"/>
          </w:tcPr>
          <w:p w14:paraId="415E8A90"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bottom"/>
          </w:tcPr>
          <w:p w14:paraId="62F68EF3"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оборачиваемость запасов стабильна</w:t>
            </w:r>
          </w:p>
        </w:tc>
        <w:tc>
          <w:tcPr>
            <w:tcW w:w="878" w:type="dxa"/>
            <w:tcBorders>
              <w:top w:val="single" w:sz="4" w:space="0" w:color="auto"/>
              <w:left w:val="single" w:sz="4" w:space="0" w:color="auto"/>
            </w:tcBorders>
            <w:shd w:val="clear" w:color="auto" w:fill="FFFFFF"/>
            <w:vAlign w:val="bottom"/>
          </w:tcPr>
          <w:p w14:paraId="27D6FBE9"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75</w:t>
            </w:r>
          </w:p>
        </w:tc>
        <w:tc>
          <w:tcPr>
            <w:tcW w:w="1037" w:type="dxa"/>
            <w:vMerge/>
            <w:tcBorders>
              <w:left w:val="single" w:sz="4" w:space="0" w:color="auto"/>
            </w:tcBorders>
            <w:shd w:val="clear" w:color="auto" w:fill="FFFFFF"/>
          </w:tcPr>
          <w:p w14:paraId="7D8AE83E" w14:textId="77777777" w:rsidR="00350D42" w:rsidRDefault="00350D42">
            <w:pPr>
              <w:framePr w:w="6595" w:wrap="notBeside" w:vAnchor="text" w:hAnchor="text" w:xAlign="center" w:y="1"/>
            </w:pPr>
          </w:p>
        </w:tc>
        <w:tc>
          <w:tcPr>
            <w:tcW w:w="854" w:type="dxa"/>
            <w:vMerge/>
            <w:tcBorders>
              <w:left w:val="single" w:sz="4" w:space="0" w:color="auto"/>
              <w:right w:val="single" w:sz="4" w:space="0" w:color="auto"/>
            </w:tcBorders>
            <w:shd w:val="clear" w:color="auto" w:fill="FFFFFF"/>
          </w:tcPr>
          <w:p w14:paraId="54FC811E" w14:textId="77777777" w:rsidR="00350D42" w:rsidRDefault="00350D42">
            <w:pPr>
              <w:framePr w:w="6595" w:wrap="notBeside" w:vAnchor="text" w:hAnchor="text" w:xAlign="center" w:y="1"/>
            </w:pPr>
          </w:p>
        </w:tc>
      </w:tr>
      <w:tr w:rsidR="00350D42" w14:paraId="6D5A6240" w14:textId="77777777">
        <w:trPr>
          <w:trHeight w:hRule="exact" w:val="302"/>
          <w:jc w:val="center"/>
        </w:trPr>
        <w:tc>
          <w:tcPr>
            <w:tcW w:w="341" w:type="dxa"/>
            <w:vMerge/>
            <w:tcBorders>
              <w:left w:val="single" w:sz="4" w:space="0" w:color="auto"/>
            </w:tcBorders>
            <w:shd w:val="clear" w:color="auto" w:fill="FFFFFF"/>
            <w:textDirection w:val="btLr"/>
          </w:tcPr>
          <w:p w14:paraId="6899DE9B"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center"/>
          </w:tcPr>
          <w:p w14:paraId="71FDC9BB"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оборачиваемость запасов растет</w:t>
            </w:r>
          </w:p>
        </w:tc>
        <w:tc>
          <w:tcPr>
            <w:tcW w:w="878" w:type="dxa"/>
            <w:tcBorders>
              <w:top w:val="single" w:sz="4" w:space="0" w:color="auto"/>
              <w:left w:val="single" w:sz="4" w:space="0" w:color="auto"/>
            </w:tcBorders>
            <w:shd w:val="clear" w:color="auto" w:fill="FFFFFF"/>
            <w:vAlign w:val="bottom"/>
          </w:tcPr>
          <w:p w14:paraId="3030FA94"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100</w:t>
            </w:r>
          </w:p>
        </w:tc>
        <w:tc>
          <w:tcPr>
            <w:tcW w:w="1037" w:type="dxa"/>
            <w:vMerge/>
            <w:tcBorders>
              <w:left w:val="single" w:sz="4" w:space="0" w:color="auto"/>
            </w:tcBorders>
            <w:shd w:val="clear" w:color="auto" w:fill="FFFFFF"/>
          </w:tcPr>
          <w:p w14:paraId="6209CC1E" w14:textId="77777777" w:rsidR="00350D42" w:rsidRDefault="00350D42">
            <w:pPr>
              <w:framePr w:w="6595" w:wrap="notBeside" w:vAnchor="text" w:hAnchor="text" w:xAlign="center" w:y="1"/>
            </w:pPr>
          </w:p>
        </w:tc>
        <w:tc>
          <w:tcPr>
            <w:tcW w:w="854" w:type="dxa"/>
            <w:vMerge/>
            <w:tcBorders>
              <w:left w:val="single" w:sz="4" w:space="0" w:color="auto"/>
              <w:right w:val="single" w:sz="4" w:space="0" w:color="auto"/>
            </w:tcBorders>
            <w:shd w:val="clear" w:color="auto" w:fill="FFFFFF"/>
          </w:tcPr>
          <w:p w14:paraId="2CE87843" w14:textId="77777777" w:rsidR="00350D42" w:rsidRDefault="00350D42">
            <w:pPr>
              <w:framePr w:w="6595" w:wrap="notBeside" w:vAnchor="text" w:hAnchor="text" w:xAlign="center" w:y="1"/>
            </w:pPr>
          </w:p>
        </w:tc>
      </w:tr>
      <w:tr w:rsidR="00350D42" w14:paraId="46871C95" w14:textId="77777777">
        <w:trPr>
          <w:trHeight w:hRule="exact" w:val="302"/>
          <w:jc w:val="center"/>
        </w:trPr>
        <w:tc>
          <w:tcPr>
            <w:tcW w:w="341" w:type="dxa"/>
            <w:vMerge/>
            <w:tcBorders>
              <w:left w:val="single" w:sz="4" w:space="0" w:color="auto"/>
            </w:tcBorders>
            <w:shd w:val="clear" w:color="auto" w:fill="FFFFFF"/>
            <w:textDirection w:val="btLr"/>
          </w:tcPr>
          <w:p w14:paraId="3F782F21" w14:textId="77777777" w:rsidR="00350D42" w:rsidRDefault="00350D42">
            <w:pPr>
              <w:framePr w:w="6595" w:wrap="notBeside" w:vAnchor="text" w:hAnchor="text" w:xAlign="center" w:y="1"/>
            </w:pPr>
          </w:p>
        </w:tc>
        <w:tc>
          <w:tcPr>
            <w:tcW w:w="5400" w:type="dxa"/>
            <w:gridSpan w:val="3"/>
            <w:tcBorders>
              <w:top w:val="single" w:sz="4" w:space="0" w:color="auto"/>
              <w:left w:val="single" w:sz="4" w:space="0" w:color="auto"/>
            </w:tcBorders>
            <w:shd w:val="clear" w:color="auto" w:fill="FFFFFF"/>
            <w:vAlign w:val="bottom"/>
          </w:tcPr>
          <w:p w14:paraId="00B4E4D3" w14:textId="77777777" w:rsidR="00350D42" w:rsidRDefault="008E6F64">
            <w:pPr>
              <w:pStyle w:val="2c"/>
              <w:framePr w:w="6595" w:wrap="notBeside" w:vAnchor="text" w:hAnchor="text" w:xAlign="center" w:y="1"/>
              <w:shd w:val="clear" w:color="auto" w:fill="auto"/>
              <w:spacing w:before="0" w:line="168" w:lineRule="exact"/>
              <w:jc w:val="left"/>
            </w:pPr>
            <w:r>
              <w:rPr>
                <w:rStyle w:val="275pt0"/>
              </w:rPr>
              <w:t>Динамика оборачиваемости дебиторской задолженности:</w:t>
            </w:r>
          </w:p>
        </w:tc>
        <w:tc>
          <w:tcPr>
            <w:tcW w:w="854" w:type="dxa"/>
            <w:vMerge/>
            <w:tcBorders>
              <w:left w:val="single" w:sz="4" w:space="0" w:color="auto"/>
              <w:right w:val="single" w:sz="4" w:space="0" w:color="auto"/>
            </w:tcBorders>
            <w:shd w:val="clear" w:color="auto" w:fill="FFFFFF"/>
          </w:tcPr>
          <w:p w14:paraId="36BB3258" w14:textId="77777777" w:rsidR="00350D42" w:rsidRDefault="00350D42">
            <w:pPr>
              <w:framePr w:w="6595" w:wrap="notBeside" w:vAnchor="text" w:hAnchor="text" w:xAlign="center" w:y="1"/>
            </w:pPr>
          </w:p>
        </w:tc>
      </w:tr>
      <w:tr w:rsidR="00350D42" w14:paraId="01A79445" w14:textId="77777777">
        <w:trPr>
          <w:trHeight w:hRule="exact" w:val="523"/>
          <w:jc w:val="center"/>
        </w:trPr>
        <w:tc>
          <w:tcPr>
            <w:tcW w:w="341" w:type="dxa"/>
            <w:vMerge/>
            <w:tcBorders>
              <w:left w:val="single" w:sz="4" w:space="0" w:color="auto"/>
            </w:tcBorders>
            <w:shd w:val="clear" w:color="auto" w:fill="FFFFFF"/>
            <w:textDirection w:val="btLr"/>
          </w:tcPr>
          <w:p w14:paraId="4860516D"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bottom"/>
          </w:tcPr>
          <w:p w14:paraId="32209F83" w14:textId="77777777" w:rsidR="00350D42" w:rsidRDefault="008E6F64">
            <w:pPr>
              <w:pStyle w:val="2c"/>
              <w:framePr w:w="6595" w:wrap="notBeside" w:vAnchor="text" w:hAnchor="text" w:xAlign="center" w:y="1"/>
              <w:shd w:val="clear" w:color="auto" w:fill="auto"/>
              <w:spacing w:before="0" w:line="221" w:lineRule="exact"/>
              <w:jc w:val="left"/>
            </w:pPr>
            <w:r>
              <w:rPr>
                <w:rStyle w:val="275pt0"/>
              </w:rPr>
              <w:t>оборачиваемость дебиторской задол</w:t>
            </w:r>
            <w:r>
              <w:rPr>
                <w:rStyle w:val="275pt0"/>
              </w:rPr>
              <w:softHyphen/>
              <w:t>женности снижается</w:t>
            </w:r>
          </w:p>
        </w:tc>
        <w:tc>
          <w:tcPr>
            <w:tcW w:w="878" w:type="dxa"/>
            <w:tcBorders>
              <w:top w:val="single" w:sz="4" w:space="0" w:color="auto"/>
              <w:left w:val="single" w:sz="4" w:space="0" w:color="auto"/>
            </w:tcBorders>
            <w:shd w:val="clear" w:color="auto" w:fill="FFFFFF"/>
          </w:tcPr>
          <w:p w14:paraId="2894210F"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50</w:t>
            </w:r>
          </w:p>
        </w:tc>
        <w:tc>
          <w:tcPr>
            <w:tcW w:w="1037" w:type="dxa"/>
            <w:vMerge w:val="restart"/>
            <w:tcBorders>
              <w:top w:val="single" w:sz="4" w:space="0" w:color="auto"/>
              <w:left w:val="single" w:sz="4" w:space="0" w:color="auto"/>
            </w:tcBorders>
            <w:shd w:val="clear" w:color="auto" w:fill="FFFFFF"/>
          </w:tcPr>
          <w:p w14:paraId="55C50654"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0,1</w:t>
            </w:r>
          </w:p>
        </w:tc>
        <w:tc>
          <w:tcPr>
            <w:tcW w:w="854" w:type="dxa"/>
            <w:vMerge/>
            <w:tcBorders>
              <w:left w:val="single" w:sz="4" w:space="0" w:color="auto"/>
              <w:right w:val="single" w:sz="4" w:space="0" w:color="auto"/>
            </w:tcBorders>
            <w:shd w:val="clear" w:color="auto" w:fill="FFFFFF"/>
          </w:tcPr>
          <w:p w14:paraId="0290A21B" w14:textId="77777777" w:rsidR="00350D42" w:rsidRDefault="00350D42">
            <w:pPr>
              <w:framePr w:w="6595" w:wrap="notBeside" w:vAnchor="text" w:hAnchor="text" w:xAlign="center" w:y="1"/>
            </w:pPr>
          </w:p>
        </w:tc>
      </w:tr>
      <w:tr w:rsidR="00350D42" w14:paraId="26378736" w14:textId="77777777">
        <w:trPr>
          <w:trHeight w:hRule="exact" w:val="523"/>
          <w:jc w:val="center"/>
        </w:trPr>
        <w:tc>
          <w:tcPr>
            <w:tcW w:w="341" w:type="dxa"/>
            <w:vMerge/>
            <w:tcBorders>
              <w:left w:val="single" w:sz="4" w:space="0" w:color="auto"/>
            </w:tcBorders>
            <w:shd w:val="clear" w:color="auto" w:fill="FFFFFF"/>
            <w:textDirection w:val="btLr"/>
          </w:tcPr>
          <w:p w14:paraId="14EFBFDD" w14:textId="77777777" w:rsidR="00350D42" w:rsidRDefault="00350D42">
            <w:pPr>
              <w:framePr w:w="6595" w:wrap="notBeside" w:vAnchor="text" w:hAnchor="text" w:xAlign="center" w:y="1"/>
            </w:pPr>
          </w:p>
        </w:tc>
        <w:tc>
          <w:tcPr>
            <w:tcW w:w="3485" w:type="dxa"/>
            <w:tcBorders>
              <w:top w:val="single" w:sz="4" w:space="0" w:color="auto"/>
              <w:left w:val="single" w:sz="4" w:space="0" w:color="auto"/>
            </w:tcBorders>
            <w:shd w:val="clear" w:color="auto" w:fill="FFFFFF"/>
            <w:vAlign w:val="bottom"/>
          </w:tcPr>
          <w:p w14:paraId="4CA02C83" w14:textId="77777777" w:rsidR="00350D42" w:rsidRDefault="008E6F64">
            <w:pPr>
              <w:pStyle w:val="2c"/>
              <w:framePr w:w="6595" w:wrap="notBeside" w:vAnchor="text" w:hAnchor="text" w:xAlign="center" w:y="1"/>
              <w:shd w:val="clear" w:color="auto" w:fill="auto"/>
              <w:spacing w:before="0" w:line="221" w:lineRule="exact"/>
              <w:jc w:val="left"/>
            </w:pPr>
            <w:r>
              <w:rPr>
                <w:rStyle w:val="275pt0"/>
              </w:rPr>
              <w:t>оборачиваемость дебиторской задол</w:t>
            </w:r>
            <w:r>
              <w:rPr>
                <w:rStyle w:val="275pt0"/>
              </w:rPr>
              <w:softHyphen/>
              <w:t>женности стабильна</w:t>
            </w:r>
          </w:p>
        </w:tc>
        <w:tc>
          <w:tcPr>
            <w:tcW w:w="878" w:type="dxa"/>
            <w:tcBorders>
              <w:top w:val="single" w:sz="4" w:space="0" w:color="auto"/>
              <w:left w:val="single" w:sz="4" w:space="0" w:color="auto"/>
            </w:tcBorders>
            <w:shd w:val="clear" w:color="auto" w:fill="FFFFFF"/>
          </w:tcPr>
          <w:p w14:paraId="37D88340"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75</w:t>
            </w:r>
          </w:p>
        </w:tc>
        <w:tc>
          <w:tcPr>
            <w:tcW w:w="1037" w:type="dxa"/>
            <w:vMerge/>
            <w:tcBorders>
              <w:left w:val="single" w:sz="4" w:space="0" w:color="auto"/>
            </w:tcBorders>
            <w:shd w:val="clear" w:color="auto" w:fill="FFFFFF"/>
          </w:tcPr>
          <w:p w14:paraId="082FFC41" w14:textId="77777777" w:rsidR="00350D42" w:rsidRDefault="00350D42">
            <w:pPr>
              <w:framePr w:w="6595" w:wrap="notBeside" w:vAnchor="text" w:hAnchor="text" w:xAlign="center" w:y="1"/>
            </w:pPr>
          </w:p>
        </w:tc>
        <w:tc>
          <w:tcPr>
            <w:tcW w:w="854" w:type="dxa"/>
            <w:vMerge/>
            <w:tcBorders>
              <w:left w:val="single" w:sz="4" w:space="0" w:color="auto"/>
              <w:right w:val="single" w:sz="4" w:space="0" w:color="auto"/>
            </w:tcBorders>
            <w:shd w:val="clear" w:color="auto" w:fill="FFFFFF"/>
          </w:tcPr>
          <w:p w14:paraId="33ED0076" w14:textId="77777777" w:rsidR="00350D42" w:rsidRDefault="00350D42">
            <w:pPr>
              <w:framePr w:w="6595" w:wrap="notBeside" w:vAnchor="text" w:hAnchor="text" w:xAlign="center" w:y="1"/>
            </w:pPr>
          </w:p>
        </w:tc>
      </w:tr>
      <w:tr w:rsidR="00350D42" w14:paraId="2ABC6ED5" w14:textId="77777777">
        <w:trPr>
          <w:trHeight w:hRule="exact" w:val="533"/>
          <w:jc w:val="center"/>
        </w:trPr>
        <w:tc>
          <w:tcPr>
            <w:tcW w:w="341" w:type="dxa"/>
            <w:vMerge/>
            <w:tcBorders>
              <w:left w:val="single" w:sz="4" w:space="0" w:color="auto"/>
              <w:bottom w:val="single" w:sz="4" w:space="0" w:color="auto"/>
            </w:tcBorders>
            <w:shd w:val="clear" w:color="auto" w:fill="FFFFFF"/>
            <w:textDirection w:val="btLr"/>
          </w:tcPr>
          <w:p w14:paraId="3B4ADC03" w14:textId="77777777" w:rsidR="00350D42" w:rsidRDefault="00350D42">
            <w:pPr>
              <w:framePr w:w="6595" w:wrap="notBeside" w:vAnchor="text" w:hAnchor="text" w:xAlign="center" w:y="1"/>
            </w:pPr>
          </w:p>
        </w:tc>
        <w:tc>
          <w:tcPr>
            <w:tcW w:w="3485" w:type="dxa"/>
            <w:tcBorders>
              <w:top w:val="single" w:sz="4" w:space="0" w:color="auto"/>
              <w:left w:val="single" w:sz="4" w:space="0" w:color="auto"/>
              <w:bottom w:val="single" w:sz="4" w:space="0" w:color="auto"/>
            </w:tcBorders>
            <w:shd w:val="clear" w:color="auto" w:fill="FFFFFF"/>
            <w:vAlign w:val="bottom"/>
          </w:tcPr>
          <w:p w14:paraId="41E73E2D" w14:textId="77777777" w:rsidR="00350D42" w:rsidRDefault="008E6F64">
            <w:pPr>
              <w:pStyle w:val="2c"/>
              <w:framePr w:w="6595" w:wrap="notBeside" w:vAnchor="text" w:hAnchor="text" w:xAlign="center" w:y="1"/>
              <w:shd w:val="clear" w:color="auto" w:fill="auto"/>
              <w:spacing w:before="0" w:line="221" w:lineRule="exact"/>
              <w:jc w:val="left"/>
            </w:pPr>
            <w:r>
              <w:rPr>
                <w:rStyle w:val="275pt0"/>
              </w:rPr>
              <w:t>оборачиваемость дебиторской задол</w:t>
            </w:r>
            <w:r>
              <w:rPr>
                <w:rStyle w:val="275pt0"/>
              </w:rPr>
              <w:softHyphen/>
              <w:t>женности растет</w:t>
            </w:r>
          </w:p>
        </w:tc>
        <w:tc>
          <w:tcPr>
            <w:tcW w:w="878" w:type="dxa"/>
            <w:tcBorders>
              <w:top w:val="single" w:sz="4" w:space="0" w:color="auto"/>
              <w:left w:val="single" w:sz="4" w:space="0" w:color="auto"/>
              <w:bottom w:val="single" w:sz="4" w:space="0" w:color="auto"/>
            </w:tcBorders>
            <w:shd w:val="clear" w:color="auto" w:fill="FFFFFF"/>
            <w:vAlign w:val="center"/>
          </w:tcPr>
          <w:p w14:paraId="5F490B14" w14:textId="77777777" w:rsidR="00350D42" w:rsidRDefault="008E6F64">
            <w:pPr>
              <w:pStyle w:val="2c"/>
              <w:framePr w:w="6595" w:wrap="notBeside" w:vAnchor="text" w:hAnchor="text" w:xAlign="center" w:y="1"/>
              <w:shd w:val="clear" w:color="auto" w:fill="auto"/>
              <w:spacing w:before="0" w:line="168" w:lineRule="exact"/>
              <w:jc w:val="center"/>
            </w:pPr>
            <w:r>
              <w:rPr>
                <w:rStyle w:val="275pt0"/>
              </w:rPr>
              <w:t>100</w:t>
            </w:r>
          </w:p>
        </w:tc>
        <w:tc>
          <w:tcPr>
            <w:tcW w:w="1037" w:type="dxa"/>
            <w:vMerge/>
            <w:tcBorders>
              <w:left w:val="single" w:sz="4" w:space="0" w:color="auto"/>
              <w:bottom w:val="single" w:sz="4" w:space="0" w:color="auto"/>
            </w:tcBorders>
            <w:shd w:val="clear" w:color="auto" w:fill="FFFFFF"/>
          </w:tcPr>
          <w:p w14:paraId="103AEA17" w14:textId="77777777" w:rsidR="00350D42" w:rsidRDefault="00350D42">
            <w:pPr>
              <w:framePr w:w="6595" w:wrap="notBeside" w:vAnchor="text" w:hAnchor="text" w:xAlign="center" w:y="1"/>
            </w:pPr>
          </w:p>
        </w:tc>
        <w:tc>
          <w:tcPr>
            <w:tcW w:w="854" w:type="dxa"/>
            <w:vMerge/>
            <w:tcBorders>
              <w:left w:val="single" w:sz="4" w:space="0" w:color="auto"/>
              <w:bottom w:val="single" w:sz="4" w:space="0" w:color="auto"/>
              <w:right w:val="single" w:sz="4" w:space="0" w:color="auto"/>
            </w:tcBorders>
            <w:shd w:val="clear" w:color="auto" w:fill="FFFFFF"/>
          </w:tcPr>
          <w:p w14:paraId="3F333671" w14:textId="77777777" w:rsidR="00350D42" w:rsidRDefault="00350D42">
            <w:pPr>
              <w:framePr w:w="6595" w:wrap="notBeside" w:vAnchor="text" w:hAnchor="text" w:xAlign="center" w:y="1"/>
            </w:pPr>
          </w:p>
        </w:tc>
      </w:tr>
    </w:tbl>
    <w:p w14:paraId="19F4BCCB" w14:textId="77777777" w:rsidR="00350D42" w:rsidRDefault="00350D42">
      <w:pPr>
        <w:framePr w:w="6595" w:wrap="notBeside" w:vAnchor="text" w:hAnchor="text" w:xAlign="center" w:y="1"/>
        <w:rPr>
          <w:sz w:val="2"/>
          <w:szCs w:val="2"/>
        </w:rPr>
      </w:pPr>
    </w:p>
    <w:p w14:paraId="5CFB824C" w14:textId="77777777" w:rsidR="00350D42" w:rsidRDefault="00350D42">
      <w:pPr>
        <w:rPr>
          <w:sz w:val="2"/>
          <w:szCs w:val="2"/>
        </w:rPr>
      </w:pPr>
    </w:p>
    <w:p w14:paraId="37C2938C" w14:textId="77777777" w:rsidR="00350D42" w:rsidRDefault="008E6F64">
      <w:pPr>
        <w:pStyle w:val="2c"/>
        <w:shd w:val="clear" w:color="auto" w:fill="auto"/>
        <w:spacing w:before="98"/>
        <w:ind w:firstLine="320"/>
      </w:pPr>
      <w:r>
        <w:rPr>
          <w:rStyle w:val="2d"/>
        </w:rPr>
        <w:t>Таким образом, при оценке уровня риска, связанного с предо</w:t>
      </w:r>
      <w:r>
        <w:rPr>
          <w:rStyle w:val="2d"/>
        </w:rPr>
        <w:softHyphen/>
        <w:t>ставлением инициатору проекта финансирования, финансовый анализ может быть использован как инструмент для характери</w:t>
      </w:r>
      <w:r>
        <w:rPr>
          <w:rStyle w:val="2d"/>
        </w:rPr>
        <w:softHyphen/>
        <w:t>стики эффективности действий менеджмента в прошлом, что пред</w:t>
      </w:r>
      <w:r>
        <w:rPr>
          <w:rStyle w:val="2d"/>
        </w:rPr>
        <w:softHyphen/>
        <w:t>полагает рассмотрение исторической динамики показателей эф</w:t>
      </w:r>
      <w:r>
        <w:rPr>
          <w:rStyle w:val="2d"/>
        </w:rPr>
        <w:softHyphen/>
        <w:t>фективности и учет фактически имевшихся случаев неисполнения обязательств перед кредиторами.</w:t>
      </w:r>
    </w:p>
    <w:p w14:paraId="3EA337F4" w14:textId="77777777" w:rsidR="00350D42" w:rsidRDefault="008E6F64">
      <w:pPr>
        <w:pStyle w:val="2c"/>
        <w:shd w:val="clear" w:color="auto" w:fill="auto"/>
        <w:spacing w:before="0"/>
        <w:ind w:firstLine="320"/>
      </w:pPr>
      <w:r>
        <w:rPr>
          <w:rStyle w:val="2d"/>
        </w:rPr>
        <w:t>Используемые показатели рассчитывают исходя из данных управ</w:t>
      </w:r>
      <w:r>
        <w:rPr>
          <w:rStyle w:val="2d"/>
        </w:rPr>
        <w:softHyphen/>
        <w:t>ленческого учета, позволяющих учесть влияние различных способов налоговой оптимизации. Целесообразно исключить показатели, учи</w:t>
      </w:r>
      <w:r>
        <w:rPr>
          <w:rStyle w:val="2d"/>
        </w:rPr>
        <w:softHyphen/>
        <w:t>тывающие статьи баланса, обычно не соответствующие рыночной стоимости (величина основных средств, собственного капитала).</w:t>
      </w:r>
    </w:p>
    <w:p w14:paraId="16A65A2B" w14:textId="77777777" w:rsidR="00350D42" w:rsidRDefault="008E6F64">
      <w:pPr>
        <w:pStyle w:val="180"/>
        <w:numPr>
          <w:ilvl w:val="0"/>
          <w:numId w:val="160"/>
        </w:numPr>
        <w:shd w:val="clear" w:color="auto" w:fill="auto"/>
        <w:tabs>
          <w:tab w:val="left" w:pos="661"/>
        </w:tabs>
        <w:spacing w:line="250" w:lineRule="exact"/>
        <w:ind w:firstLine="320"/>
        <w:jc w:val="both"/>
      </w:pPr>
      <w:r>
        <w:rPr>
          <w:rStyle w:val="181"/>
          <w:i/>
          <w:iCs/>
        </w:rPr>
        <w:t>Оценка фактора «деловая репутация».</w:t>
      </w:r>
    </w:p>
    <w:p w14:paraId="06DDE4E3" w14:textId="77777777" w:rsidR="00350D42" w:rsidRDefault="008E6F64">
      <w:pPr>
        <w:pStyle w:val="2c"/>
        <w:shd w:val="clear" w:color="auto" w:fill="auto"/>
        <w:spacing w:before="0"/>
        <w:ind w:firstLine="320"/>
      </w:pPr>
      <w:r>
        <w:rPr>
          <w:rStyle w:val="2d"/>
        </w:rPr>
        <w:t>Показатели оценки деловой репутации представлены в табл. П.2.6.</w:t>
      </w:r>
    </w:p>
    <w:p w14:paraId="09A293F6" w14:textId="77777777" w:rsidR="00350D42" w:rsidRDefault="008E6F64">
      <w:pPr>
        <w:pStyle w:val="190"/>
        <w:shd w:val="clear" w:color="auto" w:fill="auto"/>
      </w:pPr>
      <w:r>
        <w:rPr>
          <w:rStyle w:val="191"/>
          <w:i/>
          <w:iCs/>
        </w:rPr>
        <w:t>Таблица П.2.6</w:t>
      </w:r>
    </w:p>
    <w:p w14:paraId="3D130063" w14:textId="77777777" w:rsidR="00350D42" w:rsidRDefault="008E6F64">
      <w:pPr>
        <w:pStyle w:val="3f2"/>
        <w:framePr w:w="6581" w:wrap="notBeside" w:vAnchor="text" w:hAnchor="text" w:xAlign="center" w:y="1"/>
        <w:shd w:val="clear" w:color="auto" w:fill="auto"/>
        <w:spacing w:line="194" w:lineRule="exact"/>
        <w:jc w:val="left"/>
      </w:pPr>
      <w:r>
        <w:rPr>
          <w:rStyle w:val="3f3"/>
          <w:b/>
          <w:bCs/>
        </w:rPr>
        <w:lastRenderedPageBreak/>
        <w:t>Оценка фактора «деловая репутация»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08"/>
        <w:gridCol w:w="773"/>
      </w:tblGrid>
      <w:tr w:rsidR="00350D42" w14:paraId="383089EF" w14:textId="77777777">
        <w:trPr>
          <w:trHeight w:hRule="exact" w:val="365"/>
          <w:jc w:val="center"/>
        </w:trPr>
        <w:tc>
          <w:tcPr>
            <w:tcW w:w="5808" w:type="dxa"/>
            <w:tcBorders>
              <w:top w:val="single" w:sz="4" w:space="0" w:color="auto"/>
              <w:left w:val="single" w:sz="4" w:space="0" w:color="auto"/>
            </w:tcBorders>
            <w:shd w:val="clear" w:color="auto" w:fill="FFFFFF"/>
            <w:vAlign w:val="center"/>
          </w:tcPr>
          <w:p w14:paraId="1D029C66"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Показатель</w:t>
            </w:r>
          </w:p>
        </w:tc>
        <w:tc>
          <w:tcPr>
            <w:tcW w:w="773" w:type="dxa"/>
            <w:tcBorders>
              <w:top w:val="single" w:sz="4" w:space="0" w:color="auto"/>
              <w:left w:val="single" w:sz="4" w:space="0" w:color="auto"/>
              <w:right w:val="single" w:sz="4" w:space="0" w:color="auto"/>
            </w:tcBorders>
            <w:shd w:val="clear" w:color="auto" w:fill="FFFFFF"/>
            <w:vAlign w:val="center"/>
          </w:tcPr>
          <w:p w14:paraId="0836C502"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Баллы</w:t>
            </w:r>
          </w:p>
        </w:tc>
      </w:tr>
      <w:tr w:rsidR="00350D42" w14:paraId="3E824DF3" w14:textId="77777777">
        <w:trPr>
          <w:trHeight w:hRule="exact" w:val="355"/>
          <w:jc w:val="center"/>
        </w:trPr>
        <w:tc>
          <w:tcPr>
            <w:tcW w:w="5808" w:type="dxa"/>
            <w:tcBorders>
              <w:top w:val="single" w:sz="4" w:space="0" w:color="auto"/>
              <w:left w:val="single" w:sz="4" w:space="0" w:color="auto"/>
            </w:tcBorders>
            <w:shd w:val="clear" w:color="auto" w:fill="FFFFFF"/>
            <w:vAlign w:val="center"/>
          </w:tcPr>
          <w:p w14:paraId="3928761C"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Имеется значительный объем негативной информации</w:t>
            </w:r>
          </w:p>
        </w:tc>
        <w:tc>
          <w:tcPr>
            <w:tcW w:w="773" w:type="dxa"/>
            <w:tcBorders>
              <w:top w:val="single" w:sz="4" w:space="0" w:color="auto"/>
              <w:left w:val="single" w:sz="4" w:space="0" w:color="auto"/>
              <w:right w:val="single" w:sz="4" w:space="0" w:color="auto"/>
            </w:tcBorders>
            <w:shd w:val="clear" w:color="auto" w:fill="FFFFFF"/>
            <w:vAlign w:val="bottom"/>
          </w:tcPr>
          <w:p w14:paraId="6047D34E" w14:textId="77777777" w:rsidR="00350D42" w:rsidRDefault="008E6F64">
            <w:pPr>
              <w:pStyle w:val="2c"/>
              <w:framePr w:w="6581" w:wrap="notBeside" w:vAnchor="text" w:hAnchor="text" w:xAlign="center" w:y="1"/>
              <w:shd w:val="clear" w:color="auto" w:fill="auto"/>
              <w:spacing w:before="0" w:line="168" w:lineRule="exact"/>
              <w:ind w:left="300"/>
              <w:jc w:val="left"/>
            </w:pPr>
            <w:r>
              <w:rPr>
                <w:rStyle w:val="275pt0"/>
              </w:rPr>
              <w:t>0</w:t>
            </w:r>
          </w:p>
        </w:tc>
      </w:tr>
      <w:tr w:rsidR="00350D42" w14:paraId="5BB2A757" w14:textId="77777777">
        <w:trPr>
          <w:trHeight w:hRule="exact" w:val="576"/>
          <w:jc w:val="center"/>
        </w:trPr>
        <w:tc>
          <w:tcPr>
            <w:tcW w:w="5808" w:type="dxa"/>
            <w:tcBorders>
              <w:top w:val="single" w:sz="4" w:space="0" w:color="auto"/>
              <w:left w:val="single" w:sz="4" w:space="0" w:color="auto"/>
            </w:tcBorders>
            <w:shd w:val="clear" w:color="auto" w:fill="FFFFFF"/>
            <w:vAlign w:val="bottom"/>
          </w:tcPr>
          <w:p w14:paraId="27F52B5C"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Имеется ограниченный объем (до 10 источников) негативной информации</w:t>
            </w:r>
          </w:p>
        </w:tc>
        <w:tc>
          <w:tcPr>
            <w:tcW w:w="773" w:type="dxa"/>
            <w:tcBorders>
              <w:top w:val="single" w:sz="4" w:space="0" w:color="auto"/>
              <w:left w:val="single" w:sz="4" w:space="0" w:color="auto"/>
              <w:right w:val="single" w:sz="4" w:space="0" w:color="auto"/>
            </w:tcBorders>
            <w:shd w:val="clear" w:color="auto" w:fill="FFFFFF"/>
          </w:tcPr>
          <w:p w14:paraId="038D3839" w14:textId="77777777" w:rsidR="00350D42" w:rsidRDefault="008E6F64">
            <w:pPr>
              <w:pStyle w:val="2c"/>
              <w:framePr w:w="6581" w:wrap="notBeside" w:vAnchor="text" w:hAnchor="text" w:xAlign="center" w:y="1"/>
              <w:shd w:val="clear" w:color="auto" w:fill="auto"/>
              <w:spacing w:before="0" w:line="168" w:lineRule="exact"/>
              <w:ind w:left="300"/>
              <w:jc w:val="left"/>
            </w:pPr>
            <w:r>
              <w:rPr>
                <w:rStyle w:val="275pt0"/>
              </w:rPr>
              <w:t>25</w:t>
            </w:r>
          </w:p>
        </w:tc>
      </w:tr>
      <w:tr w:rsidR="00350D42" w14:paraId="15FFA11B" w14:textId="77777777">
        <w:trPr>
          <w:trHeight w:hRule="exact" w:val="360"/>
          <w:jc w:val="center"/>
        </w:trPr>
        <w:tc>
          <w:tcPr>
            <w:tcW w:w="5808" w:type="dxa"/>
            <w:tcBorders>
              <w:top w:val="single" w:sz="4" w:space="0" w:color="auto"/>
              <w:left w:val="single" w:sz="4" w:space="0" w:color="auto"/>
            </w:tcBorders>
            <w:shd w:val="clear" w:color="auto" w:fill="FFFFFF"/>
            <w:vAlign w:val="center"/>
          </w:tcPr>
          <w:p w14:paraId="6FCA9D2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Информация носит в целом нейтральный характер либо отсутствует</w:t>
            </w:r>
          </w:p>
        </w:tc>
        <w:tc>
          <w:tcPr>
            <w:tcW w:w="773" w:type="dxa"/>
            <w:tcBorders>
              <w:top w:val="single" w:sz="4" w:space="0" w:color="auto"/>
              <w:left w:val="single" w:sz="4" w:space="0" w:color="auto"/>
              <w:right w:val="single" w:sz="4" w:space="0" w:color="auto"/>
            </w:tcBorders>
            <w:shd w:val="clear" w:color="auto" w:fill="FFFFFF"/>
            <w:vAlign w:val="center"/>
          </w:tcPr>
          <w:p w14:paraId="4AFAE3BD" w14:textId="77777777" w:rsidR="00350D42" w:rsidRDefault="008E6F64">
            <w:pPr>
              <w:pStyle w:val="2c"/>
              <w:framePr w:w="6581" w:wrap="notBeside" w:vAnchor="text" w:hAnchor="text" w:xAlign="center" w:y="1"/>
              <w:shd w:val="clear" w:color="auto" w:fill="auto"/>
              <w:spacing w:before="0" w:line="168" w:lineRule="exact"/>
              <w:ind w:left="300"/>
              <w:jc w:val="left"/>
            </w:pPr>
            <w:r>
              <w:rPr>
                <w:rStyle w:val="275pt0"/>
              </w:rPr>
              <w:t>70</w:t>
            </w:r>
          </w:p>
        </w:tc>
      </w:tr>
      <w:tr w:rsidR="00350D42" w14:paraId="54DD669C" w14:textId="77777777">
        <w:trPr>
          <w:trHeight w:hRule="exact" w:val="576"/>
          <w:jc w:val="center"/>
        </w:trPr>
        <w:tc>
          <w:tcPr>
            <w:tcW w:w="5808" w:type="dxa"/>
            <w:tcBorders>
              <w:top w:val="single" w:sz="4" w:space="0" w:color="auto"/>
              <w:left w:val="single" w:sz="4" w:space="0" w:color="auto"/>
            </w:tcBorders>
            <w:shd w:val="clear" w:color="auto" w:fill="FFFFFF"/>
            <w:vAlign w:val="bottom"/>
          </w:tcPr>
          <w:p w14:paraId="0AD43B50"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Имеется ограниченный объем (до 10 источников) позитивной информации</w:t>
            </w:r>
          </w:p>
        </w:tc>
        <w:tc>
          <w:tcPr>
            <w:tcW w:w="773" w:type="dxa"/>
            <w:tcBorders>
              <w:top w:val="single" w:sz="4" w:space="0" w:color="auto"/>
              <w:left w:val="single" w:sz="4" w:space="0" w:color="auto"/>
              <w:right w:val="single" w:sz="4" w:space="0" w:color="auto"/>
            </w:tcBorders>
            <w:shd w:val="clear" w:color="auto" w:fill="FFFFFF"/>
          </w:tcPr>
          <w:p w14:paraId="0AF42FE0" w14:textId="77777777" w:rsidR="00350D42" w:rsidRDefault="008E6F64">
            <w:pPr>
              <w:pStyle w:val="2c"/>
              <w:framePr w:w="6581" w:wrap="notBeside" w:vAnchor="text" w:hAnchor="text" w:xAlign="center" w:y="1"/>
              <w:shd w:val="clear" w:color="auto" w:fill="auto"/>
              <w:spacing w:before="0" w:line="168" w:lineRule="exact"/>
              <w:ind w:left="300"/>
              <w:jc w:val="left"/>
            </w:pPr>
            <w:r>
              <w:rPr>
                <w:rStyle w:val="275pt0"/>
              </w:rPr>
              <w:t>85</w:t>
            </w:r>
          </w:p>
        </w:tc>
      </w:tr>
      <w:tr w:rsidR="00350D42" w14:paraId="1589FACE" w14:textId="77777777">
        <w:trPr>
          <w:trHeight w:hRule="exact" w:val="370"/>
          <w:jc w:val="center"/>
        </w:trPr>
        <w:tc>
          <w:tcPr>
            <w:tcW w:w="5808" w:type="dxa"/>
            <w:tcBorders>
              <w:top w:val="single" w:sz="4" w:space="0" w:color="auto"/>
              <w:left w:val="single" w:sz="4" w:space="0" w:color="auto"/>
              <w:bottom w:val="single" w:sz="4" w:space="0" w:color="auto"/>
            </w:tcBorders>
            <w:shd w:val="clear" w:color="auto" w:fill="FFFFFF"/>
            <w:vAlign w:val="center"/>
          </w:tcPr>
          <w:p w14:paraId="4CB65E64"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Имеется большой объем позитивной информации</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bottom"/>
          </w:tcPr>
          <w:p w14:paraId="0B4FF581" w14:textId="77777777" w:rsidR="00350D42" w:rsidRDefault="008E6F64">
            <w:pPr>
              <w:pStyle w:val="2c"/>
              <w:framePr w:w="6581" w:wrap="notBeside" w:vAnchor="text" w:hAnchor="text" w:xAlign="center" w:y="1"/>
              <w:shd w:val="clear" w:color="auto" w:fill="auto"/>
              <w:spacing w:before="0" w:line="168" w:lineRule="exact"/>
              <w:ind w:left="300"/>
              <w:jc w:val="left"/>
            </w:pPr>
            <w:r>
              <w:rPr>
                <w:rStyle w:val="275pt0"/>
              </w:rPr>
              <w:t>100</w:t>
            </w:r>
          </w:p>
        </w:tc>
      </w:tr>
    </w:tbl>
    <w:p w14:paraId="6967795D" w14:textId="77777777" w:rsidR="00350D42" w:rsidRDefault="00350D42">
      <w:pPr>
        <w:framePr w:w="6581" w:wrap="notBeside" w:vAnchor="text" w:hAnchor="text" w:xAlign="center" w:y="1"/>
        <w:rPr>
          <w:sz w:val="2"/>
          <w:szCs w:val="2"/>
        </w:rPr>
      </w:pPr>
    </w:p>
    <w:p w14:paraId="41A7DE65" w14:textId="77777777" w:rsidR="00350D42" w:rsidRDefault="00350D42">
      <w:pPr>
        <w:rPr>
          <w:sz w:val="2"/>
          <w:szCs w:val="2"/>
        </w:rPr>
      </w:pPr>
    </w:p>
    <w:p w14:paraId="600B9AF6" w14:textId="77777777" w:rsidR="00350D42" w:rsidRDefault="00350D42">
      <w:pPr>
        <w:rPr>
          <w:sz w:val="2"/>
          <w:szCs w:val="2"/>
        </w:rPr>
        <w:sectPr w:rsidR="00350D42">
          <w:headerReference w:type="default" r:id="rId196"/>
          <w:footerReference w:type="even" r:id="rId197"/>
          <w:footerReference w:type="default" r:id="rId198"/>
          <w:headerReference w:type="first" r:id="rId199"/>
          <w:footerReference w:type="first" r:id="rId200"/>
          <w:pgSz w:w="8789" w:h="13493"/>
          <w:pgMar w:top="1070" w:right="1076" w:bottom="1157" w:left="1074" w:header="0" w:footer="3" w:gutter="0"/>
          <w:cols w:space="720"/>
          <w:noEndnote/>
          <w:titlePg/>
          <w:docGrid w:linePitch="360"/>
        </w:sectPr>
      </w:pPr>
    </w:p>
    <w:p w14:paraId="3844BA24" w14:textId="77777777" w:rsidR="00350D42" w:rsidRDefault="008E6F64">
      <w:pPr>
        <w:pStyle w:val="2c"/>
        <w:shd w:val="clear" w:color="auto" w:fill="auto"/>
        <w:spacing w:before="0"/>
        <w:ind w:firstLine="320"/>
      </w:pPr>
      <w:r>
        <w:rPr>
          <w:rStyle w:val="2d"/>
        </w:rPr>
        <w:lastRenderedPageBreak/>
        <w:t>Проверка инициатора и его собственников по основаниям ле</w:t>
      </w:r>
      <w:r>
        <w:rPr>
          <w:rStyle w:val="2d"/>
        </w:rPr>
        <w:softHyphen/>
        <w:t>гальности деятельности или принимаемых в отношении них санк</w:t>
      </w:r>
      <w:r>
        <w:rPr>
          <w:rStyle w:val="2d"/>
        </w:rPr>
        <w:softHyphen/>
        <w:t>ций осуществляется службой безопасности банка. При наличии соответствующей негативной информации дальнейшая работа с предприятием не осуществляется.</w:t>
      </w:r>
    </w:p>
    <w:p w14:paraId="3FA5CAB3" w14:textId="77777777" w:rsidR="00350D42" w:rsidRDefault="008E6F64">
      <w:pPr>
        <w:pStyle w:val="2c"/>
        <w:shd w:val="clear" w:color="auto" w:fill="auto"/>
        <w:spacing w:before="0"/>
        <w:ind w:firstLine="320"/>
      </w:pPr>
      <w:r>
        <w:rPr>
          <w:rStyle w:val="2d"/>
        </w:rPr>
        <w:t>В случае положительного заключения службы безопасности вы</w:t>
      </w:r>
      <w:r>
        <w:rPr>
          <w:rStyle w:val="2d"/>
        </w:rPr>
        <w:softHyphen/>
        <w:t>полняется поиск и анализ остальной относящейся к бизнесу (ини</w:t>
      </w:r>
      <w:r>
        <w:rPr>
          <w:rStyle w:val="2d"/>
        </w:rPr>
        <w:softHyphen/>
        <w:t>циатору и его собственникам) информации, которая содержится в открытых источниках. Существующее информационное поле является определенной характеристикой надежности заемщика, а также может оказывать значимое влияние на результаты его де</w:t>
      </w:r>
      <w:r>
        <w:rPr>
          <w:rStyle w:val="2d"/>
        </w:rPr>
        <w:softHyphen/>
        <w:t>ятельности посредством влияния на контрагентов, регулирующие органы и т. д.</w:t>
      </w:r>
    </w:p>
    <w:p w14:paraId="565E03C7" w14:textId="77777777" w:rsidR="00350D42" w:rsidRDefault="008E6F64">
      <w:pPr>
        <w:pStyle w:val="2c"/>
        <w:shd w:val="clear" w:color="auto" w:fill="auto"/>
        <w:spacing w:before="0" w:after="220"/>
        <w:ind w:firstLine="320"/>
      </w:pPr>
      <w:r>
        <w:rPr>
          <w:rStyle w:val="2d"/>
        </w:rPr>
        <w:t>При обнаружении фактов, напрямую затрагивающих реализуе</w:t>
      </w:r>
      <w:r>
        <w:rPr>
          <w:rStyle w:val="2d"/>
        </w:rPr>
        <w:softHyphen/>
        <w:t>мый проект или существующий бизнес инициатора, информация проверяется и учитывается при подготовке кредитного заключения. Главными источниками информации являются интернет-ресурсы, основные контрагенты (при наличии возможности их опроса), пу</w:t>
      </w:r>
      <w:r>
        <w:rPr>
          <w:rStyle w:val="2d"/>
        </w:rPr>
        <w:softHyphen/>
        <w:t>бликации в СМИ, экспертные оценки.</w:t>
      </w:r>
    </w:p>
    <w:p w14:paraId="6FC3BF75" w14:textId="77777777" w:rsidR="00350D42" w:rsidRDefault="008E6F64">
      <w:pPr>
        <w:pStyle w:val="90"/>
        <w:shd w:val="clear" w:color="auto" w:fill="auto"/>
        <w:spacing w:after="140" w:line="200" w:lineRule="exact"/>
        <w:ind w:firstLine="0"/>
        <w:jc w:val="center"/>
      </w:pPr>
      <w:r>
        <w:rPr>
          <w:rStyle w:val="91"/>
          <w:b/>
          <w:bCs/>
          <w:i/>
          <w:iCs/>
        </w:rPr>
        <w:t>Характеристика проекта</w:t>
      </w:r>
    </w:p>
    <w:p w14:paraId="4394E75C" w14:textId="77777777" w:rsidR="00350D42" w:rsidRDefault="008E6F64">
      <w:pPr>
        <w:pStyle w:val="180"/>
        <w:numPr>
          <w:ilvl w:val="0"/>
          <w:numId w:val="161"/>
        </w:numPr>
        <w:shd w:val="clear" w:color="auto" w:fill="auto"/>
        <w:tabs>
          <w:tab w:val="left" w:pos="629"/>
        </w:tabs>
        <w:spacing w:line="250" w:lineRule="exact"/>
        <w:ind w:firstLine="320"/>
        <w:jc w:val="both"/>
      </w:pPr>
      <w:r>
        <w:rPr>
          <w:rStyle w:val="181"/>
          <w:i/>
          <w:iCs/>
        </w:rPr>
        <w:t>Оценка факторов «финансово-экономическая модель» и «сбыт продукции».</w:t>
      </w:r>
    </w:p>
    <w:p w14:paraId="427C9800" w14:textId="77777777" w:rsidR="00350D42" w:rsidRDefault="008E6F64">
      <w:pPr>
        <w:pStyle w:val="2c"/>
        <w:shd w:val="clear" w:color="auto" w:fill="auto"/>
        <w:spacing w:before="0"/>
        <w:ind w:firstLine="320"/>
      </w:pPr>
      <w:r>
        <w:rPr>
          <w:rStyle w:val="2d"/>
        </w:rPr>
        <w:t>Описание финансово-экономической модели бизнеса является одним из разделов кредитного заключения. Модель обеспечивает выявление способности бизнеса погасить существующие и плани</w:t>
      </w:r>
      <w:r>
        <w:rPr>
          <w:rStyle w:val="2d"/>
        </w:rPr>
        <w:softHyphen/>
        <w:t>руемые обязательства и степени его устойчивости к негативным отклонениям относительно нормативного сценария развития. Показатели оценки фактора «финансово-экономическая модель» приведены в табл. П.2.7, а фактора «сбыт продукции и усуг» — в табл. П.2.8.</w:t>
      </w:r>
    </w:p>
    <w:p w14:paraId="40E02133" w14:textId="77777777" w:rsidR="00350D42" w:rsidRDefault="008E6F64">
      <w:pPr>
        <w:pStyle w:val="2c"/>
        <w:shd w:val="clear" w:color="auto" w:fill="auto"/>
        <w:spacing w:before="0"/>
        <w:ind w:firstLine="320"/>
      </w:pPr>
      <w:r>
        <w:rPr>
          <w:rStyle w:val="2d"/>
        </w:rPr>
        <w:t>Уровень риска, связанный с достоверностью объема реализации продукции (услуг), закладываемого в прогноз, в наибольшей степе</w:t>
      </w:r>
      <w:r>
        <w:rPr>
          <w:rStyle w:val="2d"/>
        </w:rPr>
        <w:softHyphen/>
        <w:t>ни определяется наличием соответствующих долгосрочных догово</w:t>
      </w:r>
      <w:r>
        <w:rPr>
          <w:rStyle w:val="2d"/>
        </w:rPr>
        <w:softHyphen/>
        <w:t>ров, их условиями и надежностью покупателей.</w:t>
      </w:r>
    </w:p>
    <w:p w14:paraId="71667C43" w14:textId="77777777" w:rsidR="00350D42" w:rsidRDefault="008E6F64">
      <w:pPr>
        <w:pStyle w:val="2c"/>
        <w:shd w:val="clear" w:color="auto" w:fill="auto"/>
        <w:spacing w:before="0"/>
        <w:ind w:firstLine="320"/>
      </w:pPr>
      <w:r>
        <w:rPr>
          <w:rStyle w:val="2d"/>
        </w:rPr>
        <w:t>Предельная минимизация рисков посредством заключения договоров обеспечивается фиксацией объемов реализации, уровня цены и формулы ее индексации (это обеспечивает полную переда</w:t>
      </w:r>
      <w:r>
        <w:rPr>
          <w:rStyle w:val="2d"/>
        </w:rPr>
        <w:softHyphen/>
        <w:t>чу риска покупателям), а также наличием значительных штрафных санкций, применяемых к покупателям за нарушение условий догово</w:t>
      </w:r>
      <w:r>
        <w:rPr>
          <w:rStyle w:val="2d"/>
        </w:rPr>
        <w:softHyphen/>
        <w:t>ров. Возможность покупателей выполнять условия договоров опреде</w:t>
      </w:r>
      <w:r>
        <w:rPr>
          <w:rStyle w:val="2d"/>
        </w:rPr>
        <w:softHyphen/>
        <w:t>ляется устойчивостью их финансового положения (их надежностью).</w:t>
      </w:r>
    </w:p>
    <w:p w14:paraId="03BA1546" w14:textId="77777777" w:rsidR="00350D42" w:rsidRDefault="008E6F64">
      <w:pPr>
        <w:pStyle w:val="2c"/>
        <w:shd w:val="clear" w:color="auto" w:fill="auto"/>
        <w:spacing w:before="0"/>
        <w:ind w:firstLine="320"/>
        <w:sectPr w:rsidR="00350D42">
          <w:pgSz w:w="8789" w:h="13493"/>
          <w:pgMar w:top="979" w:right="1075" w:bottom="979" w:left="1070" w:header="0" w:footer="3" w:gutter="0"/>
          <w:cols w:space="720"/>
          <w:noEndnote/>
          <w:docGrid w:linePitch="360"/>
        </w:sectPr>
      </w:pPr>
      <w:r>
        <w:rPr>
          <w:rStyle w:val="2d"/>
        </w:rPr>
        <w:t>Отсутствие контрактной базы, подтверждающей доходную часть проекта, не исключает, но несколько ограничивает возможности реализации схемы проектного финансирования.</w:t>
      </w:r>
    </w:p>
    <w:p w14:paraId="14CEC685" w14:textId="77777777" w:rsidR="00350D42" w:rsidRDefault="008E6F64">
      <w:pPr>
        <w:pStyle w:val="111"/>
        <w:shd w:val="clear" w:color="auto" w:fill="auto"/>
        <w:spacing w:before="0" w:after="0" w:line="194" w:lineRule="exact"/>
        <w:ind w:left="40"/>
      </w:pPr>
      <w:r>
        <w:rPr>
          <w:rStyle w:val="113"/>
          <w:b/>
          <w:bCs/>
        </w:rPr>
        <w:lastRenderedPageBreak/>
        <w:t>Оценка фактора «финансово-экономическая модель»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365"/>
        <w:gridCol w:w="1757"/>
        <w:gridCol w:w="1090"/>
        <w:gridCol w:w="1099"/>
      </w:tblGrid>
      <w:tr w:rsidR="00350D42" w14:paraId="19F2EF02" w14:textId="77777777">
        <w:trPr>
          <w:trHeight w:hRule="exact" w:val="749"/>
          <w:jc w:val="center"/>
        </w:trPr>
        <w:tc>
          <w:tcPr>
            <w:tcW w:w="4392" w:type="dxa"/>
            <w:gridSpan w:val="3"/>
            <w:tcBorders>
              <w:top w:val="single" w:sz="4" w:space="0" w:color="auto"/>
              <w:left w:val="single" w:sz="4" w:space="0" w:color="auto"/>
            </w:tcBorders>
            <w:shd w:val="clear" w:color="auto" w:fill="FFFFFF"/>
          </w:tcPr>
          <w:p w14:paraId="5BA2969C"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Показатели по подгруппам</w:t>
            </w:r>
          </w:p>
        </w:tc>
        <w:tc>
          <w:tcPr>
            <w:tcW w:w="1090" w:type="dxa"/>
            <w:tcBorders>
              <w:top w:val="single" w:sz="4" w:space="0" w:color="auto"/>
              <w:left w:val="single" w:sz="4" w:space="0" w:color="auto"/>
            </w:tcBorders>
            <w:shd w:val="clear" w:color="auto" w:fill="FFFFFF"/>
            <w:vAlign w:val="bottom"/>
          </w:tcPr>
          <w:p w14:paraId="0778C4A7"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Баллы</w:t>
            </w:r>
          </w:p>
          <w:p w14:paraId="3F1CF650" w14:textId="77777777" w:rsidR="00350D42" w:rsidRDefault="008E6F64">
            <w:pPr>
              <w:pStyle w:val="2c"/>
              <w:framePr w:w="6581" w:wrap="notBeside" w:vAnchor="text" w:hAnchor="text" w:xAlign="center" w:y="1"/>
              <w:shd w:val="clear" w:color="auto" w:fill="auto"/>
              <w:spacing w:before="0" w:line="216" w:lineRule="exact"/>
              <w:ind w:left="260"/>
              <w:jc w:val="left"/>
            </w:pPr>
            <w:r>
              <w:rPr>
                <w:rStyle w:val="275pt"/>
              </w:rPr>
              <w:t>по под</w:t>
            </w:r>
            <w:r>
              <w:rPr>
                <w:rStyle w:val="275pt"/>
              </w:rPr>
              <w:softHyphen/>
              <w:t>группе</w:t>
            </w:r>
          </w:p>
        </w:tc>
        <w:tc>
          <w:tcPr>
            <w:tcW w:w="1099" w:type="dxa"/>
            <w:tcBorders>
              <w:top w:val="single" w:sz="4" w:space="0" w:color="auto"/>
              <w:left w:val="single" w:sz="4" w:space="0" w:color="auto"/>
              <w:right w:val="single" w:sz="4" w:space="0" w:color="auto"/>
            </w:tcBorders>
            <w:shd w:val="clear" w:color="auto" w:fill="FFFFFF"/>
            <w:vAlign w:val="bottom"/>
          </w:tcPr>
          <w:p w14:paraId="55222504" w14:textId="77777777" w:rsidR="00350D42" w:rsidRDefault="008E6F64">
            <w:pPr>
              <w:pStyle w:val="2c"/>
              <w:framePr w:w="6581" w:wrap="notBeside" w:vAnchor="text" w:hAnchor="text" w:xAlign="center" w:y="1"/>
              <w:shd w:val="clear" w:color="auto" w:fill="auto"/>
              <w:spacing w:before="0" w:line="216" w:lineRule="exact"/>
              <w:ind w:left="220" w:hanging="220"/>
              <w:jc w:val="left"/>
            </w:pPr>
            <w:r>
              <w:rPr>
                <w:rStyle w:val="275pt"/>
              </w:rPr>
              <w:t>Удельный вес под</w:t>
            </w:r>
            <w:r>
              <w:rPr>
                <w:rStyle w:val="275pt"/>
              </w:rPr>
              <w:softHyphen/>
              <w:t>группы</w:t>
            </w:r>
          </w:p>
        </w:tc>
      </w:tr>
      <w:tr w:rsidR="00350D42" w14:paraId="69FCA1ED" w14:textId="77777777">
        <w:trPr>
          <w:trHeight w:hRule="exact" w:val="317"/>
          <w:jc w:val="center"/>
        </w:trPr>
        <w:tc>
          <w:tcPr>
            <w:tcW w:w="2635" w:type="dxa"/>
            <w:gridSpan w:val="2"/>
            <w:vMerge w:val="restart"/>
            <w:tcBorders>
              <w:top w:val="single" w:sz="4" w:space="0" w:color="auto"/>
              <w:left w:val="single" w:sz="4" w:space="0" w:color="auto"/>
            </w:tcBorders>
            <w:shd w:val="clear" w:color="auto" w:fill="FFFFFF"/>
          </w:tcPr>
          <w:p w14:paraId="17C7F06D"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Срок возврата кредита от трех до семи лет, при этом значение коэффициента по</w:t>
            </w:r>
            <w:r>
              <w:rPr>
                <w:rStyle w:val="275pt0"/>
              </w:rPr>
              <w:softHyphen/>
              <w:t>крытия составляет</w:t>
            </w:r>
          </w:p>
        </w:tc>
        <w:tc>
          <w:tcPr>
            <w:tcW w:w="1757" w:type="dxa"/>
            <w:tcBorders>
              <w:top w:val="single" w:sz="4" w:space="0" w:color="auto"/>
              <w:left w:val="single" w:sz="4" w:space="0" w:color="auto"/>
            </w:tcBorders>
            <w:shd w:val="clear" w:color="auto" w:fill="FFFFFF"/>
            <w:vAlign w:val="center"/>
          </w:tcPr>
          <w:p w14:paraId="6C5F511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&lt; 1,1</w:t>
            </w:r>
          </w:p>
        </w:tc>
        <w:tc>
          <w:tcPr>
            <w:tcW w:w="1090" w:type="dxa"/>
            <w:tcBorders>
              <w:top w:val="single" w:sz="4" w:space="0" w:color="auto"/>
              <w:left w:val="single" w:sz="4" w:space="0" w:color="auto"/>
            </w:tcBorders>
            <w:shd w:val="clear" w:color="auto" w:fill="FFFFFF"/>
            <w:vAlign w:val="bottom"/>
          </w:tcPr>
          <w:p w14:paraId="1FB8161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099" w:type="dxa"/>
            <w:vMerge w:val="restart"/>
            <w:tcBorders>
              <w:top w:val="single" w:sz="4" w:space="0" w:color="auto"/>
              <w:left w:val="single" w:sz="4" w:space="0" w:color="auto"/>
              <w:right w:val="single" w:sz="4" w:space="0" w:color="auto"/>
            </w:tcBorders>
            <w:shd w:val="clear" w:color="auto" w:fill="FFFFFF"/>
          </w:tcPr>
          <w:p w14:paraId="74332AC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r>
      <w:tr w:rsidR="00350D42" w14:paraId="2783455F" w14:textId="77777777">
        <w:trPr>
          <w:trHeight w:hRule="exact" w:val="312"/>
          <w:jc w:val="center"/>
        </w:trPr>
        <w:tc>
          <w:tcPr>
            <w:tcW w:w="2635" w:type="dxa"/>
            <w:gridSpan w:val="2"/>
            <w:vMerge/>
            <w:tcBorders>
              <w:left w:val="single" w:sz="4" w:space="0" w:color="auto"/>
            </w:tcBorders>
            <w:shd w:val="clear" w:color="auto" w:fill="FFFFFF"/>
          </w:tcPr>
          <w:p w14:paraId="1BDD03B3" w14:textId="77777777" w:rsidR="00350D42" w:rsidRDefault="00350D42">
            <w:pPr>
              <w:framePr w:w="6581" w:wrap="notBeside" w:vAnchor="text" w:hAnchor="text" w:xAlign="center" w:y="1"/>
            </w:pPr>
          </w:p>
        </w:tc>
        <w:tc>
          <w:tcPr>
            <w:tcW w:w="1757" w:type="dxa"/>
            <w:tcBorders>
              <w:top w:val="single" w:sz="4" w:space="0" w:color="auto"/>
              <w:left w:val="single" w:sz="4" w:space="0" w:color="auto"/>
            </w:tcBorders>
            <w:shd w:val="clear" w:color="auto" w:fill="FFFFFF"/>
            <w:vAlign w:val="center"/>
          </w:tcPr>
          <w:p w14:paraId="08E3B48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1,1—1,25</w:t>
            </w:r>
          </w:p>
        </w:tc>
        <w:tc>
          <w:tcPr>
            <w:tcW w:w="1090" w:type="dxa"/>
            <w:tcBorders>
              <w:top w:val="single" w:sz="4" w:space="0" w:color="auto"/>
              <w:left w:val="single" w:sz="4" w:space="0" w:color="auto"/>
            </w:tcBorders>
            <w:shd w:val="clear" w:color="auto" w:fill="FFFFFF"/>
            <w:vAlign w:val="bottom"/>
          </w:tcPr>
          <w:p w14:paraId="2290A7D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60</w:t>
            </w:r>
          </w:p>
        </w:tc>
        <w:tc>
          <w:tcPr>
            <w:tcW w:w="1099" w:type="dxa"/>
            <w:vMerge/>
            <w:tcBorders>
              <w:left w:val="single" w:sz="4" w:space="0" w:color="auto"/>
              <w:right w:val="single" w:sz="4" w:space="0" w:color="auto"/>
            </w:tcBorders>
            <w:shd w:val="clear" w:color="auto" w:fill="FFFFFF"/>
          </w:tcPr>
          <w:p w14:paraId="22837098" w14:textId="77777777" w:rsidR="00350D42" w:rsidRDefault="00350D42">
            <w:pPr>
              <w:framePr w:w="6581" w:wrap="notBeside" w:vAnchor="text" w:hAnchor="text" w:xAlign="center" w:y="1"/>
            </w:pPr>
          </w:p>
        </w:tc>
      </w:tr>
      <w:tr w:rsidR="00350D42" w14:paraId="189CA861" w14:textId="77777777">
        <w:trPr>
          <w:trHeight w:hRule="exact" w:val="317"/>
          <w:jc w:val="center"/>
        </w:trPr>
        <w:tc>
          <w:tcPr>
            <w:tcW w:w="2635" w:type="dxa"/>
            <w:gridSpan w:val="2"/>
            <w:vMerge/>
            <w:tcBorders>
              <w:left w:val="single" w:sz="4" w:space="0" w:color="auto"/>
            </w:tcBorders>
            <w:shd w:val="clear" w:color="auto" w:fill="FFFFFF"/>
          </w:tcPr>
          <w:p w14:paraId="7209124B" w14:textId="77777777" w:rsidR="00350D42" w:rsidRDefault="00350D42">
            <w:pPr>
              <w:framePr w:w="6581" w:wrap="notBeside" w:vAnchor="text" w:hAnchor="text" w:xAlign="center" w:y="1"/>
            </w:pPr>
          </w:p>
        </w:tc>
        <w:tc>
          <w:tcPr>
            <w:tcW w:w="1757" w:type="dxa"/>
            <w:tcBorders>
              <w:top w:val="single" w:sz="4" w:space="0" w:color="auto"/>
              <w:left w:val="single" w:sz="4" w:space="0" w:color="auto"/>
            </w:tcBorders>
            <w:shd w:val="clear" w:color="auto" w:fill="FFFFFF"/>
            <w:vAlign w:val="center"/>
          </w:tcPr>
          <w:p w14:paraId="610FBDB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1,25—1,5</w:t>
            </w:r>
          </w:p>
        </w:tc>
        <w:tc>
          <w:tcPr>
            <w:tcW w:w="1090" w:type="dxa"/>
            <w:tcBorders>
              <w:top w:val="single" w:sz="4" w:space="0" w:color="auto"/>
              <w:left w:val="single" w:sz="4" w:space="0" w:color="auto"/>
            </w:tcBorders>
            <w:shd w:val="clear" w:color="auto" w:fill="FFFFFF"/>
            <w:vAlign w:val="bottom"/>
          </w:tcPr>
          <w:p w14:paraId="33EDA95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80</w:t>
            </w:r>
          </w:p>
        </w:tc>
        <w:tc>
          <w:tcPr>
            <w:tcW w:w="1099" w:type="dxa"/>
            <w:vMerge/>
            <w:tcBorders>
              <w:left w:val="single" w:sz="4" w:space="0" w:color="auto"/>
              <w:right w:val="single" w:sz="4" w:space="0" w:color="auto"/>
            </w:tcBorders>
            <w:shd w:val="clear" w:color="auto" w:fill="FFFFFF"/>
          </w:tcPr>
          <w:p w14:paraId="3F862740" w14:textId="77777777" w:rsidR="00350D42" w:rsidRDefault="00350D42">
            <w:pPr>
              <w:framePr w:w="6581" w:wrap="notBeside" w:vAnchor="text" w:hAnchor="text" w:xAlign="center" w:y="1"/>
            </w:pPr>
          </w:p>
        </w:tc>
      </w:tr>
      <w:tr w:rsidR="00350D42" w14:paraId="791E36F4" w14:textId="77777777">
        <w:trPr>
          <w:trHeight w:hRule="exact" w:val="317"/>
          <w:jc w:val="center"/>
        </w:trPr>
        <w:tc>
          <w:tcPr>
            <w:tcW w:w="2635" w:type="dxa"/>
            <w:gridSpan w:val="2"/>
            <w:vMerge/>
            <w:tcBorders>
              <w:left w:val="single" w:sz="4" w:space="0" w:color="auto"/>
            </w:tcBorders>
            <w:shd w:val="clear" w:color="auto" w:fill="FFFFFF"/>
          </w:tcPr>
          <w:p w14:paraId="4CF45AD1" w14:textId="77777777" w:rsidR="00350D42" w:rsidRDefault="00350D42">
            <w:pPr>
              <w:framePr w:w="6581" w:wrap="notBeside" w:vAnchor="text" w:hAnchor="text" w:xAlign="center" w:y="1"/>
            </w:pPr>
          </w:p>
        </w:tc>
        <w:tc>
          <w:tcPr>
            <w:tcW w:w="1757" w:type="dxa"/>
            <w:tcBorders>
              <w:top w:val="single" w:sz="4" w:space="0" w:color="auto"/>
              <w:left w:val="single" w:sz="4" w:space="0" w:color="auto"/>
            </w:tcBorders>
            <w:shd w:val="clear" w:color="auto" w:fill="FFFFFF"/>
            <w:vAlign w:val="bottom"/>
          </w:tcPr>
          <w:p w14:paraId="554CEC0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&gt; 1,5</w:t>
            </w:r>
          </w:p>
        </w:tc>
        <w:tc>
          <w:tcPr>
            <w:tcW w:w="1090" w:type="dxa"/>
            <w:tcBorders>
              <w:top w:val="single" w:sz="4" w:space="0" w:color="auto"/>
              <w:left w:val="single" w:sz="4" w:space="0" w:color="auto"/>
            </w:tcBorders>
            <w:shd w:val="clear" w:color="auto" w:fill="FFFFFF"/>
            <w:vAlign w:val="bottom"/>
          </w:tcPr>
          <w:p w14:paraId="0306A14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90</w:t>
            </w:r>
          </w:p>
        </w:tc>
        <w:tc>
          <w:tcPr>
            <w:tcW w:w="1099" w:type="dxa"/>
            <w:vMerge/>
            <w:tcBorders>
              <w:left w:val="single" w:sz="4" w:space="0" w:color="auto"/>
              <w:right w:val="single" w:sz="4" w:space="0" w:color="auto"/>
            </w:tcBorders>
            <w:shd w:val="clear" w:color="auto" w:fill="FFFFFF"/>
          </w:tcPr>
          <w:p w14:paraId="3066F6FE" w14:textId="77777777" w:rsidR="00350D42" w:rsidRDefault="00350D42">
            <w:pPr>
              <w:framePr w:w="6581" w:wrap="notBeside" w:vAnchor="text" w:hAnchor="text" w:xAlign="center" w:y="1"/>
            </w:pPr>
          </w:p>
        </w:tc>
      </w:tr>
      <w:tr w:rsidR="00350D42" w14:paraId="01D46021" w14:textId="77777777">
        <w:trPr>
          <w:trHeight w:hRule="exact" w:val="538"/>
          <w:jc w:val="center"/>
        </w:trPr>
        <w:tc>
          <w:tcPr>
            <w:tcW w:w="4392" w:type="dxa"/>
            <w:gridSpan w:val="3"/>
            <w:tcBorders>
              <w:top w:val="single" w:sz="4" w:space="0" w:color="auto"/>
              <w:left w:val="single" w:sz="4" w:space="0" w:color="auto"/>
            </w:tcBorders>
            <w:shd w:val="clear" w:color="auto" w:fill="FFFFFF"/>
            <w:vAlign w:val="center"/>
          </w:tcPr>
          <w:p w14:paraId="172F26D4"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Срок возврата кредита менее трех лет, при этом значение коэффициента покрытия &gt; 1,5</w:t>
            </w:r>
          </w:p>
        </w:tc>
        <w:tc>
          <w:tcPr>
            <w:tcW w:w="1090" w:type="dxa"/>
            <w:tcBorders>
              <w:top w:val="single" w:sz="4" w:space="0" w:color="auto"/>
              <w:left w:val="single" w:sz="4" w:space="0" w:color="auto"/>
            </w:tcBorders>
            <w:shd w:val="clear" w:color="auto" w:fill="FFFFFF"/>
            <w:vAlign w:val="center"/>
          </w:tcPr>
          <w:p w14:paraId="06F153F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099" w:type="dxa"/>
            <w:vMerge/>
            <w:tcBorders>
              <w:left w:val="single" w:sz="4" w:space="0" w:color="auto"/>
              <w:right w:val="single" w:sz="4" w:space="0" w:color="auto"/>
            </w:tcBorders>
            <w:shd w:val="clear" w:color="auto" w:fill="FFFFFF"/>
          </w:tcPr>
          <w:p w14:paraId="732F8A2A" w14:textId="77777777" w:rsidR="00350D42" w:rsidRDefault="00350D42">
            <w:pPr>
              <w:framePr w:w="6581" w:wrap="notBeside" w:vAnchor="text" w:hAnchor="text" w:xAlign="center" w:y="1"/>
            </w:pPr>
          </w:p>
        </w:tc>
      </w:tr>
      <w:tr w:rsidR="00350D42" w14:paraId="014C6E6F" w14:textId="77777777">
        <w:trPr>
          <w:trHeight w:hRule="exact" w:val="749"/>
          <w:jc w:val="center"/>
        </w:trPr>
        <w:tc>
          <w:tcPr>
            <w:tcW w:w="2270" w:type="dxa"/>
            <w:vMerge w:val="restart"/>
            <w:tcBorders>
              <w:top w:val="single" w:sz="4" w:space="0" w:color="auto"/>
              <w:left w:val="single" w:sz="4" w:space="0" w:color="auto"/>
            </w:tcBorders>
            <w:shd w:val="clear" w:color="auto" w:fill="FFFFFF"/>
            <w:vAlign w:val="center"/>
          </w:tcPr>
          <w:p w14:paraId="4B7870A2"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В случае отсутствия по</w:t>
            </w:r>
            <w:r>
              <w:rPr>
                <w:rStyle w:val="275pt0"/>
              </w:rPr>
              <w:softHyphen/>
              <w:t>ступлений от проекта денежные потоки от дей</w:t>
            </w:r>
            <w:r>
              <w:rPr>
                <w:rStyle w:val="275pt0"/>
              </w:rPr>
              <w:softHyphen/>
              <w:t>ствующего бизнеса обе</w:t>
            </w:r>
            <w:r>
              <w:rPr>
                <w:rStyle w:val="275pt0"/>
              </w:rPr>
              <w:softHyphen/>
              <w:t>спечивают погашение</w:t>
            </w:r>
          </w:p>
          <w:p w14:paraId="6685DBDB"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кредита в запланирован</w:t>
            </w:r>
            <w:r>
              <w:rPr>
                <w:rStyle w:val="275pt0"/>
              </w:rPr>
              <w:softHyphen/>
              <w:t>ный срок в объеме:</w:t>
            </w:r>
          </w:p>
        </w:tc>
        <w:tc>
          <w:tcPr>
            <w:tcW w:w="2122" w:type="dxa"/>
            <w:gridSpan w:val="2"/>
            <w:tcBorders>
              <w:top w:val="single" w:sz="4" w:space="0" w:color="auto"/>
              <w:left w:val="single" w:sz="4" w:space="0" w:color="auto"/>
            </w:tcBorders>
            <w:shd w:val="clear" w:color="auto" w:fill="FFFFFF"/>
            <w:vAlign w:val="bottom"/>
          </w:tcPr>
          <w:p w14:paraId="38504BB5"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менее 50 %, или сдел</w:t>
            </w:r>
            <w:r>
              <w:rPr>
                <w:rStyle w:val="275pt0"/>
              </w:rPr>
              <w:softHyphen/>
              <w:t>ка является проектным финансированием</w:t>
            </w:r>
          </w:p>
        </w:tc>
        <w:tc>
          <w:tcPr>
            <w:tcW w:w="1090" w:type="dxa"/>
            <w:tcBorders>
              <w:top w:val="single" w:sz="4" w:space="0" w:color="auto"/>
              <w:left w:val="single" w:sz="4" w:space="0" w:color="auto"/>
            </w:tcBorders>
            <w:shd w:val="clear" w:color="auto" w:fill="FFFFFF"/>
          </w:tcPr>
          <w:p w14:paraId="7B752ED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099" w:type="dxa"/>
            <w:vMerge w:val="restart"/>
            <w:tcBorders>
              <w:top w:val="single" w:sz="4" w:space="0" w:color="auto"/>
              <w:left w:val="single" w:sz="4" w:space="0" w:color="auto"/>
              <w:right w:val="single" w:sz="4" w:space="0" w:color="auto"/>
            </w:tcBorders>
            <w:shd w:val="clear" w:color="auto" w:fill="FFFFFF"/>
          </w:tcPr>
          <w:p w14:paraId="599341B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0,35</w:t>
            </w:r>
          </w:p>
        </w:tc>
      </w:tr>
      <w:tr w:rsidR="00350D42" w14:paraId="71B106EC" w14:textId="77777777">
        <w:trPr>
          <w:trHeight w:hRule="exact" w:val="312"/>
          <w:jc w:val="center"/>
        </w:trPr>
        <w:tc>
          <w:tcPr>
            <w:tcW w:w="2270" w:type="dxa"/>
            <w:vMerge/>
            <w:tcBorders>
              <w:left w:val="single" w:sz="4" w:space="0" w:color="auto"/>
            </w:tcBorders>
            <w:shd w:val="clear" w:color="auto" w:fill="FFFFFF"/>
            <w:vAlign w:val="center"/>
          </w:tcPr>
          <w:p w14:paraId="6C355C35" w14:textId="77777777" w:rsidR="00350D42" w:rsidRDefault="00350D42">
            <w:pPr>
              <w:framePr w:w="6581" w:wrap="notBeside" w:vAnchor="text" w:hAnchor="text" w:xAlign="center" w:y="1"/>
            </w:pPr>
          </w:p>
        </w:tc>
        <w:tc>
          <w:tcPr>
            <w:tcW w:w="2122" w:type="dxa"/>
            <w:gridSpan w:val="2"/>
            <w:tcBorders>
              <w:top w:val="single" w:sz="4" w:space="0" w:color="auto"/>
              <w:left w:val="single" w:sz="4" w:space="0" w:color="auto"/>
            </w:tcBorders>
            <w:shd w:val="clear" w:color="auto" w:fill="FFFFFF"/>
            <w:vAlign w:val="bottom"/>
          </w:tcPr>
          <w:p w14:paraId="561F4CD3"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 менее 50 %</w:t>
            </w:r>
          </w:p>
        </w:tc>
        <w:tc>
          <w:tcPr>
            <w:tcW w:w="1090" w:type="dxa"/>
            <w:tcBorders>
              <w:top w:val="single" w:sz="4" w:space="0" w:color="auto"/>
              <w:left w:val="single" w:sz="4" w:space="0" w:color="auto"/>
            </w:tcBorders>
            <w:shd w:val="clear" w:color="auto" w:fill="FFFFFF"/>
            <w:vAlign w:val="bottom"/>
          </w:tcPr>
          <w:p w14:paraId="09D30B8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50</w:t>
            </w:r>
          </w:p>
        </w:tc>
        <w:tc>
          <w:tcPr>
            <w:tcW w:w="1099" w:type="dxa"/>
            <w:vMerge/>
            <w:tcBorders>
              <w:left w:val="single" w:sz="4" w:space="0" w:color="auto"/>
              <w:right w:val="single" w:sz="4" w:space="0" w:color="auto"/>
            </w:tcBorders>
            <w:shd w:val="clear" w:color="auto" w:fill="FFFFFF"/>
          </w:tcPr>
          <w:p w14:paraId="006D06F8" w14:textId="77777777" w:rsidR="00350D42" w:rsidRDefault="00350D42">
            <w:pPr>
              <w:framePr w:w="6581" w:wrap="notBeside" w:vAnchor="text" w:hAnchor="text" w:xAlign="center" w:y="1"/>
            </w:pPr>
          </w:p>
        </w:tc>
      </w:tr>
      <w:tr w:rsidR="00350D42" w14:paraId="0522EE46" w14:textId="77777777">
        <w:trPr>
          <w:trHeight w:hRule="exact" w:val="312"/>
          <w:jc w:val="center"/>
        </w:trPr>
        <w:tc>
          <w:tcPr>
            <w:tcW w:w="2270" w:type="dxa"/>
            <w:vMerge/>
            <w:tcBorders>
              <w:left w:val="single" w:sz="4" w:space="0" w:color="auto"/>
            </w:tcBorders>
            <w:shd w:val="clear" w:color="auto" w:fill="FFFFFF"/>
            <w:vAlign w:val="center"/>
          </w:tcPr>
          <w:p w14:paraId="2F6379BB" w14:textId="77777777" w:rsidR="00350D42" w:rsidRDefault="00350D42">
            <w:pPr>
              <w:framePr w:w="6581" w:wrap="notBeside" w:vAnchor="text" w:hAnchor="text" w:xAlign="center" w:y="1"/>
            </w:pPr>
          </w:p>
        </w:tc>
        <w:tc>
          <w:tcPr>
            <w:tcW w:w="2122" w:type="dxa"/>
            <w:gridSpan w:val="2"/>
            <w:tcBorders>
              <w:top w:val="single" w:sz="4" w:space="0" w:color="auto"/>
              <w:left w:val="single" w:sz="4" w:space="0" w:color="auto"/>
            </w:tcBorders>
            <w:shd w:val="clear" w:color="auto" w:fill="FFFFFF"/>
            <w:vAlign w:val="bottom"/>
          </w:tcPr>
          <w:p w14:paraId="1641D2D4"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 менее 75 %</w:t>
            </w:r>
          </w:p>
        </w:tc>
        <w:tc>
          <w:tcPr>
            <w:tcW w:w="1090" w:type="dxa"/>
            <w:tcBorders>
              <w:top w:val="single" w:sz="4" w:space="0" w:color="auto"/>
              <w:left w:val="single" w:sz="4" w:space="0" w:color="auto"/>
            </w:tcBorders>
            <w:shd w:val="clear" w:color="auto" w:fill="FFFFFF"/>
            <w:vAlign w:val="bottom"/>
          </w:tcPr>
          <w:p w14:paraId="7641C4F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75</w:t>
            </w:r>
          </w:p>
        </w:tc>
        <w:tc>
          <w:tcPr>
            <w:tcW w:w="1099" w:type="dxa"/>
            <w:vMerge/>
            <w:tcBorders>
              <w:left w:val="single" w:sz="4" w:space="0" w:color="auto"/>
              <w:right w:val="single" w:sz="4" w:space="0" w:color="auto"/>
            </w:tcBorders>
            <w:shd w:val="clear" w:color="auto" w:fill="FFFFFF"/>
          </w:tcPr>
          <w:p w14:paraId="542E092D" w14:textId="77777777" w:rsidR="00350D42" w:rsidRDefault="00350D42">
            <w:pPr>
              <w:framePr w:w="6581" w:wrap="notBeside" w:vAnchor="text" w:hAnchor="text" w:xAlign="center" w:y="1"/>
            </w:pPr>
          </w:p>
        </w:tc>
      </w:tr>
      <w:tr w:rsidR="00350D42" w14:paraId="3AC5911C" w14:textId="77777777">
        <w:trPr>
          <w:trHeight w:hRule="exact" w:val="317"/>
          <w:jc w:val="center"/>
        </w:trPr>
        <w:tc>
          <w:tcPr>
            <w:tcW w:w="2270" w:type="dxa"/>
            <w:vMerge/>
            <w:tcBorders>
              <w:left w:val="single" w:sz="4" w:space="0" w:color="auto"/>
            </w:tcBorders>
            <w:shd w:val="clear" w:color="auto" w:fill="FFFFFF"/>
            <w:vAlign w:val="center"/>
          </w:tcPr>
          <w:p w14:paraId="281BAEA0" w14:textId="77777777" w:rsidR="00350D42" w:rsidRDefault="00350D42">
            <w:pPr>
              <w:framePr w:w="6581" w:wrap="notBeside" w:vAnchor="text" w:hAnchor="text" w:xAlign="center" w:y="1"/>
            </w:pPr>
          </w:p>
        </w:tc>
        <w:tc>
          <w:tcPr>
            <w:tcW w:w="2122" w:type="dxa"/>
            <w:gridSpan w:val="2"/>
            <w:tcBorders>
              <w:top w:val="single" w:sz="4" w:space="0" w:color="auto"/>
              <w:left w:val="single" w:sz="4" w:space="0" w:color="auto"/>
            </w:tcBorders>
            <w:shd w:val="clear" w:color="auto" w:fill="FFFFFF"/>
            <w:vAlign w:val="center"/>
          </w:tcPr>
          <w:p w14:paraId="4906F6A2"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100 %</w:t>
            </w:r>
          </w:p>
        </w:tc>
        <w:tc>
          <w:tcPr>
            <w:tcW w:w="1090" w:type="dxa"/>
            <w:tcBorders>
              <w:top w:val="single" w:sz="4" w:space="0" w:color="auto"/>
              <w:left w:val="single" w:sz="4" w:space="0" w:color="auto"/>
            </w:tcBorders>
            <w:shd w:val="clear" w:color="auto" w:fill="FFFFFF"/>
            <w:vAlign w:val="bottom"/>
          </w:tcPr>
          <w:p w14:paraId="2B307BC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099" w:type="dxa"/>
            <w:vMerge/>
            <w:tcBorders>
              <w:left w:val="single" w:sz="4" w:space="0" w:color="auto"/>
              <w:right w:val="single" w:sz="4" w:space="0" w:color="auto"/>
            </w:tcBorders>
            <w:shd w:val="clear" w:color="auto" w:fill="FFFFFF"/>
          </w:tcPr>
          <w:p w14:paraId="7E090303" w14:textId="77777777" w:rsidR="00350D42" w:rsidRDefault="00350D42">
            <w:pPr>
              <w:framePr w:w="6581" w:wrap="notBeside" w:vAnchor="text" w:hAnchor="text" w:xAlign="center" w:y="1"/>
            </w:pPr>
          </w:p>
        </w:tc>
      </w:tr>
      <w:tr w:rsidR="00350D42" w14:paraId="2B6187AA" w14:textId="77777777">
        <w:trPr>
          <w:trHeight w:hRule="exact" w:val="312"/>
          <w:jc w:val="center"/>
        </w:trPr>
        <w:tc>
          <w:tcPr>
            <w:tcW w:w="2635" w:type="dxa"/>
            <w:gridSpan w:val="2"/>
            <w:vMerge w:val="restart"/>
            <w:tcBorders>
              <w:top w:val="single" w:sz="4" w:space="0" w:color="auto"/>
              <w:left w:val="single" w:sz="4" w:space="0" w:color="auto"/>
            </w:tcBorders>
            <w:shd w:val="clear" w:color="auto" w:fill="FFFFFF"/>
            <w:vAlign w:val="bottom"/>
          </w:tcPr>
          <w:p w14:paraId="485CC54D"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Погашение кредита в за</w:t>
            </w:r>
            <w:r>
              <w:rPr>
                <w:rStyle w:val="275pt0"/>
              </w:rPr>
              <w:softHyphen/>
              <w:t>планированный срок обе</w:t>
            </w:r>
            <w:r>
              <w:rPr>
                <w:rStyle w:val="275pt0"/>
              </w:rPr>
              <w:softHyphen/>
              <w:t>спечивается при негативном изменении любого из фак</w:t>
            </w:r>
            <w:r>
              <w:rPr>
                <w:rStyle w:val="275pt0"/>
              </w:rPr>
              <w:softHyphen/>
              <w:t>торов (объем производства, цены на продукцию, уровень операционных затрат, объем капитальных вложений):</w:t>
            </w:r>
          </w:p>
        </w:tc>
        <w:tc>
          <w:tcPr>
            <w:tcW w:w="1757" w:type="dxa"/>
            <w:tcBorders>
              <w:top w:val="single" w:sz="4" w:space="0" w:color="auto"/>
              <w:left w:val="single" w:sz="4" w:space="0" w:color="auto"/>
            </w:tcBorders>
            <w:shd w:val="clear" w:color="auto" w:fill="FFFFFF"/>
            <w:vAlign w:val="center"/>
          </w:tcPr>
          <w:p w14:paraId="2A09E48E"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менее чем на 5 %</w:t>
            </w:r>
          </w:p>
        </w:tc>
        <w:tc>
          <w:tcPr>
            <w:tcW w:w="1090" w:type="dxa"/>
            <w:tcBorders>
              <w:top w:val="single" w:sz="4" w:space="0" w:color="auto"/>
              <w:left w:val="single" w:sz="4" w:space="0" w:color="auto"/>
            </w:tcBorders>
            <w:shd w:val="clear" w:color="auto" w:fill="FFFFFF"/>
            <w:vAlign w:val="bottom"/>
          </w:tcPr>
          <w:p w14:paraId="5891DD4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099" w:type="dxa"/>
            <w:vMerge w:val="restart"/>
            <w:tcBorders>
              <w:top w:val="single" w:sz="4" w:space="0" w:color="auto"/>
              <w:left w:val="single" w:sz="4" w:space="0" w:color="auto"/>
              <w:right w:val="single" w:sz="4" w:space="0" w:color="auto"/>
            </w:tcBorders>
            <w:shd w:val="clear" w:color="auto" w:fill="FFFFFF"/>
          </w:tcPr>
          <w:p w14:paraId="6EE391E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0,35</w:t>
            </w:r>
          </w:p>
        </w:tc>
      </w:tr>
      <w:tr w:rsidR="00350D42" w14:paraId="71122858" w14:textId="77777777">
        <w:trPr>
          <w:trHeight w:hRule="exact" w:val="317"/>
          <w:jc w:val="center"/>
        </w:trPr>
        <w:tc>
          <w:tcPr>
            <w:tcW w:w="2635" w:type="dxa"/>
            <w:gridSpan w:val="2"/>
            <w:vMerge/>
            <w:tcBorders>
              <w:left w:val="single" w:sz="4" w:space="0" w:color="auto"/>
            </w:tcBorders>
            <w:shd w:val="clear" w:color="auto" w:fill="FFFFFF"/>
            <w:vAlign w:val="bottom"/>
          </w:tcPr>
          <w:p w14:paraId="579E4D83" w14:textId="77777777" w:rsidR="00350D42" w:rsidRDefault="00350D42">
            <w:pPr>
              <w:framePr w:w="6581" w:wrap="notBeside" w:vAnchor="text" w:hAnchor="text" w:xAlign="center" w:y="1"/>
            </w:pPr>
          </w:p>
        </w:tc>
        <w:tc>
          <w:tcPr>
            <w:tcW w:w="1757" w:type="dxa"/>
            <w:tcBorders>
              <w:top w:val="single" w:sz="4" w:space="0" w:color="auto"/>
              <w:left w:val="single" w:sz="4" w:space="0" w:color="auto"/>
            </w:tcBorders>
            <w:shd w:val="clear" w:color="auto" w:fill="FFFFFF"/>
            <w:vAlign w:val="center"/>
          </w:tcPr>
          <w:p w14:paraId="6F1082BD"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на 5—10 %</w:t>
            </w:r>
          </w:p>
        </w:tc>
        <w:tc>
          <w:tcPr>
            <w:tcW w:w="1090" w:type="dxa"/>
            <w:tcBorders>
              <w:top w:val="single" w:sz="4" w:space="0" w:color="auto"/>
              <w:left w:val="single" w:sz="4" w:space="0" w:color="auto"/>
            </w:tcBorders>
            <w:shd w:val="clear" w:color="auto" w:fill="FFFFFF"/>
            <w:vAlign w:val="bottom"/>
          </w:tcPr>
          <w:p w14:paraId="677478E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60</w:t>
            </w:r>
          </w:p>
        </w:tc>
        <w:tc>
          <w:tcPr>
            <w:tcW w:w="1099" w:type="dxa"/>
            <w:vMerge/>
            <w:tcBorders>
              <w:left w:val="single" w:sz="4" w:space="0" w:color="auto"/>
              <w:right w:val="single" w:sz="4" w:space="0" w:color="auto"/>
            </w:tcBorders>
            <w:shd w:val="clear" w:color="auto" w:fill="FFFFFF"/>
          </w:tcPr>
          <w:p w14:paraId="7A502E6E" w14:textId="77777777" w:rsidR="00350D42" w:rsidRDefault="00350D42">
            <w:pPr>
              <w:framePr w:w="6581" w:wrap="notBeside" w:vAnchor="text" w:hAnchor="text" w:xAlign="center" w:y="1"/>
            </w:pPr>
          </w:p>
        </w:tc>
      </w:tr>
      <w:tr w:rsidR="00350D42" w14:paraId="218F5159" w14:textId="77777777">
        <w:trPr>
          <w:trHeight w:hRule="exact" w:val="312"/>
          <w:jc w:val="center"/>
        </w:trPr>
        <w:tc>
          <w:tcPr>
            <w:tcW w:w="2635" w:type="dxa"/>
            <w:gridSpan w:val="2"/>
            <w:vMerge/>
            <w:tcBorders>
              <w:left w:val="single" w:sz="4" w:space="0" w:color="auto"/>
            </w:tcBorders>
            <w:shd w:val="clear" w:color="auto" w:fill="FFFFFF"/>
            <w:vAlign w:val="bottom"/>
          </w:tcPr>
          <w:p w14:paraId="60A2B7DF" w14:textId="77777777" w:rsidR="00350D42" w:rsidRDefault="00350D42">
            <w:pPr>
              <w:framePr w:w="6581" w:wrap="notBeside" w:vAnchor="text" w:hAnchor="text" w:xAlign="center" w:y="1"/>
            </w:pPr>
          </w:p>
        </w:tc>
        <w:tc>
          <w:tcPr>
            <w:tcW w:w="1757" w:type="dxa"/>
            <w:tcBorders>
              <w:top w:val="single" w:sz="4" w:space="0" w:color="auto"/>
              <w:left w:val="single" w:sz="4" w:space="0" w:color="auto"/>
            </w:tcBorders>
            <w:shd w:val="clear" w:color="auto" w:fill="FFFFFF"/>
            <w:vAlign w:val="bottom"/>
          </w:tcPr>
          <w:p w14:paraId="5D74C23F"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на 10—15 %</w:t>
            </w:r>
          </w:p>
        </w:tc>
        <w:tc>
          <w:tcPr>
            <w:tcW w:w="1090" w:type="dxa"/>
            <w:tcBorders>
              <w:top w:val="single" w:sz="4" w:space="0" w:color="auto"/>
              <w:left w:val="single" w:sz="4" w:space="0" w:color="auto"/>
            </w:tcBorders>
            <w:shd w:val="clear" w:color="auto" w:fill="FFFFFF"/>
            <w:vAlign w:val="bottom"/>
          </w:tcPr>
          <w:p w14:paraId="634CDBB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75</w:t>
            </w:r>
          </w:p>
        </w:tc>
        <w:tc>
          <w:tcPr>
            <w:tcW w:w="1099" w:type="dxa"/>
            <w:vMerge/>
            <w:tcBorders>
              <w:left w:val="single" w:sz="4" w:space="0" w:color="auto"/>
              <w:right w:val="single" w:sz="4" w:space="0" w:color="auto"/>
            </w:tcBorders>
            <w:shd w:val="clear" w:color="auto" w:fill="FFFFFF"/>
          </w:tcPr>
          <w:p w14:paraId="16965D8B" w14:textId="77777777" w:rsidR="00350D42" w:rsidRDefault="00350D42">
            <w:pPr>
              <w:framePr w:w="6581" w:wrap="notBeside" w:vAnchor="text" w:hAnchor="text" w:xAlign="center" w:y="1"/>
            </w:pPr>
          </w:p>
        </w:tc>
      </w:tr>
      <w:tr w:rsidR="00350D42" w14:paraId="5AC0F600" w14:textId="77777777">
        <w:trPr>
          <w:trHeight w:hRule="exact" w:val="312"/>
          <w:jc w:val="center"/>
        </w:trPr>
        <w:tc>
          <w:tcPr>
            <w:tcW w:w="2635" w:type="dxa"/>
            <w:gridSpan w:val="2"/>
            <w:vMerge/>
            <w:tcBorders>
              <w:left w:val="single" w:sz="4" w:space="0" w:color="auto"/>
            </w:tcBorders>
            <w:shd w:val="clear" w:color="auto" w:fill="FFFFFF"/>
            <w:vAlign w:val="bottom"/>
          </w:tcPr>
          <w:p w14:paraId="1230917C" w14:textId="77777777" w:rsidR="00350D42" w:rsidRDefault="00350D42">
            <w:pPr>
              <w:framePr w:w="6581" w:wrap="notBeside" w:vAnchor="text" w:hAnchor="text" w:xAlign="center" w:y="1"/>
            </w:pPr>
          </w:p>
        </w:tc>
        <w:tc>
          <w:tcPr>
            <w:tcW w:w="1757" w:type="dxa"/>
            <w:tcBorders>
              <w:top w:val="single" w:sz="4" w:space="0" w:color="auto"/>
              <w:left w:val="single" w:sz="4" w:space="0" w:color="auto"/>
            </w:tcBorders>
            <w:shd w:val="clear" w:color="auto" w:fill="FFFFFF"/>
            <w:vAlign w:val="bottom"/>
          </w:tcPr>
          <w:p w14:paraId="6C4A06D4"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на 15—20 %</w:t>
            </w:r>
          </w:p>
        </w:tc>
        <w:tc>
          <w:tcPr>
            <w:tcW w:w="1090" w:type="dxa"/>
            <w:tcBorders>
              <w:top w:val="single" w:sz="4" w:space="0" w:color="auto"/>
              <w:left w:val="single" w:sz="4" w:space="0" w:color="auto"/>
            </w:tcBorders>
            <w:shd w:val="clear" w:color="auto" w:fill="FFFFFF"/>
            <w:vAlign w:val="bottom"/>
          </w:tcPr>
          <w:p w14:paraId="6EF4E97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90</w:t>
            </w:r>
          </w:p>
        </w:tc>
        <w:tc>
          <w:tcPr>
            <w:tcW w:w="1099" w:type="dxa"/>
            <w:vMerge/>
            <w:tcBorders>
              <w:left w:val="single" w:sz="4" w:space="0" w:color="auto"/>
              <w:right w:val="single" w:sz="4" w:space="0" w:color="auto"/>
            </w:tcBorders>
            <w:shd w:val="clear" w:color="auto" w:fill="FFFFFF"/>
          </w:tcPr>
          <w:p w14:paraId="44ADCDE7" w14:textId="77777777" w:rsidR="00350D42" w:rsidRDefault="00350D42">
            <w:pPr>
              <w:framePr w:w="6581" w:wrap="notBeside" w:vAnchor="text" w:hAnchor="text" w:xAlign="center" w:y="1"/>
            </w:pPr>
          </w:p>
        </w:tc>
      </w:tr>
      <w:tr w:rsidR="00350D42" w14:paraId="449B9C0F" w14:textId="77777777">
        <w:trPr>
          <w:trHeight w:hRule="exact" w:val="581"/>
          <w:jc w:val="center"/>
        </w:trPr>
        <w:tc>
          <w:tcPr>
            <w:tcW w:w="2635" w:type="dxa"/>
            <w:gridSpan w:val="2"/>
            <w:vMerge/>
            <w:tcBorders>
              <w:left w:val="single" w:sz="4" w:space="0" w:color="auto"/>
              <w:bottom w:val="single" w:sz="4" w:space="0" w:color="auto"/>
            </w:tcBorders>
            <w:shd w:val="clear" w:color="auto" w:fill="FFFFFF"/>
            <w:vAlign w:val="bottom"/>
          </w:tcPr>
          <w:p w14:paraId="37AA4B19" w14:textId="77777777" w:rsidR="00350D42" w:rsidRDefault="00350D42">
            <w:pPr>
              <w:framePr w:w="6581" w:wrap="notBeside" w:vAnchor="text" w:hAnchor="text" w:xAlign="center" w:y="1"/>
            </w:pPr>
          </w:p>
        </w:tc>
        <w:tc>
          <w:tcPr>
            <w:tcW w:w="1757" w:type="dxa"/>
            <w:tcBorders>
              <w:top w:val="single" w:sz="4" w:space="0" w:color="auto"/>
              <w:left w:val="single" w:sz="4" w:space="0" w:color="auto"/>
              <w:bottom w:val="single" w:sz="4" w:space="0" w:color="auto"/>
            </w:tcBorders>
            <w:shd w:val="clear" w:color="auto" w:fill="FFFFFF"/>
          </w:tcPr>
          <w:p w14:paraId="1B0FC38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на 20 % и более</w:t>
            </w:r>
          </w:p>
        </w:tc>
        <w:tc>
          <w:tcPr>
            <w:tcW w:w="1090" w:type="dxa"/>
            <w:tcBorders>
              <w:top w:val="single" w:sz="4" w:space="0" w:color="auto"/>
              <w:left w:val="single" w:sz="4" w:space="0" w:color="auto"/>
              <w:bottom w:val="single" w:sz="4" w:space="0" w:color="auto"/>
            </w:tcBorders>
            <w:shd w:val="clear" w:color="auto" w:fill="FFFFFF"/>
            <w:vAlign w:val="center"/>
          </w:tcPr>
          <w:p w14:paraId="46CD6D9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099" w:type="dxa"/>
            <w:vMerge/>
            <w:tcBorders>
              <w:left w:val="single" w:sz="4" w:space="0" w:color="auto"/>
              <w:bottom w:val="single" w:sz="4" w:space="0" w:color="auto"/>
              <w:right w:val="single" w:sz="4" w:space="0" w:color="auto"/>
            </w:tcBorders>
            <w:shd w:val="clear" w:color="auto" w:fill="FFFFFF"/>
          </w:tcPr>
          <w:p w14:paraId="51F1CEE9" w14:textId="77777777" w:rsidR="00350D42" w:rsidRDefault="00350D42">
            <w:pPr>
              <w:framePr w:w="6581" w:wrap="notBeside" w:vAnchor="text" w:hAnchor="text" w:xAlign="center" w:y="1"/>
            </w:pPr>
          </w:p>
        </w:tc>
      </w:tr>
    </w:tbl>
    <w:p w14:paraId="20BEB601" w14:textId="77777777" w:rsidR="00350D42" w:rsidRDefault="00350D42">
      <w:pPr>
        <w:framePr w:w="6581" w:wrap="notBeside" w:vAnchor="text" w:hAnchor="text" w:xAlign="center" w:y="1"/>
        <w:rPr>
          <w:sz w:val="2"/>
          <w:szCs w:val="2"/>
        </w:rPr>
      </w:pPr>
    </w:p>
    <w:p w14:paraId="4F5913F0" w14:textId="77777777" w:rsidR="00350D42" w:rsidRDefault="00350D42">
      <w:pPr>
        <w:rPr>
          <w:sz w:val="2"/>
          <w:szCs w:val="2"/>
        </w:rPr>
      </w:pPr>
    </w:p>
    <w:p w14:paraId="275EB448" w14:textId="77777777" w:rsidR="00350D42" w:rsidRDefault="008E6F64">
      <w:pPr>
        <w:pStyle w:val="190"/>
        <w:shd w:val="clear" w:color="auto" w:fill="auto"/>
        <w:spacing w:before="145"/>
      </w:pPr>
      <w:r>
        <w:rPr>
          <w:rStyle w:val="191"/>
          <w:i/>
          <w:iCs/>
        </w:rPr>
        <w:t>Таблица П.2.8</w:t>
      </w:r>
    </w:p>
    <w:p w14:paraId="7736FCAE" w14:textId="77777777" w:rsidR="00350D42" w:rsidRDefault="008E6F64">
      <w:pPr>
        <w:pStyle w:val="111"/>
        <w:shd w:val="clear" w:color="auto" w:fill="auto"/>
        <w:spacing w:before="0" w:after="0" w:line="194" w:lineRule="exact"/>
        <w:ind w:left="40"/>
      </w:pPr>
      <w:r>
        <w:rPr>
          <w:rStyle w:val="113"/>
          <w:b/>
          <w:bCs/>
        </w:rPr>
        <w:t>Оценка фактора «сбыт продукции (услуг)»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1358"/>
        <w:gridCol w:w="1718"/>
        <w:gridCol w:w="638"/>
        <w:gridCol w:w="778"/>
        <w:gridCol w:w="840"/>
      </w:tblGrid>
      <w:tr w:rsidR="00350D42" w14:paraId="7C2B6A3E" w14:textId="77777777">
        <w:trPr>
          <w:trHeight w:hRule="exact" w:val="979"/>
          <w:jc w:val="center"/>
        </w:trPr>
        <w:tc>
          <w:tcPr>
            <w:tcW w:w="4962" w:type="dxa"/>
            <w:gridSpan w:val="4"/>
            <w:tcBorders>
              <w:top w:val="single" w:sz="4" w:space="0" w:color="auto"/>
              <w:left w:val="single" w:sz="4" w:space="0" w:color="auto"/>
            </w:tcBorders>
            <w:shd w:val="clear" w:color="auto" w:fill="FFFFFF"/>
          </w:tcPr>
          <w:p w14:paraId="138886D7"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lastRenderedPageBreak/>
              <w:t>Показатели по подгруппам</w:t>
            </w:r>
          </w:p>
        </w:tc>
        <w:tc>
          <w:tcPr>
            <w:tcW w:w="778" w:type="dxa"/>
            <w:tcBorders>
              <w:top w:val="single" w:sz="4" w:space="0" w:color="auto"/>
              <w:left w:val="single" w:sz="4" w:space="0" w:color="auto"/>
            </w:tcBorders>
            <w:shd w:val="clear" w:color="auto" w:fill="FFFFFF"/>
            <w:vAlign w:val="center"/>
          </w:tcPr>
          <w:p w14:paraId="77A9A1AC" w14:textId="77777777" w:rsidR="00350D42" w:rsidRDefault="008E6F64">
            <w:pPr>
              <w:pStyle w:val="2c"/>
              <w:framePr w:w="6581" w:wrap="notBeside" w:vAnchor="text" w:hAnchor="text" w:xAlign="center" w:y="1"/>
              <w:shd w:val="clear" w:color="auto" w:fill="auto"/>
              <w:spacing w:before="0" w:line="216" w:lineRule="exact"/>
            </w:pPr>
            <w:r>
              <w:rPr>
                <w:rStyle w:val="275pt"/>
              </w:rPr>
              <w:t>Баллы</w:t>
            </w:r>
          </w:p>
          <w:p w14:paraId="41AC2CD5" w14:textId="77777777" w:rsidR="00350D42" w:rsidRDefault="008E6F64">
            <w:pPr>
              <w:pStyle w:val="2c"/>
              <w:framePr w:w="6581" w:wrap="notBeside" w:vAnchor="text" w:hAnchor="text" w:xAlign="center" w:y="1"/>
              <w:shd w:val="clear" w:color="auto" w:fill="auto"/>
              <w:spacing w:before="0" w:line="216" w:lineRule="exact"/>
            </w:pPr>
            <w:r>
              <w:rPr>
                <w:rStyle w:val="275pt"/>
              </w:rPr>
              <w:t>по под</w:t>
            </w:r>
            <w:r>
              <w:rPr>
                <w:rStyle w:val="275pt"/>
              </w:rPr>
              <w:softHyphen/>
              <w:t>группе</w:t>
            </w:r>
          </w:p>
        </w:tc>
        <w:tc>
          <w:tcPr>
            <w:tcW w:w="840" w:type="dxa"/>
            <w:tcBorders>
              <w:top w:val="single" w:sz="4" w:space="0" w:color="auto"/>
              <w:left w:val="single" w:sz="4" w:space="0" w:color="auto"/>
              <w:right w:val="single" w:sz="4" w:space="0" w:color="auto"/>
            </w:tcBorders>
            <w:shd w:val="clear" w:color="auto" w:fill="FFFFFF"/>
            <w:vAlign w:val="bottom"/>
          </w:tcPr>
          <w:p w14:paraId="0540D035"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Удель</w:t>
            </w:r>
            <w:r>
              <w:rPr>
                <w:rStyle w:val="275pt"/>
              </w:rPr>
              <w:softHyphen/>
              <w:t>ный вес</w:t>
            </w:r>
          </w:p>
          <w:p w14:paraId="22803927"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под</w:t>
            </w:r>
            <w:r>
              <w:rPr>
                <w:rStyle w:val="275pt"/>
              </w:rPr>
              <w:softHyphen/>
            </w:r>
          </w:p>
          <w:p w14:paraId="2C1D53FA"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группы</w:t>
            </w:r>
          </w:p>
        </w:tc>
      </w:tr>
      <w:tr w:rsidR="00350D42" w14:paraId="6A65D182" w14:textId="77777777">
        <w:trPr>
          <w:trHeight w:hRule="exact" w:val="533"/>
          <w:jc w:val="center"/>
        </w:trPr>
        <w:tc>
          <w:tcPr>
            <w:tcW w:w="4962" w:type="dxa"/>
            <w:gridSpan w:val="4"/>
            <w:tcBorders>
              <w:top w:val="single" w:sz="4" w:space="0" w:color="auto"/>
              <w:left w:val="single" w:sz="4" w:space="0" w:color="auto"/>
            </w:tcBorders>
            <w:shd w:val="clear" w:color="auto" w:fill="FFFFFF"/>
            <w:vAlign w:val="bottom"/>
          </w:tcPr>
          <w:p w14:paraId="2897D738" w14:textId="77777777" w:rsidR="00350D42" w:rsidRDefault="008E6F64">
            <w:pPr>
              <w:pStyle w:val="2c"/>
              <w:framePr w:w="6581" w:wrap="notBeside" w:vAnchor="text" w:hAnchor="text" w:xAlign="center" w:y="1"/>
              <w:shd w:val="clear" w:color="auto" w:fill="auto"/>
              <w:spacing w:before="0" w:line="216" w:lineRule="exact"/>
            </w:pPr>
            <w:r>
              <w:rPr>
                <w:rStyle w:val="275pt0"/>
              </w:rPr>
              <w:t>Долгосрочные контракты на сбыт продукции (услуг) от</w:t>
            </w:r>
            <w:r>
              <w:rPr>
                <w:rStyle w:val="275pt0"/>
              </w:rPr>
              <w:softHyphen/>
              <w:t>сутствуют</w:t>
            </w:r>
          </w:p>
        </w:tc>
        <w:tc>
          <w:tcPr>
            <w:tcW w:w="778" w:type="dxa"/>
            <w:tcBorders>
              <w:top w:val="single" w:sz="4" w:space="0" w:color="auto"/>
              <w:left w:val="single" w:sz="4" w:space="0" w:color="auto"/>
            </w:tcBorders>
            <w:shd w:val="clear" w:color="auto" w:fill="FFFFFF"/>
            <w:vAlign w:val="center"/>
          </w:tcPr>
          <w:p w14:paraId="64283B3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840" w:type="dxa"/>
            <w:vMerge w:val="restart"/>
            <w:tcBorders>
              <w:top w:val="single" w:sz="4" w:space="0" w:color="auto"/>
              <w:left w:val="single" w:sz="4" w:space="0" w:color="auto"/>
              <w:right w:val="single" w:sz="4" w:space="0" w:color="auto"/>
            </w:tcBorders>
            <w:shd w:val="clear" w:color="auto" w:fill="FFFFFF"/>
          </w:tcPr>
          <w:p w14:paraId="7674657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4E8720A6" w14:textId="77777777">
        <w:trPr>
          <w:trHeight w:hRule="exact" w:val="821"/>
          <w:jc w:val="center"/>
        </w:trPr>
        <w:tc>
          <w:tcPr>
            <w:tcW w:w="1248" w:type="dxa"/>
            <w:vMerge w:val="restart"/>
            <w:tcBorders>
              <w:top w:val="single" w:sz="4" w:space="0" w:color="auto"/>
              <w:left w:val="single" w:sz="4" w:space="0" w:color="auto"/>
            </w:tcBorders>
            <w:shd w:val="clear" w:color="auto" w:fill="FFFFFF"/>
            <w:vAlign w:val="center"/>
          </w:tcPr>
          <w:p w14:paraId="5F23607C"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Долгосроч</w:t>
            </w:r>
            <w:r>
              <w:rPr>
                <w:rStyle w:val="275pt0"/>
              </w:rPr>
              <w:softHyphen/>
              <w:t>ные контрак</w:t>
            </w:r>
            <w:r>
              <w:rPr>
                <w:rStyle w:val="275pt0"/>
              </w:rPr>
              <w:softHyphen/>
              <w:t>ты на сбыт продукции (услуг) имеются,</w:t>
            </w:r>
          </w:p>
          <w:p w14:paraId="6B396357"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при этом в контрактах зафиксиро</w:t>
            </w:r>
            <w:r>
              <w:rPr>
                <w:rStyle w:val="275pt0"/>
              </w:rPr>
              <w:softHyphen/>
              <w:t>ваны</w:t>
            </w:r>
          </w:p>
        </w:tc>
        <w:tc>
          <w:tcPr>
            <w:tcW w:w="3714" w:type="dxa"/>
            <w:gridSpan w:val="3"/>
            <w:tcBorders>
              <w:top w:val="single" w:sz="4" w:space="0" w:color="auto"/>
              <w:left w:val="single" w:sz="4" w:space="0" w:color="auto"/>
            </w:tcBorders>
            <w:shd w:val="clear" w:color="auto" w:fill="FFFFFF"/>
            <w:vAlign w:val="center"/>
          </w:tcPr>
          <w:p w14:paraId="13A4E8D5"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Только минимальный уровень цены или только минимальное количество при</w:t>
            </w:r>
            <w:r>
              <w:rPr>
                <w:rStyle w:val="275pt0"/>
              </w:rPr>
              <w:softHyphen/>
              <w:t>обретаемой продукции (услуг)</w:t>
            </w:r>
          </w:p>
        </w:tc>
        <w:tc>
          <w:tcPr>
            <w:tcW w:w="778" w:type="dxa"/>
            <w:tcBorders>
              <w:top w:val="single" w:sz="4" w:space="0" w:color="auto"/>
              <w:left w:val="single" w:sz="4" w:space="0" w:color="auto"/>
            </w:tcBorders>
            <w:shd w:val="clear" w:color="auto" w:fill="FFFFFF"/>
          </w:tcPr>
          <w:p w14:paraId="3885005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60</w:t>
            </w:r>
          </w:p>
        </w:tc>
        <w:tc>
          <w:tcPr>
            <w:tcW w:w="840" w:type="dxa"/>
            <w:vMerge/>
            <w:tcBorders>
              <w:left w:val="single" w:sz="4" w:space="0" w:color="auto"/>
              <w:right w:val="single" w:sz="4" w:space="0" w:color="auto"/>
            </w:tcBorders>
            <w:shd w:val="clear" w:color="auto" w:fill="FFFFFF"/>
          </w:tcPr>
          <w:p w14:paraId="616A8542" w14:textId="77777777" w:rsidR="00350D42" w:rsidRDefault="00350D42">
            <w:pPr>
              <w:framePr w:w="6581" w:wrap="notBeside" w:vAnchor="text" w:hAnchor="text" w:xAlign="center" w:y="1"/>
            </w:pPr>
          </w:p>
        </w:tc>
      </w:tr>
      <w:tr w:rsidR="00350D42" w14:paraId="64CE61F3" w14:textId="77777777">
        <w:trPr>
          <w:trHeight w:hRule="exact" w:val="312"/>
          <w:jc w:val="center"/>
        </w:trPr>
        <w:tc>
          <w:tcPr>
            <w:tcW w:w="1248" w:type="dxa"/>
            <w:vMerge/>
            <w:tcBorders>
              <w:left w:val="single" w:sz="4" w:space="0" w:color="auto"/>
            </w:tcBorders>
            <w:shd w:val="clear" w:color="auto" w:fill="FFFFFF"/>
            <w:vAlign w:val="center"/>
          </w:tcPr>
          <w:p w14:paraId="30FC5AD2" w14:textId="77777777" w:rsidR="00350D42" w:rsidRDefault="00350D42">
            <w:pPr>
              <w:framePr w:w="6581" w:wrap="notBeside" w:vAnchor="text" w:hAnchor="text" w:xAlign="center" w:y="1"/>
            </w:pPr>
          </w:p>
        </w:tc>
        <w:tc>
          <w:tcPr>
            <w:tcW w:w="1358" w:type="dxa"/>
            <w:vMerge w:val="restart"/>
            <w:tcBorders>
              <w:top w:val="single" w:sz="4" w:space="0" w:color="auto"/>
              <w:left w:val="single" w:sz="4" w:space="0" w:color="auto"/>
            </w:tcBorders>
            <w:shd w:val="clear" w:color="auto" w:fill="FFFFFF"/>
            <w:vAlign w:val="center"/>
          </w:tcPr>
          <w:p w14:paraId="5C34EDF3"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Минимальный уровень цены</w:t>
            </w:r>
          </w:p>
          <w:p w14:paraId="75995DF0"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и минималь</w:t>
            </w:r>
            <w:r>
              <w:rPr>
                <w:rStyle w:val="275pt0"/>
              </w:rPr>
              <w:softHyphen/>
              <w:t>ное количе</w:t>
            </w:r>
            <w:r>
              <w:rPr>
                <w:rStyle w:val="275pt0"/>
              </w:rPr>
              <w:softHyphen/>
              <w:t>ство приобре</w:t>
            </w:r>
            <w:r>
              <w:rPr>
                <w:rStyle w:val="275pt0"/>
              </w:rPr>
              <w:softHyphen/>
              <w:t>таемой</w:t>
            </w:r>
          </w:p>
        </w:tc>
        <w:tc>
          <w:tcPr>
            <w:tcW w:w="1718" w:type="dxa"/>
            <w:tcBorders>
              <w:top w:val="single" w:sz="4" w:space="0" w:color="auto"/>
              <w:left w:val="single" w:sz="4" w:space="0" w:color="auto"/>
            </w:tcBorders>
            <w:shd w:val="clear" w:color="auto" w:fill="FFFFFF"/>
            <w:vAlign w:val="bottom"/>
          </w:tcPr>
          <w:p w14:paraId="17B5B827"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 предусмотрены</w:t>
            </w:r>
          </w:p>
        </w:tc>
        <w:tc>
          <w:tcPr>
            <w:tcW w:w="638" w:type="dxa"/>
            <w:tcBorders>
              <w:top w:val="single" w:sz="4" w:space="0" w:color="auto"/>
              <w:left w:val="single" w:sz="4" w:space="0" w:color="auto"/>
            </w:tcBorders>
            <w:shd w:val="clear" w:color="auto" w:fill="FFFFFF"/>
          </w:tcPr>
          <w:p w14:paraId="31665C4D" w14:textId="77777777" w:rsidR="00350D42" w:rsidRDefault="00350D42">
            <w:pPr>
              <w:framePr w:w="6581"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14:paraId="3EEFCF4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c>
          <w:tcPr>
            <w:tcW w:w="840" w:type="dxa"/>
            <w:vMerge/>
            <w:tcBorders>
              <w:left w:val="single" w:sz="4" w:space="0" w:color="auto"/>
              <w:right w:val="single" w:sz="4" w:space="0" w:color="auto"/>
            </w:tcBorders>
            <w:shd w:val="clear" w:color="auto" w:fill="FFFFFF"/>
          </w:tcPr>
          <w:p w14:paraId="10F01125" w14:textId="77777777" w:rsidR="00350D42" w:rsidRDefault="00350D42">
            <w:pPr>
              <w:framePr w:w="6581" w:wrap="notBeside" w:vAnchor="text" w:hAnchor="text" w:xAlign="center" w:y="1"/>
            </w:pPr>
          </w:p>
        </w:tc>
      </w:tr>
      <w:tr w:rsidR="00350D42" w14:paraId="505A881B" w14:textId="77777777">
        <w:trPr>
          <w:trHeight w:hRule="exact" w:val="528"/>
          <w:jc w:val="center"/>
        </w:trPr>
        <w:tc>
          <w:tcPr>
            <w:tcW w:w="1248" w:type="dxa"/>
            <w:vMerge/>
            <w:tcBorders>
              <w:left w:val="single" w:sz="4" w:space="0" w:color="auto"/>
            </w:tcBorders>
            <w:shd w:val="clear" w:color="auto" w:fill="FFFFFF"/>
            <w:vAlign w:val="center"/>
          </w:tcPr>
          <w:p w14:paraId="5C90993E" w14:textId="77777777" w:rsidR="00350D42" w:rsidRDefault="00350D42">
            <w:pPr>
              <w:framePr w:w="6581" w:wrap="notBeside" w:vAnchor="text" w:hAnchor="text" w:xAlign="center" w:y="1"/>
            </w:pPr>
          </w:p>
        </w:tc>
        <w:tc>
          <w:tcPr>
            <w:tcW w:w="1358" w:type="dxa"/>
            <w:vMerge/>
            <w:tcBorders>
              <w:left w:val="single" w:sz="4" w:space="0" w:color="auto"/>
            </w:tcBorders>
            <w:shd w:val="clear" w:color="auto" w:fill="FFFFFF"/>
            <w:vAlign w:val="center"/>
          </w:tcPr>
          <w:p w14:paraId="3253C3EE" w14:textId="77777777" w:rsidR="00350D42" w:rsidRDefault="00350D42">
            <w:pPr>
              <w:framePr w:w="6581" w:wrap="notBeside" w:vAnchor="text" w:hAnchor="text" w:xAlign="center" w:y="1"/>
            </w:pPr>
          </w:p>
        </w:tc>
        <w:tc>
          <w:tcPr>
            <w:tcW w:w="1718" w:type="dxa"/>
            <w:vMerge w:val="restart"/>
            <w:tcBorders>
              <w:top w:val="single" w:sz="4" w:space="0" w:color="auto"/>
              <w:left w:val="single" w:sz="4" w:space="0" w:color="auto"/>
            </w:tcBorders>
            <w:shd w:val="clear" w:color="auto" w:fill="FFFFFF"/>
            <w:vAlign w:val="bottom"/>
          </w:tcPr>
          <w:p w14:paraId="52904439"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предусмотрены и объем реализа</w:t>
            </w:r>
            <w:r>
              <w:rPr>
                <w:rStyle w:val="275pt0"/>
              </w:rPr>
              <w:softHyphen/>
              <w:t>ции покупателям, которые могут быть признаны</w:t>
            </w:r>
          </w:p>
        </w:tc>
        <w:tc>
          <w:tcPr>
            <w:tcW w:w="638" w:type="dxa"/>
            <w:tcBorders>
              <w:top w:val="single" w:sz="4" w:space="0" w:color="auto"/>
              <w:left w:val="single" w:sz="4" w:space="0" w:color="auto"/>
            </w:tcBorders>
            <w:shd w:val="clear" w:color="auto" w:fill="FFFFFF"/>
            <w:vAlign w:val="center"/>
          </w:tcPr>
          <w:p w14:paraId="0396127B" w14:textId="77777777" w:rsidR="00350D42" w:rsidRDefault="008E6F64">
            <w:pPr>
              <w:pStyle w:val="2c"/>
              <w:framePr w:w="6581" w:wrap="notBeside" w:vAnchor="text" w:hAnchor="text" w:xAlign="center" w:y="1"/>
              <w:shd w:val="clear" w:color="auto" w:fill="auto"/>
              <w:spacing w:before="0" w:line="168" w:lineRule="exact"/>
            </w:pPr>
            <w:r>
              <w:rPr>
                <w:rStyle w:val="275pt0"/>
              </w:rPr>
              <w:t>менее</w:t>
            </w:r>
          </w:p>
          <w:p w14:paraId="2F4FAF02" w14:textId="77777777" w:rsidR="00350D42" w:rsidRDefault="008E6F64">
            <w:pPr>
              <w:pStyle w:val="2c"/>
              <w:framePr w:w="6581" w:wrap="notBeside" w:vAnchor="text" w:hAnchor="text" w:xAlign="center" w:y="1"/>
              <w:shd w:val="clear" w:color="auto" w:fill="auto"/>
              <w:spacing w:before="0" w:line="168" w:lineRule="exact"/>
            </w:pPr>
            <w:r>
              <w:rPr>
                <w:rStyle w:val="275pt0"/>
              </w:rPr>
              <w:t>75 %</w:t>
            </w:r>
          </w:p>
        </w:tc>
        <w:tc>
          <w:tcPr>
            <w:tcW w:w="778" w:type="dxa"/>
            <w:tcBorders>
              <w:top w:val="single" w:sz="4" w:space="0" w:color="auto"/>
              <w:left w:val="single" w:sz="4" w:space="0" w:color="auto"/>
            </w:tcBorders>
            <w:shd w:val="clear" w:color="auto" w:fill="FFFFFF"/>
            <w:vAlign w:val="center"/>
          </w:tcPr>
          <w:p w14:paraId="1EF9ADA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80</w:t>
            </w:r>
          </w:p>
        </w:tc>
        <w:tc>
          <w:tcPr>
            <w:tcW w:w="840" w:type="dxa"/>
            <w:vMerge w:val="restart"/>
            <w:tcBorders>
              <w:top w:val="single" w:sz="4" w:space="0" w:color="auto"/>
              <w:left w:val="single" w:sz="4" w:space="0" w:color="auto"/>
              <w:right w:val="single" w:sz="4" w:space="0" w:color="auto"/>
            </w:tcBorders>
            <w:shd w:val="clear" w:color="auto" w:fill="FFFFFF"/>
          </w:tcPr>
          <w:p w14:paraId="6B87B5E8" w14:textId="77777777" w:rsidR="00350D42" w:rsidRDefault="00350D42">
            <w:pPr>
              <w:framePr w:w="6581" w:wrap="notBeside" w:vAnchor="text" w:hAnchor="text" w:xAlign="center" w:y="1"/>
              <w:rPr>
                <w:sz w:val="10"/>
                <w:szCs w:val="10"/>
              </w:rPr>
            </w:pPr>
          </w:p>
        </w:tc>
      </w:tr>
      <w:tr w:rsidR="00350D42" w14:paraId="33DC8932" w14:textId="77777777">
        <w:trPr>
          <w:trHeight w:hRule="exact" w:val="658"/>
          <w:jc w:val="center"/>
        </w:trPr>
        <w:tc>
          <w:tcPr>
            <w:tcW w:w="1248" w:type="dxa"/>
            <w:vMerge/>
            <w:tcBorders>
              <w:left w:val="single" w:sz="4" w:space="0" w:color="auto"/>
              <w:bottom w:val="single" w:sz="4" w:space="0" w:color="auto"/>
            </w:tcBorders>
            <w:shd w:val="clear" w:color="auto" w:fill="FFFFFF"/>
            <w:vAlign w:val="center"/>
          </w:tcPr>
          <w:p w14:paraId="3C245358" w14:textId="77777777" w:rsidR="00350D42" w:rsidRDefault="00350D42">
            <w:pPr>
              <w:framePr w:w="6581" w:wrap="notBeside" w:vAnchor="text" w:hAnchor="text" w:xAlign="center" w:y="1"/>
            </w:pPr>
          </w:p>
        </w:tc>
        <w:tc>
          <w:tcPr>
            <w:tcW w:w="1358" w:type="dxa"/>
            <w:vMerge/>
            <w:tcBorders>
              <w:left w:val="single" w:sz="4" w:space="0" w:color="auto"/>
              <w:bottom w:val="single" w:sz="4" w:space="0" w:color="auto"/>
            </w:tcBorders>
            <w:shd w:val="clear" w:color="auto" w:fill="FFFFFF"/>
            <w:vAlign w:val="center"/>
          </w:tcPr>
          <w:p w14:paraId="589E2126" w14:textId="77777777" w:rsidR="00350D42" w:rsidRDefault="00350D42">
            <w:pPr>
              <w:framePr w:w="6581" w:wrap="notBeside" w:vAnchor="text" w:hAnchor="text" w:xAlign="center" w:y="1"/>
            </w:pPr>
          </w:p>
        </w:tc>
        <w:tc>
          <w:tcPr>
            <w:tcW w:w="1718" w:type="dxa"/>
            <w:vMerge/>
            <w:tcBorders>
              <w:left w:val="single" w:sz="4" w:space="0" w:color="auto"/>
              <w:bottom w:val="single" w:sz="4" w:space="0" w:color="auto"/>
            </w:tcBorders>
            <w:shd w:val="clear" w:color="auto" w:fill="FFFFFF"/>
            <w:vAlign w:val="bottom"/>
          </w:tcPr>
          <w:p w14:paraId="456A81E6" w14:textId="77777777" w:rsidR="00350D42" w:rsidRDefault="00350D42">
            <w:pPr>
              <w:framePr w:w="6581" w:wrap="notBeside" w:vAnchor="text" w:hAnchor="text" w:xAlign="center" w:y="1"/>
            </w:pPr>
          </w:p>
        </w:tc>
        <w:tc>
          <w:tcPr>
            <w:tcW w:w="638" w:type="dxa"/>
            <w:tcBorders>
              <w:top w:val="single" w:sz="4" w:space="0" w:color="auto"/>
              <w:left w:val="single" w:sz="4" w:space="0" w:color="auto"/>
              <w:bottom w:val="single" w:sz="4" w:space="0" w:color="auto"/>
            </w:tcBorders>
            <w:shd w:val="clear" w:color="auto" w:fill="FFFFFF"/>
            <w:vAlign w:val="center"/>
          </w:tcPr>
          <w:p w14:paraId="22063F41" w14:textId="77777777" w:rsidR="00350D42" w:rsidRDefault="008E6F64">
            <w:pPr>
              <w:pStyle w:val="2c"/>
              <w:framePr w:w="6581" w:wrap="notBeside" w:vAnchor="text" w:hAnchor="text" w:xAlign="center" w:y="1"/>
              <w:shd w:val="clear" w:color="auto" w:fill="auto"/>
              <w:spacing w:before="0" w:line="221" w:lineRule="exact"/>
            </w:pPr>
            <w:r>
              <w:rPr>
                <w:rStyle w:val="275pt0"/>
              </w:rPr>
              <w:t>более 75 %</w:t>
            </w:r>
          </w:p>
        </w:tc>
        <w:tc>
          <w:tcPr>
            <w:tcW w:w="778" w:type="dxa"/>
            <w:tcBorders>
              <w:top w:val="single" w:sz="4" w:space="0" w:color="auto"/>
              <w:left w:val="single" w:sz="4" w:space="0" w:color="auto"/>
              <w:bottom w:val="single" w:sz="4" w:space="0" w:color="auto"/>
            </w:tcBorders>
            <w:shd w:val="clear" w:color="auto" w:fill="FFFFFF"/>
          </w:tcPr>
          <w:p w14:paraId="64B56D4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90</w:t>
            </w:r>
          </w:p>
        </w:tc>
        <w:tc>
          <w:tcPr>
            <w:tcW w:w="840" w:type="dxa"/>
            <w:vMerge/>
            <w:tcBorders>
              <w:left w:val="single" w:sz="4" w:space="0" w:color="auto"/>
              <w:bottom w:val="single" w:sz="4" w:space="0" w:color="auto"/>
              <w:right w:val="single" w:sz="4" w:space="0" w:color="auto"/>
            </w:tcBorders>
            <w:shd w:val="clear" w:color="auto" w:fill="FFFFFF"/>
          </w:tcPr>
          <w:p w14:paraId="1F2D9C93" w14:textId="77777777" w:rsidR="00350D42" w:rsidRDefault="00350D42">
            <w:pPr>
              <w:framePr w:w="6581" w:wrap="notBeside" w:vAnchor="text" w:hAnchor="text" w:xAlign="center" w:y="1"/>
            </w:pPr>
          </w:p>
        </w:tc>
      </w:tr>
    </w:tbl>
    <w:p w14:paraId="2E881C2E" w14:textId="77777777" w:rsidR="00350D42" w:rsidRDefault="00350D42">
      <w:pPr>
        <w:framePr w:w="6581" w:wrap="notBeside" w:vAnchor="text" w:hAnchor="text" w:xAlign="center" w:y="1"/>
        <w:rPr>
          <w:sz w:val="2"/>
          <w:szCs w:val="2"/>
        </w:rPr>
      </w:pPr>
    </w:p>
    <w:p w14:paraId="36ADE275" w14:textId="77777777" w:rsidR="00350D42" w:rsidRDefault="00350D42">
      <w:pPr>
        <w:rPr>
          <w:sz w:val="2"/>
          <w:szCs w:val="2"/>
        </w:rPr>
        <w:sectPr w:rsidR="00350D42">
          <w:pgSz w:w="8789" w:h="13493"/>
          <w:pgMar w:top="1197" w:right="1067" w:bottom="1174" w:left="108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1358"/>
        <w:gridCol w:w="1718"/>
        <w:gridCol w:w="638"/>
        <w:gridCol w:w="778"/>
        <w:gridCol w:w="840"/>
      </w:tblGrid>
      <w:tr w:rsidR="00350D42" w14:paraId="3278FA47" w14:textId="77777777">
        <w:trPr>
          <w:trHeight w:hRule="exact" w:val="979"/>
          <w:jc w:val="center"/>
        </w:trPr>
        <w:tc>
          <w:tcPr>
            <w:tcW w:w="4962" w:type="dxa"/>
            <w:gridSpan w:val="4"/>
            <w:tcBorders>
              <w:top w:val="single" w:sz="4" w:space="0" w:color="auto"/>
              <w:left w:val="single" w:sz="4" w:space="0" w:color="auto"/>
            </w:tcBorders>
            <w:shd w:val="clear" w:color="auto" w:fill="FFFFFF"/>
          </w:tcPr>
          <w:p w14:paraId="47D582DD"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lastRenderedPageBreak/>
              <w:t>Показатели по подгруппам</w:t>
            </w:r>
          </w:p>
        </w:tc>
        <w:tc>
          <w:tcPr>
            <w:tcW w:w="778" w:type="dxa"/>
            <w:tcBorders>
              <w:top w:val="single" w:sz="4" w:space="0" w:color="auto"/>
              <w:left w:val="single" w:sz="4" w:space="0" w:color="auto"/>
            </w:tcBorders>
            <w:shd w:val="clear" w:color="auto" w:fill="FFFFFF"/>
            <w:vAlign w:val="center"/>
          </w:tcPr>
          <w:p w14:paraId="650A2263" w14:textId="77777777" w:rsidR="00350D42" w:rsidRDefault="008E6F64">
            <w:pPr>
              <w:pStyle w:val="2c"/>
              <w:framePr w:w="6581" w:wrap="notBeside" w:vAnchor="text" w:hAnchor="text" w:xAlign="center" w:y="1"/>
              <w:shd w:val="clear" w:color="auto" w:fill="auto"/>
              <w:spacing w:before="0" w:line="216" w:lineRule="exact"/>
            </w:pPr>
            <w:r>
              <w:rPr>
                <w:rStyle w:val="275pt"/>
              </w:rPr>
              <w:t>Баллы</w:t>
            </w:r>
          </w:p>
          <w:p w14:paraId="50D62274" w14:textId="77777777" w:rsidR="00350D42" w:rsidRDefault="008E6F64">
            <w:pPr>
              <w:pStyle w:val="2c"/>
              <w:framePr w:w="6581" w:wrap="notBeside" w:vAnchor="text" w:hAnchor="text" w:xAlign="center" w:y="1"/>
              <w:shd w:val="clear" w:color="auto" w:fill="auto"/>
              <w:spacing w:before="0" w:line="216" w:lineRule="exact"/>
            </w:pPr>
            <w:r>
              <w:rPr>
                <w:rStyle w:val="275pt"/>
              </w:rPr>
              <w:t>по под</w:t>
            </w:r>
            <w:r>
              <w:rPr>
                <w:rStyle w:val="275pt"/>
              </w:rPr>
              <w:softHyphen/>
              <w:t>группе</w:t>
            </w:r>
          </w:p>
        </w:tc>
        <w:tc>
          <w:tcPr>
            <w:tcW w:w="840" w:type="dxa"/>
            <w:tcBorders>
              <w:top w:val="single" w:sz="4" w:space="0" w:color="auto"/>
              <w:left w:val="single" w:sz="4" w:space="0" w:color="auto"/>
              <w:right w:val="single" w:sz="4" w:space="0" w:color="auto"/>
            </w:tcBorders>
            <w:shd w:val="clear" w:color="auto" w:fill="FFFFFF"/>
            <w:vAlign w:val="bottom"/>
          </w:tcPr>
          <w:p w14:paraId="41F4AAF6"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Удель</w:t>
            </w:r>
            <w:r>
              <w:rPr>
                <w:rStyle w:val="275pt"/>
              </w:rPr>
              <w:softHyphen/>
              <w:t>ный вес</w:t>
            </w:r>
          </w:p>
          <w:p w14:paraId="624F6BA4" w14:textId="77777777" w:rsidR="00350D42" w:rsidRDefault="008E6F64">
            <w:pPr>
              <w:pStyle w:val="2c"/>
              <w:framePr w:w="6581" w:wrap="notBeside" w:vAnchor="text" w:hAnchor="text" w:xAlign="center" w:y="1"/>
              <w:shd w:val="clear" w:color="auto" w:fill="auto"/>
              <w:spacing w:before="0" w:line="216" w:lineRule="exact"/>
              <w:jc w:val="center"/>
            </w:pPr>
            <w:r>
              <w:rPr>
                <w:rStyle w:val="275pt"/>
              </w:rPr>
              <w:t>под</w:t>
            </w:r>
            <w:r>
              <w:rPr>
                <w:rStyle w:val="275pt"/>
              </w:rPr>
              <w:softHyphen/>
            </w:r>
          </w:p>
          <w:p w14:paraId="1BE16F56" w14:textId="77777777" w:rsidR="00350D42" w:rsidRDefault="008E6F64">
            <w:pPr>
              <w:pStyle w:val="2c"/>
              <w:framePr w:w="6581" w:wrap="notBeside" w:vAnchor="text" w:hAnchor="text" w:xAlign="center" w:y="1"/>
              <w:shd w:val="clear" w:color="auto" w:fill="auto"/>
              <w:spacing w:before="0" w:line="216" w:lineRule="exact"/>
              <w:jc w:val="left"/>
            </w:pPr>
            <w:r>
              <w:rPr>
                <w:rStyle w:val="275pt"/>
              </w:rPr>
              <w:t>группы</w:t>
            </w:r>
          </w:p>
        </w:tc>
      </w:tr>
      <w:tr w:rsidR="00350D42" w14:paraId="6E8369A7" w14:textId="77777777">
        <w:trPr>
          <w:trHeight w:hRule="exact" w:val="1190"/>
          <w:jc w:val="center"/>
        </w:trPr>
        <w:tc>
          <w:tcPr>
            <w:tcW w:w="1248" w:type="dxa"/>
            <w:tcBorders>
              <w:top w:val="single" w:sz="4" w:space="0" w:color="auto"/>
              <w:left w:val="single" w:sz="4" w:space="0" w:color="auto"/>
            </w:tcBorders>
            <w:shd w:val="clear" w:color="auto" w:fill="FFFFFF"/>
          </w:tcPr>
          <w:p w14:paraId="66264CEF" w14:textId="77777777" w:rsidR="00350D42" w:rsidRDefault="00350D42">
            <w:pPr>
              <w:framePr w:w="6581" w:wrap="notBeside" w:vAnchor="text" w:hAnchor="text" w:xAlign="center" w:y="1"/>
              <w:rPr>
                <w:sz w:val="10"/>
                <w:szCs w:val="10"/>
              </w:rPr>
            </w:pPr>
          </w:p>
        </w:tc>
        <w:tc>
          <w:tcPr>
            <w:tcW w:w="1358" w:type="dxa"/>
            <w:tcBorders>
              <w:top w:val="single" w:sz="4" w:space="0" w:color="auto"/>
              <w:left w:val="single" w:sz="4" w:space="0" w:color="auto"/>
            </w:tcBorders>
            <w:shd w:val="clear" w:color="auto" w:fill="FFFFFF"/>
            <w:vAlign w:val="bottom"/>
          </w:tcPr>
          <w:p w14:paraId="6662502D"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продукции (услуг), при этом зна</w:t>
            </w:r>
            <w:r>
              <w:rPr>
                <w:rStyle w:val="275pt0"/>
              </w:rPr>
              <w:softHyphen/>
              <w:t>чимые штраф</w:t>
            </w:r>
            <w:r>
              <w:rPr>
                <w:rStyle w:val="275pt0"/>
              </w:rPr>
              <w:softHyphen/>
              <w:t>ные санкции:</w:t>
            </w:r>
          </w:p>
        </w:tc>
        <w:tc>
          <w:tcPr>
            <w:tcW w:w="1718" w:type="dxa"/>
            <w:tcBorders>
              <w:top w:val="single" w:sz="4" w:space="0" w:color="auto"/>
              <w:left w:val="single" w:sz="4" w:space="0" w:color="auto"/>
            </w:tcBorders>
            <w:shd w:val="clear" w:color="auto" w:fill="FFFFFF"/>
            <w:vAlign w:val="bottom"/>
          </w:tcPr>
          <w:p w14:paraId="64AAC901"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надежными, обе</w:t>
            </w:r>
            <w:r>
              <w:rPr>
                <w:rStyle w:val="275pt0"/>
              </w:rPr>
              <w:softHyphen/>
              <w:t>спечивает погаше</w:t>
            </w:r>
            <w:r>
              <w:rPr>
                <w:rStyle w:val="275pt0"/>
              </w:rPr>
              <w:softHyphen/>
              <w:t>ние кредита в за</w:t>
            </w:r>
            <w:r>
              <w:rPr>
                <w:rStyle w:val="275pt0"/>
              </w:rPr>
              <w:softHyphen/>
              <w:t>планированный срок в объеме:</w:t>
            </w:r>
          </w:p>
        </w:tc>
        <w:tc>
          <w:tcPr>
            <w:tcW w:w="638" w:type="dxa"/>
            <w:tcBorders>
              <w:top w:val="single" w:sz="4" w:space="0" w:color="auto"/>
              <w:left w:val="single" w:sz="4" w:space="0" w:color="auto"/>
            </w:tcBorders>
            <w:shd w:val="clear" w:color="auto" w:fill="FFFFFF"/>
          </w:tcPr>
          <w:p w14:paraId="06EE1278"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100 %</w:t>
            </w:r>
          </w:p>
        </w:tc>
        <w:tc>
          <w:tcPr>
            <w:tcW w:w="778" w:type="dxa"/>
            <w:tcBorders>
              <w:top w:val="single" w:sz="4" w:space="0" w:color="auto"/>
              <w:left w:val="single" w:sz="4" w:space="0" w:color="auto"/>
            </w:tcBorders>
            <w:shd w:val="clear" w:color="auto" w:fill="FFFFFF"/>
          </w:tcPr>
          <w:p w14:paraId="764736A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840" w:type="dxa"/>
            <w:tcBorders>
              <w:top w:val="single" w:sz="4" w:space="0" w:color="auto"/>
              <w:left w:val="single" w:sz="4" w:space="0" w:color="auto"/>
              <w:right w:val="single" w:sz="4" w:space="0" w:color="auto"/>
            </w:tcBorders>
            <w:shd w:val="clear" w:color="auto" w:fill="FFFFFF"/>
          </w:tcPr>
          <w:p w14:paraId="25093D5A" w14:textId="77777777" w:rsidR="00350D42" w:rsidRDefault="00350D42">
            <w:pPr>
              <w:framePr w:w="6581" w:wrap="notBeside" w:vAnchor="text" w:hAnchor="text" w:xAlign="center" w:y="1"/>
              <w:rPr>
                <w:sz w:val="10"/>
                <w:szCs w:val="10"/>
              </w:rPr>
            </w:pPr>
          </w:p>
        </w:tc>
      </w:tr>
      <w:tr w:rsidR="00350D42" w14:paraId="660D59C3" w14:textId="77777777">
        <w:trPr>
          <w:trHeight w:hRule="exact" w:val="542"/>
          <w:jc w:val="center"/>
        </w:trPr>
        <w:tc>
          <w:tcPr>
            <w:tcW w:w="1248" w:type="dxa"/>
            <w:vMerge w:val="restart"/>
            <w:tcBorders>
              <w:top w:val="single" w:sz="4" w:space="0" w:color="auto"/>
              <w:left w:val="single" w:sz="4" w:space="0" w:color="auto"/>
            </w:tcBorders>
            <w:shd w:val="clear" w:color="auto" w:fill="FFFFFF"/>
          </w:tcPr>
          <w:p w14:paraId="42792234"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Планируе</w:t>
            </w:r>
            <w:r>
              <w:rPr>
                <w:rStyle w:val="275pt0"/>
              </w:rPr>
              <w:softHyphen/>
              <w:t>мый уровень операцион</w:t>
            </w:r>
            <w:r>
              <w:rPr>
                <w:rStyle w:val="275pt0"/>
              </w:rPr>
              <w:softHyphen/>
              <w:t>ных затрат:</w:t>
            </w:r>
          </w:p>
        </w:tc>
        <w:tc>
          <w:tcPr>
            <w:tcW w:w="3076" w:type="dxa"/>
            <w:gridSpan w:val="2"/>
            <w:tcBorders>
              <w:top w:val="single" w:sz="4" w:space="0" w:color="auto"/>
              <w:left w:val="single" w:sz="4" w:space="0" w:color="auto"/>
            </w:tcBorders>
            <w:shd w:val="clear" w:color="auto" w:fill="FFFFFF"/>
            <w:vAlign w:val="center"/>
          </w:tcPr>
          <w:p w14:paraId="3C220C84" w14:textId="77777777" w:rsidR="00350D42" w:rsidRDefault="008E6F64">
            <w:pPr>
              <w:pStyle w:val="2c"/>
              <w:framePr w:w="6581" w:wrap="notBeside" w:vAnchor="text" w:hAnchor="text" w:xAlign="center" w:y="1"/>
              <w:shd w:val="clear" w:color="auto" w:fill="auto"/>
              <w:spacing w:before="0" w:line="216" w:lineRule="exact"/>
            </w:pPr>
            <w:r>
              <w:rPr>
                <w:rStyle w:val="275pt0"/>
              </w:rPr>
              <w:t>выше уровня конкурентов или дан</w:t>
            </w:r>
            <w:r>
              <w:rPr>
                <w:rStyle w:val="275pt0"/>
              </w:rPr>
              <w:softHyphen/>
              <w:t>ные отсутствуют</w:t>
            </w:r>
          </w:p>
        </w:tc>
        <w:tc>
          <w:tcPr>
            <w:tcW w:w="638" w:type="dxa"/>
            <w:tcBorders>
              <w:top w:val="single" w:sz="4" w:space="0" w:color="auto"/>
              <w:left w:val="single" w:sz="4" w:space="0" w:color="auto"/>
            </w:tcBorders>
            <w:shd w:val="clear" w:color="auto" w:fill="FFFFFF"/>
          </w:tcPr>
          <w:p w14:paraId="014705D0" w14:textId="77777777" w:rsidR="00350D42" w:rsidRDefault="00350D42">
            <w:pPr>
              <w:framePr w:w="6581"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center"/>
          </w:tcPr>
          <w:p w14:paraId="1CB6B89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840" w:type="dxa"/>
            <w:vMerge w:val="restart"/>
            <w:tcBorders>
              <w:top w:val="single" w:sz="4" w:space="0" w:color="auto"/>
              <w:left w:val="single" w:sz="4" w:space="0" w:color="auto"/>
              <w:right w:val="single" w:sz="4" w:space="0" w:color="auto"/>
            </w:tcBorders>
            <w:shd w:val="clear" w:color="auto" w:fill="FFFFFF"/>
          </w:tcPr>
          <w:p w14:paraId="28D3F29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2DF10BB1" w14:textId="77777777">
        <w:trPr>
          <w:trHeight w:hRule="exact" w:val="322"/>
          <w:jc w:val="center"/>
        </w:trPr>
        <w:tc>
          <w:tcPr>
            <w:tcW w:w="1248" w:type="dxa"/>
            <w:vMerge/>
            <w:tcBorders>
              <w:left w:val="single" w:sz="4" w:space="0" w:color="auto"/>
            </w:tcBorders>
            <w:shd w:val="clear" w:color="auto" w:fill="FFFFFF"/>
          </w:tcPr>
          <w:p w14:paraId="29396F10" w14:textId="77777777" w:rsidR="00350D42" w:rsidRDefault="00350D42">
            <w:pPr>
              <w:framePr w:w="6581" w:wrap="notBeside" w:vAnchor="text" w:hAnchor="text" w:xAlign="center" w:y="1"/>
            </w:pPr>
          </w:p>
        </w:tc>
        <w:tc>
          <w:tcPr>
            <w:tcW w:w="3076" w:type="dxa"/>
            <w:gridSpan w:val="2"/>
            <w:tcBorders>
              <w:top w:val="single" w:sz="4" w:space="0" w:color="auto"/>
              <w:left w:val="single" w:sz="4" w:space="0" w:color="auto"/>
            </w:tcBorders>
            <w:shd w:val="clear" w:color="auto" w:fill="FFFFFF"/>
            <w:vAlign w:val="bottom"/>
          </w:tcPr>
          <w:p w14:paraId="1B66731C" w14:textId="77777777" w:rsidR="00350D42" w:rsidRDefault="008E6F64">
            <w:pPr>
              <w:pStyle w:val="2c"/>
              <w:framePr w:w="6581" w:wrap="notBeside" w:vAnchor="text" w:hAnchor="text" w:xAlign="center" w:y="1"/>
              <w:shd w:val="clear" w:color="auto" w:fill="auto"/>
              <w:spacing w:before="0" w:line="168" w:lineRule="exact"/>
            </w:pPr>
            <w:r>
              <w:rPr>
                <w:rStyle w:val="275pt0"/>
              </w:rPr>
              <w:t>соответствует уровню конкурентов</w:t>
            </w:r>
          </w:p>
        </w:tc>
        <w:tc>
          <w:tcPr>
            <w:tcW w:w="638" w:type="dxa"/>
            <w:tcBorders>
              <w:top w:val="single" w:sz="4" w:space="0" w:color="auto"/>
              <w:left w:val="single" w:sz="4" w:space="0" w:color="auto"/>
            </w:tcBorders>
            <w:shd w:val="clear" w:color="auto" w:fill="FFFFFF"/>
          </w:tcPr>
          <w:p w14:paraId="445AB8C9" w14:textId="77777777" w:rsidR="00350D42" w:rsidRDefault="00350D42">
            <w:pPr>
              <w:framePr w:w="6581"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14:paraId="676FD90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c>
          <w:tcPr>
            <w:tcW w:w="840" w:type="dxa"/>
            <w:vMerge/>
            <w:tcBorders>
              <w:left w:val="single" w:sz="4" w:space="0" w:color="auto"/>
              <w:right w:val="single" w:sz="4" w:space="0" w:color="auto"/>
            </w:tcBorders>
            <w:shd w:val="clear" w:color="auto" w:fill="FFFFFF"/>
          </w:tcPr>
          <w:p w14:paraId="48E5AB7F" w14:textId="77777777" w:rsidR="00350D42" w:rsidRDefault="00350D42">
            <w:pPr>
              <w:framePr w:w="6581" w:wrap="notBeside" w:vAnchor="text" w:hAnchor="text" w:xAlign="center" w:y="1"/>
            </w:pPr>
          </w:p>
        </w:tc>
      </w:tr>
      <w:tr w:rsidR="00350D42" w14:paraId="73A096BF" w14:textId="77777777">
        <w:trPr>
          <w:trHeight w:hRule="exact" w:val="326"/>
          <w:jc w:val="center"/>
        </w:trPr>
        <w:tc>
          <w:tcPr>
            <w:tcW w:w="1248" w:type="dxa"/>
            <w:vMerge/>
            <w:tcBorders>
              <w:left w:val="single" w:sz="4" w:space="0" w:color="auto"/>
            </w:tcBorders>
            <w:shd w:val="clear" w:color="auto" w:fill="FFFFFF"/>
          </w:tcPr>
          <w:p w14:paraId="135A5600" w14:textId="77777777" w:rsidR="00350D42" w:rsidRDefault="00350D42">
            <w:pPr>
              <w:framePr w:w="6581" w:wrap="notBeside" w:vAnchor="text" w:hAnchor="text" w:xAlign="center" w:y="1"/>
            </w:pPr>
          </w:p>
        </w:tc>
        <w:tc>
          <w:tcPr>
            <w:tcW w:w="3076" w:type="dxa"/>
            <w:gridSpan w:val="2"/>
            <w:tcBorders>
              <w:top w:val="single" w:sz="4" w:space="0" w:color="auto"/>
              <w:left w:val="single" w:sz="4" w:space="0" w:color="auto"/>
            </w:tcBorders>
            <w:shd w:val="clear" w:color="auto" w:fill="FFFFFF"/>
            <w:vAlign w:val="bottom"/>
          </w:tcPr>
          <w:p w14:paraId="0BA20988" w14:textId="77777777" w:rsidR="00350D42" w:rsidRDefault="008E6F64">
            <w:pPr>
              <w:pStyle w:val="2c"/>
              <w:framePr w:w="6581" w:wrap="notBeside" w:vAnchor="text" w:hAnchor="text" w:xAlign="center" w:y="1"/>
              <w:shd w:val="clear" w:color="auto" w:fill="auto"/>
              <w:spacing w:before="0" w:line="168" w:lineRule="exact"/>
            </w:pPr>
            <w:r>
              <w:rPr>
                <w:rStyle w:val="275pt0"/>
              </w:rPr>
              <w:t>ниже, чем у конкурентов</w:t>
            </w:r>
          </w:p>
        </w:tc>
        <w:tc>
          <w:tcPr>
            <w:tcW w:w="638" w:type="dxa"/>
            <w:tcBorders>
              <w:top w:val="single" w:sz="4" w:space="0" w:color="auto"/>
              <w:left w:val="single" w:sz="4" w:space="0" w:color="auto"/>
            </w:tcBorders>
            <w:shd w:val="clear" w:color="auto" w:fill="FFFFFF"/>
          </w:tcPr>
          <w:p w14:paraId="62545D7A" w14:textId="77777777" w:rsidR="00350D42" w:rsidRDefault="00350D42">
            <w:pPr>
              <w:framePr w:w="6581" w:wrap="notBeside" w:vAnchor="text" w:hAnchor="text" w:xAlign="center" w:y="1"/>
              <w:rPr>
                <w:sz w:val="10"/>
                <w:szCs w:val="10"/>
              </w:rPr>
            </w:pPr>
          </w:p>
        </w:tc>
        <w:tc>
          <w:tcPr>
            <w:tcW w:w="778" w:type="dxa"/>
            <w:tcBorders>
              <w:top w:val="single" w:sz="4" w:space="0" w:color="auto"/>
              <w:left w:val="single" w:sz="4" w:space="0" w:color="auto"/>
            </w:tcBorders>
            <w:shd w:val="clear" w:color="auto" w:fill="FFFFFF"/>
            <w:vAlign w:val="bottom"/>
          </w:tcPr>
          <w:p w14:paraId="5992FE9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840" w:type="dxa"/>
            <w:vMerge/>
            <w:tcBorders>
              <w:left w:val="single" w:sz="4" w:space="0" w:color="auto"/>
              <w:right w:val="single" w:sz="4" w:space="0" w:color="auto"/>
            </w:tcBorders>
            <w:shd w:val="clear" w:color="auto" w:fill="FFFFFF"/>
          </w:tcPr>
          <w:p w14:paraId="773CD411" w14:textId="77777777" w:rsidR="00350D42" w:rsidRDefault="00350D42">
            <w:pPr>
              <w:framePr w:w="6581" w:wrap="notBeside" w:vAnchor="text" w:hAnchor="text" w:xAlign="center" w:y="1"/>
            </w:pPr>
          </w:p>
        </w:tc>
      </w:tr>
      <w:tr w:rsidR="00350D42" w14:paraId="16D20105" w14:textId="77777777">
        <w:trPr>
          <w:trHeight w:hRule="exact" w:val="974"/>
          <w:jc w:val="center"/>
        </w:trPr>
        <w:tc>
          <w:tcPr>
            <w:tcW w:w="4962" w:type="dxa"/>
            <w:gridSpan w:val="4"/>
            <w:tcBorders>
              <w:top w:val="single" w:sz="4" w:space="0" w:color="auto"/>
              <w:left w:val="single" w:sz="4" w:space="0" w:color="auto"/>
            </w:tcBorders>
            <w:shd w:val="clear" w:color="auto" w:fill="FFFFFF"/>
            <w:vAlign w:val="center"/>
          </w:tcPr>
          <w:p w14:paraId="72C3FFEA" w14:textId="77777777" w:rsidR="00350D42" w:rsidRDefault="008E6F64">
            <w:pPr>
              <w:pStyle w:val="2c"/>
              <w:framePr w:w="6581" w:wrap="notBeside" w:vAnchor="text" w:hAnchor="text" w:xAlign="center" w:y="1"/>
              <w:shd w:val="clear" w:color="auto" w:fill="auto"/>
              <w:spacing w:before="0" w:line="216" w:lineRule="exact"/>
            </w:pPr>
            <w:r>
              <w:rPr>
                <w:rStyle w:val="275pt0"/>
              </w:rPr>
              <w:t>Рынок характеризуется высоким уровнем конкуренции, возможность реализации продукции (услуг) в планируе</w:t>
            </w:r>
            <w:r>
              <w:rPr>
                <w:rStyle w:val="275pt0"/>
              </w:rPr>
              <w:softHyphen/>
              <w:t>мых объемах на основе исследования рынка представля</w:t>
            </w:r>
            <w:r>
              <w:rPr>
                <w:rStyle w:val="275pt0"/>
              </w:rPr>
              <w:softHyphen/>
              <w:t>ется сомнительной</w:t>
            </w:r>
          </w:p>
        </w:tc>
        <w:tc>
          <w:tcPr>
            <w:tcW w:w="778" w:type="dxa"/>
            <w:tcBorders>
              <w:top w:val="single" w:sz="4" w:space="0" w:color="auto"/>
              <w:left w:val="single" w:sz="4" w:space="0" w:color="auto"/>
            </w:tcBorders>
            <w:shd w:val="clear" w:color="auto" w:fill="FFFFFF"/>
          </w:tcPr>
          <w:p w14:paraId="643DAED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840" w:type="dxa"/>
            <w:vMerge w:val="restart"/>
            <w:tcBorders>
              <w:top w:val="single" w:sz="4" w:space="0" w:color="auto"/>
              <w:left w:val="single" w:sz="4" w:space="0" w:color="auto"/>
              <w:right w:val="single" w:sz="4" w:space="0" w:color="auto"/>
            </w:tcBorders>
            <w:shd w:val="clear" w:color="auto" w:fill="FFFFFF"/>
          </w:tcPr>
          <w:p w14:paraId="2D6856A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0,6</w:t>
            </w:r>
          </w:p>
        </w:tc>
      </w:tr>
      <w:tr w:rsidR="00350D42" w14:paraId="6AE3B94D" w14:textId="77777777">
        <w:trPr>
          <w:trHeight w:hRule="exact" w:val="758"/>
          <w:jc w:val="center"/>
        </w:trPr>
        <w:tc>
          <w:tcPr>
            <w:tcW w:w="4962" w:type="dxa"/>
            <w:gridSpan w:val="4"/>
            <w:tcBorders>
              <w:top w:val="single" w:sz="4" w:space="0" w:color="auto"/>
              <w:left w:val="single" w:sz="4" w:space="0" w:color="auto"/>
            </w:tcBorders>
            <w:shd w:val="clear" w:color="auto" w:fill="FFFFFF"/>
            <w:vAlign w:val="center"/>
          </w:tcPr>
          <w:p w14:paraId="117DCBF3"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Рынок характеризуется умеренной конкуренцией, воз</w:t>
            </w:r>
            <w:r>
              <w:rPr>
                <w:rStyle w:val="275pt0"/>
              </w:rPr>
              <w:softHyphen/>
              <w:t>можность реализации продукции (услуг) в планируемых объемах возможна, но не однозначна</w:t>
            </w:r>
          </w:p>
        </w:tc>
        <w:tc>
          <w:tcPr>
            <w:tcW w:w="778" w:type="dxa"/>
            <w:tcBorders>
              <w:top w:val="single" w:sz="4" w:space="0" w:color="auto"/>
              <w:left w:val="single" w:sz="4" w:space="0" w:color="auto"/>
            </w:tcBorders>
            <w:shd w:val="clear" w:color="auto" w:fill="FFFFFF"/>
          </w:tcPr>
          <w:p w14:paraId="2205E66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80</w:t>
            </w:r>
          </w:p>
        </w:tc>
        <w:tc>
          <w:tcPr>
            <w:tcW w:w="840" w:type="dxa"/>
            <w:vMerge/>
            <w:tcBorders>
              <w:left w:val="single" w:sz="4" w:space="0" w:color="auto"/>
              <w:right w:val="single" w:sz="4" w:space="0" w:color="auto"/>
            </w:tcBorders>
            <w:shd w:val="clear" w:color="auto" w:fill="FFFFFF"/>
          </w:tcPr>
          <w:p w14:paraId="5765791A" w14:textId="77777777" w:rsidR="00350D42" w:rsidRDefault="00350D42">
            <w:pPr>
              <w:framePr w:w="6581" w:wrap="notBeside" w:vAnchor="text" w:hAnchor="text" w:xAlign="center" w:y="1"/>
            </w:pPr>
          </w:p>
        </w:tc>
      </w:tr>
      <w:tr w:rsidR="00350D42" w14:paraId="31C2A4E9" w14:textId="77777777">
        <w:trPr>
          <w:trHeight w:hRule="exact" w:val="768"/>
          <w:jc w:val="center"/>
        </w:trPr>
        <w:tc>
          <w:tcPr>
            <w:tcW w:w="4962" w:type="dxa"/>
            <w:gridSpan w:val="4"/>
            <w:tcBorders>
              <w:top w:val="single" w:sz="4" w:space="0" w:color="auto"/>
              <w:left w:val="single" w:sz="4" w:space="0" w:color="auto"/>
              <w:bottom w:val="single" w:sz="4" w:space="0" w:color="auto"/>
            </w:tcBorders>
            <w:shd w:val="clear" w:color="auto" w:fill="FFFFFF"/>
            <w:vAlign w:val="center"/>
          </w:tcPr>
          <w:p w14:paraId="3D48BD87"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На продукцию существует значительный спрос, существу</w:t>
            </w:r>
            <w:r>
              <w:rPr>
                <w:rStyle w:val="275pt0"/>
              </w:rPr>
              <w:softHyphen/>
              <w:t>ющие прогнозы подтверждают возможность реализации продукции (услуг) в планируемых объемах</w:t>
            </w:r>
          </w:p>
        </w:tc>
        <w:tc>
          <w:tcPr>
            <w:tcW w:w="778" w:type="dxa"/>
            <w:tcBorders>
              <w:top w:val="single" w:sz="4" w:space="0" w:color="auto"/>
              <w:left w:val="single" w:sz="4" w:space="0" w:color="auto"/>
              <w:bottom w:val="single" w:sz="4" w:space="0" w:color="auto"/>
            </w:tcBorders>
            <w:shd w:val="clear" w:color="auto" w:fill="FFFFFF"/>
          </w:tcPr>
          <w:p w14:paraId="2A9BB5F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840" w:type="dxa"/>
            <w:vMerge/>
            <w:tcBorders>
              <w:left w:val="single" w:sz="4" w:space="0" w:color="auto"/>
              <w:bottom w:val="single" w:sz="4" w:space="0" w:color="auto"/>
              <w:right w:val="single" w:sz="4" w:space="0" w:color="auto"/>
            </w:tcBorders>
            <w:shd w:val="clear" w:color="auto" w:fill="FFFFFF"/>
          </w:tcPr>
          <w:p w14:paraId="329FA67C" w14:textId="77777777" w:rsidR="00350D42" w:rsidRDefault="00350D42">
            <w:pPr>
              <w:framePr w:w="6581" w:wrap="notBeside" w:vAnchor="text" w:hAnchor="text" w:xAlign="center" w:y="1"/>
            </w:pPr>
          </w:p>
        </w:tc>
      </w:tr>
    </w:tbl>
    <w:p w14:paraId="133D4B86" w14:textId="77777777" w:rsidR="00350D42" w:rsidRDefault="00350D42">
      <w:pPr>
        <w:framePr w:w="6581" w:wrap="notBeside" w:vAnchor="text" w:hAnchor="text" w:xAlign="center" w:y="1"/>
        <w:rPr>
          <w:sz w:val="2"/>
          <w:szCs w:val="2"/>
        </w:rPr>
      </w:pPr>
    </w:p>
    <w:p w14:paraId="31871518" w14:textId="77777777" w:rsidR="00350D42" w:rsidRDefault="00350D42">
      <w:pPr>
        <w:rPr>
          <w:sz w:val="2"/>
          <w:szCs w:val="2"/>
        </w:rPr>
      </w:pPr>
    </w:p>
    <w:p w14:paraId="26410326" w14:textId="77777777" w:rsidR="00350D42" w:rsidRDefault="008E6F64">
      <w:pPr>
        <w:pStyle w:val="111"/>
        <w:shd w:val="clear" w:color="auto" w:fill="auto"/>
        <w:spacing w:before="99" w:after="0" w:line="250" w:lineRule="exact"/>
        <w:ind w:firstLine="320"/>
        <w:jc w:val="both"/>
      </w:pPr>
      <w:r>
        <w:rPr>
          <w:rStyle w:val="113"/>
          <w:b/>
          <w:bCs/>
        </w:rPr>
        <w:t>При этом договоры, заключенные на условиях, которые не соот</w:t>
      </w:r>
      <w:r>
        <w:rPr>
          <w:rStyle w:val="113"/>
          <w:b/>
          <w:bCs/>
        </w:rPr>
        <w:softHyphen/>
        <w:t>ветствуют или не будут соответствовать рыночным (к моменту за</w:t>
      </w:r>
      <w:r>
        <w:rPr>
          <w:rStyle w:val="113"/>
          <w:b/>
          <w:bCs/>
        </w:rPr>
        <w:softHyphen/>
        <w:t>вершения инвестиционной стадии), вполне возможно, будут оспо</w:t>
      </w:r>
      <w:r>
        <w:rPr>
          <w:rStyle w:val="113"/>
          <w:b/>
          <w:bCs/>
        </w:rPr>
        <w:softHyphen/>
        <w:t>рены покупателями. Поэтому вероятность их выполнения (помимо надежности покупателей) в значительной степени определяется прогнозируемой ситуацией на рынке (которая еще более значима для подтверждения возможности реализации объема продукции (услуг), не покрываемого договорами).</w:t>
      </w:r>
    </w:p>
    <w:p w14:paraId="2722A2F2" w14:textId="77777777" w:rsidR="00350D42" w:rsidRDefault="008E6F64">
      <w:pPr>
        <w:pStyle w:val="111"/>
        <w:shd w:val="clear" w:color="auto" w:fill="auto"/>
        <w:spacing w:before="0" w:after="0" w:line="250" w:lineRule="exact"/>
        <w:ind w:firstLine="320"/>
        <w:jc w:val="both"/>
      </w:pPr>
      <w:r>
        <w:rPr>
          <w:rStyle w:val="113"/>
          <w:b/>
          <w:bCs/>
        </w:rPr>
        <w:t>Некоторой дополнительной гарантией возможности инициато</w:t>
      </w:r>
      <w:r>
        <w:rPr>
          <w:rStyle w:val="113"/>
          <w:b/>
          <w:bCs/>
        </w:rPr>
        <w:softHyphen/>
        <w:t>ра обеспечивать положительный финансовый результат является благоприятное соотношение уровня его операционных издержек с уровнем конкурентов.</w:t>
      </w:r>
    </w:p>
    <w:p w14:paraId="76D1E518" w14:textId="77777777" w:rsidR="00350D42" w:rsidRDefault="008E6F64">
      <w:pPr>
        <w:pStyle w:val="111"/>
        <w:shd w:val="clear" w:color="auto" w:fill="auto"/>
        <w:spacing w:before="0" w:after="0" w:line="250" w:lineRule="exact"/>
        <w:ind w:firstLine="320"/>
        <w:jc w:val="both"/>
      </w:pPr>
      <w:r>
        <w:rPr>
          <w:rStyle w:val="113"/>
          <w:b/>
          <w:bCs/>
        </w:rPr>
        <w:t>Для определения возможности финансирования проекта и выбо</w:t>
      </w:r>
      <w:r>
        <w:rPr>
          <w:rStyle w:val="113"/>
          <w:b/>
          <w:bCs/>
        </w:rPr>
        <w:softHyphen/>
        <w:t>ра соответствующего значения критерия может учитываться:</w:t>
      </w:r>
    </w:p>
    <w:p w14:paraId="6D4EB8FC" w14:textId="77777777" w:rsidR="00350D42" w:rsidRDefault="008E6F64">
      <w:pPr>
        <w:pStyle w:val="111"/>
        <w:numPr>
          <w:ilvl w:val="0"/>
          <w:numId w:val="162"/>
        </w:numPr>
        <w:shd w:val="clear" w:color="auto" w:fill="auto"/>
        <w:tabs>
          <w:tab w:val="left" w:pos="625"/>
        </w:tabs>
        <w:spacing w:before="0" w:after="0" w:line="250" w:lineRule="exact"/>
        <w:ind w:firstLine="320"/>
        <w:jc w:val="both"/>
      </w:pPr>
      <w:r>
        <w:rPr>
          <w:rStyle w:val="113"/>
          <w:b/>
          <w:bCs/>
        </w:rPr>
        <w:t>наличие документов, частично заменяющих договоры на сбыт (например, соглашения с органами власти, в которых содержится обязательство оказать содействие в организации сбыта продукции (услуг); предварительные договоры на сбыт и т. д.);</w:t>
      </w:r>
    </w:p>
    <w:p w14:paraId="001B91B7" w14:textId="77777777" w:rsidR="00350D42" w:rsidRDefault="008E6F64">
      <w:pPr>
        <w:pStyle w:val="111"/>
        <w:numPr>
          <w:ilvl w:val="0"/>
          <w:numId w:val="162"/>
        </w:numPr>
        <w:shd w:val="clear" w:color="auto" w:fill="auto"/>
        <w:tabs>
          <w:tab w:val="left" w:pos="630"/>
        </w:tabs>
        <w:spacing w:before="0" w:after="0" w:line="250" w:lineRule="exact"/>
        <w:ind w:firstLine="320"/>
        <w:jc w:val="both"/>
        <w:sectPr w:rsidR="00350D42">
          <w:headerReference w:type="even" r:id="rId201"/>
          <w:headerReference w:type="default" r:id="rId202"/>
          <w:footerReference w:type="even" r:id="rId203"/>
          <w:footerReference w:type="default" r:id="rId204"/>
          <w:headerReference w:type="first" r:id="rId205"/>
          <w:footerReference w:type="first" r:id="rId206"/>
          <w:pgSz w:w="8789" w:h="13493"/>
          <w:pgMar w:top="1197" w:right="1067" w:bottom="1174" w:left="1084" w:header="0" w:footer="3" w:gutter="0"/>
          <w:cols w:space="720"/>
          <w:noEndnote/>
          <w:titlePg/>
          <w:docGrid w:linePitch="360"/>
        </w:sectPr>
      </w:pPr>
      <w:r>
        <w:rPr>
          <w:rStyle w:val="113"/>
          <w:b/>
          <w:bCs/>
        </w:rPr>
        <w:t>наличие подтверждений технической возможности осущест</w:t>
      </w:r>
      <w:r>
        <w:rPr>
          <w:rStyle w:val="113"/>
          <w:b/>
          <w:bCs/>
        </w:rPr>
        <w:softHyphen/>
        <w:t>влять сбыт продукции (например, возможности принимать электро-</w:t>
      </w:r>
    </w:p>
    <w:p w14:paraId="3CB1B7D4" w14:textId="77777777" w:rsidR="00350D42" w:rsidRDefault="008E6F64">
      <w:pPr>
        <w:pStyle w:val="111"/>
        <w:shd w:val="clear" w:color="auto" w:fill="auto"/>
        <w:spacing w:before="0" w:after="0" w:line="250" w:lineRule="exact"/>
        <w:jc w:val="both"/>
      </w:pPr>
      <w:r>
        <w:rPr>
          <w:rStyle w:val="113"/>
          <w:b/>
          <w:bCs/>
        </w:rPr>
        <w:lastRenderedPageBreak/>
        <w:t>энергию в сеть в определенной точке, отсутствие планов по запре</w:t>
      </w:r>
      <w:r>
        <w:rPr>
          <w:rStyle w:val="113"/>
          <w:b/>
          <w:bCs/>
        </w:rPr>
        <w:softHyphen/>
        <w:t>ту на доступ грузового автотранспорта в соответствующий район и т. д.);</w:t>
      </w:r>
    </w:p>
    <w:p w14:paraId="08E60927" w14:textId="77777777" w:rsidR="00350D42" w:rsidRDefault="008E6F64">
      <w:pPr>
        <w:pStyle w:val="111"/>
        <w:numPr>
          <w:ilvl w:val="0"/>
          <w:numId w:val="162"/>
        </w:numPr>
        <w:shd w:val="clear" w:color="auto" w:fill="auto"/>
        <w:tabs>
          <w:tab w:val="left" w:pos="631"/>
        </w:tabs>
        <w:spacing w:before="0" w:after="0" w:line="250" w:lineRule="exact"/>
        <w:ind w:firstLine="320"/>
        <w:jc w:val="both"/>
      </w:pPr>
      <w:r>
        <w:rPr>
          <w:rStyle w:val="113"/>
          <w:b/>
          <w:bCs/>
        </w:rPr>
        <w:t>существующая отраслевая практика в отношении заключе</w:t>
      </w:r>
      <w:r>
        <w:rPr>
          <w:rStyle w:val="113"/>
          <w:b/>
          <w:bCs/>
        </w:rPr>
        <w:softHyphen/>
        <w:t>ния долгосрочных договоров на сбыт;</w:t>
      </w:r>
    </w:p>
    <w:p w14:paraId="7BF9C374" w14:textId="77777777" w:rsidR="00350D42" w:rsidRDefault="008E6F64">
      <w:pPr>
        <w:pStyle w:val="111"/>
        <w:numPr>
          <w:ilvl w:val="0"/>
          <w:numId w:val="162"/>
        </w:numPr>
        <w:shd w:val="clear" w:color="auto" w:fill="auto"/>
        <w:tabs>
          <w:tab w:val="left" w:pos="631"/>
        </w:tabs>
        <w:spacing w:before="0" w:after="0" w:line="250" w:lineRule="exact"/>
        <w:ind w:firstLine="320"/>
        <w:jc w:val="both"/>
      </w:pPr>
      <w:r>
        <w:rPr>
          <w:rStyle w:val="113"/>
          <w:b/>
          <w:bCs/>
        </w:rPr>
        <w:t>объемы выручки контрагентов (покупателей), данные отчет</w:t>
      </w:r>
      <w:r>
        <w:rPr>
          <w:rStyle w:val="113"/>
          <w:b/>
          <w:bCs/>
        </w:rPr>
        <w:softHyphen/>
        <w:t>ности (при наличии), их известность, репутация;</w:t>
      </w:r>
    </w:p>
    <w:p w14:paraId="37CC3260" w14:textId="77777777" w:rsidR="00350D42" w:rsidRDefault="008E6F64">
      <w:pPr>
        <w:pStyle w:val="111"/>
        <w:numPr>
          <w:ilvl w:val="0"/>
          <w:numId w:val="162"/>
        </w:numPr>
        <w:shd w:val="clear" w:color="auto" w:fill="auto"/>
        <w:tabs>
          <w:tab w:val="left" w:pos="631"/>
        </w:tabs>
        <w:spacing w:before="0" w:after="0" w:line="250" w:lineRule="exact"/>
        <w:ind w:firstLine="320"/>
        <w:jc w:val="both"/>
      </w:pPr>
      <w:r>
        <w:rPr>
          <w:rStyle w:val="113"/>
          <w:b/>
          <w:bCs/>
        </w:rPr>
        <w:t>соотношение размера штрафных санкций, предусмотренных в договоре, и объемов оборота покупателей;</w:t>
      </w:r>
    </w:p>
    <w:p w14:paraId="2FB562D2" w14:textId="77777777" w:rsidR="00350D42" w:rsidRDefault="008E6F64">
      <w:pPr>
        <w:pStyle w:val="111"/>
        <w:numPr>
          <w:ilvl w:val="0"/>
          <w:numId w:val="162"/>
        </w:numPr>
        <w:shd w:val="clear" w:color="auto" w:fill="auto"/>
        <w:tabs>
          <w:tab w:val="left" w:pos="631"/>
        </w:tabs>
        <w:spacing w:before="0" w:after="0" w:line="250" w:lineRule="exact"/>
        <w:ind w:firstLine="320"/>
        <w:jc w:val="both"/>
      </w:pPr>
      <w:r>
        <w:rPr>
          <w:rStyle w:val="113"/>
          <w:b/>
          <w:bCs/>
        </w:rPr>
        <w:t>результаты имитационного моделирования с использовани</w:t>
      </w:r>
      <w:r>
        <w:rPr>
          <w:rStyle w:val="113"/>
          <w:b/>
          <w:bCs/>
        </w:rPr>
        <w:softHyphen/>
        <w:t>ем финансово-экономической модели (в отношении выявления объ</w:t>
      </w:r>
      <w:r>
        <w:rPr>
          <w:rStyle w:val="113"/>
          <w:b/>
          <w:bCs/>
        </w:rPr>
        <w:softHyphen/>
        <w:t>ема реализации, обеспечивающего погашение кредита);</w:t>
      </w:r>
    </w:p>
    <w:p w14:paraId="5C9CD2E0" w14:textId="77777777" w:rsidR="00350D42" w:rsidRDefault="008E6F64">
      <w:pPr>
        <w:pStyle w:val="111"/>
        <w:numPr>
          <w:ilvl w:val="0"/>
          <w:numId w:val="162"/>
        </w:numPr>
        <w:shd w:val="clear" w:color="auto" w:fill="auto"/>
        <w:tabs>
          <w:tab w:val="left" w:pos="631"/>
        </w:tabs>
        <w:spacing w:before="0" w:after="0" w:line="250" w:lineRule="exact"/>
        <w:ind w:firstLine="320"/>
        <w:jc w:val="both"/>
      </w:pPr>
      <w:r>
        <w:rPr>
          <w:rStyle w:val="113"/>
          <w:b/>
          <w:bCs/>
        </w:rPr>
        <w:t>среднеотраслевой уровень операционных затрат на основе отраслевых обзоров и прогнозов;</w:t>
      </w:r>
    </w:p>
    <w:p w14:paraId="0752CB3F" w14:textId="77777777" w:rsidR="00350D42" w:rsidRDefault="008E6F64">
      <w:pPr>
        <w:pStyle w:val="111"/>
        <w:numPr>
          <w:ilvl w:val="0"/>
          <w:numId w:val="162"/>
        </w:numPr>
        <w:shd w:val="clear" w:color="auto" w:fill="auto"/>
        <w:tabs>
          <w:tab w:val="left" w:pos="631"/>
        </w:tabs>
        <w:spacing w:before="0" w:after="0" w:line="250" w:lineRule="exact"/>
        <w:ind w:firstLine="320"/>
        <w:jc w:val="both"/>
      </w:pPr>
      <w:r>
        <w:rPr>
          <w:rStyle w:val="113"/>
          <w:b/>
          <w:bCs/>
        </w:rPr>
        <w:t>данные отчетности основных конкурентов (представленной на их сайтах, на серверах раскрытия информации);</w:t>
      </w:r>
    </w:p>
    <w:p w14:paraId="0E4BEAA2" w14:textId="77777777" w:rsidR="00350D42" w:rsidRDefault="008E6F64">
      <w:pPr>
        <w:pStyle w:val="111"/>
        <w:numPr>
          <w:ilvl w:val="0"/>
          <w:numId w:val="162"/>
        </w:numPr>
        <w:shd w:val="clear" w:color="auto" w:fill="auto"/>
        <w:tabs>
          <w:tab w:val="left" w:pos="631"/>
        </w:tabs>
        <w:spacing w:before="0" w:after="0" w:line="250" w:lineRule="exact"/>
        <w:ind w:firstLine="320"/>
        <w:jc w:val="both"/>
      </w:pPr>
      <w:r>
        <w:rPr>
          <w:rStyle w:val="113"/>
          <w:b/>
          <w:bCs/>
        </w:rPr>
        <w:t>характеристики эффективности оборудования, используемо</w:t>
      </w:r>
      <w:r>
        <w:rPr>
          <w:rStyle w:val="113"/>
          <w:b/>
          <w:bCs/>
        </w:rPr>
        <w:softHyphen/>
        <w:t>го основными конкурентами или характерного в целом для отрасли;</w:t>
      </w:r>
    </w:p>
    <w:p w14:paraId="11750BEA" w14:textId="77777777" w:rsidR="00350D42" w:rsidRDefault="008E6F64">
      <w:pPr>
        <w:pStyle w:val="111"/>
        <w:numPr>
          <w:ilvl w:val="0"/>
          <w:numId w:val="162"/>
        </w:numPr>
        <w:shd w:val="clear" w:color="auto" w:fill="auto"/>
        <w:tabs>
          <w:tab w:val="left" w:pos="634"/>
        </w:tabs>
        <w:spacing w:before="0" w:after="0" w:line="250" w:lineRule="exact"/>
        <w:ind w:firstLine="320"/>
        <w:jc w:val="both"/>
      </w:pPr>
      <w:r>
        <w:rPr>
          <w:rStyle w:val="113"/>
          <w:b/>
          <w:bCs/>
        </w:rPr>
        <w:t>аналитические обзоры отрасли инициатора в отношении прогнозируемых объемов спроса, прогнозируемой и исторической динамики цен, инвестиционной политики существующих конку</w:t>
      </w:r>
      <w:r>
        <w:rPr>
          <w:rStyle w:val="113"/>
          <w:b/>
          <w:bCs/>
        </w:rPr>
        <w:softHyphen/>
        <w:t>рентов и вероятности появления новых конкурентов;</w:t>
      </w:r>
    </w:p>
    <w:p w14:paraId="5256D949" w14:textId="77777777" w:rsidR="00350D42" w:rsidRDefault="008E6F64">
      <w:pPr>
        <w:pStyle w:val="111"/>
        <w:numPr>
          <w:ilvl w:val="0"/>
          <w:numId w:val="162"/>
        </w:numPr>
        <w:shd w:val="clear" w:color="auto" w:fill="auto"/>
        <w:tabs>
          <w:tab w:val="left" w:pos="631"/>
        </w:tabs>
        <w:spacing w:before="0" w:after="0" w:line="250" w:lineRule="exact"/>
        <w:ind w:firstLine="320"/>
        <w:jc w:val="both"/>
      </w:pPr>
      <w:r>
        <w:rPr>
          <w:rStyle w:val="113"/>
          <w:b/>
          <w:bCs/>
        </w:rPr>
        <w:t>аналитические обзоры отрасли контрагентов (покупателей) в отношении планируемых объемов производства и потребления ресурсов, общих перспектив развития отрасли и т. д.</w:t>
      </w:r>
    </w:p>
    <w:p w14:paraId="68DAB815" w14:textId="77777777" w:rsidR="00350D42" w:rsidRDefault="008E6F64">
      <w:pPr>
        <w:pStyle w:val="190"/>
        <w:numPr>
          <w:ilvl w:val="0"/>
          <w:numId w:val="161"/>
        </w:numPr>
        <w:shd w:val="clear" w:color="auto" w:fill="auto"/>
        <w:tabs>
          <w:tab w:val="left" w:pos="631"/>
        </w:tabs>
        <w:spacing w:line="250" w:lineRule="exact"/>
        <w:ind w:firstLine="320"/>
        <w:jc w:val="both"/>
      </w:pPr>
      <w:r>
        <w:rPr>
          <w:rStyle w:val="191"/>
          <w:i/>
          <w:iCs/>
        </w:rPr>
        <w:t>Оценка фактора «снабжение ресурсами».</w:t>
      </w:r>
    </w:p>
    <w:p w14:paraId="29D4F36B" w14:textId="77777777" w:rsidR="00350D42" w:rsidRDefault="008E6F64">
      <w:pPr>
        <w:pStyle w:val="111"/>
        <w:shd w:val="clear" w:color="auto" w:fill="auto"/>
        <w:spacing w:before="0" w:after="0" w:line="250" w:lineRule="exact"/>
        <w:ind w:firstLine="320"/>
        <w:jc w:val="both"/>
      </w:pPr>
      <w:r>
        <w:rPr>
          <w:rStyle w:val="113"/>
          <w:b/>
          <w:bCs/>
        </w:rPr>
        <w:t>Показатели оценки данного фактора представлены в табл. П.2.9. Уровень риска, связанный с обеспеченностью основным сырьем, определяется по аналогии с риском сбыта продукции.</w:t>
      </w:r>
    </w:p>
    <w:p w14:paraId="698B1806" w14:textId="77777777" w:rsidR="00350D42" w:rsidRDefault="008E6F64">
      <w:pPr>
        <w:pStyle w:val="190"/>
        <w:shd w:val="clear" w:color="auto" w:fill="auto"/>
      </w:pPr>
      <w:r>
        <w:rPr>
          <w:rStyle w:val="191"/>
          <w:i/>
          <w:iCs/>
        </w:rPr>
        <w:t>Таблица П.2.9</w:t>
      </w:r>
    </w:p>
    <w:p w14:paraId="18259B50" w14:textId="77777777" w:rsidR="00350D42" w:rsidRDefault="008E6F64">
      <w:pPr>
        <w:pStyle w:val="3f2"/>
        <w:framePr w:w="6581" w:wrap="notBeside" w:vAnchor="text" w:hAnchor="text" w:xAlign="center" w:y="1"/>
        <w:shd w:val="clear" w:color="auto" w:fill="auto"/>
        <w:spacing w:line="194" w:lineRule="exact"/>
        <w:jc w:val="left"/>
      </w:pPr>
      <w:r>
        <w:rPr>
          <w:rStyle w:val="3f3"/>
          <w:b/>
          <w:bCs/>
        </w:rPr>
        <w:t>Оценка фактора «снабжение ресурсами»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6"/>
        <w:gridCol w:w="1872"/>
        <w:gridCol w:w="1315"/>
        <w:gridCol w:w="869"/>
        <w:gridCol w:w="1109"/>
      </w:tblGrid>
      <w:tr w:rsidR="00350D42" w14:paraId="48BDB670" w14:textId="77777777">
        <w:trPr>
          <w:trHeight w:hRule="exact" w:val="802"/>
          <w:jc w:val="center"/>
        </w:trPr>
        <w:tc>
          <w:tcPr>
            <w:tcW w:w="4603" w:type="dxa"/>
            <w:gridSpan w:val="3"/>
            <w:tcBorders>
              <w:top w:val="single" w:sz="4" w:space="0" w:color="auto"/>
              <w:left w:val="single" w:sz="4" w:space="0" w:color="auto"/>
            </w:tcBorders>
            <w:shd w:val="clear" w:color="auto" w:fill="FFFFFF"/>
          </w:tcPr>
          <w:p w14:paraId="75C40C93"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Показатели по подгруппам</w:t>
            </w:r>
          </w:p>
        </w:tc>
        <w:tc>
          <w:tcPr>
            <w:tcW w:w="869" w:type="dxa"/>
            <w:tcBorders>
              <w:top w:val="single" w:sz="4" w:space="0" w:color="auto"/>
              <w:left w:val="single" w:sz="4" w:space="0" w:color="auto"/>
            </w:tcBorders>
            <w:shd w:val="clear" w:color="auto" w:fill="FFFFFF"/>
            <w:vAlign w:val="bottom"/>
          </w:tcPr>
          <w:p w14:paraId="7D234C4C" w14:textId="77777777" w:rsidR="00350D42" w:rsidRDefault="008E6F64">
            <w:pPr>
              <w:pStyle w:val="2c"/>
              <w:framePr w:w="6581" w:wrap="notBeside" w:vAnchor="text" w:hAnchor="text" w:xAlign="center" w:y="1"/>
              <w:shd w:val="clear" w:color="auto" w:fill="auto"/>
              <w:spacing w:before="0" w:line="216" w:lineRule="exact"/>
            </w:pPr>
            <w:r>
              <w:rPr>
                <w:rStyle w:val="275pt"/>
              </w:rPr>
              <w:t>Баллы</w:t>
            </w:r>
          </w:p>
          <w:p w14:paraId="4E330B33" w14:textId="77777777" w:rsidR="00350D42" w:rsidRDefault="008E6F64">
            <w:pPr>
              <w:pStyle w:val="2c"/>
              <w:framePr w:w="6581" w:wrap="notBeside" w:vAnchor="text" w:hAnchor="text" w:xAlign="center" w:y="1"/>
              <w:shd w:val="clear" w:color="auto" w:fill="auto"/>
              <w:spacing w:before="0" w:line="216" w:lineRule="exact"/>
            </w:pPr>
            <w:r>
              <w:rPr>
                <w:rStyle w:val="275pt"/>
              </w:rPr>
              <w:t>по под</w:t>
            </w:r>
            <w:r>
              <w:rPr>
                <w:rStyle w:val="275pt"/>
              </w:rPr>
              <w:softHyphen/>
              <w:t>группе</w:t>
            </w:r>
          </w:p>
        </w:tc>
        <w:tc>
          <w:tcPr>
            <w:tcW w:w="1109" w:type="dxa"/>
            <w:tcBorders>
              <w:top w:val="single" w:sz="4" w:space="0" w:color="auto"/>
              <w:left w:val="single" w:sz="4" w:space="0" w:color="auto"/>
              <w:right w:val="single" w:sz="4" w:space="0" w:color="auto"/>
            </w:tcBorders>
            <w:shd w:val="clear" w:color="auto" w:fill="FFFFFF"/>
            <w:vAlign w:val="bottom"/>
          </w:tcPr>
          <w:p w14:paraId="17418CA8" w14:textId="77777777" w:rsidR="00350D42" w:rsidRDefault="008E6F64">
            <w:pPr>
              <w:pStyle w:val="2c"/>
              <w:framePr w:w="6581" w:wrap="notBeside" w:vAnchor="text" w:hAnchor="text" w:xAlign="center" w:y="1"/>
              <w:shd w:val="clear" w:color="auto" w:fill="auto"/>
              <w:spacing w:before="0" w:line="216" w:lineRule="exact"/>
              <w:ind w:left="220" w:hanging="220"/>
              <w:jc w:val="left"/>
            </w:pPr>
            <w:r>
              <w:rPr>
                <w:rStyle w:val="275pt"/>
              </w:rPr>
              <w:t>Удельный вес под</w:t>
            </w:r>
            <w:r>
              <w:rPr>
                <w:rStyle w:val="275pt"/>
              </w:rPr>
              <w:softHyphen/>
              <w:t>группы</w:t>
            </w:r>
          </w:p>
        </w:tc>
      </w:tr>
      <w:tr w:rsidR="00350D42" w14:paraId="426F5DF1" w14:textId="77777777">
        <w:trPr>
          <w:trHeight w:hRule="exact" w:val="581"/>
          <w:jc w:val="center"/>
        </w:trPr>
        <w:tc>
          <w:tcPr>
            <w:tcW w:w="4603" w:type="dxa"/>
            <w:gridSpan w:val="3"/>
            <w:tcBorders>
              <w:top w:val="single" w:sz="4" w:space="0" w:color="auto"/>
              <w:left w:val="single" w:sz="4" w:space="0" w:color="auto"/>
            </w:tcBorders>
            <w:shd w:val="clear" w:color="auto" w:fill="FFFFFF"/>
            <w:vAlign w:val="center"/>
          </w:tcPr>
          <w:p w14:paraId="310CC360"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Долгосрочные контракты на поставку сырья отсут</w:t>
            </w:r>
            <w:r>
              <w:rPr>
                <w:rStyle w:val="275pt0"/>
              </w:rPr>
              <w:softHyphen/>
              <w:t>ствуют</w:t>
            </w:r>
          </w:p>
        </w:tc>
        <w:tc>
          <w:tcPr>
            <w:tcW w:w="869" w:type="dxa"/>
            <w:tcBorders>
              <w:top w:val="single" w:sz="4" w:space="0" w:color="auto"/>
              <w:left w:val="single" w:sz="4" w:space="0" w:color="auto"/>
            </w:tcBorders>
            <w:shd w:val="clear" w:color="auto" w:fill="FFFFFF"/>
            <w:vAlign w:val="center"/>
          </w:tcPr>
          <w:p w14:paraId="51B007C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09" w:type="dxa"/>
            <w:vMerge w:val="restart"/>
            <w:tcBorders>
              <w:top w:val="single" w:sz="4" w:space="0" w:color="auto"/>
              <w:left w:val="single" w:sz="4" w:space="0" w:color="auto"/>
              <w:right w:val="single" w:sz="4" w:space="0" w:color="auto"/>
            </w:tcBorders>
            <w:shd w:val="clear" w:color="auto" w:fill="FFFFFF"/>
          </w:tcPr>
          <w:p w14:paraId="692819B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2D55CDEC" w14:textId="77777777">
        <w:trPr>
          <w:trHeight w:hRule="exact" w:val="581"/>
          <w:jc w:val="center"/>
        </w:trPr>
        <w:tc>
          <w:tcPr>
            <w:tcW w:w="1416" w:type="dxa"/>
            <w:vMerge w:val="restart"/>
            <w:tcBorders>
              <w:top w:val="single" w:sz="4" w:space="0" w:color="auto"/>
              <w:left w:val="single" w:sz="4" w:space="0" w:color="auto"/>
            </w:tcBorders>
            <w:shd w:val="clear" w:color="auto" w:fill="FFFFFF"/>
            <w:vAlign w:val="center"/>
          </w:tcPr>
          <w:p w14:paraId="4573C5E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Долгосрочные</w:t>
            </w:r>
          </w:p>
          <w:p w14:paraId="057D446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контракты</w:t>
            </w:r>
          </w:p>
          <w:p w14:paraId="31B70B4D"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на поставку сырья имеют</w:t>
            </w:r>
            <w:r>
              <w:rPr>
                <w:rStyle w:val="275pt0"/>
              </w:rPr>
              <w:softHyphen/>
              <w:t>ся, при этом</w:t>
            </w:r>
          </w:p>
          <w:p w14:paraId="56394C8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в контрактах зафиксиро</w:t>
            </w:r>
            <w:r>
              <w:rPr>
                <w:rStyle w:val="275pt0"/>
              </w:rPr>
              <w:softHyphen/>
              <w:t>ваны</w:t>
            </w:r>
          </w:p>
        </w:tc>
        <w:tc>
          <w:tcPr>
            <w:tcW w:w="3187" w:type="dxa"/>
            <w:gridSpan w:val="2"/>
            <w:tcBorders>
              <w:top w:val="single" w:sz="4" w:space="0" w:color="auto"/>
              <w:left w:val="single" w:sz="4" w:space="0" w:color="auto"/>
            </w:tcBorders>
            <w:shd w:val="clear" w:color="auto" w:fill="FFFFFF"/>
            <w:vAlign w:val="bottom"/>
          </w:tcPr>
          <w:p w14:paraId="6F3ADDA4"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Только уровень цены или только количество поставляемого сырья</w:t>
            </w:r>
          </w:p>
        </w:tc>
        <w:tc>
          <w:tcPr>
            <w:tcW w:w="869" w:type="dxa"/>
            <w:tcBorders>
              <w:top w:val="single" w:sz="4" w:space="0" w:color="auto"/>
              <w:left w:val="single" w:sz="4" w:space="0" w:color="auto"/>
            </w:tcBorders>
            <w:shd w:val="clear" w:color="auto" w:fill="FFFFFF"/>
          </w:tcPr>
          <w:p w14:paraId="4055D8A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c>
          <w:tcPr>
            <w:tcW w:w="1109" w:type="dxa"/>
            <w:vMerge/>
            <w:tcBorders>
              <w:left w:val="single" w:sz="4" w:space="0" w:color="auto"/>
              <w:right w:val="single" w:sz="4" w:space="0" w:color="auto"/>
            </w:tcBorders>
            <w:shd w:val="clear" w:color="auto" w:fill="FFFFFF"/>
          </w:tcPr>
          <w:p w14:paraId="38659D71" w14:textId="77777777" w:rsidR="00350D42" w:rsidRDefault="00350D42">
            <w:pPr>
              <w:framePr w:w="6581" w:wrap="notBeside" w:vAnchor="text" w:hAnchor="text" w:xAlign="center" w:y="1"/>
            </w:pPr>
          </w:p>
        </w:tc>
      </w:tr>
      <w:tr w:rsidR="00350D42" w14:paraId="57AB9FA6" w14:textId="77777777">
        <w:trPr>
          <w:trHeight w:hRule="exact" w:val="576"/>
          <w:jc w:val="center"/>
        </w:trPr>
        <w:tc>
          <w:tcPr>
            <w:tcW w:w="1416" w:type="dxa"/>
            <w:vMerge/>
            <w:tcBorders>
              <w:left w:val="single" w:sz="4" w:space="0" w:color="auto"/>
            </w:tcBorders>
            <w:shd w:val="clear" w:color="auto" w:fill="FFFFFF"/>
            <w:vAlign w:val="center"/>
          </w:tcPr>
          <w:p w14:paraId="4FC9905B" w14:textId="77777777" w:rsidR="00350D42" w:rsidRDefault="00350D42">
            <w:pPr>
              <w:framePr w:w="6581" w:wrap="notBeside" w:vAnchor="text" w:hAnchor="text" w:xAlign="center" w:y="1"/>
            </w:pPr>
          </w:p>
        </w:tc>
        <w:tc>
          <w:tcPr>
            <w:tcW w:w="1872" w:type="dxa"/>
            <w:vMerge w:val="restart"/>
            <w:tcBorders>
              <w:top w:val="single" w:sz="4" w:space="0" w:color="auto"/>
              <w:left w:val="single" w:sz="4" w:space="0" w:color="auto"/>
            </w:tcBorders>
            <w:shd w:val="clear" w:color="auto" w:fill="FFFFFF"/>
            <w:vAlign w:val="center"/>
          </w:tcPr>
          <w:p w14:paraId="02B3C0B0" w14:textId="77777777" w:rsidR="00350D42" w:rsidRDefault="008E6F64">
            <w:pPr>
              <w:pStyle w:val="2c"/>
              <w:framePr w:w="6581" w:wrap="notBeside" w:vAnchor="text" w:hAnchor="text" w:xAlign="center" w:y="1"/>
              <w:shd w:val="clear" w:color="auto" w:fill="auto"/>
              <w:spacing w:before="0" w:line="221" w:lineRule="exact"/>
            </w:pPr>
            <w:r>
              <w:rPr>
                <w:rStyle w:val="275pt0"/>
              </w:rPr>
              <w:t>Уровень цены</w:t>
            </w:r>
          </w:p>
          <w:p w14:paraId="44F3DA4F"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 количество по</w:t>
            </w:r>
            <w:r>
              <w:rPr>
                <w:rStyle w:val="275pt0"/>
              </w:rPr>
              <w:softHyphen/>
              <w:t>ставляемого сырья,</w:t>
            </w:r>
          </w:p>
          <w:p w14:paraId="5A0ACF48"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при этом значимые штрафные санкции:</w:t>
            </w:r>
          </w:p>
        </w:tc>
        <w:tc>
          <w:tcPr>
            <w:tcW w:w="1315" w:type="dxa"/>
            <w:tcBorders>
              <w:top w:val="single" w:sz="4" w:space="0" w:color="auto"/>
              <w:left w:val="single" w:sz="4" w:space="0" w:color="auto"/>
            </w:tcBorders>
            <w:shd w:val="clear" w:color="auto" w:fill="FFFFFF"/>
            <w:vAlign w:val="bottom"/>
          </w:tcPr>
          <w:p w14:paraId="6BBEF20B" w14:textId="77777777" w:rsidR="00350D42" w:rsidRDefault="008E6F64">
            <w:pPr>
              <w:pStyle w:val="2c"/>
              <w:framePr w:w="6581" w:wrap="notBeside" w:vAnchor="text" w:hAnchor="text" w:xAlign="center" w:y="1"/>
              <w:shd w:val="clear" w:color="auto" w:fill="auto"/>
              <w:spacing w:before="0" w:line="221" w:lineRule="exact"/>
            </w:pPr>
            <w:r>
              <w:rPr>
                <w:rStyle w:val="275pt0"/>
              </w:rPr>
              <w:t>не предусмо</w:t>
            </w:r>
            <w:r>
              <w:rPr>
                <w:rStyle w:val="275pt0"/>
              </w:rPr>
              <w:softHyphen/>
              <w:t>трены</w:t>
            </w:r>
          </w:p>
        </w:tc>
        <w:tc>
          <w:tcPr>
            <w:tcW w:w="869" w:type="dxa"/>
            <w:tcBorders>
              <w:top w:val="single" w:sz="4" w:space="0" w:color="auto"/>
              <w:left w:val="single" w:sz="4" w:space="0" w:color="auto"/>
            </w:tcBorders>
            <w:shd w:val="clear" w:color="auto" w:fill="FFFFFF"/>
          </w:tcPr>
          <w:p w14:paraId="175877A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85</w:t>
            </w:r>
          </w:p>
        </w:tc>
        <w:tc>
          <w:tcPr>
            <w:tcW w:w="1109" w:type="dxa"/>
            <w:vMerge/>
            <w:tcBorders>
              <w:left w:val="single" w:sz="4" w:space="0" w:color="auto"/>
              <w:right w:val="single" w:sz="4" w:space="0" w:color="auto"/>
            </w:tcBorders>
            <w:shd w:val="clear" w:color="auto" w:fill="FFFFFF"/>
          </w:tcPr>
          <w:p w14:paraId="37F1F0B2" w14:textId="77777777" w:rsidR="00350D42" w:rsidRDefault="00350D42">
            <w:pPr>
              <w:framePr w:w="6581" w:wrap="notBeside" w:vAnchor="text" w:hAnchor="text" w:xAlign="center" w:y="1"/>
            </w:pPr>
          </w:p>
        </w:tc>
      </w:tr>
      <w:tr w:rsidR="00350D42" w14:paraId="042AEF72" w14:textId="77777777">
        <w:trPr>
          <w:trHeight w:hRule="exact" w:val="754"/>
          <w:jc w:val="center"/>
        </w:trPr>
        <w:tc>
          <w:tcPr>
            <w:tcW w:w="1416" w:type="dxa"/>
            <w:vMerge/>
            <w:tcBorders>
              <w:left w:val="single" w:sz="4" w:space="0" w:color="auto"/>
              <w:bottom w:val="single" w:sz="4" w:space="0" w:color="auto"/>
            </w:tcBorders>
            <w:shd w:val="clear" w:color="auto" w:fill="FFFFFF"/>
            <w:vAlign w:val="center"/>
          </w:tcPr>
          <w:p w14:paraId="6E188BFA" w14:textId="77777777" w:rsidR="00350D42" w:rsidRDefault="00350D42">
            <w:pPr>
              <w:framePr w:w="6581" w:wrap="notBeside" w:vAnchor="text" w:hAnchor="text" w:xAlign="center" w:y="1"/>
            </w:pPr>
          </w:p>
        </w:tc>
        <w:tc>
          <w:tcPr>
            <w:tcW w:w="1872" w:type="dxa"/>
            <w:vMerge/>
            <w:tcBorders>
              <w:left w:val="single" w:sz="4" w:space="0" w:color="auto"/>
              <w:bottom w:val="single" w:sz="4" w:space="0" w:color="auto"/>
            </w:tcBorders>
            <w:shd w:val="clear" w:color="auto" w:fill="FFFFFF"/>
            <w:vAlign w:val="center"/>
          </w:tcPr>
          <w:p w14:paraId="3EBEEC82" w14:textId="77777777" w:rsidR="00350D42" w:rsidRDefault="00350D42">
            <w:pPr>
              <w:framePr w:w="6581" w:wrap="notBeside" w:vAnchor="text" w:hAnchor="text" w:xAlign="center" w:y="1"/>
            </w:pPr>
          </w:p>
        </w:tc>
        <w:tc>
          <w:tcPr>
            <w:tcW w:w="1315" w:type="dxa"/>
            <w:tcBorders>
              <w:top w:val="single" w:sz="4" w:space="0" w:color="auto"/>
              <w:left w:val="single" w:sz="4" w:space="0" w:color="auto"/>
              <w:bottom w:val="single" w:sz="4" w:space="0" w:color="auto"/>
            </w:tcBorders>
            <w:shd w:val="clear" w:color="auto" w:fill="FFFFFF"/>
            <w:vAlign w:val="center"/>
          </w:tcPr>
          <w:p w14:paraId="3D840647" w14:textId="77777777" w:rsidR="00350D42" w:rsidRDefault="008E6F64">
            <w:pPr>
              <w:pStyle w:val="2c"/>
              <w:framePr w:w="6581" w:wrap="notBeside" w:vAnchor="text" w:hAnchor="text" w:xAlign="center" w:y="1"/>
              <w:shd w:val="clear" w:color="auto" w:fill="auto"/>
              <w:spacing w:before="0" w:line="168" w:lineRule="exact"/>
            </w:pPr>
            <w:r>
              <w:rPr>
                <w:rStyle w:val="275pt0"/>
              </w:rPr>
              <w:t>предусмотре</w:t>
            </w:r>
            <w:r>
              <w:rPr>
                <w:rStyle w:val="275pt0"/>
              </w:rPr>
              <w:softHyphen/>
            </w:r>
          </w:p>
          <w:p w14:paraId="0CF19D79" w14:textId="77777777" w:rsidR="00350D42" w:rsidRDefault="008E6F64">
            <w:pPr>
              <w:pStyle w:val="2c"/>
              <w:framePr w:w="6581" w:wrap="notBeside" w:vAnchor="text" w:hAnchor="text" w:xAlign="center" w:y="1"/>
              <w:shd w:val="clear" w:color="auto" w:fill="auto"/>
              <w:spacing w:before="0" w:line="168" w:lineRule="exact"/>
            </w:pPr>
            <w:r>
              <w:rPr>
                <w:rStyle w:val="275pt0"/>
              </w:rPr>
              <w:t>ны</w:t>
            </w:r>
          </w:p>
        </w:tc>
        <w:tc>
          <w:tcPr>
            <w:tcW w:w="869" w:type="dxa"/>
            <w:tcBorders>
              <w:top w:val="single" w:sz="4" w:space="0" w:color="auto"/>
              <w:left w:val="single" w:sz="4" w:space="0" w:color="auto"/>
              <w:bottom w:val="single" w:sz="4" w:space="0" w:color="auto"/>
            </w:tcBorders>
            <w:shd w:val="clear" w:color="auto" w:fill="FFFFFF"/>
            <w:vAlign w:val="center"/>
          </w:tcPr>
          <w:p w14:paraId="2C32EFF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09" w:type="dxa"/>
            <w:vMerge/>
            <w:tcBorders>
              <w:left w:val="single" w:sz="4" w:space="0" w:color="auto"/>
              <w:bottom w:val="single" w:sz="4" w:space="0" w:color="auto"/>
              <w:right w:val="single" w:sz="4" w:space="0" w:color="auto"/>
            </w:tcBorders>
            <w:shd w:val="clear" w:color="auto" w:fill="FFFFFF"/>
          </w:tcPr>
          <w:p w14:paraId="392CBBBC" w14:textId="77777777" w:rsidR="00350D42" w:rsidRDefault="00350D42">
            <w:pPr>
              <w:framePr w:w="6581" w:wrap="notBeside" w:vAnchor="text" w:hAnchor="text" w:xAlign="center" w:y="1"/>
            </w:pPr>
          </w:p>
        </w:tc>
      </w:tr>
    </w:tbl>
    <w:p w14:paraId="7E309B36" w14:textId="77777777" w:rsidR="00350D42" w:rsidRDefault="00350D42">
      <w:pPr>
        <w:framePr w:w="6581" w:wrap="notBeside" w:vAnchor="text" w:hAnchor="text" w:xAlign="center" w:y="1"/>
        <w:rPr>
          <w:sz w:val="2"/>
          <w:szCs w:val="2"/>
        </w:rPr>
      </w:pPr>
    </w:p>
    <w:p w14:paraId="29BF6CAA" w14:textId="77777777" w:rsidR="00350D42" w:rsidRDefault="00350D42">
      <w:pPr>
        <w:rPr>
          <w:sz w:val="2"/>
          <w:szCs w:val="2"/>
        </w:rPr>
      </w:pPr>
    </w:p>
    <w:p w14:paraId="2FB88DF3" w14:textId="77777777" w:rsidR="00350D42" w:rsidRDefault="00350D42">
      <w:pPr>
        <w:rPr>
          <w:sz w:val="2"/>
          <w:szCs w:val="2"/>
        </w:rPr>
        <w:sectPr w:rsidR="00350D42">
          <w:pgSz w:w="8789" w:h="13493"/>
          <w:pgMar w:top="943" w:right="1080" w:bottom="943" w:left="107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16"/>
        <w:gridCol w:w="835"/>
        <w:gridCol w:w="2352"/>
        <w:gridCol w:w="869"/>
        <w:gridCol w:w="1109"/>
      </w:tblGrid>
      <w:tr w:rsidR="00350D42" w14:paraId="4EE181B5" w14:textId="77777777">
        <w:trPr>
          <w:trHeight w:hRule="exact" w:val="806"/>
          <w:jc w:val="center"/>
        </w:trPr>
        <w:tc>
          <w:tcPr>
            <w:tcW w:w="4603" w:type="dxa"/>
            <w:gridSpan w:val="3"/>
            <w:tcBorders>
              <w:top w:val="single" w:sz="4" w:space="0" w:color="auto"/>
              <w:left w:val="single" w:sz="4" w:space="0" w:color="auto"/>
            </w:tcBorders>
            <w:shd w:val="clear" w:color="auto" w:fill="FFFFFF"/>
          </w:tcPr>
          <w:p w14:paraId="562A7519"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lastRenderedPageBreak/>
              <w:t>Показатели по подгруппам</w:t>
            </w:r>
          </w:p>
        </w:tc>
        <w:tc>
          <w:tcPr>
            <w:tcW w:w="869" w:type="dxa"/>
            <w:tcBorders>
              <w:top w:val="single" w:sz="4" w:space="0" w:color="auto"/>
              <w:left w:val="single" w:sz="4" w:space="0" w:color="auto"/>
            </w:tcBorders>
            <w:shd w:val="clear" w:color="auto" w:fill="FFFFFF"/>
            <w:vAlign w:val="bottom"/>
          </w:tcPr>
          <w:p w14:paraId="35DB2769" w14:textId="77777777" w:rsidR="00350D42" w:rsidRDefault="008E6F64">
            <w:pPr>
              <w:pStyle w:val="2c"/>
              <w:framePr w:w="6581" w:wrap="notBeside" w:vAnchor="text" w:hAnchor="text" w:xAlign="center" w:y="1"/>
              <w:shd w:val="clear" w:color="auto" w:fill="auto"/>
              <w:spacing w:before="0" w:line="221" w:lineRule="exact"/>
            </w:pPr>
            <w:r>
              <w:rPr>
                <w:rStyle w:val="275pt"/>
              </w:rPr>
              <w:t>Баллы</w:t>
            </w:r>
          </w:p>
          <w:p w14:paraId="3383AD21" w14:textId="77777777" w:rsidR="00350D42" w:rsidRDefault="008E6F64">
            <w:pPr>
              <w:pStyle w:val="2c"/>
              <w:framePr w:w="6581" w:wrap="notBeside" w:vAnchor="text" w:hAnchor="text" w:xAlign="center" w:y="1"/>
              <w:shd w:val="clear" w:color="auto" w:fill="auto"/>
              <w:spacing w:before="0" w:line="221" w:lineRule="exact"/>
            </w:pPr>
            <w:r>
              <w:rPr>
                <w:rStyle w:val="275pt"/>
              </w:rPr>
              <w:t>по под</w:t>
            </w:r>
            <w:r>
              <w:rPr>
                <w:rStyle w:val="275pt"/>
              </w:rPr>
              <w:softHyphen/>
              <w:t>группе</w:t>
            </w:r>
          </w:p>
        </w:tc>
        <w:tc>
          <w:tcPr>
            <w:tcW w:w="1109" w:type="dxa"/>
            <w:tcBorders>
              <w:top w:val="single" w:sz="4" w:space="0" w:color="auto"/>
              <w:left w:val="single" w:sz="4" w:space="0" w:color="auto"/>
              <w:right w:val="single" w:sz="4" w:space="0" w:color="auto"/>
            </w:tcBorders>
            <w:shd w:val="clear" w:color="auto" w:fill="FFFFFF"/>
            <w:vAlign w:val="bottom"/>
          </w:tcPr>
          <w:p w14:paraId="5D95977D" w14:textId="77777777" w:rsidR="00350D42" w:rsidRDefault="008E6F64">
            <w:pPr>
              <w:pStyle w:val="2c"/>
              <w:framePr w:w="6581" w:wrap="notBeside" w:vAnchor="text" w:hAnchor="text" w:xAlign="center" w:y="1"/>
              <w:shd w:val="clear" w:color="auto" w:fill="auto"/>
              <w:spacing w:before="0" w:line="221" w:lineRule="exact"/>
              <w:ind w:left="220" w:hanging="220"/>
              <w:jc w:val="left"/>
            </w:pPr>
            <w:r>
              <w:rPr>
                <w:rStyle w:val="275pt"/>
              </w:rPr>
              <w:t>Удельный вес под</w:t>
            </w:r>
            <w:r>
              <w:rPr>
                <w:rStyle w:val="275pt"/>
              </w:rPr>
              <w:softHyphen/>
              <w:t>группы</w:t>
            </w:r>
          </w:p>
        </w:tc>
      </w:tr>
      <w:tr w:rsidR="00350D42" w14:paraId="622DE28F" w14:textId="77777777">
        <w:trPr>
          <w:trHeight w:hRule="exact" w:val="360"/>
          <w:jc w:val="center"/>
        </w:trPr>
        <w:tc>
          <w:tcPr>
            <w:tcW w:w="2251" w:type="dxa"/>
            <w:gridSpan w:val="2"/>
            <w:vMerge w:val="restart"/>
            <w:tcBorders>
              <w:top w:val="single" w:sz="4" w:space="0" w:color="auto"/>
              <w:left w:val="single" w:sz="4" w:space="0" w:color="auto"/>
            </w:tcBorders>
            <w:shd w:val="clear" w:color="auto" w:fill="FFFFFF"/>
            <w:vAlign w:val="center"/>
          </w:tcPr>
          <w:p w14:paraId="3C39DACA"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Степень надежности основных поставщиков</w:t>
            </w:r>
          </w:p>
          <w:p w14:paraId="128B4FA7"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является:</w:t>
            </w:r>
          </w:p>
        </w:tc>
        <w:tc>
          <w:tcPr>
            <w:tcW w:w="2352" w:type="dxa"/>
            <w:tcBorders>
              <w:top w:val="single" w:sz="4" w:space="0" w:color="auto"/>
              <w:left w:val="single" w:sz="4" w:space="0" w:color="auto"/>
            </w:tcBorders>
            <w:shd w:val="clear" w:color="auto" w:fill="FFFFFF"/>
            <w:vAlign w:val="center"/>
          </w:tcPr>
          <w:p w14:paraId="057B6C19"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сомнительной</w:t>
            </w:r>
          </w:p>
        </w:tc>
        <w:tc>
          <w:tcPr>
            <w:tcW w:w="869" w:type="dxa"/>
            <w:tcBorders>
              <w:top w:val="single" w:sz="4" w:space="0" w:color="auto"/>
              <w:left w:val="single" w:sz="4" w:space="0" w:color="auto"/>
            </w:tcBorders>
            <w:shd w:val="clear" w:color="auto" w:fill="FFFFFF"/>
            <w:vAlign w:val="bottom"/>
          </w:tcPr>
          <w:p w14:paraId="6AEEB7E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09" w:type="dxa"/>
            <w:vMerge w:val="restart"/>
            <w:tcBorders>
              <w:top w:val="single" w:sz="4" w:space="0" w:color="auto"/>
              <w:left w:val="single" w:sz="4" w:space="0" w:color="auto"/>
              <w:right w:val="single" w:sz="4" w:space="0" w:color="auto"/>
            </w:tcBorders>
            <w:shd w:val="clear" w:color="auto" w:fill="FFFFFF"/>
          </w:tcPr>
          <w:p w14:paraId="6312C57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64F05281" w14:textId="77777777">
        <w:trPr>
          <w:trHeight w:hRule="exact" w:val="437"/>
          <w:jc w:val="center"/>
        </w:trPr>
        <w:tc>
          <w:tcPr>
            <w:tcW w:w="2251" w:type="dxa"/>
            <w:gridSpan w:val="2"/>
            <w:vMerge/>
            <w:tcBorders>
              <w:left w:val="single" w:sz="4" w:space="0" w:color="auto"/>
            </w:tcBorders>
            <w:shd w:val="clear" w:color="auto" w:fill="FFFFFF"/>
            <w:vAlign w:val="center"/>
          </w:tcPr>
          <w:p w14:paraId="1559659D" w14:textId="77777777" w:rsidR="00350D42" w:rsidRDefault="00350D42">
            <w:pPr>
              <w:framePr w:w="6581" w:wrap="notBeside" w:vAnchor="text" w:hAnchor="text" w:xAlign="center" w:y="1"/>
            </w:pPr>
          </w:p>
        </w:tc>
        <w:tc>
          <w:tcPr>
            <w:tcW w:w="2352" w:type="dxa"/>
            <w:tcBorders>
              <w:top w:val="single" w:sz="4" w:space="0" w:color="auto"/>
              <w:left w:val="single" w:sz="4" w:space="0" w:color="auto"/>
            </w:tcBorders>
            <w:shd w:val="clear" w:color="auto" w:fill="FFFFFF"/>
            <w:vAlign w:val="center"/>
          </w:tcPr>
          <w:p w14:paraId="219BED7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приемлемой</w:t>
            </w:r>
          </w:p>
        </w:tc>
        <w:tc>
          <w:tcPr>
            <w:tcW w:w="869" w:type="dxa"/>
            <w:tcBorders>
              <w:top w:val="single" w:sz="4" w:space="0" w:color="auto"/>
              <w:left w:val="single" w:sz="4" w:space="0" w:color="auto"/>
            </w:tcBorders>
            <w:shd w:val="clear" w:color="auto" w:fill="FFFFFF"/>
            <w:vAlign w:val="center"/>
          </w:tcPr>
          <w:p w14:paraId="75F18EE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09" w:type="dxa"/>
            <w:vMerge/>
            <w:tcBorders>
              <w:left w:val="single" w:sz="4" w:space="0" w:color="auto"/>
              <w:right w:val="single" w:sz="4" w:space="0" w:color="auto"/>
            </w:tcBorders>
            <w:shd w:val="clear" w:color="auto" w:fill="FFFFFF"/>
          </w:tcPr>
          <w:p w14:paraId="4F03EEE3" w14:textId="77777777" w:rsidR="00350D42" w:rsidRDefault="00350D42">
            <w:pPr>
              <w:framePr w:w="6581" w:wrap="notBeside" w:vAnchor="text" w:hAnchor="text" w:xAlign="center" w:y="1"/>
            </w:pPr>
          </w:p>
        </w:tc>
      </w:tr>
      <w:tr w:rsidR="00350D42" w14:paraId="0D776D5B" w14:textId="77777777">
        <w:trPr>
          <w:trHeight w:hRule="exact" w:val="581"/>
          <w:jc w:val="center"/>
        </w:trPr>
        <w:tc>
          <w:tcPr>
            <w:tcW w:w="1416" w:type="dxa"/>
            <w:vMerge w:val="restart"/>
            <w:tcBorders>
              <w:top w:val="single" w:sz="4" w:space="0" w:color="auto"/>
              <w:left w:val="single" w:sz="4" w:space="0" w:color="auto"/>
            </w:tcBorders>
            <w:shd w:val="clear" w:color="auto" w:fill="FFFFFF"/>
          </w:tcPr>
          <w:p w14:paraId="729A091C" w14:textId="77777777" w:rsidR="00350D42" w:rsidRDefault="008E6F64">
            <w:pPr>
              <w:pStyle w:val="2c"/>
              <w:framePr w:w="6581" w:wrap="notBeside" w:vAnchor="text" w:hAnchor="text" w:xAlign="center" w:y="1"/>
              <w:shd w:val="clear" w:color="auto" w:fill="auto"/>
              <w:spacing w:before="0" w:line="221" w:lineRule="exact"/>
            </w:pPr>
            <w:r>
              <w:rPr>
                <w:rStyle w:val="275pt0"/>
              </w:rPr>
              <w:t>Рынок сырья характеризу</w:t>
            </w:r>
            <w:r>
              <w:rPr>
                <w:rStyle w:val="275pt0"/>
              </w:rPr>
              <w:softHyphen/>
              <w:t>ется:</w:t>
            </w:r>
          </w:p>
        </w:tc>
        <w:tc>
          <w:tcPr>
            <w:tcW w:w="3187" w:type="dxa"/>
            <w:gridSpan w:val="2"/>
            <w:tcBorders>
              <w:top w:val="single" w:sz="4" w:space="0" w:color="auto"/>
              <w:left w:val="single" w:sz="4" w:space="0" w:color="auto"/>
            </w:tcBorders>
            <w:shd w:val="clear" w:color="auto" w:fill="FFFFFF"/>
            <w:vAlign w:val="center"/>
          </w:tcPr>
          <w:p w14:paraId="1A5C66BE" w14:textId="77777777" w:rsidR="00350D42" w:rsidRDefault="008E6F64">
            <w:pPr>
              <w:pStyle w:val="2c"/>
              <w:framePr w:w="6581" w:wrap="notBeside" w:vAnchor="text" w:hAnchor="text" w:xAlign="center" w:y="1"/>
              <w:shd w:val="clear" w:color="auto" w:fill="auto"/>
              <w:spacing w:before="0" w:line="221" w:lineRule="exact"/>
            </w:pPr>
            <w:r>
              <w:rPr>
                <w:rStyle w:val="275pt0"/>
              </w:rPr>
              <w:t>высоким уровнем конкуренции по</w:t>
            </w:r>
            <w:r>
              <w:rPr>
                <w:rStyle w:val="275pt0"/>
              </w:rPr>
              <w:softHyphen/>
              <w:t>купателей</w:t>
            </w:r>
          </w:p>
        </w:tc>
        <w:tc>
          <w:tcPr>
            <w:tcW w:w="869" w:type="dxa"/>
            <w:tcBorders>
              <w:top w:val="single" w:sz="4" w:space="0" w:color="auto"/>
              <w:left w:val="single" w:sz="4" w:space="0" w:color="auto"/>
            </w:tcBorders>
            <w:shd w:val="clear" w:color="auto" w:fill="FFFFFF"/>
            <w:vAlign w:val="center"/>
          </w:tcPr>
          <w:p w14:paraId="65DE4C5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09" w:type="dxa"/>
            <w:vMerge w:val="restart"/>
            <w:tcBorders>
              <w:top w:val="single" w:sz="4" w:space="0" w:color="auto"/>
              <w:left w:val="single" w:sz="4" w:space="0" w:color="auto"/>
              <w:right w:val="single" w:sz="4" w:space="0" w:color="auto"/>
            </w:tcBorders>
            <w:shd w:val="clear" w:color="auto" w:fill="FFFFFF"/>
          </w:tcPr>
          <w:p w14:paraId="1C23336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0,6</w:t>
            </w:r>
          </w:p>
        </w:tc>
      </w:tr>
      <w:tr w:rsidR="00350D42" w14:paraId="7D0A12C0" w14:textId="77777777">
        <w:trPr>
          <w:trHeight w:hRule="exact" w:val="581"/>
          <w:jc w:val="center"/>
        </w:trPr>
        <w:tc>
          <w:tcPr>
            <w:tcW w:w="1416" w:type="dxa"/>
            <w:vMerge/>
            <w:tcBorders>
              <w:left w:val="single" w:sz="4" w:space="0" w:color="auto"/>
            </w:tcBorders>
            <w:shd w:val="clear" w:color="auto" w:fill="FFFFFF"/>
          </w:tcPr>
          <w:p w14:paraId="39AAF05C" w14:textId="77777777" w:rsidR="00350D42" w:rsidRDefault="00350D42">
            <w:pPr>
              <w:framePr w:w="6581" w:wrap="notBeside" w:vAnchor="text" w:hAnchor="text" w:xAlign="center" w:y="1"/>
            </w:pPr>
          </w:p>
        </w:tc>
        <w:tc>
          <w:tcPr>
            <w:tcW w:w="3187" w:type="dxa"/>
            <w:gridSpan w:val="2"/>
            <w:tcBorders>
              <w:top w:val="single" w:sz="4" w:space="0" w:color="auto"/>
              <w:left w:val="single" w:sz="4" w:space="0" w:color="auto"/>
            </w:tcBorders>
            <w:shd w:val="clear" w:color="auto" w:fill="FFFFFF"/>
            <w:vAlign w:val="center"/>
          </w:tcPr>
          <w:p w14:paraId="6DD3CB04" w14:textId="77777777" w:rsidR="00350D42" w:rsidRDefault="008E6F64">
            <w:pPr>
              <w:pStyle w:val="2c"/>
              <w:framePr w:w="6581" w:wrap="notBeside" w:vAnchor="text" w:hAnchor="text" w:xAlign="center" w:y="1"/>
              <w:shd w:val="clear" w:color="auto" w:fill="auto"/>
              <w:spacing w:before="0" w:line="168" w:lineRule="exact"/>
            </w:pPr>
            <w:r>
              <w:rPr>
                <w:rStyle w:val="275pt0"/>
              </w:rPr>
              <w:t>умеренным уровнем конкуренции</w:t>
            </w:r>
          </w:p>
          <w:p w14:paraId="7120513C" w14:textId="77777777" w:rsidR="00350D42" w:rsidRDefault="008E6F64">
            <w:pPr>
              <w:pStyle w:val="2c"/>
              <w:framePr w:w="6581" w:wrap="notBeside" w:vAnchor="text" w:hAnchor="text" w:xAlign="center" w:y="1"/>
              <w:shd w:val="clear" w:color="auto" w:fill="auto"/>
              <w:spacing w:before="0" w:line="168" w:lineRule="exact"/>
            </w:pPr>
            <w:r>
              <w:rPr>
                <w:rStyle w:val="275pt0"/>
              </w:rPr>
              <w:t>поставщиков</w:t>
            </w:r>
          </w:p>
        </w:tc>
        <w:tc>
          <w:tcPr>
            <w:tcW w:w="869" w:type="dxa"/>
            <w:tcBorders>
              <w:top w:val="single" w:sz="4" w:space="0" w:color="auto"/>
              <w:left w:val="single" w:sz="4" w:space="0" w:color="auto"/>
            </w:tcBorders>
            <w:shd w:val="clear" w:color="auto" w:fill="FFFFFF"/>
            <w:vAlign w:val="center"/>
          </w:tcPr>
          <w:p w14:paraId="7FD9638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80</w:t>
            </w:r>
          </w:p>
        </w:tc>
        <w:tc>
          <w:tcPr>
            <w:tcW w:w="1109" w:type="dxa"/>
            <w:vMerge/>
            <w:tcBorders>
              <w:left w:val="single" w:sz="4" w:space="0" w:color="auto"/>
              <w:right w:val="single" w:sz="4" w:space="0" w:color="auto"/>
            </w:tcBorders>
            <w:shd w:val="clear" w:color="auto" w:fill="FFFFFF"/>
          </w:tcPr>
          <w:p w14:paraId="51CB3DAE" w14:textId="77777777" w:rsidR="00350D42" w:rsidRDefault="00350D42">
            <w:pPr>
              <w:framePr w:w="6581" w:wrap="notBeside" w:vAnchor="text" w:hAnchor="text" w:xAlign="center" w:y="1"/>
            </w:pPr>
          </w:p>
        </w:tc>
      </w:tr>
      <w:tr w:rsidR="00350D42" w14:paraId="66BF0B8F" w14:textId="77777777">
        <w:trPr>
          <w:trHeight w:hRule="exact" w:val="586"/>
          <w:jc w:val="center"/>
        </w:trPr>
        <w:tc>
          <w:tcPr>
            <w:tcW w:w="1416" w:type="dxa"/>
            <w:vMerge/>
            <w:tcBorders>
              <w:left w:val="single" w:sz="4" w:space="0" w:color="auto"/>
              <w:bottom w:val="single" w:sz="4" w:space="0" w:color="auto"/>
            </w:tcBorders>
            <w:shd w:val="clear" w:color="auto" w:fill="FFFFFF"/>
          </w:tcPr>
          <w:p w14:paraId="067E4817" w14:textId="77777777" w:rsidR="00350D42" w:rsidRDefault="00350D42">
            <w:pPr>
              <w:framePr w:w="6581" w:wrap="notBeside" w:vAnchor="text" w:hAnchor="text" w:xAlign="center" w:y="1"/>
            </w:pPr>
          </w:p>
        </w:tc>
        <w:tc>
          <w:tcPr>
            <w:tcW w:w="3187" w:type="dxa"/>
            <w:gridSpan w:val="2"/>
            <w:tcBorders>
              <w:top w:val="single" w:sz="4" w:space="0" w:color="auto"/>
              <w:left w:val="single" w:sz="4" w:space="0" w:color="auto"/>
              <w:bottom w:val="single" w:sz="4" w:space="0" w:color="auto"/>
            </w:tcBorders>
            <w:shd w:val="clear" w:color="auto" w:fill="FFFFFF"/>
            <w:vAlign w:val="center"/>
          </w:tcPr>
          <w:p w14:paraId="35A0430B" w14:textId="77777777" w:rsidR="00350D42" w:rsidRDefault="008E6F64">
            <w:pPr>
              <w:pStyle w:val="2c"/>
              <w:framePr w:w="6581" w:wrap="notBeside" w:vAnchor="text" w:hAnchor="text" w:xAlign="center" w:y="1"/>
              <w:shd w:val="clear" w:color="auto" w:fill="auto"/>
              <w:spacing w:before="0" w:line="216" w:lineRule="exact"/>
            </w:pPr>
            <w:r>
              <w:rPr>
                <w:rStyle w:val="275pt0"/>
              </w:rPr>
              <w:t>высоким уровнем конкуренции по</w:t>
            </w:r>
            <w:r>
              <w:rPr>
                <w:rStyle w:val="275pt0"/>
              </w:rPr>
              <w:softHyphen/>
              <w:t>ставщиков</w:t>
            </w:r>
          </w:p>
        </w:tc>
        <w:tc>
          <w:tcPr>
            <w:tcW w:w="869" w:type="dxa"/>
            <w:tcBorders>
              <w:top w:val="single" w:sz="4" w:space="0" w:color="auto"/>
              <w:left w:val="single" w:sz="4" w:space="0" w:color="auto"/>
              <w:bottom w:val="single" w:sz="4" w:space="0" w:color="auto"/>
            </w:tcBorders>
            <w:shd w:val="clear" w:color="auto" w:fill="FFFFFF"/>
            <w:vAlign w:val="center"/>
          </w:tcPr>
          <w:p w14:paraId="6038C8A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09" w:type="dxa"/>
            <w:vMerge/>
            <w:tcBorders>
              <w:left w:val="single" w:sz="4" w:space="0" w:color="auto"/>
              <w:bottom w:val="single" w:sz="4" w:space="0" w:color="auto"/>
              <w:right w:val="single" w:sz="4" w:space="0" w:color="auto"/>
            </w:tcBorders>
            <w:shd w:val="clear" w:color="auto" w:fill="FFFFFF"/>
          </w:tcPr>
          <w:p w14:paraId="7D7759DA" w14:textId="77777777" w:rsidR="00350D42" w:rsidRDefault="00350D42">
            <w:pPr>
              <w:framePr w:w="6581" w:wrap="notBeside" w:vAnchor="text" w:hAnchor="text" w:xAlign="center" w:y="1"/>
            </w:pPr>
          </w:p>
        </w:tc>
      </w:tr>
    </w:tbl>
    <w:p w14:paraId="4A2B6775" w14:textId="77777777" w:rsidR="00350D42" w:rsidRDefault="00350D42">
      <w:pPr>
        <w:framePr w:w="6581" w:wrap="notBeside" w:vAnchor="text" w:hAnchor="text" w:xAlign="center" w:y="1"/>
        <w:rPr>
          <w:sz w:val="2"/>
          <w:szCs w:val="2"/>
        </w:rPr>
      </w:pPr>
    </w:p>
    <w:p w14:paraId="7E2CCCAA" w14:textId="77777777" w:rsidR="00350D42" w:rsidRDefault="00350D42">
      <w:pPr>
        <w:rPr>
          <w:sz w:val="2"/>
          <w:szCs w:val="2"/>
        </w:rPr>
      </w:pPr>
    </w:p>
    <w:p w14:paraId="17B49BCF" w14:textId="77777777" w:rsidR="00350D42" w:rsidRDefault="008E6F64">
      <w:pPr>
        <w:pStyle w:val="111"/>
        <w:shd w:val="clear" w:color="auto" w:fill="auto"/>
        <w:spacing w:before="98" w:after="0" w:line="250" w:lineRule="exact"/>
        <w:ind w:firstLine="320"/>
        <w:jc w:val="both"/>
      </w:pPr>
      <w:r>
        <w:rPr>
          <w:rStyle w:val="113"/>
          <w:b/>
          <w:bCs/>
        </w:rPr>
        <w:t>Для определения возможности финансирования проекта и выбо</w:t>
      </w:r>
      <w:r>
        <w:rPr>
          <w:rStyle w:val="113"/>
          <w:b/>
          <w:bCs/>
        </w:rPr>
        <w:softHyphen/>
        <w:t>ра соответствующего значения критерия могут учитываться:</w:t>
      </w:r>
    </w:p>
    <w:p w14:paraId="06CA0608" w14:textId="77777777" w:rsidR="00350D42" w:rsidRDefault="008E6F64">
      <w:pPr>
        <w:pStyle w:val="111"/>
        <w:numPr>
          <w:ilvl w:val="0"/>
          <w:numId w:val="162"/>
        </w:numPr>
        <w:shd w:val="clear" w:color="auto" w:fill="auto"/>
        <w:tabs>
          <w:tab w:val="left" w:pos="630"/>
        </w:tabs>
        <w:spacing w:before="0" w:after="0" w:line="250" w:lineRule="exact"/>
        <w:ind w:firstLine="320"/>
        <w:jc w:val="both"/>
      </w:pPr>
      <w:r>
        <w:rPr>
          <w:rStyle w:val="113"/>
          <w:b/>
          <w:bCs/>
        </w:rPr>
        <w:t>наличие подтверждений технической возможности осущест</w:t>
      </w:r>
      <w:r>
        <w:rPr>
          <w:rStyle w:val="113"/>
          <w:b/>
          <w:bCs/>
        </w:rPr>
        <w:softHyphen/>
        <w:t>влять поставки ресурсов;</w:t>
      </w:r>
    </w:p>
    <w:p w14:paraId="0F560C5E" w14:textId="77777777" w:rsidR="00350D42" w:rsidRDefault="008E6F64">
      <w:pPr>
        <w:pStyle w:val="111"/>
        <w:numPr>
          <w:ilvl w:val="0"/>
          <w:numId w:val="162"/>
        </w:numPr>
        <w:shd w:val="clear" w:color="auto" w:fill="auto"/>
        <w:tabs>
          <w:tab w:val="left" w:pos="630"/>
        </w:tabs>
        <w:spacing w:before="0" w:after="0" w:line="250" w:lineRule="exact"/>
        <w:ind w:firstLine="320"/>
        <w:jc w:val="both"/>
      </w:pPr>
      <w:r>
        <w:rPr>
          <w:rStyle w:val="113"/>
          <w:b/>
          <w:bCs/>
        </w:rPr>
        <w:t>существующая отраслевая практика в отношении заключе</w:t>
      </w:r>
      <w:r>
        <w:rPr>
          <w:rStyle w:val="113"/>
          <w:b/>
          <w:bCs/>
        </w:rPr>
        <w:softHyphen/>
        <w:t>ния долгосрочных договоров на поставку ресурсов;</w:t>
      </w:r>
    </w:p>
    <w:p w14:paraId="7325331C" w14:textId="77777777" w:rsidR="00350D42" w:rsidRDefault="008E6F64">
      <w:pPr>
        <w:pStyle w:val="111"/>
        <w:numPr>
          <w:ilvl w:val="0"/>
          <w:numId w:val="162"/>
        </w:numPr>
        <w:shd w:val="clear" w:color="auto" w:fill="auto"/>
        <w:tabs>
          <w:tab w:val="left" w:pos="634"/>
        </w:tabs>
        <w:spacing w:before="0" w:after="0" w:line="250" w:lineRule="exact"/>
        <w:ind w:firstLine="320"/>
        <w:jc w:val="both"/>
      </w:pPr>
      <w:r>
        <w:rPr>
          <w:rStyle w:val="113"/>
          <w:b/>
          <w:bCs/>
        </w:rPr>
        <w:t>объем оборота поставщиков, данные отчетности (при нали</w:t>
      </w:r>
      <w:r>
        <w:rPr>
          <w:rStyle w:val="113"/>
          <w:b/>
          <w:bCs/>
        </w:rPr>
        <w:softHyphen/>
        <w:t>чии), их известность, репутация;</w:t>
      </w:r>
    </w:p>
    <w:p w14:paraId="7526A584" w14:textId="77777777" w:rsidR="00350D42" w:rsidRDefault="008E6F64">
      <w:pPr>
        <w:pStyle w:val="111"/>
        <w:numPr>
          <w:ilvl w:val="0"/>
          <w:numId w:val="162"/>
        </w:numPr>
        <w:shd w:val="clear" w:color="auto" w:fill="auto"/>
        <w:tabs>
          <w:tab w:val="left" w:pos="630"/>
        </w:tabs>
        <w:spacing w:before="0" w:after="0" w:line="250" w:lineRule="exact"/>
        <w:ind w:firstLine="320"/>
        <w:jc w:val="both"/>
      </w:pPr>
      <w:r>
        <w:rPr>
          <w:rStyle w:val="113"/>
          <w:b/>
          <w:bCs/>
        </w:rPr>
        <w:t>соотношение размера штрафных санкций, предусмотренных в договоре, и объемов оборота поставщиков;</w:t>
      </w:r>
    </w:p>
    <w:p w14:paraId="66A8ABF7" w14:textId="77777777" w:rsidR="00350D42" w:rsidRDefault="008E6F64">
      <w:pPr>
        <w:pStyle w:val="111"/>
        <w:numPr>
          <w:ilvl w:val="0"/>
          <w:numId w:val="162"/>
        </w:numPr>
        <w:shd w:val="clear" w:color="auto" w:fill="auto"/>
        <w:tabs>
          <w:tab w:val="left" w:pos="630"/>
        </w:tabs>
        <w:spacing w:before="0" w:after="0" w:line="250" w:lineRule="exact"/>
        <w:ind w:firstLine="320"/>
        <w:jc w:val="both"/>
      </w:pPr>
      <w:r>
        <w:rPr>
          <w:rStyle w:val="113"/>
          <w:b/>
          <w:bCs/>
        </w:rPr>
        <w:t>отраслевые обзоры отрасли поставщиков в отношении уров</w:t>
      </w:r>
      <w:r>
        <w:rPr>
          <w:rStyle w:val="113"/>
          <w:b/>
          <w:bCs/>
        </w:rPr>
        <w:softHyphen/>
        <w:t>ня конкуренции, планируемых объемов производства, общих пер</w:t>
      </w:r>
      <w:r>
        <w:rPr>
          <w:rStyle w:val="113"/>
          <w:b/>
          <w:bCs/>
        </w:rPr>
        <w:softHyphen/>
        <w:t>спектив отрасли и т. д.</w:t>
      </w:r>
    </w:p>
    <w:p w14:paraId="6FDA1C09" w14:textId="77777777" w:rsidR="00350D42" w:rsidRDefault="008E6F64">
      <w:pPr>
        <w:pStyle w:val="190"/>
        <w:numPr>
          <w:ilvl w:val="0"/>
          <w:numId w:val="161"/>
        </w:numPr>
        <w:shd w:val="clear" w:color="auto" w:fill="auto"/>
        <w:tabs>
          <w:tab w:val="left" w:pos="629"/>
        </w:tabs>
        <w:spacing w:line="250" w:lineRule="exact"/>
        <w:ind w:firstLine="320"/>
        <w:jc w:val="both"/>
      </w:pPr>
      <w:r>
        <w:rPr>
          <w:rStyle w:val="191"/>
          <w:i/>
          <w:iCs/>
        </w:rPr>
        <w:t>Оценка фактора «создание актива (реализация инвестицион</w:t>
      </w:r>
      <w:r>
        <w:rPr>
          <w:rStyle w:val="191"/>
          <w:i/>
          <w:iCs/>
        </w:rPr>
        <w:softHyphen/>
        <w:t>ной фазы)».</w:t>
      </w:r>
    </w:p>
    <w:p w14:paraId="1D728866" w14:textId="77777777" w:rsidR="00350D42" w:rsidRDefault="008E6F64">
      <w:pPr>
        <w:pStyle w:val="111"/>
        <w:shd w:val="clear" w:color="auto" w:fill="auto"/>
        <w:spacing w:before="0" w:after="0" w:line="250" w:lineRule="exact"/>
        <w:ind w:firstLine="320"/>
        <w:jc w:val="both"/>
      </w:pPr>
      <w:r>
        <w:rPr>
          <w:rStyle w:val="113"/>
          <w:b/>
          <w:bCs/>
        </w:rPr>
        <w:t>Возможность успешной реализации строительной фазы в зна</w:t>
      </w:r>
      <w:r>
        <w:rPr>
          <w:rStyle w:val="113"/>
          <w:b/>
          <w:bCs/>
        </w:rPr>
        <w:softHyphen/>
        <w:t>чительной степени определяется наличием необходимого опыта у проектной организации и генерального подрядчика. Основным подтверждением опыта являются состав объектов, которые про</w:t>
      </w:r>
      <w:r>
        <w:rPr>
          <w:rStyle w:val="113"/>
          <w:b/>
          <w:bCs/>
        </w:rPr>
        <w:softHyphen/>
        <w:t>ектировались или строились ранее, и состав функций, которые вы- поднялись генеральным подрядчиком при строительстве данных объектов.</w:t>
      </w:r>
    </w:p>
    <w:p w14:paraId="4DE75FBC" w14:textId="77777777" w:rsidR="00350D42" w:rsidRDefault="008E6F64">
      <w:pPr>
        <w:pStyle w:val="111"/>
        <w:shd w:val="clear" w:color="auto" w:fill="auto"/>
        <w:spacing w:before="0" w:after="0" w:line="250" w:lineRule="exact"/>
        <w:ind w:firstLine="320"/>
        <w:jc w:val="both"/>
        <w:sectPr w:rsidR="00350D42">
          <w:pgSz w:w="8789" w:h="13493"/>
          <w:pgMar w:top="1198" w:right="1075" w:bottom="1198" w:left="1075" w:header="0" w:footer="3" w:gutter="0"/>
          <w:cols w:space="720"/>
          <w:noEndnote/>
          <w:docGrid w:linePitch="360"/>
        </w:sectPr>
      </w:pPr>
      <w:r>
        <w:rPr>
          <w:rStyle w:val="113"/>
          <w:b/>
          <w:bCs/>
        </w:rPr>
        <w:t>Степень сходства объектов, в сооружении которых участвовали генеральный подрядчик и проектировщик ранее, с проектом, созда</w:t>
      </w:r>
      <w:r>
        <w:rPr>
          <w:rStyle w:val="113"/>
          <w:b/>
          <w:bCs/>
        </w:rPr>
        <w:softHyphen/>
        <w:t>ваемым в ходе реализации рассматриваемого проекта, зависит как от их функционального назначения, так и от близости применяе</w:t>
      </w:r>
      <w:r>
        <w:rPr>
          <w:rStyle w:val="113"/>
          <w:b/>
          <w:bCs/>
        </w:rPr>
        <w:softHyphen/>
        <w:t>мых технологий, технических решений, состава монтируемого обо</w:t>
      </w:r>
      <w:r>
        <w:rPr>
          <w:rStyle w:val="113"/>
          <w:b/>
          <w:bCs/>
        </w:rPr>
        <w:softHyphen/>
        <w:t>рудования. При этом вне зависимости от состава функций, которые генеральный подрядчик планирует выполнять в рамках данного проекта, предпочтительным является наличие у него опыта непо-</w:t>
      </w:r>
    </w:p>
    <w:p w14:paraId="40508F5B" w14:textId="77777777" w:rsidR="00350D42" w:rsidRDefault="008E6F64">
      <w:pPr>
        <w:pStyle w:val="111"/>
        <w:shd w:val="clear" w:color="auto" w:fill="auto"/>
        <w:spacing w:before="0" w:after="0" w:line="250" w:lineRule="exact"/>
        <w:jc w:val="both"/>
      </w:pPr>
      <w:r>
        <w:rPr>
          <w:rStyle w:val="113"/>
          <w:b/>
          <w:bCs/>
        </w:rPr>
        <w:lastRenderedPageBreak/>
        <w:t>средственного выполнения значительных объемов работ силами своих специалистов (реализации значимых функций).</w:t>
      </w:r>
    </w:p>
    <w:p w14:paraId="6D986AA6" w14:textId="77777777" w:rsidR="00350D42" w:rsidRDefault="008E6F64">
      <w:pPr>
        <w:pStyle w:val="111"/>
        <w:shd w:val="clear" w:color="auto" w:fill="auto"/>
        <w:spacing w:before="0" w:after="0" w:line="250" w:lineRule="exact"/>
        <w:ind w:firstLine="320"/>
        <w:jc w:val="both"/>
      </w:pPr>
      <w:r>
        <w:rPr>
          <w:rStyle w:val="113"/>
          <w:b/>
          <w:bCs/>
        </w:rPr>
        <w:t>Поскольку генеральный подрядчик пропускает через себя ос</w:t>
      </w:r>
      <w:r>
        <w:rPr>
          <w:rStyle w:val="113"/>
          <w:b/>
          <w:bCs/>
        </w:rPr>
        <w:softHyphen/>
        <w:t>новные денежные потоки по проекту и принимает значительные риски (реализация которых обязывает выплачивать значительные штрафы или устранять возникшие сложности за счет собственных средств), большое значение также имеют его финансовое состояние и масштабы его бизнеса (величина годовой выручки).</w:t>
      </w:r>
    </w:p>
    <w:p w14:paraId="0B406548" w14:textId="77777777" w:rsidR="00350D42" w:rsidRDefault="008E6F64">
      <w:pPr>
        <w:pStyle w:val="111"/>
        <w:shd w:val="clear" w:color="auto" w:fill="auto"/>
        <w:spacing w:before="0" w:after="0" w:line="250" w:lineRule="exact"/>
        <w:ind w:firstLine="320"/>
        <w:jc w:val="both"/>
      </w:pPr>
      <w:r>
        <w:rPr>
          <w:rStyle w:val="113"/>
          <w:b/>
          <w:bCs/>
        </w:rPr>
        <w:t>С точки зрения кредитования важно, чтобы цена договора гене</w:t>
      </w:r>
      <w:r>
        <w:rPr>
          <w:rStyle w:val="113"/>
          <w:b/>
          <w:bCs/>
        </w:rPr>
        <w:softHyphen/>
        <w:t>рального подряда была фиксированной (либо была предусмотрена формула ее индексации, позволяющая осуществить прогнозирова</w:t>
      </w:r>
      <w:r>
        <w:rPr>
          <w:rStyle w:val="113"/>
          <w:b/>
          <w:bCs/>
        </w:rPr>
        <w:softHyphen/>
        <w:t>ние) и соответствовала рыночному уровню. В случае если зафик</w:t>
      </w:r>
      <w:r>
        <w:rPr>
          <w:rStyle w:val="113"/>
          <w:b/>
          <w:bCs/>
        </w:rPr>
        <w:softHyphen/>
        <w:t>сированная в договоре цена ниже рыночной, существует значи</w:t>
      </w:r>
      <w:r>
        <w:rPr>
          <w:rStyle w:val="113"/>
          <w:b/>
          <w:bCs/>
        </w:rPr>
        <w:softHyphen/>
        <w:t>тельный риск ее превышения в ходе строительства (и превышения лимита кредитования). Превышение ценой рыночного уровня мо</w:t>
      </w:r>
      <w:r>
        <w:rPr>
          <w:rStyle w:val="113"/>
          <w:b/>
          <w:bCs/>
        </w:rPr>
        <w:softHyphen/>
        <w:t>жет означать для банка невозможность возврата вложенных средств при вынужденной реализации объекта, а также снижает финансо</w:t>
      </w:r>
      <w:r>
        <w:rPr>
          <w:rStyle w:val="113"/>
          <w:b/>
          <w:bCs/>
        </w:rPr>
        <w:softHyphen/>
        <w:t>вую устойчивость проекта.</w:t>
      </w:r>
    </w:p>
    <w:p w14:paraId="407A421D" w14:textId="77777777" w:rsidR="00350D42" w:rsidRDefault="008E6F64">
      <w:pPr>
        <w:pStyle w:val="111"/>
        <w:shd w:val="clear" w:color="auto" w:fill="auto"/>
        <w:spacing w:before="0" w:after="0" w:line="250" w:lineRule="exact"/>
        <w:ind w:firstLine="320"/>
        <w:jc w:val="both"/>
      </w:pPr>
      <w:r>
        <w:rPr>
          <w:rStyle w:val="113"/>
          <w:b/>
          <w:bCs/>
        </w:rPr>
        <w:t>Дополнительной гарантией успешной реализации инвестицион</w:t>
      </w:r>
      <w:r>
        <w:rPr>
          <w:rStyle w:val="113"/>
          <w:b/>
          <w:bCs/>
        </w:rPr>
        <w:softHyphen/>
        <w:t>ной стадии для банка является привлечение надзорной компании для контроля за качеством строительства объекта (а также за объ</w:t>
      </w:r>
      <w:r>
        <w:rPr>
          <w:rStyle w:val="113"/>
          <w:b/>
          <w:bCs/>
        </w:rPr>
        <w:softHyphen/>
        <w:t>емом собственного вклада инициатора). Показатели оценки данно</w:t>
      </w:r>
      <w:r>
        <w:rPr>
          <w:rStyle w:val="113"/>
          <w:b/>
          <w:bCs/>
        </w:rPr>
        <w:softHyphen/>
        <w:t>го фактора представлены в табл. П.2.10.</w:t>
      </w:r>
    </w:p>
    <w:p w14:paraId="2D472CE6" w14:textId="77777777" w:rsidR="00350D42" w:rsidRDefault="008E6F64">
      <w:pPr>
        <w:pStyle w:val="190"/>
        <w:shd w:val="clear" w:color="auto" w:fill="auto"/>
      </w:pPr>
      <w:r>
        <w:rPr>
          <w:rStyle w:val="191"/>
          <w:i/>
          <w:iCs/>
        </w:rPr>
        <w:t>Таблица П.2.10</w:t>
      </w:r>
    </w:p>
    <w:p w14:paraId="1E924FA5" w14:textId="77777777" w:rsidR="00350D42" w:rsidRDefault="008E6F64">
      <w:pPr>
        <w:pStyle w:val="3f2"/>
        <w:framePr w:w="6581" w:wrap="notBeside" w:vAnchor="text" w:hAnchor="text" w:xAlign="center" w:y="1"/>
        <w:shd w:val="clear" w:color="auto" w:fill="auto"/>
        <w:spacing w:line="194" w:lineRule="exact"/>
        <w:jc w:val="left"/>
      </w:pPr>
      <w:r>
        <w:rPr>
          <w:rStyle w:val="3f3"/>
          <w:b/>
          <w:bCs/>
        </w:rPr>
        <w:t>Оценка фактора «создание актива (реализация инвестиционной фазы)»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758"/>
        <w:gridCol w:w="542"/>
        <w:gridCol w:w="1570"/>
        <w:gridCol w:w="854"/>
        <w:gridCol w:w="1123"/>
      </w:tblGrid>
      <w:tr w:rsidR="00350D42" w14:paraId="458EE877" w14:textId="77777777">
        <w:trPr>
          <w:trHeight w:hRule="exact" w:val="763"/>
          <w:jc w:val="center"/>
        </w:trPr>
        <w:tc>
          <w:tcPr>
            <w:tcW w:w="4603" w:type="dxa"/>
            <w:gridSpan w:val="4"/>
            <w:tcBorders>
              <w:top w:val="single" w:sz="4" w:space="0" w:color="auto"/>
              <w:left w:val="single" w:sz="4" w:space="0" w:color="auto"/>
            </w:tcBorders>
            <w:shd w:val="clear" w:color="auto" w:fill="FFFFFF"/>
          </w:tcPr>
          <w:p w14:paraId="6E06297B"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Показатели по подгруппам</w:t>
            </w:r>
          </w:p>
        </w:tc>
        <w:tc>
          <w:tcPr>
            <w:tcW w:w="854" w:type="dxa"/>
            <w:tcBorders>
              <w:top w:val="single" w:sz="4" w:space="0" w:color="auto"/>
              <w:left w:val="single" w:sz="4" w:space="0" w:color="auto"/>
            </w:tcBorders>
            <w:shd w:val="clear" w:color="auto" w:fill="FFFFFF"/>
            <w:vAlign w:val="bottom"/>
          </w:tcPr>
          <w:p w14:paraId="7D724AE4" w14:textId="77777777" w:rsidR="00350D42" w:rsidRDefault="008E6F64">
            <w:pPr>
              <w:pStyle w:val="2c"/>
              <w:framePr w:w="6581" w:wrap="notBeside" w:vAnchor="text" w:hAnchor="text" w:xAlign="center" w:y="1"/>
              <w:shd w:val="clear" w:color="auto" w:fill="auto"/>
              <w:spacing w:before="0" w:line="216" w:lineRule="exact"/>
            </w:pPr>
            <w:r>
              <w:rPr>
                <w:rStyle w:val="275pt"/>
              </w:rPr>
              <w:t>Баллы</w:t>
            </w:r>
          </w:p>
          <w:p w14:paraId="24B00CBC" w14:textId="77777777" w:rsidR="00350D42" w:rsidRDefault="008E6F64">
            <w:pPr>
              <w:pStyle w:val="2c"/>
              <w:framePr w:w="6581" w:wrap="notBeside" w:vAnchor="text" w:hAnchor="text" w:xAlign="center" w:y="1"/>
              <w:shd w:val="clear" w:color="auto" w:fill="auto"/>
              <w:spacing w:before="0" w:line="216" w:lineRule="exact"/>
            </w:pPr>
            <w:r>
              <w:rPr>
                <w:rStyle w:val="275pt"/>
              </w:rPr>
              <w:t>по под</w:t>
            </w:r>
            <w:r>
              <w:rPr>
                <w:rStyle w:val="275pt"/>
              </w:rPr>
              <w:softHyphen/>
              <w:t>группе</w:t>
            </w:r>
          </w:p>
        </w:tc>
        <w:tc>
          <w:tcPr>
            <w:tcW w:w="1123" w:type="dxa"/>
            <w:tcBorders>
              <w:top w:val="single" w:sz="4" w:space="0" w:color="auto"/>
              <w:left w:val="single" w:sz="4" w:space="0" w:color="auto"/>
              <w:right w:val="single" w:sz="4" w:space="0" w:color="auto"/>
            </w:tcBorders>
            <w:shd w:val="clear" w:color="auto" w:fill="FFFFFF"/>
            <w:vAlign w:val="bottom"/>
          </w:tcPr>
          <w:p w14:paraId="10E53E2C" w14:textId="77777777" w:rsidR="00350D42" w:rsidRDefault="008E6F64">
            <w:pPr>
              <w:pStyle w:val="2c"/>
              <w:framePr w:w="6581" w:wrap="notBeside" w:vAnchor="text" w:hAnchor="text" w:xAlign="center" w:y="1"/>
              <w:shd w:val="clear" w:color="auto" w:fill="auto"/>
              <w:spacing w:before="0" w:line="216" w:lineRule="exact"/>
              <w:ind w:left="220" w:hanging="220"/>
              <w:jc w:val="left"/>
            </w:pPr>
            <w:r>
              <w:rPr>
                <w:rStyle w:val="275pt"/>
              </w:rPr>
              <w:t>Удельный вес под</w:t>
            </w:r>
            <w:r>
              <w:rPr>
                <w:rStyle w:val="275pt"/>
              </w:rPr>
              <w:softHyphen/>
              <w:t>группы</w:t>
            </w:r>
          </w:p>
        </w:tc>
      </w:tr>
      <w:tr w:rsidR="00350D42" w14:paraId="4B3CC386" w14:textId="77777777">
        <w:trPr>
          <w:trHeight w:hRule="exact" w:val="566"/>
          <w:jc w:val="center"/>
        </w:trPr>
        <w:tc>
          <w:tcPr>
            <w:tcW w:w="3033" w:type="dxa"/>
            <w:gridSpan w:val="3"/>
            <w:vMerge w:val="restart"/>
            <w:tcBorders>
              <w:top w:val="single" w:sz="4" w:space="0" w:color="auto"/>
              <w:left w:val="single" w:sz="4" w:space="0" w:color="auto"/>
            </w:tcBorders>
            <w:shd w:val="clear" w:color="auto" w:fill="FFFFFF"/>
          </w:tcPr>
          <w:p w14:paraId="1678E5D7"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Наличие опыта проектирования подобных объектов:</w:t>
            </w:r>
          </w:p>
        </w:tc>
        <w:tc>
          <w:tcPr>
            <w:tcW w:w="1570" w:type="dxa"/>
            <w:tcBorders>
              <w:top w:val="single" w:sz="4" w:space="0" w:color="auto"/>
              <w:left w:val="single" w:sz="4" w:space="0" w:color="auto"/>
            </w:tcBorders>
            <w:shd w:val="clear" w:color="auto" w:fill="FFFFFF"/>
            <w:vAlign w:val="center"/>
          </w:tcPr>
          <w:p w14:paraId="37161CF5" w14:textId="77777777" w:rsidR="00350D42" w:rsidRDefault="008E6F64">
            <w:pPr>
              <w:pStyle w:val="2c"/>
              <w:framePr w:w="6581" w:wrap="notBeside" w:vAnchor="text" w:hAnchor="text" w:xAlign="center" w:y="1"/>
              <w:shd w:val="clear" w:color="auto" w:fill="auto"/>
              <w:spacing w:before="0" w:line="216" w:lineRule="exact"/>
            </w:pPr>
            <w:r>
              <w:rPr>
                <w:rStyle w:val="275pt0"/>
              </w:rPr>
              <w:t>опыт отсутству</w:t>
            </w:r>
            <w:r>
              <w:rPr>
                <w:rStyle w:val="275pt0"/>
              </w:rPr>
              <w:softHyphen/>
              <w:t>ет</w:t>
            </w:r>
          </w:p>
        </w:tc>
        <w:tc>
          <w:tcPr>
            <w:tcW w:w="854" w:type="dxa"/>
            <w:tcBorders>
              <w:top w:val="single" w:sz="4" w:space="0" w:color="auto"/>
              <w:left w:val="single" w:sz="4" w:space="0" w:color="auto"/>
            </w:tcBorders>
            <w:shd w:val="clear" w:color="auto" w:fill="FFFFFF"/>
            <w:vAlign w:val="center"/>
          </w:tcPr>
          <w:p w14:paraId="6661B12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23" w:type="dxa"/>
            <w:vMerge w:val="restart"/>
            <w:tcBorders>
              <w:top w:val="single" w:sz="4" w:space="0" w:color="auto"/>
              <w:left w:val="single" w:sz="4" w:space="0" w:color="auto"/>
              <w:right w:val="single" w:sz="4" w:space="0" w:color="auto"/>
            </w:tcBorders>
            <w:shd w:val="clear" w:color="auto" w:fill="FFFFFF"/>
          </w:tcPr>
          <w:p w14:paraId="4CD6105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0,15</w:t>
            </w:r>
          </w:p>
        </w:tc>
      </w:tr>
      <w:tr w:rsidR="00350D42" w14:paraId="1DF45D04" w14:textId="77777777">
        <w:trPr>
          <w:trHeight w:hRule="exact" w:val="346"/>
          <w:jc w:val="center"/>
        </w:trPr>
        <w:tc>
          <w:tcPr>
            <w:tcW w:w="3033" w:type="dxa"/>
            <w:gridSpan w:val="3"/>
            <w:vMerge/>
            <w:tcBorders>
              <w:left w:val="single" w:sz="4" w:space="0" w:color="auto"/>
            </w:tcBorders>
            <w:shd w:val="clear" w:color="auto" w:fill="FFFFFF"/>
          </w:tcPr>
          <w:p w14:paraId="7525CC2F" w14:textId="77777777" w:rsidR="00350D42" w:rsidRDefault="00350D42">
            <w:pPr>
              <w:framePr w:w="6581" w:wrap="notBeside" w:vAnchor="text" w:hAnchor="text" w:xAlign="center" w:y="1"/>
            </w:pPr>
          </w:p>
        </w:tc>
        <w:tc>
          <w:tcPr>
            <w:tcW w:w="1570" w:type="dxa"/>
            <w:tcBorders>
              <w:top w:val="single" w:sz="4" w:space="0" w:color="auto"/>
              <w:left w:val="single" w:sz="4" w:space="0" w:color="auto"/>
            </w:tcBorders>
            <w:shd w:val="clear" w:color="auto" w:fill="FFFFFF"/>
            <w:vAlign w:val="center"/>
          </w:tcPr>
          <w:p w14:paraId="4617257A" w14:textId="77777777" w:rsidR="00350D42" w:rsidRDefault="008E6F64">
            <w:pPr>
              <w:pStyle w:val="2c"/>
              <w:framePr w:w="6581" w:wrap="notBeside" w:vAnchor="text" w:hAnchor="text" w:xAlign="center" w:y="1"/>
              <w:shd w:val="clear" w:color="auto" w:fill="auto"/>
              <w:spacing w:before="0" w:line="168" w:lineRule="exact"/>
            </w:pPr>
            <w:r>
              <w:rPr>
                <w:rStyle w:val="275pt0"/>
              </w:rPr>
              <w:t>опыт имеется</w:t>
            </w:r>
          </w:p>
        </w:tc>
        <w:tc>
          <w:tcPr>
            <w:tcW w:w="854" w:type="dxa"/>
            <w:tcBorders>
              <w:top w:val="single" w:sz="4" w:space="0" w:color="auto"/>
              <w:left w:val="single" w:sz="4" w:space="0" w:color="auto"/>
            </w:tcBorders>
            <w:shd w:val="clear" w:color="auto" w:fill="FFFFFF"/>
            <w:vAlign w:val="bottom"/>
          </w:tcPr>
          <w:p w14:paraId="0105A3A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23" w:type="dxa"/>
            <w:vMerge/>
            <w:tcBorders>
              <w:left w:val="single" w:sz="4" w:space="0" w:color="auto"/>
              <w:right w:val="single" w:sz="4" w:space="0" w:color="auto"/>
            </w:tcBorders>
            <w:shd w:val="clear" w:color="auto" w:fill="FFFFFF"/>
          </w:tcPr>
          <w:p w14:paraId="5063C11D" w14:textId="77777777" w:rsidR="00350D42" w:rsidRDefault="00350D42">
            <w:pPr>
              <w:framePr w:w="6581" w:wrap="notBeside" w:vAnchor="text" w:hAnchor="text" w:xAlign="center" w:y="1"/>
            </w:pPr>
          </w:p>
        </w:tc>
      </w:tr>
      <w:tr w:rsidR="00350D42" w14:paraId="2BADC841" w14:textId="77777777">
        <w:trPr>
          <w:trHeight w:hRule="exact" w:val="782"/>
          <w:jc w:val="center"/>
        </w:trPr>
        <w:tc>
          <w:tcPr>
            <w:tcW w:w="4603" w:type="dxa"/>
            <w:gridSpan w:val="4"/>
            <w:tcBorders>
              <w:top w:val="single" w:sz="4" w:space="0" w:color="auto"/>
              <w:left w:val="single" w:sz="4" w:space="0" w:color="auto"/>
            </w:tcBorders>
            <w:shd w:val="clear" w:color="auto" w:fill="FFFFFF"/>
            <w:vAlign w:val="center"/>
          </w:tcPr>
          <w:p w14:paraId="42A11B79" w14:textId="77777777" w:rsidR="00350D42" w:rsidRDefault="008E6F64">
            <w:pPr>
              <w:pStyle w:val="2c"/>
              <w:framePr w:w="6581" w:wrap="notBeside" w:vAnchor="text" w:hAnchor="text" w:xAlign="center" w:y="1"/>
              <w:shd w:val="clear" w:color="auto" w:fill="auto"/>
              <w:spacing w:before="0" w:line="216" w:lineRule="exact"/>
            </w:pPr>
            <w:r>
              <w:rPr>
                <w:rStyle w:val="275pt0"/>
              </w:rPr>
              <w:t>У генерального подрядчика отсутствует опыт вы</w:t>
            </w:r>
            <w:r>
              <w:rPr>
                <w:rStyle w:val="275pt0"/>
              </w:rPr>
              <w:softHyphen/>
              <w:t>полнения значимых функций при строительстве близких объектов</w:t>
            </w:r>
          </w:p>
        </w:tc>
        <w:tc>
          <w:tcPr>
            <w:tcW w:w="854" w:type="dxa"/>
            <w:tcBorders>
              <w:top w:val="single" w:sz="4" w:space="0" w:color="auto"/>
              <w:left w:val="single" w:sz="4" w:space="0" w:color="auto"/>
            </w:tcBorders>
            <w:shd w:val="clear" w:color="auto" w:fill="FFFFFF"/>
          </w:tcPr>
          <w:p w14:paraId="39A7D390"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23" w:type="dxa"/>
            <w:vMerge w:val="restart"/>
            <w:tcBorders>
              <w:top w:val="single" w:sz="4" w:space="0" w:color="auto"/>
              <w:left w:val="single" w:sz="4" w:space="0" w:color="auto"/>
              <w:right w:val="single" w:sz="4" w:space="0" w:color="auto"/>
            </w:tcBorders>
            <w:shd w:val="clear" w:color="auto" w:fill="FFFFFF"/>
          </w:tcPr>
          <w:p w14:paraId="766C16A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0,15</w:t>
            </w:r>
          </w:p>
        </w:tc>
      </w:tr>
      <w:tr w:rsidR="00350D42" w14:paraId="49B47AE2" w14:textId="77777777">
        <w:trPr>
          <w:trHeight w:hRule="exact" w:val="346"/>
          <w:jc w:val="center"/>
        </w:trPr>
        <w:tc>
          <w:tcPr>
            <w:tcW w:w="2491" w:type="dxa"/>
            <w:gridSpan w:val="2"/>
            <w:vMerge w:val="restart"/>
            <w:tcBorders>
              <w:top w:val="single" w:sz="4" w:space="0" w:color="auto"/>
              <w:left w:val="single" w:sz="4" w:space="0" w:color="auto"/>
            </w:tcBorders>
            <w:shd w:val="clear" w:color="auto" w:fill="FFFFFF"/>
            <w:vAlign w:val="center"/>
          </w:tcPr>
          <w:p w14:paraId="44E83975"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Генеральный подрядчик выполнял значимые функ</w:t>
            </w:r>
            <w:r>
              <w:rPr>
                <w:rStyle w:val="275pt0"/>
              </w:rPr>
              <w:softHyphen/>
              <w:t>ции в процессе строитель</w:t>
            </w:r>
            <w:r>
              <w:rPr>
                <w:rStyle w:val="275pt0"/>
              </w:rPr>
              <w:softHyphen/>
              <w:t>ства:</w:t>
            </w:r>
          </w:p>
        </w:tc>
        <w:tc>
          <w:tcPr>
            <w:tcW w:w="2112" w:type="dxa"/>
            <w:gridSpan w:val="2"/>
            <w:tcBorders>
              <w:top w:val="single" w:sz="4" w:space="0" w:color="auto"/>
              <w:left w:val="single" w:sz="4" w:space="0" w:color="auto"/>
            </w:tcBorders>
            <w:shd w:val="clear" w:color="auto" w:fill="FFFFFF"/>
            <w:vAlign w:val="center"/>
          </w:tcPr>
          <w:p w14:paraId="1BF12129"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сходных объектов</w:t>
            </w:r>
          </w:p>
        </w:tc>
        <w:tc>
          <w:tcPr>
            <w:tcW w:w="854" w:type="dxa"/>
            <w:tcBorders>
              <w:top w:val="single" w:sz="4" w:space="0" w:color="auto"/>
              <w:left w:val="single" w:sz="4" w:space="0" w:color="auto"/>
            </w:tcBorders>
            <w:shd w:val="clear" w:color="auto" w:fill="FFFFFF"/>
            <w:vAlign w:val="center"/>
          </w:tcPr>
          <w:p w14:paraId="0C91EBB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85</w:t>
            </w:r>
          </w:p>
        </w:tc>
        <w:tc>
          <w:tcPr>
            <w:tcW w:w="1123" w:type="dxa"/>
            <w:vMerge/>
            <w:tcBorders>
              <w:left w:val="single" w:sz="4" w:space="0" w:color="auto"/>
              <w:right w:val="single" w:sz="4" w:space="0" w:color="auto"/>
            </w:tcBorders>
            <w:shd w:val="clear" w:color="auto" w:fill="FFFFFF"/>
          </w:tcPr>
          <w:p w14:paraId="550C08A5" w14:textId="77777777" w:rsidR="00350D42" w:rsidRDefault="00350D42">
            <w:pPr>
              <w:framePr w:w="6581" w:wrap="notBeside" w:vAnchor="text" w:hAnchor="text" w:xAlign="center" w:y="1"/>
            </w:pPr>
          </w:p>
        </w:tc>
      </w:tr>
      <w:tr w:rsidR="00350D42" w14:paraId="297E4A49" w14:textId="77777777">
        <w:trPr>
          <w:trHeight w:hRule="exact" w:val="648"/>
          <w:jc w:val="center"/>
        </w:trPr>
        <w:tc>
          <w:tcPr>
            <w:tcW w:w="2491" w:type="dxa"/>
            <w:gridSpan w:val="2"/>
            <w:vMerge/>
            <w:tcBorders>
              <w:left w:val="single" w:sz="4" w:space="0" w:color="auto"/>
            </w:tcBorders>
            <w:shd w:val="clear" w:color="auto" w:fill="FFFFFF"/>
            <w:vAlign w:val="center"/>
          </w:tcPr>
          <w:p w14:paraId="2BDAFAE2" w14:textId="77777777" w:rsidR="00350D42" w:rsidRDefault="00350D42">
            <w:pPr>
              <w:framePr w:w="6581" w:wrap="notBeside" w:vAnchor="text" w:hAnchor="text" w:xAlign="center" w:y="1"/>
            </w:pPr>
          </w:p>
        </w:tc>
        <w:tc>
          <w:tcPr>
            <w:tcW w:w="2112" w:type="dxa"/>
            <w:gridSpan w:val="2"/>
            <w:tcBorders>
              <w:top w:val="single" w:sz="4" w:space="0" w:color="auto"/>
              <w:left w:val="single" w:sz="4" w:space="0" w:color="auto"/>
            </w:tcBorders>
            <w:shd w:val="clear" w:color="auto" w:fill="FFFFFF"/>
          </w:tcPr>
          <w:p w14:paraId="0AD76E38"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аналогичных объектов</w:t>
            </w:r>
          </w:p>
        </w:tc>
        <w:tc>
          <w:tcPr>
            <w:tcW w:w="854" w:type="dxa"/>
            <w:tcBorders>
              <w:top w:val="single" w:sz="4" w:space="0" w:color="auto"/>
              <w:left w:val="single" w:sz="4" w:space="0" w:color="auto"/>
            </w:tcBorders>
            <w:shd w:val="clear" w:color="auto" w:fill="FFFFFF"/>
            <w:vAlign w:val="center"/>
          </w:tcPr>
          <w:p w14:paraId="05AC241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23" w:type="dxa"/>
            <w:vMerge/>
            <w:tcBorders>
              <w:left w:val="single" w:sz="4" w:space="0" w:color="auto"/>
              <w:right w:val="single" w:sz="4" w:space="0" w:color="auto"/>
            </w:tcBorders>
            <w:shd w:val="clear" w:color="auto" w:fill="FFFFFF"/>
          </w:tcPr>
          <w:p w14:paraId="37F0BC8D" w14:textId="77777777" w:rsidR="00350D42" w:rsidRDefault="00350D42">
            <w:pPr>
              <w:framePr w:w="6581" w:wrap="notBeside" w:vAnchor="text" w:hAnchor="text" w:xAlign="center" w:y="1"/>
            </w:pPr>
          </w:p>
        </w:tc>
      </w:tr>
      <w:tr w:rsidR="00350D42" w14:paraId="09839BAB" w14:textId="77777777">
        <w:trPr>
          <w:trHeight w:hRule="exact" w:val="782"/>
          <w:jc w:val="center"/>
        </w:trPr>
        <w:tc>
          <w:tcPr>
            <w:tcW w:w="1733" w:type="dxa"/>
            <w:vMerge w:val="restart"/>
            <w:tcBorders>
              <w:top w:val="single" w:sz="4" w:space="0" w:color="auto"/>
              <w:left w:val="single" w:sz="4" w:space="0" w:color="auto"/>
            </w:tcBorders>
            <w:shd w:val="clear" w:color="auto" w:fill="FFFFFF"/>
          </w:tcPr>
          <w:p w14:paraId="6CF49CEC"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Цена в договоре генерального под</w:t>
            </w:r>
            <w:r>
              <w:rPr>
                <w:rStyle w:val="275pt0"/>
              </w:rPr>
              <w:softHyphen/>
              <w:t>ряда является:</w:t>
            </w:r>
          </w:p>
        </w:tc>
        <w:tc>
          <w:tcPr>
            <w:tcW w:w="2870" w:type="dxa"/>
            <w:gridSpan w:val="3"/>
            <w:tcBorders>
              <w:top w:val="single" w:sz="4" w:space="0" w:color="auto"/>
              <w:left w:val="single" w:sz="4" w:space="0" w:color="auto"/>
            </w:tcBorders>
            <w:shd w:val="clear" w:color="auto" w:fill="FFFFFF"/>
            <w:vAlign w:val="bottom"/>
          </w:tcPr>
          <w:p w14:paraId="7F34F1BB"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плавающей или фиксированной и не соответствует рыночному уровню</w:t>
            </w:r>
          </w:p>
        </w:tc>
        <w:tc>
          <w:tcPr>
            <w:tcW w:w="854" w:type="dxa"/>
            <w:tcBorders>
              <w:top w:val="single" w:sz="4" w:space="0" w:color="auto"/>
              <w:left w:val="single" w:sz="4" w:space="0" w:color="auto"/>
            </w:tcBorders>
            <w:shd w:val="clear" w:color="auto" w:fill="FFFFFF"/>
          </w:tcPr>
          <w:p w14:paraId="2D2A97A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50</w:t>
            </w:r>
          </w:p>
        </w:tc>
        <w:tc>
          <w:tcPr>
            <w:tcW w:w="1123" w:type="dxa"/>
            <w:tcBorders>
              <w:top w:val="single" w:sz="4" w:space="0" w:color="auto"/>
              <w:left w:val="single" w:sz="4" w:space="0" w:color="auto"/>
              <w:right w:val="single" w:sz="4" w:space="0" w:color="auto"/>
            </w:tcBorders>
            <w:shd w:val="clear" w:color="auto" w:fill="FFFFFF"/>
          </w:tcPr>
          <w:p w14:paraId="5607EFB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0,15</w:t>
            </w:r>
          </w:p>
        </w:tc>
      </w:tr>
      <w:tr w:rsidR="00350D42" w14:paraId="711A33B0" w14:textId="77777777">
        <w:trPr>
          <w:trHeight w:hRule="exact" w:val="571"/>
          <w:jc w:val="center"/>
        </w:trPr>
        <w:tc>
          <w:tcPr>
            <w:tcW w:w="1733" w:type="dxa"/>
            <w:vMerge/>
            <w:tcBorders>
              <w:left w:val="single" w:sz="4" w:space="0" w:color="auto"/>
              <w:bottom w:val="single" w:sz="4" w:space="0" w:color="auto"/>
            </w:tcBorders>
            <w:shd w:val="clear" w:color="auto" w:fill="FFFFFF"/>
          </w:tcPr>
          <w:p w14:paraId="18F7A958" w14:textId="77777777" w:rsidR="00350D42" w:rsidRDefault="00350D42">
            <w:pPr>
              <w:framePr w:w="6581" w:wrap="notBeside" w:vAnchor="text" w:hAnchor="text" w:xAlign="center" w:y="1"/>
            </w:pPr>
          </w:p>
        </w:tc>
        <w:tc>
          <w:tcPr>
            <w:tcW w:w="2870" w:type="dxa"/>
            <w:gridSpan w:val="3"/>
            <w:tcBorders>
              <w:top w:val="single" w:sz="4" w:space="0" w:color="auto"/>
              <w:left w:val="single" w:sz="4" w:space="0" w:color="auto"/>
              <w:bottom w:val="single" w:sz="4" w:space="0" w:color="auto"/>
            </w:tcBorders>
            <w:shd w:val="clear" w:color="auto" w:fill="FFFFFF"/>
            <w:vAlign w:val="center"/>
          </w:tcPr>
          <w:p w14:paraId="70284D9D"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фиксированной и соответствует рыночному уровню</w:t>
            </w:r>
          </w:p>
        </w:tc>
        <w:tc>
          <w:tcPr>
            <w:tcW w:w="854" w:type="dxa"/>
            <w:tcBorders>
              <w:top w:val="single" w:sz="4" w:space="0" w:color="auto"/>
              <w:left w:val="single" w:sz="4" w:space="0" w:color="auto"/>
              <w:bottom w:val="single" w:sz="4" w:space="0" w:color="auto"/>
            </w:tcBorders>
            <w:shd w:val="clear" w:color="auto" w:fill="FFFFFF"/>
            <w:vAlign w:val="center"/>
          </w:tcPr>
          <w:p w14:paraId="5536662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14:paraId="22FA22EA" w14:textId="77777777" w:rsidR="00350D42" w:rsidRDefault="00350D42">
            <w:pPr>
              <w:framePr w:w="6581" w:wrap="notBeside" w:vAnchor="text" w:hAnchor="text" w:xAlign="center" w:y="1"/>
              <w:rPr>
                <w:sz w:val="10"/>
                <w:szCs w:val="10"/>
              </w:rPr>
            </w:pPr>
          </w:p>
        </w:tc>
      </w:tr>
    </w:tbl>
    <w:p w14:paraId="153DC81F" w14:textId="77777777" w:rsidR="00350D42" w:rsidRDefault="00350D42">
      <w:pPr>
        <w:framePr w:w="6581" w:wrap="notBeside" w:vAnchor="text" w:hAnchor="text" w:xAlign="center" w:y="1"/>
        <w:rPr>
          <w:sz w:val="2"/>
          <w:szCs w:val="2"/>
        </w:rPr>
      </w:pPr>
    </w:p>
    <w:p w14:paraId="7E33175D" w14:textId="77777777" w:rsidR="00350D42" w:rsidRDefault="00350D42">
      <w:pPr>
        <w:rPr>
          <w:sz w:val="2"/>
          <w:szCs w:val="2"/>
        </w:rPr>
      </w:pPr>
    </w:p>
    <w:p w14:paraId="09143D47" w14:textId="77777777" w:rsidR="00350D42" w:rsidRDefault="00350D42">
      <w:pPr>
        <w:rPr>
          <w:sz w:val="2"/>
          <w:szCs w:val="2"/>
        </w:rPr>
        <w:sectPr w:rsidR="00350D42">
          <w:pgSz w:w="8789" w:h="13493"/>
          <w:pgMar w:top="934" w:right="1080" w:bottom="934" w:left="107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34"/>
        <w:gridCol w:w="1570"/>
        <w:gridCol w:w="854"/>
        <w:gridCol w:w="1123"/>
      </w:tblGrid>
      <w:tr w:rsidR="00350D42" w14:paraId="201364DA" w14:textId="77777777">
        <w:trPr>
          <w:trHeight w:hRule="exact" w:val="763"/>
          <w:jc w:val="center"/>
        </w:trPr>
        <w:tc>
          <w:tcPr>
            <w:tcW w:w="4604" w:type="dxa"/>
            <w:gridSpan w:val="2"/>
            <w:tcBorders>
              <w:top w:val="single" w:sz="4" w:space="0" w:color="auto"/>
              <w:left w:val="single" w:sz="4" w:space="0" w:color="auto"/>
            </w:tcBorders>
            <w:shd w:val="clear" w:color="auto" w:fill="FFFFFF"/>
          </w:tcPr>
          <w:p w14:paraId="687F953F"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lastRenderedPageBreak/>
              <w:t>Показатели по подгруппам</w:t>
            </w:r>
          </w:p>
        </w:tc>
        <w:tc>
          <w:tcPr>
            <w:tcW w:w="854" w:type="dxa"/>
            <w:tcBorders>
              <w:top w:val="single" w:sz="4" w:space="0" w:color="auto"/>
              <w:left w:val="single" w:sz="4" w:space="0" w:color="auto"/>
            </w:tcBorders>
            <w:shd w:val="clear" w:color="auto" w:fill="FFFFFF"/>
            <w:vAlign w:val="bottom"/>
          </w:tcPr>
          <w:p w14:paraId="018D8488" w14:textId="77777777" w:rsidR="00350D42" w:rsidRDefault="008E6F64">
            <w:pPr>
              <w:pStyle w:val="2c"/>
              <w:framePr w:w="6581" w:wrap="notBeside" w:vAnchor="text" w:hAnchor="text" w:xAlign="center" w:y="1"/>
              <w:shd w:val="clear" w:color="auto" w:fill="auto"/>
              <w:spacing w:before="0" w:line="216" w:lineRule="exact"/>
            </w:pPr>
            <w:r>
              <w:rPr>
                <w:rStyle w:val="275pt"/>
              </w:rPr>
              <w:t>Баллы</w:t>
            </w:r>
          </w:p>
          <w:p w14:paraId="2D220570" w14:textId="77777777" w:rsidR="00350D42" w:rsidRDefault="008E6F64">
            <w:pPr>
              <w:pStyle w:val="2c"/>
              <w:framePr w:w="6581" w:wrap="notBeside" w:vAnchor="text" w:hAnchor="text" w:xAlign="center" w:y="1"/>
              <w:shd w:val="clear" w:color="auto" w:fill="auto"/>
              <w:spacing w:before="0" w:line="216" w:lineRule="exact"/>
            </w:pPr>
            <w:r>
              <w:rPr>
                <w:rStyle w:val="275pt"/>
              </w:rPr>
              <w:t>по под</w:t>
            </w:r>
            <w:r>
              <w:rPr>
                <w:rStyle w:val="275pt"/>
              </w:rPr>
              <w:softHyphen/>
              <w:t>группе</w:t>
            </w:r>
          </w:p>
        </w:tc>
        <w:tc>
          <w:tcPr>
            <w:tcW w:w="1123" w:type="dxa"/>
            <w:tcBorders>
              <w:top w:val="single" w:sz="4" w:space="0" w:color="auto"/>
              <w:left w:val="single" w:sz="4" w:space="0" w:color="auto"/>
              <w:right w:val="single" w:sz="4" w:space="0" w:color="auto"/>
            </w:tcBorders>
            <w:shd w:val="clear" w:color="auto" w:fill="FFFFFF"/>
            <w:vAlign w:val="bottom"/>
          </w:tcPr>
          <w:p w14:paraId="0D375DBA" w14:textId="77777777" w:rsidR="00350D42" w:rsidRDefault="008E6F64">
            <w:pPr>
              <w:pStyle w:val="2c"/>
              <w:framePr w:w="6581" w:wrap="notBeside" w:vAnchor="text" w:hAnchor="text" w:xAlign="center" w:y="1"/>
              <w:shd w:val="clear" w:color="auto" w:fill="auto"/>
              <w:spacing w:before="0" w:line="216" w:lineRule="exact"/>
              <w:ind w:left="220" w:hanging="220"/>
              <w:jc w:val="left"/>
            </w:pPr>
            <w:r>
              <w:rPr>
                <w:rStyle w:val="275pt"/>
              </w:rPr>
              <w:t>Удельный вес под</w:t>
            </w:r>
            <w:r>
              <w:rPr>
                <w:rStyle w:val="275pt"/>
              </w:rPr>
              <w:softHyphen/>
              <w:t>группы</w:t>
            </w:r>
          </w:p>
        </w:tc>
      </w:tr>
      <w:tr w:rsidR="00350D42" w14:paraId="4C7E2250" w14:textId="77777777">
        <w:trPr>
          <w:trHeight w:hRule="exact" w:val="538"/>
          <w:jc w:val="center"/>
        </w:trPr>
        <w:tc>
          <w:tcPr>
            <w:tcW w:w="4604" w:type="dxa"/>
            <w:gridSpan w:val="2"/>
            <w:tcBorders>
              <w:top w:val="single" w:sz="4" w:space="0" w:color="auto"/>
              <w:left w:val="single" w:sz="4" w:space="0" w:color="auto"/>
            </w:tcBorders>
            <w:shd w:val="clear" w:color="auto" w:fill="FFFFFF"/>
            <w:vAlign w:val="center"/>
          </w:tcPr>
          <w:p w14:paraId="2310CAD6"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Финансовое положение генерального подрядчика является неоднозначным</w:t>
            </w:r>
          </w:p>
        </w:tc>
        <w:tc>
          <w:tcPr>
            <w:tcW w:w="854" w:type="dxa"/>
            <w:tcBorders>
              <w:top w:val="single" w:sz="4" w:space="0" w:color="auto"/>
              <w:left w:val="single" w:sz="4" w:space="0" w:color="auto"/>
            </w:tcBorders>
            <w:shd w:val="clear" w:color="auto" w:fill="FFFFFF"/>
            <w:vAlign w:val="center"/>
          </w:tcPr>
          <w:p w14:paraId="5642487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23" w:type="dxa"/>
            <w:vMerge w:val="restart"/>
            <w:tcBorders>
              <w:top w:val="single" w:sz="4" w:space="0" w:color="auto"/>
              <w:left w:val="single" w:sz="4" w:space="0" w:color="auto"/>
              <w:right w:val="single" w:sz="4" w:space="0" w:color="auto"/>
            </w:tcBorders>
            <w:shd w:val="clear" w:color="auto" w:fill="FFFFFF"/>
          </w:tcPr>
          <w:p w14:paraId="47E237A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0,15</w:t>
            </w:r>
          </w:p>
        </w:tc>
      </w:tr>
      <w:tr w:rsidR="00350D42" w14:paraId="10EC9EF2" w14:textId="77777777">
        <w:trPr>
          <w:trHeight w:hRule="exact" w:val="322"/>
          <w:jc w:val="center"/>
        </w:trPr>
        <w:tc>
          <w:tcPr>
            <w:tcW w:w="3034" w:type="dxa"/>
            <w:vMerge w:val="restart"/>
            <w:tcBorders>
              <w:top w:val="single" w:sz="4" w:space="0" w:color="auto"/>
              <w:left w:val="single" w:sz="4" w:space="0" w:color="auto"/>
            </w:tcBorders>
            <w:shd w:val="clear" w:color="auto" w:fill="FFFFFF"/>
            <w:vAlign w:val="bottom"/>
          </w:tcPr>
          <w:p w14:paraId="1DF741B0"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Финансовое положение гене</w:t>
            </w:r>
            <w:r>
              <w:rPr>
                <w:rStyle w:val="275pt0"/>
              </w:rPr>
              <w:softHyphen/>
              <w:t>рального подрядчика является устойчивым, при этом стоимость договора относительно его годо</w:t>
            </w:r>
            <w:r>
              <w:rPr>
                <w:rStyle w:val="275pt0"/>
              </w:rPr>
              <w:softHyphen/>
              <w:t>вого оборота составляет:</w:t>
            </w:r>
          </w:p>
        </w:tc>
        <w:tc>
          <w:tcPr>
            <w:tcW w:w="1570" w:type="dxa"/>
            <w:tcBorders>
              <w:top w:val="single" w:sz="4" w:space="0" w:color="auto"/>
              <w:left w:val="single" w:sz="4" w:space="0" w:color="auto"/>
            </w:tcBorders>
            <w:shd w:val="clear" w:color="auto" w:fill="FFFFFF"/>
            <w:vAlign w:val="bottom"/>
          </w:tcPr>
          <w:p w14:paraId="319FC29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&gt; 50 %</w:t>
            </w:r>
          </w:p>
        </w:tc>
        <w:tc>
          <w:tcPr>
            <w:tcW w:w="854" w:type="dxa"/>
            <w:tcBorders>
              <w:top w:val="single" w:sz="4" w:space="0" w:color="auto"/>
              <w:left w:val="single" w:sz="4" w:space="0" w:color="auto"/>
            </w:tcBorders>
            <w:shd w:val="clear" w:color="auto" w:fill="FFFFFF"/>
            <w:vAlign w:val="bottom"/>
          </w:tcPr>
          <w:p w14:paraId="58FA24C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c>
          <w:tcPr>
            <w:tcW w:w="1123" w:type="dxa"/>
            <w:vMerge/>
            <w:tcBorders>
              <w:left w:val="single" w:sz="4" w:space="0" w:color="auto"/>
              <w:right w:val="single" w:sz="4" w:space="0" w:color="auto"/>
            </w:tcBorders>
            <w:shd w:val="clear" w:color="auto" w:fill="FFFFFF"/>
          </w:tcPr>
          <w:p w14:paraId="0F60D589" w14:textId="77777777" w:rsidR="00350D42" w:rsidRDefault="00350D42">
            <w:pPr>
              <w:framePr w:w="6581" w:wrap="notBeside" w:vAnchor="text" w:hAnchor="text" w:xAlign="center" w:y="1"/>
            </w:pPr>
          </w:p>
        </w:tc>
      </w:tr>
      <w:tr w:rsidR="00350D42" w14:paraId="2B5A47F6" w14:textId="77777777">
        <w:trPr>
          <w:trHeight w:hRule="exact" w:val="326"/>
          <w:jc w:val="center"/>
        </w:trPr>
        <w:tc>
          <w:tcPr>
            <w:tcW w:w="3034" w:type="dxa"/>
            <w:vMerge/>
            <w:tcBorders>
              <w:left w:val="single" w:sz="4" w:space="0" w:color="auto"/>
            </w:tcBorders>
            <w:shd w:val="clear" w:color="auto" w:fill="FFFFFF"/>
            <w:vAlign w:val="bottom"/>
          </w:tcPr>
          <w:p w14:paraId="609A69E7" w14:textId="77777777" w:rsidR="00350D42" w:rsidRDefault="00350D42">
            <w:pPr>
              <w:framePr w:w="6581" w:wrap="notBeside" w:vAnchor="text" w:hAnchor="text" w:xAlign="center" w:y="1"/>
            </w:pPr>
          </w:p>
        </w:tc>
        <w:tc>
          <w:tcPr>
            <w:tcW w:w="1570" w:type="dxa"/>
            <w:tcBorders>
              <w:top w:val="single" w:sz="4" w:space="0" w:color="auto"/>
              <w:left w:val="single" w:sz="4" w:space="0" w:color="auto"/>
            </w:tcBorders>
            <w:shd w:val="clear" w:color="auto" w:fill="FFFFFF"/>
            <w:vAlign w:val="bottom"/>
          </w:tcPr>
          <w:p w14:paraId="1EDDA168"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10 % &lt; ... &lt; 50 %</w:t>
            </w:r>
          </w:p>
        </w:tc>
        <w:tc>
          <w:tcPr>
            <w:tcW w:w="854" w:type="dxa"/>
            <w:tcBorders>
              <w:top w:val="single" w:sz="4" w:space="0" w:color="auto"/>
              <w:left w:val="single" w:sz="4" w:space="0" w:color="auto"/>
            </w:tcBorders>
            <w:shd w:val="clear" w:color="auto" w:fill="FFFFFF"/>
            <w:vAlign w:val="bottom"/>
          </w:tcPr>
          <w:p w14:paraId="3785C82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85</w:t>
            </w:r>
          </w:p>
        </w:tc>
        <w:tc>
          <w:tcPr>
            <w:tcW w:w="1123" w:type="dxa"/>
            <w:vMerge/>
            <w:tcBorders>
              <w:left w:val="single" w:sz="4" w:space="0" w:color="auto"/>
              <w:right w:val="single" w:sz="4" w:space="0" w:color="auto"/>
            </w:tcBorders>
            <w:shd w:val="clear" w:color="auto" w:fill="FFFFFF"/>
          </w:tcPr>
          <w:p w14:paraId="225B806B" w14:textId="77777777" w:rsidR="00350D42" w:rsidRDefault="00350D42">
            <w:pPr>
              <w:framePr w:w="6581" w:wrap="notBeside" w:vAnchor="text" w:hAnchor="text" w:xAlign="center" w:y="1"/>
            </w:pPr>
          </w:p>
        </w:tc>
      </w:tr>
      <w:tr w:rsidR="00350D42" w14:paraId="379FB1E6" w14:textId="77777777">
        <w:trPr>
          <w:trHeight w:hRule="exact" w:val="533"/>
          <w:jc w:val="center"/>
        </w:trPr>
        <w:tc>
          <w:tcPr>
            <w:tcW w:w="3034" w:type="dxa"/>
            <w:vMerge/>
            <w:tcBorders>
              <w:left w:val="single" w:sz="4" w:space="0" w:color="auto"/>
            </w:tcBorders>
            <w:shd w:val="clear" w:color="auto" w:fill="FFFFFF"/>
            <w:vAlign w:val="bottom"/>
          </w:tcPr>
          <w:p w14:paraId="41877FF5" w14:textId="77777777" w:rsidR="00350D42" w:rsidRDefault="00350D42">
            <w:pPr>
              <w:framePr w:w="6581" w:wrap="notBeside" w:vAnchor="text" w:hAnchor="text" w:xAlign="center" w:y="1"/>
            </w:pPr>
          </w:p>
        </w:tc>
        <w:tc>
          <w:tcPr>
            <w:tcW w:w="1570" w:type="dxa"/>
            <w:tcBorders>
              <w:top w:val="single" w:sz="4" w:space="0" w:color="auto"/>
              <w:left w:val="single" w:sz="4" w:space="0" w:color="auto"/>
            </w:tcBorders>
            <w:shd w:val="clear" w:color="auto" w:fill="FFFFFF"/>
          </w:tcPr>
          <w:p w14:paraId="0644C0C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&lt; 10 %</w:t>
            </w:r>
          </w:p>
        </w:tc>
        <w:tc>
          <w:tcPr>
            <w:tcW w:w="854" w:type="dxa"/>
            <w:tcBorders>
              <w:top w:val="single" w:sz="4" w:space="0" w:color="auto"/>
              <w:left w:val="single" w:sz="4" w:space="0" w:color="auto"/>
            </w:tcBorders>
            <w:shd w:val="clear" w:color="auto" w:fill="FFFFFF"/>
            <w:vAlign w:val="center"/>
          </w:tcPr>
          <w:p w14:paraId="16A580C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23" w:type="dxa"/>
            <w:vMerge/>
            <w:tcBorders>
              <w:left w:val="single" w:sz="4" w:space="0" w:color="auto"/>
              <w:right w:val="single" w:sz="4" w:space="0" w:color="auto"/>
            </w:tcBorders>
            <w:shd w:val="clear" w:color="auto" w:fill="FFFFFF"/>
          </w:tcPr>
          <w:p w14:paraId="6649C88D" w14:textId="77777777" w:rsidR="00350D42" w:rsidRDefault="00350D42">
            <w:pPr>
              <w:framePr w:w="6581" w:wrap="notBeside" w:vAnchor="text" w:hAnchor="text" w:xAlign="center" w:y="1"/>
            </w:pPr>
          </w:p>
        </w:tc>
      </w:tr>
      <w:tr w:rsidR="00350D42" w14:paraId="7BDD6A4A" w14:textId="77777777">
        <w:trPr>
          <w:trHeight w:hRule="exact" w:val="322"/>
          <w:jc w:val="center"/>
        </w:trPr>
        <w:tc>
          <w:tcPr>
            <w:tcW w:w="3034" w:type="dxa"/>
            <w:vMerge w:val="restart"/>
            <w:tcBorders>
              <w:top w:val="single" w:sz="4" w:space="0" w:color="auto"/>
              <w:left w:val="single" w:sz="4" w:space="0" w:color="auto"/>
            </w:tcBorders>
            <w:shd w:val="clear" w:color="auto" w:fill="FFFFFF"/>
            <w:vAlign w:val="bottom"/>
          </w:tcPr>
          <w:p w14:paraId="047894E2" w14:textId="77777777" w:rsidR="00350D42" w:rsidRDefault="008E6F64">
            <w:pPr>
              <w:pStyle w:val="2c"/>
              <w:framePr w:w="6581" w:wrap="notBeside" w:vAnchor="text" w:hAnchor="text" w:xAlign="center" w:y="1"/>
              <w:shd w:val="clear" w:color="auto" w:fill="auto"/>
              <w:spacing w:before="0" w:line="211" w:lineRule="exact"/>
              <w:jc w:val="left"/>
            </w:pPr>
            <w:r>
              <w:rPr>
                <w:rStyle w:val="275pt0"/>
              </w:rPr>
              <w:t>Объем штрафных санкций, пред</w:t>
            </w:r>
            <w:r>
              <w:rPr>
                <w:rStyle w:val="275pt0"/>
              </w:rPr>
              <w:softHyphen/>
              <w:t>усмотренных в договоре, относи</w:t>
            </w:r>
            <w:r>
              <w:rPr>
                <w:rStyle w:val="275pt0"/>
              </w:rPr>
              <w:softHyphen/>
              <w:t>тельно суммы договора:</w:t>
            </w:r>
          </w:p>
        </w:tc>
        <w:tc>
          <w:tcPr>
            <w:tcW w:w="1570" w:type="dxa"/>
            <w:tcBorders>
              <w:top w:val="single" w:sz="4" w:space="0" w:color="auto"/>
              <w:left w:val="single" w:sz="4" w:space="0" w:color="auto"/>
            </w:tcBorders>
            <w:shd w:val="clear" w:color="auto" w:fill="FFFFFF"/>
            <w:vAlign w:val="bottom"/>
          </w:tcPr>
          <w:p w14:paraId="20F44ACA"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 значителен</w:t>
            </w:r>
          </w:p>
        </w:tc>
        <w:tc>
          <w:tcPr>
            <w:tcW w:w="854" w:type="dxa"/>
            <w:tcBorders>
              <w:top w:val="single" w:sz="4" w:space="0" w:color="auto"/>
              <w:left w:val="single" w:sz="4" w:space="0" w:color="auto"/>
            </w:tcBorders>
            <w:shd w:val="clear" w:color="auto" w:fill="FFFFFF"/>
            <w:vAlign w:val="bottom"/>
          </w:tcPr>
          <w:p w14:paraId="56E5F30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c>
          <w:tcPr>
            <w:tcW w:w="1123" w:type="dxa"/>
            <w:vMerge w:val="restart"/>
            <w:tcBorders>
              <w:top w:val="single" w:sz="4" w:space="0" w:color="auto"/>
              <w:left w:val="single" w:sz="4" w:space="0" w:color="auto"/>
              <w:right w:val="single" w:sz="4" w:space="0" w:color="auto"/>
            </w:tcBorders>
            <w:shd w:val="clear" w:color="auto" w:fill="FFFFFF"/>
          </w:tcPr>
          <w:p w14:paraId="4EAA71D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r w:rsidR="00350D42" w14:paraId="39AEEDB6" w14:textId="77777777">
        <w:trPr>
          <w:trHeight w:hRule="exact" w:val="432"/>
          <w:jc w:val="center"/>
        </w:trPr>
        <w:tc>
          <w:tcPr>
            <w:tcW w:w="3034" w:type="dxa"/>
            <w:vMerge/>
            <w:tcBorders>
              <w:left w:val="single" w:sz="4" w:space="0" w:color="auto"/>
            </w:tcBorders>
            <w:shd w:val="clear" w:color="auto" w:fill="FFFFFF"/>
            <w:vAlign w:val="bottom"/>
          </w:tcPr>
          <w:p w14:paraId="78439363" w14:textId="77777777" w:rsidR="00350D42" w:rsidRDefault="00350D42">
            <w:pPr>
              <w:framePr w:w="6581" w:wrap="notBeside" w:vAnchor="text" w:hAnchor="text" w:xAlign="center" w:y="1"/>
            </w:pPr>
          </w:p>
        </w:tc>
        <w:tc>
          <w:tcPr>
            <w:tcW w:w="1570" w:type="dxa"/>
            <w:tcBorders>
              <w:top w:val="single" w:sz="4" w:space="0" w:color="auto"/>
              <w:left w:val="single" w:sz="4" w:space="0" w:color="auto"/>
            </w:tcBorders>
            <w:shd w:val="clear" w:color="auto" w:fill="FFFFFF"/>
            <w:vAlign w:val="center"/>
          </w:tcPr>
          <w:p w14:paraId="537A3C9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значителен</w:t>
            </w:r>
          </w:p>
        </w:tc>
        <w:tc>
          <w:tcPr>
            <w:tcW w:w="854" w:type="dxa"/>
            <w:tcBorders>
              <w:top w:val="single" w:sz="4" w:space="0" w:color="auto"/>
              <w:left w:val="single" w:sz="4" w:space="0" w:color="auto"/>
            </w:tcBorders>
            <w:shd w:val="clear" w:color="auto" w:fill="FFFFFF"/>
            <w:vAlign w:val="center"/>
          </w:tcPr>
          <w:p w14:paraId="13726D6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23" w:type="dxa"/>
            <w:vMerge/>
            <w:tcBorders>
              <w:left w:val="single" w:sz="4" w:space="0" w:color="auto"/>
              <w:right w:val="single" w:sz="4" w:space="0" w:color="auto"/>
            </w:tcBorders>
            <w:shd w:val="clear" w:color="auto" w:fill="FFFFFF"/>
          </w:tcPr>
          <w:p w14:paraId="27DBE362" w14:textId="77777777" w:rsidR="00350D42" w:rsidRDefault="00350D42">
            <w:pPr>
              <w:framePr w:w="6581" w:wrap="notBeside" w:vAnchor="text" w:hAnchor="text" w:xAlign="center" w:y="1"/>
            </w:pPr>
          </w:p>
        </w:tc>
      </w:tr>
      <w:tr w:rsidR="00350D42" w14:paraId="12A30303" w14:textId="77777777">
        <w:trPr>
          <w:trHeight w:hRule="exact" w:val="322"/>
          <w:jc w:val="center"/>
        </w:trPr>
        <w:tc>
          <w:tcPr>
            <w:tcW w:w="3034" w:type="dxa"/>
            <w:vMerge w:val="restart"/>
            <w:tcBorders>
              <w:top w:val="single" w:sz="4" w:space="0" w:color="auto"/>
              <w:left w:val="single" w:sz="4" w:space="0" w:color="auto"/>
            </w:tcBorders>
            <w:shd w:val="clear" w:color="auto" w:fill="FFFFFF"/>
            <w:vAlign w:val="center"/>
          </w:tcPr>
          <w:p w14:paraId="06E2210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Привлечение надзорной компа</w:t>
            </w:r>
            <w:r>
              <w:rPr>
                <w:rStyle w:val="275pt0"/>
              </w:rPr>
              <w:softHyphen/>
              <w:t>нии:</w:t>
            </w:r>
          </w:p>
        </w:tc>
        <w:tc>
          <w:tcPr>
            <w:tcW w:w="1570" w:type="dxa"/>
            <w:tcBorders>
              <w:top w:val="single" w:sz="4" w:space="0" w:color="auto"/>
              <w:left w:val="single" w:sz="4" w:space="0" w:color="auto"/>
            </w:tcBorders>
            <w:shd w:val="clear" w:color="auto" w:fill="FFFFFF"/>
            <w:vAlign w:val="bottom"/>
          </w:tcPr>
          <w:p w14:paraId="2C1AE9EF"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 привлекается</w:t>
            </w:r>
          </w:p>
        </w:tc>
        <w:tc>
          <w:tcPr>
            <w:tcW w:w="854" w:type="dxa"/>
            <w:tcBorders>
              <w:top w:val="single" w:sz="4" w:space="0" w:color="auto"/>
              <w:left w:val="single" w:sz="4" w:space="0" w:color="auto"/>
            </w:tcBorders>
            <w:shd w:val="clear" w:color="auto" w:fill="FFFFFF"/>
            <w:vAlign w:val="bottom"/>
          </w:tcPr>
          <w:p w14:paraId="1F8D331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23" w:type="dxa"/>
            <w:vMerge w:val="restart"/>
            <w:tcBorders>
              <w:top w:val="single" w:sz="4" w:space="0" w:color="auto"/>
              <w:left w:val="single" w:sz="4" w:space="0" w:color="auto"/>
              <w:right w:val="single" w:sz="4" w:space="0" w:color="auto"/>
            </w:tcBorders>
            <w:shd w:val="clear" w:color="auto" w:fill="FFFFFF"/>
            <w:vAlign w:val="center"/>
          </w:tcPr>
          <w:p w14:paraId="06EECFB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r w:rsidR="00350D42" w14:paraId="64C8D0A6" w14:textId="77777777">
        <w:trPr>
          <w:trHeight w:hRule="exact" w:val="317"/>
          <w:jc w:val="center"/>
        </w:trPr>
        <w:tc>
          <w:tcPr>
            <w:tcW w:w="3034" w:type="dxa"/>
            <w:vMerge/>
            <w:tcBorders>
              <w:left w:val="single" w:sz="4" w:space="0" w:color="auto"/>
            </w:tcBorders>
            <w:shd w:val="clear" w:color="auto" w:fill="FFFFFF"/>
            <w:vAlign w:val="center"/>
          </w:tcPr>
          <w:p w14:paraId="12B73CAB" w14:textId="77777777" w:rsidR="00350D42" w:rsidRDefault="00350D42">
            <w:pPr>
              <w:framePr w:w="6581" w:wrap="notBeside" w:vAnchor="text" w:hAnchor="text" w:xAlign="center" w:y="1"/>
            </w:pPr>
          </w:p>
        </w:tc>
        <w:tc>
          <w:tcPr>
            <w:tcW w:w="1570" w:type="dxa"/>
            <w:tcBorders>
              <w:top w:val="single" w:sz="4" w:space="0" w:color="auto"/>
              <w:left w:val="single" w:sz="4" w:space="0" w:color="auto"/>
            </w:tcBorders>
            <w:shd w:val="clear" w:color="auto" w:fill="FFFFFF"/>
            <w:vAlign w:val="bottom"/>
          </w:tcPr>
          <w:p w14:paraId="1A9F36E7"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привлекается</w:t>
            </w:r>
          </w:p>
        </w:tc>
        <w:tc>
          <w:tcPr>
            <w:tcW w:w="854" w:type="dxa"/>
            <w:tcBorders>
              <w:top w:val="single" w:sz="4" w:space="0" w:color="auto"/>
              <w:left w:val="single" w:sz="4" w:space="0" w:color="auto"/>
            </w:tcBorders>
            <w:shd w:val="clear" w:color="auto" w:fill="FFFFFF"/>
            <w:vAlign w:val="bottom"/>
          </w:tcPr>
          <w:p w14:paraId="6909FA0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23" w:type="dxa"/>
            <w:vMerge/>
            <w:tcBorders>
              <w:left w:val="single" w:sz="4" w:space="0" w:color="auto"/>
              <w:right w:val="single" w:sz="4" w:space="0" w:color="auto"/>
            </w:tcBorders>
            <w:shd w:val="clear" w:color="auto" w:fill="FFFFFF"/>
            <w:vAlign w:val="center"/>
          </w:tcPr>
          <w:p w14:paraId="3EC9F500" w14:textId="77777777" w:rsidR="00350D42" w:rsidRDefault="00350D42">
            <w:pPr>
              <w:framePr w:w="6581" w:wrap="notBeside" w:vAnchor="text" w:hAnchor="text" w:xAlign="center" w:y="1"/>
            </w:pPr>
          </w:p>
        </w:tc>
      </w:tr>
      <w:tr w:rsidR="00350D42" w14:paraId="0AD2E6DA" w14:textId="77777777">
        <w:trPr>
          <w:trHeight w:hRule="exact" w:val="322"/>
          <w:jc w:val="center"/>
        </w:trPr>
        <w:tc>
          <w:tcPr>
            <w:tcW w:w="3034" w:type="dxa"/>
            <w:vMerge w:val="restart"/>
            <w:tcBorders>
              <w:top w:val="single" w:sz="4" w:space="0" w:color="auto"/>
              <w:left w:val="single" w:sz="4" w:space="0" w:color="auto"/>
            </w:tcBorders>
            <w:shd w:val="clear" w:color="auto" w:fill="FFFFFF"/>
            <w:vAlign w:val="center"/>
          </w:tcPr>
          <w:p w14:paraId="06F94D5F"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Наличие разрешения на строи</w:t>
            </w:r>
            <w:r>
              <w:rPr>
                <w:rStyle w:val="275pt0"/>
              </w:rPr>
              <w:softHyphen/>
              <w:t>тельство:</w:t>
            </w:r>
          </w:p>
        </w:tc>
        <w:tc>
          <w:tcPr>
            <w:tcW w:w="1570" w:type="dxa"/>
            <w:tcBorders>
              <w:top w:val="single" w:sz="4" w:space="0" w:color="auto"/>
              <w:left w:val="single" w:sz="4" w:space="0" w:color="auto"/>
            </w:tcBorders>
            <w:shd w:val="clear" w:color="auto" w:fill="FFFFFF"/>
            <w:vAlign w:val="bottom"/>
          </w:tcPr>
          <w:p w14:paraId="2519D98E"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 получено</w:t>
            </w:r>
          </w:p>
        </w:tc>
        <w:tc>
          <w:tcPr>
            <w:tcW w:w="854" w:type="dxa"/>
            <w:tcBorders>
              <w:top w:val="single" w:sz="4" w:space="0" w:color="auto"/>
              <w:left w:val="single" w:sz="4" w:space="0" w:color="auto"/>
            </w:tcBorders>
            <w:shd w:val="clear" w:color="auto" w:fill="FFFFFF"/>
            <w:vAlign w:val="bottom"/>
          </w:tcPr>
          <w:p w14:paraId="6BBBDE3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23" w:type="dxa"/>
            <w:vMerge w:val="restart"/>
            <w:tcBorders>
              <w:top w:val="single" w:sz="4" w:space="0" w:color="auto"/>
              <w:left w:val="single" w:sz="4" w:space="0" w:color="auto"/>
              <w:right w:val="single" w:sz="4" w:space="0" w:color="auto"/>
            </w:tcBorders>
            <w:shd w:val="clear" w:color="auto" w:fill="FFFFFF"/>
            <w:vAlign w:val="center"/>
          </w:tcPr>
          <w:p w14:paraId="21490F0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r w:rsidR="00350D42" w14:paraId="70863317" w14:textId="77777777">
        <w:trPr>
          <w:trHeight w:hRule="exact" w:val="317"/>
          <w:jc w:val="center"/>
        </w:trPr>
        <w:tc>
          <w:tcPr>
            <w:tcW w:w="3034" w:type="dxa"/>
            <w:vMerge/>
            <w:tcBorders>
              <w:left w:val="single" w:sz="4" w:space="0" w:color="auto"/>
            </w:tcBorders>
            <w:shd w:val="clear" w:color="auto" w:fill="FFFFFF"/>
            <w:vAlign w:val="center"/>
          </w:tcPr>
          <w:p w14:paraId="57EEE21B" w14:textId="77777777" w:rsidR="00350D42" w:rsidRDefault="00350D42">
            <w:pPr>
              <w:framePr w:w="6581" w:wrap="notBeside" w:vAnchor="text" w:hAnchor="text" w:xAlign="center" w:y="1"/>
            </w:pPr>
          </w:p>
        </w:tc>
        <w:tc>
          <w:tcPr>
            <w:tcW w:w="1570" w:type="dxa"/>
            <w:tcBorders>
              <w:top w:val="single" w:sz="4" w:space="0" w:color="auto"/>
              <w:left w:val="single" w:sz="4" w:space="0" w:color="auto"/>
            </w:tcBorders>
            <w:shd w:val="clear" w:color="auto" w:fill="FFFFFF"/>
            <w:vAlign w:val="bottom"/>
          </w:tcPr>
          <w:p w14:paraId="0265066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получено</w:t>
            </w:r>
          </w:p>
        </w:tc>
        <w:tc>
          <w:tcPr>
            <w:tcW w:w="854" w:type="dxa"/>
            <w:tcBorders>
              <w:top w:val="single" w:sz="4" w:space="0" w:color="auto"/>
              <w:left w:val="single" w:sz="4" w:space="0" w:color="auto"/>
            </w:tcBorders>
            <w:shd w:val="clear" w:color="auto" w:fill="FFFFFF"/>
            <w:vAlign w:val="bottom"/>
          </w:tcPr>
          <w:p w14:paraId="78B3095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23" w:type="dxa"/>
            <w:vMerge/>
            <w:tcBorders>
              <w:left w:val="single" w:sz="4" w:space="0" w:color="auto"/>
              <w:right w:val="single" w:sz="4" w:space="0" w:color="auto"/>
            </w:tcBorders>
            <w:shd w:val="clear" w:color="auto" w:fill="FFFFFF"/>
            <w:vAlign w:val="center"/>
          </w:tcPr>
          <w:p w14:paraId="077A0E60" w14:textId="77777777" w:rsidR="00350D42" w:rsidRDefault="00350D42">
            <w:pPr>
              <w:framePr w:w="6581" w:wrap="notBeside" w:vAnchor="text" w:hAnchor="text" w:xAlign="center" w:y="1"/>
            </w:pPr>
          </w:p>
        </w:tc>
      </w:tr>
      <w:tr w:rsidR="00350D42" w14:paraId="0544A1E9" w14:textId="77777777">
        <w:trPr>
          <w:trHeight w:hRule="exact" w:val="322"/>
          <w:jc w:val="center"/>
        </w:trPr>
        <w:tc>
          <w:tcPr>
            <w:tcW w:w="3034" w:type="dxa"/>
            <w:vMerge w:val="restart"/>
            <w:tcBorders>
              <w:top w:val="single" w:sz="4" w:space="0" w:color="auto"/>
              <w:left w:val="single" w:sz="4" w:space="0" w:color="auto"/>
            </w:tcBorders>
            <w:shd w:val="clear" w:color="auto" w:fill="FFFFFF"/>
            <w:vAlign w:val="center"/>
          </w:tcPr>
          <w:p w14:paraId="6762FEBA"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Наличие прав на земельный участок:</w:t>
            </w:r>
          </w:p>
        </w:tc>
        <w:tc>
          <w:tcPr>
            <w:tcW w:w="1570" w:type="dxa"/>
            <w:tcBorders>
              <w:top w:val="single" w:sz="4" w:space="0" w:color="auto"/>
              <w:left w:val="single" w:sz="4" w:space="0" w:color="auto"/>
            </w:tcBorders>
            <w:shd w:val="clear" w:color="auto" w:fill="FFFFFF"/>
            <w:vAlign w:val="bottom"/>
          </w:tcPr>
          <w:p w14:paraId="5BD30BB2"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 получены</w:t>
            </w:r>
          </w:p>
        </w:tc>
        <w:tc>
          <w:tcPr>
            <w:tcW w:w="854" w:type="dxa"/>
            <w:tcBorders>
              <w:top w:val="single" w:sz="4" w:space="0" w:color="auto"/>
              <w:left w:val="single" w:sz="4" w:space="0" w:color="auto"/>
            </w:tcBorders>
            <w:shd w:val="clear" w:color="auto" w:fill="FFFFFF"/>
            <w:vAlign w:val="bottom"/>
          </w:tcPr>
          <w:p w14:paraId="4A749B9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123" w:type="dxa"/>
            <w:vMerge w:val="restart"/>
            <w:tcBorders>
              <w:top w:val="single" w:sz="4" w:space="0" w:color="auto"/>
              <w:left w:val="single" w:sz="4" w:space="0" w:color="auto"/>
              <w:right w:val="single" w:sz="4" w:space="0" w:color="auto"/>
            </w:tcBorders>
            <w:shd w:val="clear" w:color="auto" w:fill="FFFFFF"/>
            <w:vAlign w:val="center"/>
          </w:tcPr>
          <w:p w14:paraId="7682716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w:t>
            </w:r>
          </w:p>
        </w:tc>
      </w:tr>
      <w:tr w:rsidR="00350D42" w14:paraId="5345142C" w14:textId="77777777">
        <w:trPr>
          <w:trHeight w:hRule="exact" w:val="326"/>
          <w:jc w:val="center"/>
        </w:trPr>
        <w:tc>
          <w:tcPr>
            <w:tcW w:w="3034" w:type="dxa"/>
            <w:vMerge/>
            <w:tcBorders>
              <w:left w:val="single" w:sz="4" w:space="0" w:color="auto"/>
              <w:bottom w:val="single" w:sz="4" w:space="0" w:color="auto"/>
            </w:tcBorders>
            <w:shd w:val="clear" w:color="auto" w:fill="FFFFFF"/>
            <w:vAlign w:val="center"/>
          </w:tcPr>
          <w:p w14:paraId="35040AF0" w14:textId="77777777" w:rsidR="00350D42" w:rsidRDefault="00350D42">
            <w:pPr>
              <w:framePr w:w="6581" w:wrap="notBeside" w:vAnchor="text" w:hAnchor="text" w:xAlign="center" w:y="1"/>
            </w:pPr>
          </w:p>
        </w:tc>
        <w:tc>
          <w:tcPr>
            <w:tcW w:w="1570" w:type="dxa"/>
            <w:tcBorders>
              <w:top w:val="single" w:sz="4" w:space="0" w:color="auto"/>
              <w:left w:val="single" w:sz="4" w:space="0" w:color="auto"/>
              <w:bottom w:val="single" w:sz="4" w:space="0" w:color="auto"/>
            </w:tcBorders>
            <w:shd w:val="clear" w:color="auto" w:fill="FFFFFF"/>
            <w:vAlign w:val="center"/>
          </w:tcPr>
          <w:p w14:paraId="772461DD"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получены</w:t>
            </w:r>
          </w:p>
        </w:tc>
        <w:tc>
          <w:tcPr>
            <w:tcW w:w="854" w:type="dxa"/>
            <w:tcBorders>
              <w:top w:val="single" w:sz="4" w:space="0" w:color="auto"/>
              <w:left w:val="single" w:sz="4" w:space="0" w:color="auto"/>
              <w:bottom w:val="single" w:sz="4" w:space="0" w:color="auto"/>
            </w:tcBorders>
            <w:shd w:val="clear" w:color="auto" w:fill="FFFFFF"/>
            <w:vAlign w:val="bottom"/>
          </w:tcPr>
          <w:p w14:paraId="49CB62D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123" w:type="dxa"/>
            <w:vMerge/>
            <w:tcBorders>
              <w:left w:val="single" w:sz="4" w:space="0" w:color="auto"/>
              <w:bottom w:val="single" w:sz="4" w:space="0" w:color="auto"/>
              <w:right w:val="single" w:sz="4" w:space="0" w:color="auto"/>
            </w:tcBorders>
            <w:shd w:val="clear" w:color="auto" w:fill="FFFFFF"/>
            <w:vAlign w:val="center"/>
          </w:tcPr>
          <w:p w14:paraId="1A9B4F7C" w14:textId="77777777" w:rsidR="00350D42" w:rsidRDefault="00350D42">
            <w:pPr>
              <w:framePr w:w="6581" w:wrap="notBeside" w:vAnchor="text" w:hAnchor="text" w:xAlign="center" w:y="1"/>
            </w:pPr>
          </w:p>
        </w:tc>
      </w:tr>
    </w:tbl>
    <w:p w14:paraId="1C23CACE" w14:textId="77777777" w:rsidR="00350D42" w:rsidRDefault="00350D42">
      <w:pPr>
        <w:framePr w:w="6581" w:wrap="notBeside" w:vAnchor="text" w:hAnchor="text" w:xAlign="center" w:y="1"/>
        <w:rPr>
          <w:sz w:val="2"/>
          <w:szCs w:val="2"/>
        </w:rPr>
      </w:pPr>
    </w:p>
    <w:p w14:paraId="24280D1D" w14:textId="77777777" w:rsidR="00350D42" w:rsidRDefault="00350D42">
      <w:pPr>
        <w:rPr>
          <w:sz w:val="2"/>
          <w:szCs w:val="2"/>
        </w:rPr>
      </w:pPr>
    </w:p>
    <w:p w14:paraId="2F8BE7EE" w14:textId="77777777" w:rsidR="00350D42" w:rsidRDefault="008E6F64">
      <w:pPr>
        <w:pStyle w:val="111"/>
        <w:shd w:val="clear" w:color="auto" w:fill="auto"/>
        <w:spacing w:before="98" w:after="0" w:line="250" w:lineRule="exact"/>
        <w:ind w:firstLine="320"/>
        <w:jc w:val="both"/>
      </w:pPr>
      <w:r>
        <w:rPr>
          <w:rStyle w:val="113"/>
          <w:b/>
          <w:bCs/>
        </w:rPr>
        <w:t>Для выбора соответствующего значения критерия могут учиты</w:t>
      </w:r>
      <w:r>
        <w:rPr>
          <w:rStyle w:val="113"/>
          <w:b/>
          <w:bCs/>
        </w:rPr>
        <w:softHyphen/>
        <w:t>ваться:</w:t>
      </w:r>
    </w:p>
    <w:p w14:paraId="254D597F" w14:textId="77777777" w:rsidR="00350D42" w:rsidRDefault="008E6F64">
      <w:pPr>
        <w:pStyle w:val="111"/>
        <w:numPr>
          <w:ilvl w:val="0"/>
          <w:numId w:val="163"/>
        </w:numPr>
        <w:shd w:val="clear" w:color="auto" w:fill="auto"/>
        <w:tabs>
          <w:tab w:val="left" w:pos="637"/>
        </w:tabs>
        <w:spacing w:before="0" w:after="0" w:line="250" w:lineRule="exact"/>
        <w:ind w:firstLine="320"/>
        <w:jc w:val="both"/>
      </w:pPr>
      <w:r>
        <w:rPr>
          <w:rStyle w:val="113"/>
          <w:b/>
          <w:bCs/>
        </w:rPr>
        <w:t>примерная оценка стоимости работ по договору генерально</w:t>
      </w:r>
      <w:r>
        <w:rPr>
          <w:rStyle w:val="113"/>
          <w:b/>
          <w:bCs/>
        </w:rPr>
        <w:softHyphen/>
        <w:t>го подряда, выполненная специалистами надзорной компании;</w:t>
      </w:r>
    </w:p>
    <w:p w14:paraId="236F3448" w14:textId="77777777" w:rsidR="00350D42" w:rsidRDefault="008E6F64">
      <w:pPr>
        <w:pStyle w:val="111"/>
        <w:numPr>
          <w:ilvl w:val="0"/>
          <w:numId w:val="163"/>
        </w:numPr>
        <w:shd w:val="clear" w:color="auto" w:fill="auto"/>
        <w:tabs>
          <w:tab w:val="left" w:pos="637"/>
        </w:tabs>
        <w:spacing w:before="0" w:after="0" w:line="250" w:lineRule="exact"/>
        <w:ind w:firstLine="320"/>
        <w:jc w:val="both"/>
      </w:pPr>
      <w:r>
        <w:rPr>
          <w:rStyle w:val="113"/>
          <w:b/>
          <w:bCs/>
        </w:rPr>
        <w:t>характеристика генерального подрядчика, для которой необ</w:t>
      </w:r>
      <w:r>
        <w:rPr>
          <w:rStyle w:val="113"/>
          <w:b/>
          <w:bCs/>
        </w:rPr>
        <w:softHyphen/>
        <w:t>ходима следующая информация:</w:t>
      </w:r>
    </w:p>
    <w:p w14:paraId="7C356B25" w14:textId="77777777" w:rsidR="00350D42" w:rsidRDefault="008E6F64">
      <w:pPr>
        <w:pStyle w:val="111"/>
        <w:numPr>
          <w:ilvl w:val="0"/>
          <w:numId w:val="162"/>
        </w:numPr>
        <w:shd w:val="clear" w:color="auto" w:fill="auto"/>
        <w:tabs>
          <w:tab w:val="left" w:pos="648"/>
        </w:tabs>
        <w:spacing w:before="0" w:after="0" w:line="250" w:lineRule="exact"/>
        <w:ind w:firstLine="320"/>
        <w:jc w:val="both"/>
      </w:pPr>
      <w:r>
        <w:rPr>
          <w:rStyle w:val="113"/>
          <w:b/>
          <w:bCs/>
        </w:rPr>
        <w:t>данные бухгалтерской отчетности (представленные на корпо</w:t>
      </w:r>
      <w:r>
        <w:rPr>
          <w:rStyle w:val="113"/>
          <w:b/>
          <w:bCs/>
        </w:rPr>
        <w:softHyphen/>
        <w:t>ративном сайте, на серверах раскрытия информации, полученные у инициатора проекта или генерального подрядчика),</w:t>
      </w:r>
    </w:p>
    <w:p w14:paraId="285C651A" w14:textId="77777777" w:rsidR="00350D42" w:rsidRDefault="008E6F64">
      <w:pPr>
        <w:pStyle w:val="111"/>
        <w:numPr>
          <w:ilvl w:val="0"/>
          <w:numId w:val="162"/>
        </w:numPr>
        <w:shd w:val="clear" w:color="auto" w:fill="auto"/>
        <w:tabs>
          <w:tab w:val="left" w:pos="644"/>
        </w:tabs>
        <w:spacing w:before="0" w:after="0" w:line="250" w:lineRule="exact"/>
        <w:ind w:firstLine="320"/>
        <w:jc w:val="both"/>
      </w:pPr>
      <w:r>
        <w:rPr>
          <w:rStyle w:val="113"/>
          <w:b/>
          <w:bCs/>
        </w:rPr>
        <w:t>информация о выполненных проектах, представленная на кор</w:t>
      </w:r>
      <w:r>
        <w:rPr>
          <w:rStyle w:val="113"/>
          <w:b/>
          <w:bCs/>
        </w:rPr>
        <w:softHyphen/>
        <w:t>поративном сайте, в рекламных проспектах, в Интернете и т. д.,</w:t>
      </w:r>
    </w:p>
    <w:p w14:paraId="7B9F5741" w14:textId="77777777" w:rsidR="00350D42" w:rsidRDefault="008E6F64">
      <w:pPr>
        <w:pStyle w:val="111"/>
        <w:numPr>
          <w:ilvl w:val="0"/>
          <w:numId w:val="162"/>
        </w:numPr>
        <w:shd w:val="clear" w:color="auto" w:fill="auto"/>
        <w:tabs>
          <w:tab w:val="left" w:pos="644"/>
        </w:tabs>
        <w:spacing w:before="0" w:after="0" w:line="250" w:lineRule="exact"/>
        <w:ind w:firstLine="320"/>
        <w:jc w:val="both"/>
      </w:pPr>
      <w:r>
        <w:rPr>
          <w:rStyle w:val="113"/>
          <w:b/>
          <w:bCs/>
        </w:rPr>
        <w:t>отзывы, общая репутация компании (в качестве одной из ха</w:t>
      </w:r>
      <w:r>
        <w:rPr>
          <w:rStyle w:val="113"/>
          <w:b/>
          <w:bCs/>
        </w:rPr>
        <w:softHyphen/>
        <w:t>рактеристик опыта),</w:t>
      </w:r>
    </w:p>
    <w:p w14:paraId="2AE35D63" w14:textId="77777777" w:rsidR="00350D42" w:rsidRDefault="008E6F64">
      <w:pPr>
        <w:pStyle w:val="111"/>
        <w:numPr>
          <w:ilvl w:val="0"/>
          <w:numId w:val="162"/>
        </w:numPr>
        <w:shd w:val="clear" w:color="auto" w:fill="auto"/>
        <w:tabs>
          <w:tab w:val="left" w:pos="685"/>
        </w:tabs>
        <w:spacing w:before="0" w:after="0" w:line="250" w:lineRule="exact"/>
        <w:ind w:firstLine="320"/>
        <w:jc w:val="both"/>
      </w:pPr>
      <w:r>
        <w:rPr>
          <w:rStyle w:val="113"/>
          <w:b/>
          <w:bCs/>
        </w:rPr>
        <w:t>состав имеющихся специалистов;</w:t>
      </w:r>
    </w:p>
    <w:p w14:paraId="6F8273B5" w14:textId="77777777" w:rsidR="00350D42" w:rsidRDefault="008E6F64">
      <w:pPr>
        <w:pStyle w:val="111"/>
        <w:numPr>
          <w:ilvl w:val="0"/>
          <w:numId w:val="163"/>
        </w:numPr>
        <w:shd w:val="clear" w:color="auto" w:fill="auto"/>
        <w:tabs>
          <w:tab w:val="left" w:pos="656"/>
        </w:tabs>
        <w:spacing w:before="0" w:after="0" w:line="250" w:lineRule="exact"/>
        <w:ind w:firstLine="320"/>
        <w:jc w:val="both"/>
      </w:pPr>
      <w:r>
        <w:rPr>
          <w:rStyle w:val="113"/>
          <w:b/>
          <w:bCs/>
        </w:rPr>
        <w:t>характеристики проектной организации, а именно:</w:t>
      </w:r>
    </w:p>
    <w:p w14:paraId="7A9DD14C" w14:textId="77777777" w:rsidR="00350D42" w:rsidRDefault="008E6F64">
      <w:pPr>
        <w:pStyle w:val="111"/>
        <w:numPr>
          <w:ilvl w:val="0"/>
          <w:numId w:val="162"/>
        </w:numPr>
        <w:shd w:val="clear" w:color="auto" w:fill="auto"/>
        <w:tabs>
          <w:tab w:val="left" w:pos="644"/>
        </w:tabs>
        <w:spacing w:before="0" w:after="0" w:line="250" w:lineRule="exact"/>
        <w:ind w:firstLine="320"/>
        <w:jc w:val="both"/>
      </w:pPr>
      <w:r>
        <w:rPr>
          <w:rStyle w:val="113"/>
          <w:b/>
          <w:bCs/>
        </w:rPr>
        <w:t>информация о выполненных проектах, представленная на кор</w:t>
      </w:r>
      <w:r>
        <w:rPr>
          <w:rStyle w:val="113"/>
          <w:b/>
          <w:bCs/>
        </w:rPr>
        <w:softHyphen/>
        <w:t>поративном сайте, в рекламных проспектах, в Интернете и т. д.,</w:t>
      </w:r>
    </w:p>
    <w:p w14:paraId="13735C34" w14:textId="77777777" w:rsidR="00350D42" w:rsidRDefault="008E6F64">
      <w:pPr>
        <w:pStyle w:val="111"/>
        <w:numPr>
          <w:ilvl w:val="0"/>
          <w:numId w:val="162"/>
        </w:numPr>
        <w:shd w:val="clear" w:color="auto" w:fill="auto"/>
        <w:tabs>
          <w:tab w:val="left" w:pos="644"/>
        </w:tabs>
        <w:spacing w:before="0" w:after="0" w:line="250" w:lineRule="exact"/>
        <w:ind w:firstLine="320"/>
        <w:jc w:val="both"/>
      </w:pPr>
      <w:r>
        <w:rPr>
          <w:rStyle w:val="113"/>
          <w:b/>
          <w:bCs/>
        </w:rPr>
        <w:t>отзывы, общая репутация компании (в качестве одной из ха</w:t>
      </w:r>
      <w:r>
        <w:rPr>
          <w:rStyle w:val="113"/>
          <w:b/>
          <w:bCs/>
        </w:rPr>
        <w:softHyphen/>
        <w:t>рактеристик опыта).</w:t>
      </w:r>
    </w:p>
    <w:p w14:paraId="4BA4F9A7" w14:textId="77777777" w:rsidR="00350D42" w:rsidRDefault="008E6F64">
      <w:pPr>
        <w:pStyle w:val="190"/>
        <w:numPr>
          <w:ilvl w:val="0"/>
          <w:numId w:val="161"/>
        </w:numPr>
        <w:shd w:val="clear" w:color="auto" w:fill="auto"/>
        <w:tabs>
          <w:tab w:val="left" w:pos="637"/>
        </w:tabs>
        <w:spacing w:line="250" w:lineRule="exact"/>
        <w:ind w:firstLine="320"/>
        <w:jc w:val="both"/>
      </w:pPr>
      <w:r>
        <w:rPr>
          <w:rStyle w:val="191"/>
          <w:i/>
          <w:iCs/>
        </w:rPr>
        <w:t>Оценка фактора «эксплуатация объекта».</w:t>
      </w:r>
    </w:p>
    <w:p w14:paraId="130A4F71" w14:textId="77777777" w:rsidR="00350D42" w:rsidRDefault="008E6F64">
      <w:pPr>
        <w:pStyle w:val="111"/>
        <w:shd w:val="clear" w:color="auto" w:fill="auto"/>
        <w:spacing w:before="0" w:after="0" w:line="250" w:lineRule="exact"/>
        <w:ind w:firstLine="320"/>
        <w:jc w:val="both"/>
        <w:sectPr w:rsidR="00350D42">
          <w:headerReference w:type="even" r:id="rId207"/>
          <w:footerReference w:type="even" r:id="rId208"/>
          <w:footerReference w:type="default" r:id="rId209"/>
          <w:headerReference w:type="first" r:id="rId210"/>
          <w:footerReference w:type="first" r:id="rId211"/>
          <w:pgSz w:w="8789" w:h="13493"/>
          <w:pgMar w:top="1198" w:right="1085" w:bottom="1174" w:left="1075" w:header="0" w:footer="3" w:gutter="0"/>
          <w:cols w:space="720"/>
          <w:noEndnote/>
          <w:titlePg/>
          <w:docGrid w:linePitch="360"/>
        </w:sectPr>
      </w:pPr>
      <w:r>
        <w:rPr>
          <w:rStyle w:val="113"/>
          <w:b/>
          <w:bCs/>
        </w:rPr>
        <w:t>Применение новых технологий для производства продукции (оказания услуг) в случае успеха может существенно повысить эко</w:t>
      </w:r>
      <w:r>
        <w:rPr>
          <w:rStyle w:val="113"/>
          <w:b/>
          <w:bCs/>
        </w:rPr>
        <w:softHyphen/>
        <w:t>номическую эффективность проекта.</w:t>
      </w:r>
    </w:p>
    <w:p w14:paraId="0D965861" w14:textId="77777777" w:rsidR="00350D42" w:rsidRDefault="008E6F64">
      <w:pPr>
        <w:pStyle w:val="111"/>
        <w:shd w:val="clear" w:color="auto" w:fill="auto"/>
        <w:spacing w:before="0" w:after="0" w:line="250" w:lineRule="exact"/>
        <w:ind w:firstLine="320"/>
        <w:jc w:val="both"/>
      </w:pPr>
      <w:r>
        <w:rPr>
          <w:rStyle w:val="113"/>
          <w:b/>
          <w:bCs/>
        </w:rPr>
        <w:lastRenderedPageBreak/>
        <w:t>Однако в зависимости от степени новизны неопределенность в отношении будущих результатов возрастает.</w:t>
      </w:r>
    </w:p>
    <w:p w14:paraId="5BC928CD" w14:textId="77777777" w:rsidR="00350D42" w:rsidRDefault="008E6F64">
      <w:pPr>
        <w:pStyle w:val="111"/>
        <w:shd w:val="clear" w:color="auto" w:fill="auto"/>
        <w:spacing w:before="0" w:after="0" w:line="250" w:lineRule="exact"/>
        <w:ind w:firstLine="320"/>
        <w:jc w:val="both"/>
      </w:pPr>
      <w:r>
        <w:rPr>
          <w:rStyle w:val="113"/>
          <w:b/>
          <w:bCs/>
        </w:rPr>
        <w:t>Наличие большого количества новых технических решений обу</w:t>
      </w:r>
      <w:r>
        <w:rPr>
          <w:rStyle w:val="113"/>
          <w:b/>
          <w:bCs/>
        </w:rPr>
        <w:softHyphen/>
        <w:t>славливает риск общей реализуемости проекта (работоспособности оборудования или объекта в целом) или недостижения планируе</w:t>
      </w:r>
      <w:r>
        <w:rPr>
          <w:rStyle w:val="113"/>
          <w:b/>
          <w:bCs/>
        </w:rPr>
        <w:softHyphen/>
        <w:t>мых эксплуатационных параметров.</w:t>
      </w:r>
    </w:p>
    <w:p w14:paraId="4F2F16B7" w14:textId="77777777" w:rsidR="00350D42" w:rsidRDefault="008E6F64">
      <w:pPr>
        <w:pStyle w:val="111"/>
        <w:shd w:val="clear" w:color="auto" w:fill="auto"/>
        <w:spacing w:before="0" w:after="0" w:line="250" w:lineRule="exact"/>
        <w:ind w:firstLine="320"/>
        <w:jc w:val="both"/>
      </w:pPr>
      <w:r>
        <w:rPr>
          <w:rStyle w:val="113"/>
          <w:b/>
          <w:bCs/>
        </w:rPr>
        <w:t>С точки зрения кредитования предпочтительным является ис</w:t>
      </w:r>
      <w:r>
        <w:rPr>
          <w:rStyle w:val="113"/>
          <w:b/>
          <w:bCs/>
        </w:rPr>
        <w:softHyphen/>
        <w:t>пользование уже апробированных технологий, техническая реали</w:t>
      </w:r>
      <w:r>
        <w:rPr>
          <w:rStyle w:val="113"/>
          <w:b/>
          <w:bCs/>
        </w:rPr>
        <w:softHyphen/>
        <w:t>зация которых сопряжена с меньшими рисками.</w:t>
      </w:r>
    </w:p>
    <w:p w14:paraId="5C8746F1" w14:textId="77777777" w:rsidR="00350D42" w:rsidRDefault="008E6F64">
      <w:pPr>
        <w:pStyle w:val="111"/>
        <w:shd w:val="clear" w:color="auto" w:fill="auto"/>
        <w:spacing w:before="0" w:after="0" w:line="250" w:lineRule="exact"/>
        <w:ind w:firstLine="320"/>
        <w:jc w:val="both"/>
      </w:pPr>
      <w:r>
        <w:rPr>
          <w:rStyle w:val="113"/>
          <w:b/>
          <w:bCs/>
        </w:rPr>
        <w:t>При этом достоверность прогноза существенно повышается, если значения эксплуатационных параметров (удельные расходы сырья, расходы на обслуживание, график работы оборудования), номини</w:t>
      </w:r>
      <w:r>
        <w:rPr>
          <w:rStyle w:val="113"/>
          <w:b/>
          <w:bCs/>
        </w:rPr>
        <w:softHyphen/>
        <w:t>руемые инициатором, производителем оборудования или проект</w:t>
      </w:r>
      <w:r>
        <w:rPr>
          <w:rStyle w:val="113"/>
          <w:b/>
          <w:bCs/>
        </w:rPr>
        <w:softHyphen/>
        <w:t>ной организацией, могут быть подтверждены на основе результатов функционирования действующих аналогов.</w:t>
      </w:r>
    </w:p>
    <w:p w14:paraId="4CB96AEF" w14:textId="77777777" w:rsidR="00350D42" w:rsidRDefault="008E6F64">
      <w:pPr>
        <w:pStyle w:val="111"/>
        <w:shd w:val="clear" w:color="auto" w:fill="auto"/>
        <w:spacing w:before="0" w:after="0" w:line="250" w:lineRule="exact"/>
        <w:ind w:firstLine="320"/>
        <w:jc w:val="both"/>
      </w:pPr>
      <w:r>
        <w:rPr>
          <w:rStyle w:val="113"/>
          <w:b/>
          <w:bCs/>
        </w:rPr>
        <w:t>Показатели оценки данного фактора представлены в табл. П.2.11.</w:t>
      </w:r>
    </w:p>
    <w:p w14:paraId="0048356F" w14:textId="77777777" w:rsidR="00350D42" w:rsidRDefault="008E6F64">
      <w:pPr>
        <w:pStyle w:val="190"/>
        <w:shd w:val="clear" w:color="auto" w:fill="auto"/>
      </w:pPr>
      <w:r>
        <w:rPr>
          <w:rStyle w:val="191"/>
          <w:i/>
          <w:iCs/>
        </w:rPr>
        <w:t>Таблица П.2.11</w:t>
      </w:r>
    </w:p>
    <w:p w14:paraId="6D36984C" w14:textId="77777777" w:rsidR="00350D42" w:rsidRDefault="008E6F64">
      <w:pPr>
        <w:pStyle w:val="3f2"/>
        <w:framePr w:w="6576" w:wrap="notBeside" w:vAnchor="text" w:hAnchor="text" w:xAlign="center" w:y="1"/>
        <w:shd w:val="clear" w:color="auto" w:fill="auto"/>
        <w:spacing w:line="194" w:lineRule="exact"/>
        <w:jc w:val="left"/>
      </w:pPr>
      <w:r>
        <w:rPr>
          <w:rStyle w:val="3f3"/>
          <w:b/>
          <w:bCs/>
        </w:rPr>
        <w:t>Оценка фактора «эксплуатация объекта»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792"/>
        <w:gridCol w:w="221"/>
        <w:gridCol w:w="2813"/>
        <w:gridCol w:w="850"/>
        <w:gridCol w:w="1042"/>
      </w:tblGrid>
      <w:tr w:rsidR="00350D42" w14:paraId="3D337DDA" w14:textId="77777777">
        <w:trPr>
          <w:trHeight w:hRule="exact" w:val="744"/>
          <w:jc w:val="center"/>
        </w:trPr>
        <w:tc>
          <w:tcPr>
            <w:tcW w:w="4685" w:type="dxa"/>
            <w:gridSpan w:val="4"/>
            <w:tcBorders>
              <w:top w:val="single" w:sz="4" w:space="0" w:color="auto"/>
              <w:left w:val="single" w:sz="4" w:space="0" w:color="auto"/>
            </w:tcBorders>
            <w:shd w:val="clear" w:color="auto" w:fill="FFFFFF"/>
          </w:tcPr>
          <w:p w14:paraId="627D858F" w14:textId="77777777" w:rsidR="00350D42" w:rsidRDefault="008E6F64">
            <w:pPr>
              <w:pStyle w:val="2c"/>
              <w:framePr w:w="6576" w:wrap="notBeside" w:vAnchor="text" w:hAnchor="text" w:xAlign="center" w:y="1"/>
              <w:shd w:val="clear" w:color="auto" w:fill="auto"/>
              <w:spacing w:before="0" w:line="176" w:lineRule="exact"/>
              <w:jc w:val="center"/>
            </w:pPr>
            <w:r>
              <w:rPr>
                <w:rStyle w:val="275pt"/>
              </w:rPr>
              <w:t>Показатели по подгруппам</w:t>
            </w:r>
          </w:p>
        </w:tc>
        <w:tc>
          <w:tcPr>
            <w:tcW w:w="850" w:type="dxa"/>
            <w:tcBorders>
              <w:top w:val="single" w:sz="4" w:space="0" w:color="auto"/>
              <w:left w:val="single" w:sz="4" w:space="0" w:color="auto"/>
            </w:tcBorders>
            <w:shd w:val="clear" w:color="auto" w:fill="FFFFFF"/>
            <w:vAlign w:val="bottom"/>
          </w:tcPr>
          <w:p w14:paraId="0479A109" w14:textId="77777777" w:rsidR="00350D42" w:rsidRDefault="008E6F64">
            <w:pPr>
              <w:pStyle w:val="2c"/>
              <w:framePr w:w="6576" w:wrap="notBeside" w:vAnchor="text" w:hAnchor="text" w:xAlign="center" w:y="1"/>
              <w:shd w:val="clear" w:color="auto" w:fill="auto"/>
              <w:spacing w:before="0" w:line="216" w:lineRule="exact"/>
            </w:pPr>
            <w:r>
              <w:rPr>
                <w:rStyle w:val="275pt"/>
              </w:rPr>
              <w:t>Баллы</w:t>
            </w:r>
          </w:p>
          <w:p w14:paraId="492380D4" w14:textId="77777777" w:rsidR="00350D42" w:rsidRDefault="008E6F64">
            <w:pPr>
              <w:pStyle w:val="2c"/>
              <w:framePr w:w="6576" w:wrap="notBeside" w:vAnchor="text" w:hAnchor="text" w:xAlign="center" w:y="1"/>
              <w:shd w:val="clear" w:color="auto" w:fill="auto"/>
              <w:spacing w:before="0" w:line="216" w:lineRule="exact"/>
            </w:pPr>
            <w:r>
              <w:rPr>
                <w:rStyle w:val="275pt"/>
              </w:rPr>
              <w:t>по под</w:t>
            </w:r>
            <w:r>
              <w:rPr>
                <w:rStyle w:val="275pt"/>
              </w:rPr>
              <w:softHyphen/>
              <w:t>группе</w:t>
            </w:r>
          </w:p>
        </w:tc>
        <w:tc>
          <w:tcPr>
            <w:tcW w:w="1042" w:type="dxa"/>
            <w:tcBorders>
              <w:top w:val="single" w:sz="4" w:space="0" w:color="auto"/>
              <w:left w:val="single" w:sz="4" w:space="0" w:color="auto"/>
              <w:right w:val="single" w:sz="4" w:space="0" w:color="auto"/>
            </w:tcBorders>
            <w:shd w:val="clear" w:color="auto" w:fill="FFFFFF"/>
            <w:vAlign w:val="bottom"/>
          </w:tcPr>
          <w:p w14:paraId="72122572" w14:textId="77777777" w:rsidR="00350D42" w:rsidRDefault="008E6F64">
            <w:pPr>
              <w:pStyle w:val="2c"/>
              <w:framePr w:w="6576" w:wrap="notBeside" w:vAnchor="text" w:hAnchor="text" w:xAlign="center" w:y="1"/>
              <w:shd w:val="clear" w:color="auto" w:fill="auto"/>
              <w:spacing w:before="0" w:line="216" w:lineRule="exact"/>
              <w:ind w:left="180" w:hanging="180"/>
              <w:jc w:val="left"/>
            </w:pPr>
            <w:r>
              <w:rPr>
                <w:rStyle w:val="275pt"/>
              </w:rPr>
              <w:t>Удельный вес под</w:t>
            </w:r>
            <w:r>
              <w:rPr>
                <w:rStyle w:val="275pt"/>
              </w:rPr>
              <w:softHyphen/>
              <w:t>группы</w:t>
            </w:r>
          </w:p>
        </w:tc>
      </w:tr>
      <w:tr w:rsidR="00350D42" w14:paraId="446AB9AA" w14:textId="77777777">
        <w:trPr>
          <w:trHeight w:hRule="exact" w:val="523"/>
          <w:jc w:val="center"/>
        </w:trPr>
        <w:tc>
          <w:tcPr>
            <w:tcW w:w="4685" w:type="dxa"/>
            <w:gridSpan w:val="4"/>
            <w:tcBorders>
              <w:top w:val="single" w:sz="4" w:space="0" w:color="auto"/>
              <w:left w:val="single" w:sz="4" w:space="0" w:color="auto"/>
            </w:tcBorders>
            <w:shd w:val="clear" w:color="auto" w:fill="FFFFFF"/>
            <w:vAlign w:val="bottom"/>
          </w:tcPr>
          <w:p w14:paraId="7B6FDC59" w14:textId="77777777" w:rsidR="00350D42" w:rsidRDefault="008E6F64">
            <w:pPr>
              <w:pStyle w:val="2c"/>
              <w:framePr w:w="6576" w:wrap="notBeside" w:vAnchor="text" w:hAnchor="text" w:xAlign="center" w:y="1"/>
              <w:shd w:val="clear" w:color="auto" w:fill="auto"/>
              <w:spacing w:before="0" w:line="216" w:lineRule="exact"/>
              <w:jc w:val="left"/>
            </w:pPr>
            <w:r>
              <w:rPr>
                <w:rStyle w:val="275pt0"/>
              </w:rPr>
              <w:t>Применяемая технология является новой, аналоги отсутствуют</w:t>
            </w:r>
          </w:p>
        </w:tc>
        <w:tc>
          <w:tcPr>
            <w:tcW w:w="850" w:type="dxa"/>
            <w:tcBorders>
              <w:top w:val="single" w:sz="4" w:space="0" w:color="auto"/>
              <w:left w:val="single" w:sz="4" w:space="0" w:color="auto"/>
            </w:tcBorders>
            <w:shd w:val="clear" w:color="auto" w:fill="FFFFFF"/>
            <w:vAlign w:val="center"/>
          </w:tcPr>
          <w:p w14:paraId="0D653F77"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0</w:t>
            </w:r>
          </w:p>
        </w:tc>
        <w:tc>
          <w:tcPr>
            <w:tcW w:w="1042" w:type="dxa"/>
            <w:vMerge w:val="restart"/>
            <w:tcBorders>
              <w:top w:val="single" w:sz="4" w:space="0" w:color="auto"/>
              <w:left w:val="single" w:sz="4" w:space="0" w:color="auto"/>
              <w:right w:val="single" w:sz="4" w:space="0" w:color="auto"/>
            </w:tcBorders>
            <w:shd w:val="clear" w:color="auto" w:fill="FFFFFF"/>
          </w:tcPr>
          <w:p w14:paraId="004078E6"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0,3</w:t>
            </w:r>
          </w:p>
        </w:tc>
      </w:tr>
      <w:tr w:rsidR="00350D42" w14:paraId="2B5E4792" w14:textId="77777777">
        <w:trPr>
          <w:trHeight w:hRule="exact" w:val="528"/>
          <w:jc w:val="center"/>
        </w:trPr>
        <w:tc>
          <w:tcPr>
            <w:tcW w:w="1872" w:type="dxa"/>
            <w:gridSpan w:val="3"/>
            <w:vMerge w:val="restart"/>
            <w:tcBorders>
              <w:top w:val="single" w:sz="4" w:space="0" w:color="auto"/>
              <w:left w:val="single" w:sz="4" w:space="0" w:color="auto"/>
            </w:tcBorders>
            <w:shd w:val="clear" w:color="auto" w:fill="FFFFFF"/>
            <w:vAlign w:val="center"/>
          </w:tcPr>
          <w:p w14:paraId="4D618BBF" w14:textId="77777777" w:rsidR="00350D42" w:rsidRDefault="008E6F64">
            <w:pPr>
              <w:pStyle w:val="2c"/>
              <w:framePr w:w="6576" w:wrap="notBeside" w:vAnchor="text" w:hAnchor="text" w:xAlign="center" w:y="1"/>
              <w:shd w:val="clear" w:color="auto" w:fill="auto"/>
              <w:spacing w:before="0" w:line="216" w:lineRule="exact"/>
              <w:jc w:val="left"/>
            </w:pPr>
            <w:r>
              <w:rPr>
                <w:rStyle w:val="275pt0"/>
              </w:rPr>
              <w:t>Применяемая тех</w:t>
            </w:r>
            <w:r>
              <w:rPr>
                <w:rStyle w:val="275pt0"/>
              </w:rPr>
              <w:softHyphen/>
              <w:t>нология является</w:t>
            </w:r>
          </w:p>
          <w:p w14:paraId="323AF036" w14:textId="77777777" w:rsidR="00350D42" w:rsidRDefault="008E6F64">
            <w:pPr>
              <w:pStyle w:val="2c"/>
              <w:framePr w:w="6576" w:wrap="notBeside" w:vAnchor="text" w:hAnchor="text" w:xAlign="center" w:y="1"/>
              <w:shd w:val="clear" w:color="auto" w:fill="auto"/>
              <w:spacing w:before="0" w:line="216" w:lineRule="exact"/>
              <w:jc w:val="left"/>
            </w:pPr>
            <w:r>
              <w:rPr>
                <w:rStyle w:val="275pt0"/>
              </w:rPr>
              <w:t>типовой или близка к типовой, при этом планируемые удель</w:t>
            </w:r>
            <w:r>
              <w:rPr>
                <w:rStyle w:val="275pt0"/>
              </w:rPr>
              <w:softHyphen/>
              <w:t>ные расходы сырья и затраты на обслу</w:t>
            </w:r>
            <w:r>
              <w:rPr>
                <w:rStyle w:val="275pt0"/>
              </w:rPr>
              <w:softHyphen/>
              <w:t>живание:</w:t>
            </w:r>
          </w:p>
        </w:tc>
        <w:tc>
          <w:tcPr>
            <w:tcW w:w="2813" w:type="dxa"/>
            <w:tcBorders>
              <w:top w:val="single" w:sz="4" w:space="0" w:color="auto"/>
              <w:left w:val="single" w:sz="4" w:space="0" w:color="auto"/>
            </w:tcBorders>
            <w:shd w:val="clear" w:color="auto" w:fill="FFFFFF"/>
            <w:vAlign w:val="bottom"/>
          </w:tcPr>
          <w:p w14:paraId="1A1E0895" w14:textId="77777777" w:rsidR="00350D42" w:rsidRDefault="008E6F64">
            <w:pPr>
              <w:pStyle w:val="2c"/>
              <w:framePr w:w="6576" w:wrap="notBeside" w:vAnchor="text" w:hAnchor="text" w:xAlign="center" w:y="1"/>
              <w:shd w:val="clear" w:color="auto" w:fill="auto"/>
              <w:spacing w:before="0" w:line="216" w:lineRule="exact"/>
              <w:jc w:val="left"/>
            </w:pPr>
            <w:r>
              <w:rPr>
                <w:rStyle w:val="275pt0"/>
              </w:rPr>
              <w:t>необходимая информация не</w:t>
            </w:r>
            <w:r>
              <w:rPr>
                <w:rStyle w:val="275pt0"/>
              </w:rPr>
              <w:softHyphen/>
              <w:t>доступна</w:t>
            </w:r>
          </w:p>
        </w:tc>
        <w:tc>
          <w:tcPr>
            <w:tcW w:w="850" w:type="dxa"/>
            <w:tcBorders>
              <w:top w:val="single" w:sz="4" w:space="0" w:color="auto"/>
              <w:left w:val="single" w:sz="4" w:space="0" w:color="auto"/>
            </w:tcBorders>
            <w:shd w:val="clear" w:color="auto" w:fill="FFFFFF"/>
          </w:tcPr>
          <w:p w14:paraId="0D3C021E"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70</w:t>
            </w:r>
          </w:p>
        </w:tc>
        <w:tc>
          <w:tcPr>
            <w:tcW w:w="1042" w:type="dxa"/>
            <w:vMerge/>
            <w:tcBorders>
              <w:left w:val="single" w:sz="4" w:space="0" w:color="auto"/>
              <w:right w:val="single" w:sz="4" w:space="0" w:color="auto"/>
            </w:tcBorders>
            <w:shd w:val="clear" w:color="auto" w:fill="FFFFFF"/>
          </w:tcPr>
          <w:p w14:paraId="5229DF09" w14:textId="77777777" w:rsidR="00350D42" w:rsidRDefault="00350D42">
            <w:pPr>
              <w:framePr w:w="6576" w:wrap="notBeside" w:vAnchor="text" w:hAnchor="text" w:xAlign="center" w:y="1"/>
            </w:pPr>
          </w:p>
        </w:tc>
      </w:tr>
      <w:tr w:rsidR="00350D42" w14:paraId="7B6B8220" w14:textId="77777777">
        <w:trPr>
          <w:trHeight w:hRule="exact" w:val="739"/>
          <w:jc w:val="center"/>
        </w:trPr>
        <w:tc>
          <w:tcPr>
            <w:tcW w:w="1872" w:type="dxa"/>
            <w:gridSpan w:val="3"/>
            <w:vMerge/>
            <w:tcBorders>
              <w:left w:val="single" w:sz="4" w:space="0" w:color="auto"/>
            </w:tcBorders>
            <w:shd w:val="clear" w:color="auto" w:fill="FFFFFF"/>
            <w:vAlign w:val="center"/>
          </w:tcPr>
          <w:p w14:paraId="5AEC63B6" w14:textId="77777777" w:rsidR="00350D42" w:rsidRDefault="00350D42">
            <w:pPr>
              <w:framePr w:w="6576" w:wrap="notBeside" w:vAnchor="text" w:hAnchor="text" w:xAlign="center" w:y="1"/>
            </w:pPr>
          </w:p>
        </w:tc>
        <w:tc>
          <w:tcPr>
            <w:tcW w:w="2813" w:type="dxa"/>
            <w:tcBorders>
              <w:top w:val="single" w:sz="4" w:space="0" w:color="auto"/>
              <w:left w:val="single" w:sz="4" w:space="0" w:color="auto"/>
            </w:tcBorders>
            <w:shd w:val="clear" w:color="auto" w:fill="FFFFFF"/>
            <w:vAlign w:val="center"/>
          </w:tcPr>
          <w:p w14:paraId="39BA1562" w14:textId="77777777" w:rsidR="00350D42" w:rsidRDefault="008E6F64">
            <w:pPr>
              <w:pStyle w:val="2c"/>
              <w:framePr w:w="6576" w:wrap="notBeside" w:vAnchor="text" w:hAnchor="text" w:xAlign="center" w:y="1"/>
              <w:shd w:val="clear" w:color="auto" w:fill="auto"/>
              <w:spacing w:before="0" w:line="216" w:lineRule="exact"/>
            </w:pPr>
            <w:r>
              <w:rPr>
                <w:rStyle w:val="275pt0"/>
              </w:rPr>
              <w:t>частично не соответствуют по</w:t>
            </w:r>
            <w:r>
              <w:rPr>
                <w:rStyle w:val="275pt0"/>
              </w:rPr>
              <w:softHyphen/>
              <w:t>казателям аналогов, несоответ</w:t>
            </w:r>
            <w:r>
              <w:rPr>
                <w:rStyle w:val="275pt0"/>
              </w:rPr>
              <w:softHyphen/>
              <w:t>ствие может быть объяснено</w:t>
            </w:r>
          </w:p>
        </w:tc>
        <w:tc>
          <w:tcPr>
            <w:tcW w:w="850" w:type="dxa"/>
            <w:tcBorders>
              <w:top w:val="single" w:sz="4" w:space="0" w:color="auto"/>
              <w:left w:val="single" w:sz="4" w:space="0" w:color="auto"/>
            </w:tcBorders>
            <w:shd w:val="clear" w:color="auto" w:fill="FFFFFF"/>
          </w:tcPr>
          <w:p w14:paraId="32D32965"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85</w:t>
            </w:r>
          </w:p>
        </w:tc>
        <w:tc>
          <w:tcPr>
            <w:tcW w:w="1042" w:type="dxa"/>
            <w:vMerge/>
            <w:tcBorders>
              <w:left w:val="single" w:sz="4" w:space="0" w:color="auto"/>
              <w:right w:val="single" w:sz="4" w:space="0" w:color="auto"/>
            </w:tcBorders>
            <w:shd w:val="clear" w:color="auto" w:fill="FFFFFF"/>
          </w:tcPr>
          <w:p w14:paraId="69E7C488" w14:textId="77777777" w:rsidR="00350D42" w:rsidRDefault="00350D42">
            <w:pPr>
              <w:framePr w:w="6576" w:wrap="notBeside" w:vAnchor="text" w:hAnchor="text" w:xAlign="center" w:y="1"/>
            </w:pPr>
          </w:p>
        </w:tc>
      </w:tr>
      <w:tr w:rsidR="00350D42" w14:paraId="6C98B328" w14:textId="77777777">
        <w:trPr>
          <w:trHeight w:hRule="exact" w:val="557"/>
          <w:jc w:val="center"/>
        </w:trPr>
        <w:tc>
          <w:tcPr>
            <w:tcW w:w="1872" w:type="dxa"/>
            <w:gridSpan w:val="3"/>
            <w:vMerge/>
            <w:tcBorders>
              <w:left w:val="single" w:sz="4" w:space="0" w:color="auto"/>
            </w:tcBorders>
            <w:shd w:val="clear" w:color="auto" w:fill="FFFFFF"/>
            <w:vAlign w:val="center"/>
          </w:tcPr>
          <w:p w14:paraId="666BF4F7" w14:textId="77777777" w:rsidR="00350D42" w:rsidRDefault="00350D42">
            <w:pPr>
              <w:framePr w:w="6576" w:wrap="notBeside" w:vAnchor="text" w:hAnchor="text" w:xAlign="center" w:y="1"/>
            </w:pPr>
          </w:p>
        </w:tc>
        <w:tc>
          <w:tcPr>
            <w:tcW w:w="2813" w:type="dxa"/>
            <w:tcBorders>
              <w:top w:val="single" w:sz="4" w:space="0" w:color="auto"/>
              <w:left w:val="single" w:sz="4" w:space="0" w:color="auto"/>
            </w:tcBorders>
            <w:shd w:val="clear" w:color="auto" w:fill="FFFFFF"/>
            <w:vAlign w:val="center"/>
          </w:tcPr>
          <w:p w14:paraId="56A1A4EF" w14:textId="77777777" w:rsidR="00350D42" w:rsidRDefault="008E6F64">
            <w:pPr>
              <w:pStyle w:val="2c"/>
              <w:framePr w:w="6576" w:wrap="notBeside" w:vAnchor="text" w:hAnchor="text" w:xAlign="center" w:y="1"/>
              <w:shd w:val="clear" w:color="auto" w:fill="auto"/>
              <w:spacing w:before="0" w:line="216" w:lineRule="exact"/>
            </w:pPr>
            <w:r>
              <w:rPr>
                <w:rStyle w:val="275pt0"/>
              </w:rPr>
              <w:t>полностью соответствуют пока</w:t>
            </w:r>
            <w:r>
              <w:rPr>
                <w:rStyle w:val="275pt0"/>
              </w:rPr>
              <w:softHyphen/>
              <w:t>зателям действующих аналогов</w:t>
            </w:r>
          </w:p>
        </w:tc>
        <w:tc>
          <w:tcPr>
            <w:tcW w:w="850" w:type="dxa"/>
            <w:tcBorders>
              <w:top w:val="single" w:sz="4" w:space="0" w:color="auto"/>
              <w:left w:val="single" w:sz="4" w:space="0" w:color="auto"/>
            </w:tcBorders>
            <w:shd w:val="clear" w:color="auto" w:fill="FFFFFF"/>
            <w:vAlign w:val="center"/>
          </w:tcPr>
          <w:p w14:paraId="124152AC"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100</w:t>
            </w:r>
          </w:p>
        </w:tc>
        <w:tc>
          <w:tcPr>
            <w:tcW w:w="1042" w:type="dxa"/>
            <w:vMerge/>
            <w:tcBorders>
              <w:left w:val="single" w:sz="4" w:space="0" w:color="auto"/>
              <w:right w:val="single" w:sz="4" w:space="0" w:color="auto"/>
            </w:tcBorders>
            <w:shd w:val="clear" w:color="auto" w:fill="FFFFFF"/>
          </w:tcPr>
          <w:p w14:paraId="6F0D4EE6" w14:textId="77777777" w:rsidR="00350D42" w:rsidRDefault="00350D42">
            <w:pPr>
              <w:framePr w:w="6576" w:wrap="notBeside" w:vAnchor="text" w:hAnchor="text" w:xAlign="center" w:y="1"/>
            </w:pPr>
          </w:p>
        </w:tc>
      </w:tr>
      <w:tr w:rsidR="00350D42" w14:paraId="506350AC" w14:textId="77777777">
        <w:trPr>
          <w:trHeight w:hRule="exact" w:val="307"/>
          <w:jc w:val="center"/>
        </w:trPr>
        <w:tc>
          <w:tcPr>
            <w:tcW w:w="859" w:type="dxa"/>
            <w:vMerge w:val="restart"/>
            <w:tcBorders>
              <w:top w:val="single" w:sz="4" w:space="0" w:color="auto"/>
              <w:left w:val="single" w:sz="4" w:space="0" w:color="auto"/>
            </w:tcBorders>
            <w:shd w:val="clear" w:color="auto" w:fill="FFFFFF"/>
          </w:tcPr>
          <w:p w14:paraId="391DEB0F" w14:textId="77777777" w:rsidR="00350D42" w:rsidRDefault="008E6F64">
            <w:pPr>
              <w:pStyle w:val="2c"/>
              <w:framePr w:w="6576" w:wrap="notBeside" w:vAnchor="text" w:hAnchor="text" w:xAlign="center" w:y="1"/>
              <w:shd w:val="clear" w:color="auto" w:fill="auto"/>
              <w:spacing w:before="0" w:line="216" w:lineRule="exact"/>
            </w:pPr>
            <w:r>
              <w:rPr>
                <w:rStyle w:val="275pt0"/>
              </w:rPr>
              <w:t>Постав</w:t>
            </w:r>
            <w:r>
              <w:rPr>
                <w:rStyle w:val="275pt0"/>
              </w:rPr>
              <w:softHyphen/>
            </w:r>
          </w:p>
          <w:p w14:paraId="4BCF7D15" w14:textId="77777777" w:rsidR="00350D42" w:rsidRDefault="008E6F64">
            <w:pPr>
              <w:pStyle w:val="2c"/>
              <w:framePr w:w="6576" w:wrap="notBeside" w:vAnchor="text" w:hAnchor="text" w:xAlign="center" w:y="1"/>
              <w:shd w:val="clear" w:color="auto" w:fill="auto"/>
              <w:spacing w:before="0" w:line="216" w:lineRule="exact"/>
            </w:pPr>
            <w:r>
              <w:rPr>
                <w:rStyle w:val="275pt0"/>
              </w:rPr>
              <w:t>щики</w:t>
            </w:r>
          </w:p>
          <w:p w14:paraId="71FE7846" w14:textId="77777777" w:rsidR="00350D42" w:rsidRDefault="008E6F64">
            <w:pPr>
              <w:pStyle w:val="2c"/>
              <w:framePr w:w="6576" w:wrap="notBeside" w:vAnchor="text" w:hAnchor="text" w:xAlign="center" w:y="1"/>
              <w:shd w:val="clear" w:color="auto" w:fill="auto"/>
              <w:spacing w:before="0" w:line="216" w:lineRule="exact"/>
            </w:pPr>
            <w:r>
              <w:rPr>
                <w:rStyle w:val="275pt0"/>
              </w:rPr>
              <w:t>основ</w:t>
            </w:r>
            <w:r>
              <w:rPr>
                <w:rStyle w:val="275pt0"/>
              </w:rPr>
              <w:softHyphen/>
            </w:r>
          </w:p>
          <w:p w14:paraId="4A5919FA" w14:textId="77777777" w:rsidR="00350D42" w:rsidRDefault="008E6F64">
            <w:pPr>
              <w:pStyle w:val="2c"/>
              <w:framePr w:w="6576" w:wrap="notBeside" w:vAnchor="text" w:hAnchor="text" w:xAlign="center" w:y="1"/>
              <w:shd w:val="clear" w:color="auto" w:fill="auto"/>
              <w:spacing w:before="0" w:line="216" w:lineRule="exact"/>
            </w:pPr>
            <w:r>
              <w:rPr>
                <w:rStyle w:val="275pt0"/>
              </w:rPr>
              <w:t>ного</w:t>
            </w:r>
          </w:p>
          <w:p w14:paraId="57467219" w14:textId="77777777" w:rsidR="00350D42" w:rsidRDefault="008E6F64">
            <w:pPr>
              <w:pStyle w:val="2c"/>
              <w:framePr w:w="6576" w:wrap="notBeside" w:vAnchor="text" w:hAnchor="text" w:xAlign="center" w:y="1"/>
              <w:shd w:val="clear" w:color="auto" w:fill="auto"/>
              <w:spacing w:before="0" w:line="216" w:lineRule="exact"/>
            </w:pPr>
            <w:r>
              <w:rPr>
                <w:rStyle w:val="275pt0"/>
              </w:rPr>
              <w:t>обору</w:t>
            </w:r>
            <w:r>
              <w:rPr>
                <w:rStyle w:val="275pt0"/>
              </w:rPr>
              <w:softHyphen/>
            </w:r>
          </w:p>
          <w:p w14:paraId="44940099" w14:textId="77777777" w:rsidR="00350D42" w:rsidRDefault="008E6F64">
            <w:pPr>
              <w:pStyle w:val="2c"/>
              <w:framePr w:w="6576" w:wrap="notBeside" w:vAnchor="text" w:hAnchor="text" w:xAlign="center" w:y="1"/>
              <w:shd w:val="clear" w:color="auto" w:fill="auto"/>
              <w:spacing w:before="0" w:line="216" w:lineRule="exact"/>
            </w:pPr>
            <w:r>
              <w:rPr>
                <w:rStyle w:val="275pt0"/>
              </w:rPr>
              <w:t>дования</w:t>
            </w:r>
          </w:p>
        </w:tc>
        <w:tc>
          <w:tcPr>
            <w:tcW w:w="3826" w:type="dxa"/>
            <w:gridSpan w:val="3"/>
            <w:tcBorders>
              <w:top w:val="single" w:sz="4" w:space="0" w:color="auto"/>
              <w:left w:val="single" w:sz="4" w:space="0" w:color="auto"/>
            </w:tcBorders>
            <w:shd w:val="clear" w:color="auto" w:fill="FFFFFF"/>
            <w:vAlign w:val="center"/>
          </w:tcPr>
          <w:p w14:paraId="7CE7CD69" w14:textId="77777777" w:rsidR="00350D42" w:rsidRDefault="008E6F64">
            <w:pPr>
              <w:pStyle w:val="2c"/>
              <w:framePr w:w="6576" w:wrap="notBeside" w:vAnchor="text" w:hAnchor="text" w:xAlign="center" w:y="1"/>
              <w:shd w:val="clear" w:color="auto" w:fill="auto"/>
              <w:spacing w:before="0" w:line="168" w:lineRule="exact"/>
              <w:jc w:val="left"/>
            </w:pPr>
            <w:r>
              <w:rPr>
                <w:rStyle w:val="275pt0"/>
              </w:rPr>
              <w:t>Имеют неоднозначную репутацию</w:t>
            </w:r>
          </w:p>
        </w:tc>
        <w:tc>
          <w:tcPr>
            <w:tcW w:w="850" w:type="dxa"/>
            <w:tcBorders>
              <w:top w:val="single" w:sz="4" w:space="0" w:color="auto"/>
              <w:left w:val="single" w:sz="4" w:space="0" w:color="auto"/>
            </w:tcBorders>
            <w:shd w:val="clear" w:color="auto" w:fill="FFFFFF"/>
            <w:vAlign w:val="center"/>
          </w:tcPr>
          <w:p w14:paraId="63C0418F"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0</w:t>
            </w:r>
          </w:p>
        </w:tc>
        <w:tc>
          <w:tcPr>
            <w:tcW w:w="1042" w:type="dxa"/>
            <w:tcBorders>
              <w:top w:val="single" w:sz="4" w:space="0" w:color="auto"/>
              <w:left w:val="single" w:sz="4" w:space="0" w:color="auto"/>
              <w:right w:val="single" w:sz="4" w:space="0" w:color="auto"/>
            </w:tcBorders>
            <w:shd w:val="clear" w:color="auto" w:fill="FFFFFF"/>
            <w:vAlign w:val="center"/>
          </w:tcPr>
          <w:p w14:paraId="619FF412"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0,5</w:t>
            </w:r>
          </w:p>
        </w:tc>
      </w:tr>
      <w:tr w:rsidR="00350D42" w14:paraId="2900DA68" w14:textId="77777777">
        <w:trPr>
          <w:trHeight w:hRule="exact" w:val="523"/>
          <w:jc w:val="center"/>
        </w:trPr>
        <w:tc>
          <w:tcPr>
            <w:tcW w:w="859" w:type="dxa"/>
            <w:vMerge/>
            <w:tcBorders>
              <w:left w:val="single" w:sz="4" w:space="0" w:color="auto"/>
            </w:tcBorders>
            <w:shd w:val="clear" w:color="auto" w:fill="FFFFFF"/>
          </w:tcPr>
          <w:p w14:paraId="0D1AB32D" w14:textId="77777777" w:rsidR="00350D42" w:rsidRDefault="00350D42">
            <w:pPr>
              <w:framePr w:w="6576" w:wrap="notBeside" w:vAnchor="text" w:hAnchor="text" w:xAlign="center" w:y="1"/>
            </w:pPr>
          </w:p>
        </w:tc>
        <w:tc>
          <w:tcPr>
            <w:tcW w:w="792" w:type="dxa"/>
            <w:vMerge w:val="restart"/>
            <w:tcBorders>
              <w:top w:val="single" w:sz="4" w:space="0" w:color="auto"/>
              <w:left w:val="single" w:sz="4" w:space="0" w:color="auto"/>
            </w:tcBorders>
            <w:shd w:val="clear" w:color="auto" w:fill="FFFFFF"/>
            <w:vAlign w:val="center"/>
          </w:tcPr>
          <w:p w14:paraId="54586CE9" w14:textId="77777777" w:rsidR="00350D42" w:rsidRDefault="008E6F64">
            <w:pPr>
              <w:pStyle w:val="2c"/>
              <w:framePr w:w="6576" w:wrap="notBeside" w:vAnchor="text" w:hAnchor="text" w:xAlign="center" w:y="1"/>
              <w:shd w:val="clear" w:color="auto" w:fill="auto"/>
              <w:spacing w:before="0" w:line="216" w:lineRule="exact"/>
            </w:pPr>
            <w:r>
              <w:rPr>
                <w:rStyle w:val="275pt0"/>
              </w:rPr>
              <w:t>Имеют</w:t>
            </w:r>
          </w:p>
          <w:p w14:paraId="5F56FCE3" w14:textId="77777777" w:rsidR="00350D42" w:rsidRDefault="008E6F64">
            <w:pPr>
              <w:pStyle w:val="2c"/>
              <w:framePr w:w="6576" w:wrap="notBeside" w:vAnchor="text" w:hAnchor="text" w:xAlign="center" w:y="1"/>
              <w:shd w:val="clear" w:color="auto" w:fill="auto"/>
              <w:spacing w:before="0" w:line="216" w:lineRule="exact"/>
            </w:pPr>
            <w:r>
              <w:rPr>
                <w:rStyle w:val="275pt0"/>
              </w:rPr>
              <w:t>пози</w:t>
            </w:r>
            <w:r>
              <w:rPr>
                <w:rStyle w:val="275pt0"/>
              </w:rPr>
              <w:softHyphen/>
            </w:r>
          </w:p>
          <w:p w14:paraId="27306CEE" w14:textId="77777777" w:rsidR="00350D42" w:rsidRDefault="008E6F64">
            <w:pPr>
              <w:pStyle w:val="2c"/>
              <w:framePr w:w="6576" w:wrap="notBeside" w:vAnchor="text" w:hAnchor="text" w:xAlign="center" w:y="1"/>
              <w:shd w:val="clear" w:color="auto" w:fill="auto"/>
              <w:spacing w:before="0" w:line="216" w:lineRule="exact"/>
            </w:pPr>
            <w:r>
              <w:rPr>
                <w:rStyle w:val="275pt0"/>
              </w:rPr>
              <w:t>тивную</w:t>
            </w:r>
          </w:p>
          <w:p w14:paraId="07CF9F7C" w14:textId="77777777" w:rsidR="00350D42" w:rsidRDefault="008E6F64">
            <w:pPr>
              <w:pStyle w:val="2c"/>
              <w:framePr w:w="6576" w:wrap="notBeside" w:vAnchor="text" w:hAnchor="text" w:xAlign="center" w:y="1"/>
              <w:shd w:val="clear" w:color="auto" w:fill="auto"/>
              <w:spacing w:before="0" w:line="216" w:lineRule="exact"/>
            </w:pPr>
            <w:r>
              <w:rPr>
                <w:rStyle w:val="275pt0"/>
              </w:rPr>
              <w:t>репу</w:t>
            </w:r>
            <w:r>
              <w:rPr>
                <w:rStyle w:val="275pt0"/>
              </w:rPr>
              <w:softHyphen/>
            </w:r>
          </w:p>
          <w:p w14:paraId="4326144A" w14:textId="77777777" w:rsidR="00350D42" w:rsidRDefault="008E6F64">
            <w:pPr>
              <w:pStyle w:val="2c"/>
              <w:framePr w:w="6576" w:wrap="notBeside" w:vAnchor="text" w:hAnchor="text" w:xAlign="center" w:y="1"/>
              <w:shd w:val="clear" w:color="auto" w:fill="auto"/>
              <w:spacing w:before="0" w:line="216" w:lineRule="exact"/>
            </w:pPr>
            <w:r>
              <w:rPr>
                <w:rStyle w:val="275pt0"/>
              </w:rPr>
              <w:t>тацию</w:t>
            </w:r>
          </w:p>
          <w:p w14:paraId="26E53639" w14:textId="77777777" w:rsidR="00350D42" w:rsidRDefault="008E6F64">
            <w:pPr>
              <w:pStyle w:val="2c"/>
              <w:framePr w:w="6576" w:wrap="notBeside" w:vAnchor="text" w:hAnchor="text" w:xAlign="center" w:y="1"/>
              <w:shd w:val="clear" w:color="auto" w:fill="auto"/>
              <w:spacing w:before="0" w:line="216" w:lineRule="exact"/>
            </w:pPr>
            <w:r>
              <w:rPr>
                <w:rStyle w:val="275pt0"/>
              </w:rPr>
              <w:t>и явля</w:t>
            </w:r>
            <w:r>
              <w:rPr>
                <w:rStyle w:val="275pt0"/>
              </w:rPr>
              <w:softHyphen/>
              <w:t>ются:</w:t>
            </w:r>
          </w:p>
        </w:tc>
        <w:tc>
          <w:tcPr>
            <w:tcW w:w="3034" w:type="dxa"/>
            <w:gridSpan w:val="2"/>
            <w:tcBorders>
              <w:top w:val="single" w:sz="4" w:space="0" w:color="auto"/>
              <w:left w:val="single" w:sz="4" w:space="0" w:color="auto"/>
            </w:tcBorders>
            <w:shd w:val="clear" w:color="auto" w:fill="FFFFFF"/>
          </w:tcPr>
          <w:p w14:paraId="425DEC4B" w14:textId="77777777" w:rsidR="00350D42" w:rsidRDefault="008E6F64">
            <w:pPr>
              <w:pStyle w:val="2c"/>
              <w:framePr w:w="6576" w:wrap="notBeside" w:vAnchor="text" w:hAnchor="text" w:xAlign="center" w:y="1"/>
              <w:shd w:val="clear" w:color="auto" w:fill="auto"/>
              <w:spacing w:before="0" w:line="168" w:lineRule="exact"/>
            </w:pPr>
            <w:r>
              <w:rPr>
                <w:rStyle w:val="275pt0"/>
              </w:rPr>
              <w:t>относительно небольшими</w:t>
            </w:r>
          </w:p>
          <w:p w14:paraId="283ECCF1" w14:textId="77777777" w:rsidR="00350D42" w:rsidRDefault="008E6F64">
            <w:pPr>
              <w:pStyle w:val="2c"/>
              <w:framePr w:w="6576" w:wrap="notBeside" w:vAnchor="text" w:hAnchor="text" w:xAlign="center" w:y="1"/>
              <w:shd w:val="clear" w:color="auto" w:fill="auto"/>
              <w:spacing w:before="0" w:line="168" w:lineRule="exact"/>
            </w:pPr>
            <w:r>
              <w:rPr>
                <w:rStyle w:val="275pt0"/>
              </w:rPr>
              <w:t>и малоизвестными компаниями</w:t>
            </w:r>
          </w:p>
        </w:tc>
        <w:tc>
          <w:tcPr>
            <w:tcW w:w="850" w:type="dxa"/>
            <w:tcBorders>
              <w:top w:val="single" w:sz="4" w:space="0" w:color="auto"/>
              <w:left w:val="single" w:sz="4" w:space="0" w:color="auto"/>
            </w:tcBorders>
            <w:shd w:val="clear" w:color="auto" w:fill="FFFFFF"/>
          </w:tcPr>
          <w:p w14:paraId="0C490F46"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70</w:t>
            </w:r>
          </w:p>
        </w:tc>
        <w:tc>
          <w:tcPr>
            <w:tcW w:w="1042" w:type="dxa"/>
            <w:vMerge w:val="restart"/>
            <w:tcBorders>
              <w:top w:val="single" w:sz="4" w:space="0" w:color="auto"/>
              <w:left w:val="single" w:sz="4" w:space="0" w:color="auto"/>
              <w:right w:val="single" w:sz="4" w:space="0" w:color="auto"/>
            </w:tcBorders>
            <w:shd w:val="clear" w:color="auto" w:fill="FFFFFF"/>
          </w:tcPr>
          <w:p w14:paraId="69DB9C1C" w14:textId="77777777" w:rsidR="00350D42" w:rsidRDefault="00350D42">
            <w:pPr>
              <w:framePr w:w="6576" w:wrap="notBeside" w:vAnchor="text" w:hAnchor="text" w:xAlign="center" w:y="1"/>
              <w:rPr>
                <w:sz w:val="10"/>
                <w:szCs w:val="10"/>
              </w:rPr>
            </w:pPr>
          </w:p>
        </w:tc>
      </w:tr>
      <w:tr w:rsidR="00350D42" w14:paraId="6E30B72C" w14:textId="77777777">
        <w:trPr>
          <w:trHeight w:hRule="exact" w:val="523"/>
          <w:jc w:val="center"/>
        </w:trPr>
        <w:tc>
          <w:tcPr>
            <w:tcW w:w="859" w:type="dxa"/>
            <w:vMerge/>
            <w:tcBorders>
              <w:left w:val="single" w:sz="4" w:space="0" w:color="auto"/>
            </w:tcBorders>
            <w:shd w:val="clear" w:color="auto" w:fill="FFFFFF"/>
          </w:tcPr>
          <w:p w14:paraId="20C78167" w14:textId="77777777" w:rsidR="00350D42" w:rsidRDefault="00350D42">
            <w:pPr>
              <w:framePr w:w="6576" w:wrap="notBeside" w:vAnchor="text" w:hAnchor="text" w:xAlign="center" w:y="1"/>
            </w:pPr>
          </w:p>
        </w:tc>
        <w:tc>
          <w:tcPr>
            <w:tcW w:w="792" w:type="dxa"/>
            <w:vMerge/>
            <w:tcBorders>
              <w:left w:val="single" w:sz="4" w:space="0" w:color="auto"/>
            </w:tcBorders>
            <w:shd w:val="clear" w:color="auto" w:fill="FFFFFF"/>
            <w:vAlign w:val="center"/>
          </w:tcPr>
          <w:p w14:paraId="20BC1A0C" w14:textId="77777777" w:rsidR="00350D42" w:rsidRDefault="00350D42">
            <w:pPr>
              <w:framePr w:w="6576" w:wrap="notBeside" w:vAnchor="text" w:hAnchor="text" w:xAlign="center" w:y="1"/>
            </w:pPr>
          </w:p>
        </w:tc>
        <w:tc>
          <w:tcPr>
            <w:tcW w:w="3034" w:type="dxa"/>
            <w:gridSpan w:val="2"/>
            <w:tcBorders>
              <w:top w:val="single" w:sz="4" w:space="0" w:color="auto"/>
              <w:left w:val="single" w:sz="4" w:space="0" w:color="auto"/>
            </w:tcBorders>
            <w:shd w:val="clear" w:color="auto" w:fill="FFFFFF"/>
            <w:vAlign w:val="bottom"/>
          </w:tcPr>
          <w:p w14:paraId="6B3FF8BA" w14:textId="77777777" w:rsidR="00350D42" w:rsidRDefault="008E6F64">
            <w:pPr>
              <w:pStyle w:val="2c"/>
              <w:framePr w:w="6576" w:wrap="notBeside" w:vAnchor="text" w:hAnchor="text" w:xAlign="center" w:y="1"/>
              <w:shd w:val="clear" w:color="auto" w:fill="auto"/>
              <w:spacing w:before="0" w:line="216" w:lineRule="exact"/>
            </w:pPr>
            <w:r>
              <w:rPr>
                <w:rStyle w:val="275pt0"/>
              </w:rPr>
              <w:t>известными компаниями, работа</w:t>
            </w:r>
            <w:r>
              <w:rPr>
                <w:rStyle w:val="275pt0"/>
              </w:rPr>
              <w:softHyphen/>
              <w:t>ющими на отечественном рынке</w:t>
            </w:r>
          </w:p>
        </w:tc>
        <w:tc>
          <w:tcPr>
            <w:tcW w:w="850" w:type="dxa"/>
            <w:tcBorders>
              <w:top w:val="single" w:sz="4" w:space="0" w:color="auto"/>
              <w:left w:val="single" w:sz="4" w:space="0" w:color="auto"/>
            </w:tcBorders>
            <w:shd w:val="clear" w:color="auto" w:fill="FFFFFF"/>
          </w:tcPr>
          <w:p w14:paraId="1035E485"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85</w:t>
            </w:r>
          </w:p>
        </w:tc>
        <w:tc>
          <w:tcPr>
            <w:tcW w:w="1042" w:type="dxa"/>
            <w:vMerge/>
            <w:tcBorders>
              <w:left w:val="single" w:sz="4" w:space="0" w:color="auto"/>
              <w:right w:val="single" w:sz="4" w:space="0" w:color="auto"/>
            </w:tcBorders>
            <w:shd w:val="clear" w:color="auto" w:fill="FFFFFF"/>
          </w:tcPr>
          <w:p w14:paraId="7E8C79FC" w14:textId="77777777" w:rsidR="00350D42" w:rsidRDefault="00350D42">
            <w:pPr>
              <w:framePr w:w="6576" w:wrap="notBeside" w:vAnchor="text" w:hAnchor="text" w:xAlign="center" w:y="1"/>
            </w:pPr>
          </w:p>
        </w:tc>
      </w:tr>
      <w:tr w:rsidR="00350D42" w14:paraId="7F2D8CCD" w14:textId="77777777">
        <w:trPr>
          <w:trHeight w:hRule="exact" w:val="557"/>
          <w:jc w:val="center"/>
        </w:trPr>
        <w:tc>
          <w:tcPr>
            <w:tcW w:w="859" w:type="dxa"/>
            <w:vMerge/>
            <w:tcBorders>
              <w:left w:val="single" w:sz="4" w:space="0" w:color="auto"/>
            </w:tcBorders>
            <w:shd w:val="clear" w:color="auto" w:fill="FFFFFF"/>
          </w:tcPr>
          <w:p w14:paraId="5DF01249" w14:textId="77777777" w:rsidR="00350D42" w:rsidRDefault="00350D42">
            <w:pPr>
              <w:framePr w:w="6576" w:wrap="notBeside" w:vAnchor="text" w:hAnchor="text" w:xAlign="center" w:y="1"/>
            </w:pPr>
          </w:p>
        </w:tc>
        <w:tc>
          <w:tcPr>
            <w:tcW w:w="792" w:type="dxa"/>
            <w:vMerge/>
            <w:tcBorders>
              <w:left w:val="single" w:sz="4" w:space="0" w:color="auto"/>
            </w:tcBorders>
            <w:shd w:val="clear" w:color="auto" w:fill="FFFFFF"/>
            <w:vAlign w:val="center"/>
          </w:tcPr>
          <w:p w14:paraId="5DFA6BBC" w14:textId="77777777" w:rsidR="00350D42" w:rsidRDefault="00350D42">
            <w:pPr>
              <w:framePr w:w="6576" w:wrap="notBeside" w:vAnchor="text" w:hAnchor="text" w:xAlign="center" w:y="1"/>
            </w:pPr>
          </w:p>
        </w:tc>
        <w:tc>
          <w:tcPr>
            <w:tcW w:w="3034" w:type="dxa"/>
            <w:gridSpan w:val="2"/>
            <w:tcBorders>
              <w:top w:val="single" w:sz="4" w:space="0" w:color="auto"/>
              <w:left w:val="single" w:sz="4" w:space="0" w:color="auto"/>
            </w:tcBorders>
            <w:shd w:val="clear" w:color="auto" w:fill="FFFFFF"/>
            <w:vAlign w:val="center"/>
          </w:tcPr>
          <w:p w14:paraId="6B03F6BE" w14:textId="77777777" w:rsidR="00350D42" w:rsidRDefault="008E6F64">
            <w:pPr>
              <w:pStyle w:val="2c"/>
              <w:framePr w:w="6576" w:wrap="notBeside" w:vAnchor="text" w:hAnchor="text" w:xAlign="center" w:y="1"/>
              <w:shd w:val="clear" w:color="auto" w:fill="auto"/>
              <w:spacing w:before="0" w:line="216" w:lineRule="exact"/>
            </w:pPr>
            <w:r>
              <w:rPr>
                <w:rStyle w:val="275pt0"/>
              </w:rPr>
              <w:t>известными компаниями, работа</w:t>
            </w:r>
            <w:r>
              <w:rPr>
                <w:rStyle w:val="275pt0"/>
              </w:rPr>
              <w:softHyphen/>
              <w:t>ющими на международном рынке</w:t>
            </w:r>
          </w:p>
        </w:tc>
        <w:tc>
          <w:tcPr>
            <w:tcW w:w="850" w:type="dxa"/>
            <w:tcBorders>
              <w:top w:val="single" w:sz="4" w:space="0" w:color="auto"/>
              <w:left w:val="single" w:sz="4" w:space="0" w:color="auto"/>
            </w:tcBorders>
            <w:shd w:val="clear" w:color="auto" w:fill="FFFFFF"/>
            <w:vAlign w:val="center"/>
          </w:tcPr>
          <w:p w14:paraId="121DC300"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100</w:t>
            </w:r>
          </w:p>
        </w:tc>
        <w:tc>
          <w:tcPr>
            <w:tcW w:w="1042" w:type="dxa"/>
            <w:vMerge/>
            <w:tcBorders>
              <w:left w:val="single" w:sz="4" w:space="0" w:color="auto"/>
              <w:right w:val="single" w:sz="4" w:space="0" w:color="auto"/>
            </w:tcBorders>
            <w:shd w:val="clear" w:color="auto" w:fill="FFFFFF"/>
          </w:tcPr>
          <w:p w14:paraId="1ACE80BD" w14:textId="77777777" w:rsidR="00350D42" w:rsidRDefault="00350D42">
            <w:pPr>
              <w:framePr w:w="6576" w:wrap="notBeside" w:vAnchor="text" w:hAnchor="text" w:xAlign="center" w:y="1"/>
            </w:pPr>
          </w:p>
        </w:tc>
      </w:tr>
      <w:tr w:rsidR="00350D42" w14:paraId="794836C7" w14:textId="77777777">
        <w:trPr>
          <w:trHeight w:hRule="exact" w:val="523"/>
          <w:jc w:val="center"/>
        </w:trPr>
        <w:tc>
          <w:tcPr>
            <w:tcW w:w="859" w:type="dxa"/>
            <w:vMerge w:val="restart"/>
            <w:tcBorders>
              <w:top w:val="single" w:sz="4" w:space="0" w:color="auto"/>
              <w:left w:val="single" w:sz="4" w:space="0" w:color="auto"/>
            </w:tcBorders>
            <w:shd w:val="clear" w:color="auto" w:fill="FFFFFF"/>
            <w:vAlign w:val="center"/>
          </w:tcPr>
          <w:p w14:paraId="117F92E1" w14:textId="77777777" w:rsidR="00350D42" w:rsidRDefault="008E6F64">
            <w:pPr>
              <w:pStyle w:val="2c"/>
              <w:framePr w:w="6576" w:wrap="notBeside" w:vAnchor="text" w:hAnchor="text" w:xAlign="center" w:y="1"/>
              <w:shd w:val="clear" w:color="auto" w:fill="auto"/>
              <w:spacing w:before="0" w:line="216" w:lineRule="exact"/>
            </w:pPr>
            <w:r>
              <w:rPr>
                <w:rStyle w:val="275pt0"/>
              </w:rPr>
              <w:t>Объект</w:t>
            </w:r>
          </w:p>
          <w:p w14:paraId="663285B2" w14:textId="77777777" w:rsidR="00350D42" w:rsidRDefault="008E6F64">
            <w:pPr>
              <w:pStyle w:val="2c"/>
              <w:framePr w:w="6576" w:wrap="notBeside" w:vAnchor="text" w:hAnchor="text" w:xAlign="center" w:y="1"/>
              <w:shd w:val="clear" w:color="auto" w:fill="auto"/>
              <w:spacing w:before="0" w:line="216" w:lineRule="exact"/>
            </w:pPr>
            <w:r>
              <w:rPr>
                <w:rStyle w:val="275pt0"/>
              </w:rPr>
              <w:t>являет</w:t>
            </w:r>
            <w:r>
              <w:rPr>
                <w:rStyle w:val="275pt0"/>
              </w:rPr>
              <w:softHyphen/>
              <w:t>ся слож</w:t>
            </w:r>
            <w:r>
              <w:rPr>
                <w:rStyle w:val="275pt0"/>
              </w:rPr>
              <w:softHyphen/>
              <w:t>ным</w:t>
            </w:r>
          </w:p>
        </w:tc>
        <w:tc>
          <w:tcPr>
            <w:tcW w:w="3826" w:type="dxa"/>
            <w:gridSpan w:val="3"/>
            <w:tcBorders>
              <w:top w:val="single" w:sz="4" w:space="0" w:color="auto"/>
              <w:left w:val="single" w:sz="4" w:space="0" w:color="auto"/>
            </w:tcBorders>
            <w:shd w:val="clear" w:color="auto" w:fill="FFFFFF"/>
            <w:vAlign w:val="bottom"/>
          </w:tcPr>
          <w:p w14:paraId="3B3FF434" w14:textId="77777777" w:rsidR="00350D42" w:rsidRDefault="008E6F64">
            <w:pPr>
              <w:pStyle w:val="2c"/>
              <w:framePr w:w="6576" w:wrap="notBeside" w:vAnchor="text" w:hAnchor="text" w:xAlign="center" w:y="1"/>
              <w:shd w:val="clear" w:color="auto" w:fill="auto"/>
              <w:spacing w:before="0" w:line="216" w:lineRule="exact"/>
              <w:jc w:val="left"/>
            </w:pPr>
            <w:r>
              <w:rPr>
                <w:rStyle w:val="275pt0"/>
              </w:rPr>
              <w:t>Ключевой персонал с соответствующим опытом отсутствует</w:t>
            </w:r>
          </w:p>
        </w:tc>
        <w:tc>
          <w:tcPr>
            <w:tcW w:w="850" w:type="dxa"/>
            <w:tcBorders>
              <w:top w:val="single" w:sz="4" w:space="0" w:color="auto"/>
              <w:left w:val="single" w:sz="4" w:space="0" w:color="auto"/>
            </w:tcBorders>
            <w:shd w:val="clear" w:color="auto" w:fill="FFFFFF"/>
            <w:vAlign w:val="center"/>
          </w:tcPr>
          <w:p w14:paraId="1F883001"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0</w:t>
            </w:r>
          </w:p>
        </w:tc>
        <w:tc>
          <w:tcPr>
            <w:tcW w:w="1042" w:type="dxa"/>
            <w:vMerge w:val="restart"/>
            <w:tcBorders>
              <w:top w:val="single" w:sz="4" w:space="0" w:color="auto"/>
              <w:left w:val="single" w:sz="4" w:space="0" w:color="auto"/>
              <w:right w:val="single" w:sz="4" w:space="0" w:color="auto"/>
            </w:tcBorders>
            <w:shd w:val="clear" w:color="auto" w:fill="FFFFFF"/>
          </w:tcPr>
          <w:p w14:paraId="46A66A48"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0,2</w:t>
            </w:r>
          </w:p>
        </w:tc>
      </w:tr>
      <w:tr w:rsidR="00350D42" w14:paraId="13739188" w14:textId="77777777">
        <w:trPr>
          <w:trHeight w:hRule="exact" w:val="523"/>
          <w:jc w:val="center"/>
        </w:trPr>
        <w:tc>
          <w:tcPr>
            <w:tcW w:w="859" w:type="dxa"/>
            <w:vMerge/>
            <w:tcBorders>
              <w:left w:val="single" w:sz="4" w:space="0" w:color="auto"/>
            </w:tcBorders>
            <w:shd w:val="clear" w:color="auto" w:fill="FFFFFF"/>
            <w:vAlign w:val="center"/>
          </w:tcPr>
          <w:p w14:paraId="626A5C56" w14:textId="77777777" w:rsidR="00350D42" w:rsidRDefault="00350D42">
            <w:pPr>
              <w:framePr w:w="6576" w:wrap="notBeside" w:vAnchor="text" w:hAnchor="text" w:xAlign="center" w:y="1"/>
            </w:pPr>
          </w:p>
        </w:tc>
        <w:tc>
          <w:tcPr>
            <w:tcW w:w="3826" w:type="dxa"/>
            <w:gridSpan w:val="3"/>
            <w:tcBorders>
              <w:top w:val="single" w:sz="4" w:space="0" w:color="auto"/>
              <w:left w:val="single" w:sz="4" w:space="0" w:color="auto"/>
            </w:tcBorders>
            <w:shd w:val="clear" w:color="auto" w:fill="FFFFFF"/>
            <w:vAlign w:val="bottom"/>
          </w:tcPr>
          <w:p w14:paraId="25654CC0" w14:textId="77777777" w:rsidR="00350D42" w:rsidRDefault="008E6F64">
            <w:pPr>
              <w:pStyle w:val="2c"/>
              <w:framePr w:w="6576" w:wrap="notBeside" w:vAnchor="text" w:hAnchor="text" w:xAlign="center" w:y="1"/>
              <w:shd w:val="clear" w:color="auto" w:fill="auto"/>
              <w:spacing w:before="0" w:line="216" w:lineRule="exact"/>
              <w:jc w:val="left"/>
            </w:pPr>
            <w:r>
              <w:rPr>
                <w:rStyle w:val="275pt0"/>
              </w:rPr>
              <w:t>Ключевой персонал с соответствующим опытом привлечен</w:t>
            </w:r>
          </w:p>
        </w:tc>
        <w:tc>
          <w:tcPr>
            <w:tcW w:w="850" w:type="dxa"/>
            <w:tcBorders>
              <w:top w:val="single" w:sz="4" w:space="0" w:color="auto"/>
              <w:left w:val="single" w:sz="4" w:space="0" w:color="auto"/>
            </w:tcBorders>
            <w:shd w:val="clear" w:color="auto" w:fill="FFFFFF"/>
          </w:tcPr>
          <w:p w14:paraId="3A3E1EBE"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90</w:t>
            </w:r>
          </w:p>
        </w:tc>
        <w:tc>
          <w:tcPr>
            <w:tcW w:w="1042" w:type="dxa"/>
            <w:vMerge/>
            <w:tcBorders>
              <w:left w:val="single" w:sz="4" w:space="0" w:color="auto"/>
              <w:right w:val="single" w:sz="4" w:space="0" w:color="auto"/>
            </w:tcBorders>
            <w:shd w:val="clear" w:color="auto" w:fill="FFFFFF"/>
          </w:tcPr>
          <w:p w14:paraId="7C2E3350" w14:textId="77777777" w:rsidR="00350D42" w:rsidRDefault="00350D42">
            <w:pPr>
              <w:framePr w:w="6576" w:wrap="notBeside" w:vAnchor="text" w:hAnchor="text" w:xAlign="center" w:y="1"/>
            </w:pPr>
          </w:p>
        </w:tc>
      </w:tr>
      <w:tr w:rsidR="00350D42" w14:paraId="1B8F8E87" w14:textId="77777777">
        <w:trPr>
          <w:trHeight w:hRule="exact" w:val="538"/>
          <w:jc w:val="center"/>
        </w:trPr>
        <w:tc>
          <w:tcPr>
            <w:tcW w:w="4685" w:type="dxa"/>
            <w:gridSpan w:val="4"/>
            <w:tcBorders>
              <w:top w:val="single" w:sz="4" w:space="0" w:color="auto"/>
              <w:left w:val="single" w:sz="4" w:space="0" w:color="auto"/>
              <w:bottom w:val="single" w:sz="4" w:space="0" w:color="auto"/>
            </w:tcBorders>
            <w:shd w:val="clear" w:color="auto" w:fill="FFFFFF"/>
            <w:vAlign w:val="center"/>
          </w:tcPr>
          <w:p w14:paraId="53A2BF7C" w14:textId="77777777" w:rsidR="00350D42" w:rsidRDefault="008E6F64">
            <w:pPr>
              <w:pStyle w:val="2c"/>
              <w:framePr w:w="6576" w:wrap="notBeside" w:vAnchor="text" w:hAnchor="text" w:xAlign="center" w:y="1"/>
              <w:shd w:val="clear" w:color="auto" w:fill="auto"/>
              <w:spacing w:before="0" w:line="216" w:lineRule="exact"/>
            </w:pPr>
            <w:r>
              <w:rPr>
                <w:rStyle w:val="275pt0"/>
              </w:rPr>
              <w:t>Объект является относительно простым и не требует высокой квалификации персонала</w:t>
            </w:r>
          </w:p>
        </w:tc>
        <w:tc>
          <w:tcPr>
            <w:tcW w:w="850" w:type="dxa"/>
            <w:tcBorders>
              <w:top w:val="single" w:sz="4" w:space="0" w:color="auto"/>
              <w:left w:val="single" w:sz="4" w:space="0" w:color="auto"/>
              <w:bottom w:val="single" w:sz="4" w:space="0" w:color="auto"/>
            </w:tcBorders>
            <w:shd w:val="clear" w:color="auto" w:fill="FFFFFF"/>
            <w:vAlign w:val="center"/>
          </w:tcPr>
          <w:p w14:paraId="2598D0EA" w14:textId="77777777" w:rsidR="00350D42" w:rsidRDefault="008E6F64">
            <w:pPr>
              <w:pStyle w:val="2c"/>
              <w:framePr w:w="6576" w:wrap="notBeside" w:vAnchor="text" w:hAnchor="text" w:xAlign="center" w:y="1"/>
              <w:shd w:val="clear" w:color="auto" w:fill="auto"/>
              <w:spacing w:before="0" w:line="168" w:lineRule="exact"/>
              <w:jc w:val="center"/>
            </w:pPr>
            <w:r>
              <w:rPr>
                <w:rStyle w:val="275pt0"/>
              </w:rPr>
              <w:t>100</w:t>
            </w:r>
          </w:p>
        </w:tc>
        <w:tc>
          <w:tcPr>
            <w:tcW w:w="1042" w:type="dxa"/>
            <w:vMerge/>
            <w:tcBorders>
              <w:left w:val="single" w:sz="4" w:space="0" w:color="auto"/>
              <w:bottom w:val="single" w:sz="4" w:space="0" w:color="auto"/>
              <w:right w:val="single" w:sz="4" w:space="0" w:color="auto"/>
            </w:tcBorders>
            <w:shd w:val="clear" w:color="auto" w:fill="FFFFFF"/>
          </w:tcPr>
          <w:p w14:paraId="729364D1" w14:textId="77777777" w:rsidR="00350D42" w:rsidRDefault="00350D42">
            <w:pPr>
              <w:framePr w:w="6576" w:wrap="notBeside" w:vAnchor="text" w:hAnchor="text" w:xAlign="center" w:y="1"/>
            </w:pPr>
          </w:p>
        </w:tc>
      </w:tr>
    </w:tbl>
    <w:p w14:paraId="6D5B9A65" w14:textId="77777777" w:rsidR="00350D42" w:rsidRDefault="00350D42">
      <w:pPr>
        <w:framePr w:w="6576" w:wrap="notBeside" w:vAnchor="text" w:hAnchor="text" w:xAlign="center" w:y="1"/>
        <w:rPr>
          <w:sz w:val="2"/>
          <w:szCs w:val="2"/>
        </w:rPr>
      </w:pPr>
    </w:p>
    <w:p w14:paraId="6E3F0E39" w14:textId="77777777" w:rsidR="00350D42" w:rsidRDefault="00350D42">
      <w:pPr>
        <w:rPr>
          <w:sz w:val="2"/>
          <w:szCs w:val="2"/>
        </w:rPr>
      </w:pPr>
    </w:p>
    <w:p w14:paraId="04119287" w14:textId="77777777" w:rsidR="00350D42" w:rsidRDefault="008E6F64">
      <w:pPr>
        <w:pStyle w:val="2c"/>
        <w:shd w:val="clear" w:color="auto" w:fill="auto"/>
        <w:spacing w:before="0"/>
        <w:ind w:firstLine="320"/>
      </w:pPr>
      <w:r>
        <w:rPr>
          <w:rStyle w:val="2d"/>
        </w:rPr>
        <w:t xml:space="preserve">Дополнительным подтверждением соответствия оборудования паспортным характеристикам, а также возможности гарантийного и </w:t>
      </w:r>
      <w:r>
        <w:rPr>
          <w:rStyle w:val="2d"/>
        </w:rPr>
        <w:lastRenderedPageBreak/>
        <w:t>послегарантийного ремонта являются репутация и общий уро</w:t>
      </w:r>
      <w:r>
        <w:rPr>
          <w:rStyle w:val="2d"/>
        </w:rPr>
        <w:softHyphen/>
        <w:t>вень предприятия-производителя.</w:t>
      </w:r>
    </w:p>
    <w:p w14:paraId="312EF539" w14:textId="77777777" w:rsidR="00350D42" w:rsidRDefault="008E6F64">
      <w:pPr>
        <w:pStyle w:val="2c"/>
        <w:shd w:val="clear" w:color="auto" w:fill="auto"/>
        <w:spacing w:before="0"/>
        <w:ind w:firstLine="320"/>
      </w:pPr>
      <w:r>
        <w:rPr>
          <w:rStyle w:val="2d"/>
        </w:rPr>
        <w:t>Некоторые создаваемые объекты являются технически сложны</w:t>
      </w:r>
      <w:r>
        <w:rPr>
          <w:rStyle w:val="2d"/>
        </w:rPr>
        <w:softHyphen/>
        <w:t>ми (например, электростанция), для обеспечения их эксплуатации желательно привлечение ключевого персонала с соответствующим опытом еще на стадии строительства.</w:t>
      </w:r>
    </w:p>
    <w:p w14:paraId="71825DAD" w14:textId="77777777" w:rsidR="00350D42" w:rsidRDefault="008E6F64">
      <w:pPr>
        <w:pStyle w:val="2c"/>
        <w:shd w:val="clear" w:color="auto" w:fill="auto"/>
        <w:spacing w:before="0"/>
        <w:ind w:firstLine="320"/>
      </w:pPr>
      <w:r>
        <w:rPr>
          <w:rStyle w:val="2d"/>
        </w:rPr>
        <w:t>Для выбора соответствующего значения критерия могут учиты</w:t>
      </w:r>
      <w:r>
        <w:rPr>
          <w:rStyle w:val="2d"/>
        </w:rPr>
        <w:softHyphen/>
        <w:t>ваться:</w:t>
      </w:r>
    </w:p>
    <w:p w14:paraId="3150AB1D" w14:textId="77777777" w:rsidR="00350D42" w:rsidRDefault="008E6F64">
      <w:pPr>
        <w:pStyle w:val="2c"/>
        <w:numPr>
          <w:ilvl w:val="0"/>
          <w:numId w:val="162"/>
        </w:numPr>
        <w:shd w:val="clear" w:color="auto" w:fill="auto"/>
        <w:tabs>
          <w:tab w:val="left" w:pos="644"/>
        </w:tabs>
        <w:spacing w:before="0"/>
        <w:ind w:firstLine="320"/>
      </w:pPr>
      <w:r>
        <w:rPr>
          <w:rStyle w:val="2d"/>
        </w:rPr>
        <w:t>информация об аналогичных объектах (аналогичном обо</w:t>
      </w:r>
      <w:r>
        <w:rPr>
          <w:rStyle w:val="2d"/>
        </w:rPr>
        <w:softHyphen/>
        <w:t>рудовании) и их эксплуатационных характеристиках, полученная от проектной организации, найденная в Интернете и т. д.;</w:t>
      </w:r>
    </w:p>
    <w:p w14:paraId="7EC13559" w14:textId="77777777" w:rsidR="00350D42" w:rsidRDefault="008E6F64">
      <w:pPr>
        <w:pStyle w:val="2c"/>
        <w:numPr>
          <w:ilvl w:val="0"/>
          <w:numId w:val="162"/>
        </w:numPr>
        <w:shd w:val="clear" w:color="auto" w:fill="auto"/>
        <w:tabs>
          <w:tab w:val="left" w:pos="644"/>
        </w:tabs>
        <w:spacing w:before="0"/>
        <w:ind w:firstLine="320"/>
      </w:pPr>
      <w:r>
        <w:rPr>
          <w:rStyle w:val="2d"/>
        </w:rPr>
        <w:t>информация о поставщиках основного оборудования, пред</w:t>
      </w:r>
      <w:r>
        <w:rPr>
          <w:rStyle w:val="2d"/>
        </w:rPr>
        <w:softHyphen/>
        <w:t>ставленная на корпоративном сайте, в рекламных проспектах, най</w:t>
      </w:r>
      <w:r>
        <w:rPr>
          <w:rStyle w:val="2d"/>
        </w:rPr>
        <w:softHyphen/>
        <w:t>денная в Интернете.</w:t>
      </w:r>
    </w:p>
    <w:p w14:paraId="552891EA" w14:textId="77777777" w:rsidR="00350D42" w:rsidRDefault="008E6F64">
      <w:pPr>
        <w:pStyle w:val="180"/>
        <w:numPr>
          <w:ilvl w:val="0"/>
          <w:numId w:val="161"/>
        </w:numPr>
        <w:shd w:val="clear" w:color="auto" w:fill="auto"/>
        <w:tabs>
          <w:tab w:val="left" w:pos="644"/>
        </w:tabs>
        <w:spacing w:line="250" w:lineRule="exact"/>
        <w:ind w:firstLine="320"/>
        <w:jc w:val="both"/>
      </w:pPr>
      <w:r>
        <w:rPr>
          <w:rStyle w:val="181"/>
          <w:i/>
          <w:iCs/>
        </w:rPr>
        <w:t>Оценка фактора «политические риски».</w:t>
      </w:r>
    </w:p>
    <w:p w14:paraId="10729E25" w14:textId="77777777" w:rsidR="00350D42" w:rsidRDefault="008E6F64">
      <w:pPr>
        <w:pStyle w:val="2c"/>
        <w:shd w:val="clear" w:color="auto" w:fill="auto"/>
        <w:spacing w:before="0"/>
        <w:ind w:firstLine="320"/>
      </w:pPr>
      <w:r>
        <w:rPr>
          <w:rStyle w:val="2d"/>
        </w:rPr>
        <w:t>Ниже представлена табл. П.2.12, позволяющая нам оценить дан</w:t>
      </w:r>
      <w:r>
        <w:rPr>
          <w:rStyle w:val="2d"/>
        </w:rPr>
        <w:softHyphen/>
        <w:t>ный фактор.</w:t>
      </w:r>
    </w:p>
    <w:p w14:paraId="1829A6A5" w14:textId="77777777" w:rsidR="00350D42" w:rsidRDefault="008E6F64">
      <w:pPr>
        <w:pStyle w:val="190"/>
        <w:shd w:val="clear" w:color="auto" w:fill="auto"/>
      </w:pPr>
      <w:r>
        <w:rPr>
          <w:rStyle w:val="191"/>
          <w:i/>
          <w:iCs/>
        </w:rPr>
        <w:t>Таблица П.2.12</w:t>
      </w:r>
    </w:p>
    <w:p w14:paraId="10EABA12" w14:textId="77777777" w:rsidR="00350D42" w:rsidRDefault="008E6F64">
      <w:pPr>
        <w:pStyle w:val="3f2"/>
        <w:framePr w:w="6581" w:wrap="notBeside" w:vAnchor="text" w:hAnchor="text" w:xAlign="center" w:y="1"/>
        <w:shd w:val="clear" w:color="auto" w:fill="auto"/>
        <w:spacing w:line="194" w:lineRule="exact"/>
        <w:jc w:val="left"/>
      </w:pPr>
      <w:r>
        <w:rPr>
          <w:rStyle w:val="3f3"/>
          <w:b/>
          <w:bCs/>
        </w:rPr>
        <w:t>Оценка фактора «политические риски»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98"/>
        <w:gridCol w:w="782"/>
      </w:tblGrid>
      <w:tr w:rsidR="00350D42" w14:paraId="4F01D90A" w14:textId="77777777">
        <w:trPr>
          <w:trHeight w:hRule="exact" w:val="394"/>
          <w:jc w:val="center"/>
        </w:trPr>
        <w:tc>
          <w:tcPr>
            <w:tcW w:w="5798" w:type="dxa"/>
            <w:tcBorders>
              <w:top w:val="single" w:sz="4" w:space="0" w:color="auto"/>
              <w:left w:val="single" w:sz="4" w:space="0" w:color="auto"/>
            </w:tcBorders>
            <w:shd w:val="clear" w:color="auto" w:fill="FFFFFF"/>
            <w:vAlign w:val="center"/>
          </w:tcPr>
          <w:p w14:paraId="17F10BE0"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Показатель</w:t>
            </w:r>
          </w:p>
        </w:tc>
        <w:tc>
          <w:tcPr>
            <w:tcW w:w="782" w:type="dxa"/>
            <w:tcBorders>
              <w:top w:val="single" w:sz="4" w:space="0" w:color="auto"/>
              <w:left w:val="single" w:sz="4" w:space="0" w:color="auto"/>
              <w:right w:val="single" w:sz="4" w:space="0" w:color="auto"/>
            </w:tcBorders>
            <w:shd w:val="clear" w:color="auto" w:fill="FFFFFF"/>
            <w:vAlign w:val="center"/>
          </w:tcPr>
          <w:p w14:paraId="156140DB" w14:textId="77777777" w:rsidR="00350D42" w:rsidRDefault="008E6F64">
            <w:pPr>
              <w:pStyle w:val="2c"/>
              <w:framePr w:w="6581" w:wrap="notBeside" w:vAnchor="text" w:hAnchor="text" w:xAlign="center" w:y="1"/>
              <w:shd w:val="clear" w:color="auto" w:fill="auto"/>
              <w:spacing w:before="0" w:line="176" w:lineRule="exact"/>
              <w:ind w:left="140"/>
              <w:jc w:val="left"/>
            </w:pPr>
            <w:r>
              <w:rPr>
                <w:rStyle w:val="275pt"/>
              </w:rPr>
              <w:t>Баллы</w:t>
            </w:r>
          </w:p>
        </w:tc>
      </w:tr>
      <w:tr w:rsidR="00350D42" w14:paraId="0627C2EB" w14:textId="77777777">
        <w:trPr>
          <w:trHeight w:hRule="exact" w:val="605"/>
          <w:jc w:val="center"/>
        </w:trPr>
        <w:tc>
          <w:tcPr>
            <w:tcW w:w="5798" w:type="dxa"/>
            <w:tcBorders>
              <w:top w:val="single" w:sz="4" w:space="0" w:color="auto"/>
              <w:left w:val="single" w:sz="4" w:space="0" w:color="auto"/>
            </w:tcBorders>
            <w:shd w:val="clear" w:color="auto" w:fill="FFFFFF"/>
            <w:vAlign w:val="center"/>
          </w:tcPr>
          <w:p w14:paraId="14F0396A"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Степень влияния на проект изменения законодательства (налого</w:t>
            </w:r>
            <w:r>
              <w:rPr>
                <w:rStyle w:val="275pt0"/>
              </w:rPr>
              <w:softHyphen/>
              <w:t>вого, валютно-финансового, таможенного и т. д.)</w:t>
            </w:r>
          </w:p>
        </w:tc>
        <w:tc>
          <w:tcPr>
            <w:tcW w:w="782" w:type="dxa"/>
            <w:tcBorders>
              <w:top w:val="single" w:sz="4" w:space="0" w:color="auto"/>
              <w:left w:val="single" w:sz="4" w:space="0" w:color="auto"/>
              <w:right w:val="single" w:sz="4" w:space="0" w:color="auto"/>
            </w:tcBorders>
            <w:shd w:val="clear" w:color="auto" w:fill="FFFFFF"/>
          </w:tcPr>
          <w:p w14:paraId="5ED756BF" w14:textId="77777777" w:rsidR="00350D42" w:rsidRDefault="008E6F64">
            <w:pPr>
              <w:pStyle w:val="2c"/>
              <w:framePr w:w="6581" w:wrap="notBeside" w:vAnchor="text" w:hAnchor="text" w:xAlign="center" w:y="1"/>
              <w:shd w:val="clear" w:color="auto" w:fill="auto"/>
              <w:spacing w:before="0" w:line="168" w:lineRule="exact"/>
              <w:ind w:left="140"/>
              <w:jc w:val="left"/>
            </w:pPr>
            <w:r>
              <w:rPr>
                <w:rStyle w:val="275pt0"/>
              </w:rPr>
              <w:t>0—50</w:t>
            </w:r>
          </w:p>
        </w:tc>
      </w:tr>
      <w:tr w:rsidR="00350D42" w14:paraId="3B67FF5D" w14:textId="77777777">
        <w:trPr>
          <w:trHeight w:hRule="exact" w:val="610"/>
          <w:jc w:val="center"/>
        </w:trPr>
        <w:tc>
          <w:tcPr>
            <w:tcW w:w="5798" w:type="dxa"/>
            <w:tcBorders>
              <w:top w:val="single" w:sz="4" w:space="0" w:color="auto"/>
              <w:left w:val="single" w:sz="4" w:space="0" w:color="auto"/>
            </w:tcBorders>
            <w:shd w:val="clear" w:color="auto" w:fill="FFFFFF"/>
            <w:vAlign w:val="center"/>
          </w:tcPr>
          <w:p w14:paraId="3E6D6991"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Степень влияния на проект социальной обстановки (забастовки, социальные волнения и т. д.)</w:t>
            </w:r>
          </w:p>
        </w:tc>
        <w:tc>
          <w:tcPr>
            <w:tcW w:w="782" w:type="dxa"/>
            <w:tcBorders>
              <w:top w:val="single" w:sz="4" w:space="0" w:color="auto"/>
              <w:left w:val="single" w:sz="4" w:space="0" w:color="auto"/>
              <w:right w:val="single" w:sz="4" w:space="0" w:color="auto"/>
            </w:tcBorders>
            <w:shd w:val="clear" w:color="auto" w:fill="FFFFFF"/>
          </w:tcPr>
          <w:p w14:paraId="0677C25C" w14:textId="77777777" w:rsidR="00350D42" w:rsidRDefault="008E6F64">
            <w:pPr>
              <w:pStyle w:val="2c"/>
              <w:framePr w:w="6581" w:wrap="notBeside" w:vAnchor="text" w:hAnchor="text" w:xAlign="center" w:y="1"/>
              <w:shd w:val="clear" w:color="auto" w:fill="auto"/>
              <w:spacing w:before="0" w:line="168" w:lineRule="exact"/>
              <w:ind w:left="140"/>
              <w:jc w:val="left"/>
            </w:pPr>
            <w:r>
              <w:rPr>
                <w:rStyle w:val="275pt0"/>
              </w:rPr>
              <w:t>0—30</w:t>
            </w:r>
          </w:p>
        </w:tc>
      </w:tr>
      <w:tr w:rsidR="00350D42" w14:paraId="745A2501" w14:textId="77777777">
        <w:trPr>
          <w:trHeight w:hRule="exact" w:val="394"/>
          <w:jc w:val="center"/>
        </w:trPr>
        <w:tc>
          <w:tcPr>
            <w:tcW w:w="5798" w:type="dxa"/>
            <w:tcBorders>
              <w:top w:val="single" w:sz="4" w:space="0" w:color="auto"/>
              <w:left w:val="single" w:sz="4" w:space="0" w:color="auto"/>
              <w:bottom w:val="single" w:sz="4" w:space="0" w:color="auto"/>
            </w:tcBorders>
            <w:shd w:val="clear" w:color="auto" w:fill="FFFFFF"/>
            <w:vAlign w:val="center"/>
          </w:tcPr>
          <w:p w14:paraId="1FBC789D"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Степень влияния на проект экономических и таможенных блокад</w:t>
            </w: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C6BF31B" w14:textId="77777777" w:rsidR="00350D42" w:rsidRDefault="008E6F64">
            <w:pPr>
              <w:pStyle w:val="2c"/>
              <w:framePr w:w="6581" w:wrap="notBeside" w:vAnchor="text" w:hAnchor="text" w:xAlign="center" w:y="1"/>
              <w:shd w:val="clear" w:color="auto" w:fill="auto"/>
              <w:spacing w:before="0" w:line="168" w:lineRule="exact"/>
              <w:ind w:left="140"/>
              <w:jc w:val="left"/>
            </w:pPr>
            <w:r>
              <w:rPr>
                <w:rStyle w:val="275pt0"/>
              </w:rPr>
              <w:t>0—20</w:t>
            </w:r>
          </w:p>
        </w:tc>
      </w:tr>
    </w:tbl>
    <w:p w14:paraId="414A7B2B" w14:textId="77777777" w:rsidR="00350D42" w:rsidRDefault="00350D42">
      <w:pPr>
        <w:framePr w:w="6581" w:wrap="notBeside" w:vAnchor="text" w:hAnchor="text" w:xAlign="center" w:y="1"/>
        <w:rPr>
          <w:sz w:val="2"/>
          <w:szCs w:val="2"/>
        </w:rPr>
      </w:pPr>
    </w:p>
    <w:p w14:paraId="6163F85C" w14:textId="77777777" w:rsidR="00350D42" w:rsidRDefault="00350D42">
      <w:pPr>
        <w:rPr>
          <w:sz w:val="2"/>
          <w:szCs w:val="2"/>
        </w:rPr>
      </w:pPr>
    </w:p>
    <w:p w14:paraId="533BD629" w14:textId="77777777" w:rsidR="00350D42" w:rsidRDefault="008E6F64">
      <w:pPr>
        <w:pStyle w:val="180"/>
        <w:numPr>
          <w:ilvl w:val="0"/>
          <w:numId w:val="161"/>
        </w:numPr>
        <w:shd w:val="clear" w:color="auto" w:fill="auto"/>
        <w:tabs>
          <w:tab w:val="left" w:pos="644"/>
        </w:tabs>
        <w:spacing w:before="94" w:line="250" w:lineRule="exact"/>
        <w:ind w:firstLine="320"/>
        <w:jc w:val="both"/>
      </w:pPr>
      <w:r>
        <w:rPr>
          <w:rStyle w:val="181"/>
          <w:i/>
          <w:iCs/>
        </w:rPr>
        <w:t>Оценка фактора «прочие риски».</w:t>
      </w:r>
    </w:p>
    <w:p w14:paraId="3993BC96" w14:textId="77777777" w:rsidR="00350D42" w:rsidRDefault="008E6F64">
      <w:pPr>
        <w:pStyle w:val="2c"/>
        <w:shd w:val="clear" w:color="auto" w:fill="auto"/>
        <w:spacing w:before="0"/>
        <w:ind w:firstLine="320"/>
      </w:pPr>
      <w:r>
        <w:rPr>
          <w:rStyle w:val="2d"/>
        </w:rPr>
        <w:t>Ниже представлена табл. П.2.13, позволяющая нам оценить дан</w:t>
      </w:r>
      <w:r>
        <w:rPr>
          <w:rStyle w:val="2d"/>
        </w:rPr>
        <w:softHyphen/>
        <w:t>ный фактор.</w:t>
      </w:r>
    </w:p>
    <w:p w14:paraId="73B68A39" w14:textId="77777777" w:rsidR="00350D42" w:rsidRDefault="008E6F64">
      <w:pPr>
        <w:pStyle w:val="190"/>
        <w:shd w:val="clear" w:color="auto" w:fill="auto"/>
      </w:pPr>
      <w:r>
        <w:rPr>
          <w:rStyle w:val="191"/>
          <w:i/>
          <w:iCs/>
        </w:rPr>
        <w:t>Таблица П.2.13</w:t>
      </w:r>
    </w:p>
    <w:p w14:paraId="3CE1B4B4" w14:textId="77777777" w:rsidR="00350D42" w:rsidRDefault="008E6F64">
      <w:pPr>
        <w:pStyle w:val="3f2"/>
        <w:framePr w:w="6581" w:wrap="notBeside" w:vAnchor="text" w:hAnchor="text" w:xAlign="center" w:y="1"/>
        <w:shd w:val="clear" w:color="auto" w:fill="auto"/>
        <w:spacing w:line="194" w:lineRule="exact"/>
        <w:jc w:val="left"/>
      </w:pPr>
      <w:r>
        <w:rPr>
          <w:rStyle w:val="3f3"/>
          <w:b/>
          <w:bCs/>
        </w:rPr>
        <w:t>Оценка фактора «прочие риски»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90"/>
        <w:gridCol w:w="835"/>
        <w:gridCol w:w="1056"/>
      </w:tblGrid>
      <w:tr w:rsidR="00350D42" w14:paraId="14CE2A5A" w14:textId="77777777">
        <w:trPr>
          <w:trHeight w:hRule="exact" w:val="768"/>
          <w:jc w:val="center"/>
        </w:trPr>
        <w:tc>
          <w:tcPr>
            <w:tcW w:w="4690" w:type="dxa"/>
            <w:tcBorders>
              <w:top w:val="single" w:sz="4" w:space="0" w:color="auto"/>
              <w:left w:val="single" w:sz="4" w:space="0" w:color="auto"/>
            </w:tcBorders>
            <w:shd w:val="clear" w:color="auto" w:fill="FFFFFF"/>
          </w:tcPr>
          <w:p w14:paraId="39DE2AF1"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Показатели по подгруппам</w:t>
            </w:r>
          </w:p>
        </w:tc>
        <w:tc>
          <w:tcPr>
            <w:tcW w:w="835" w:type="dxa"/>
            <w:tcBorders>
              <w:top w:val="single" w:sz="4" w:space="0" w:color="auto"/>
              <w:left w:val="single" w:sz="4" w:space="0" w:color="auto"/>
            </w:tcBorders>
            <w:shd w:val="clear" w:color="auto" w:fill="FFFFFF"/>
            <w:vAlign w:val="bottom"/>
          </w:tcPr>
          <w:p w14:paraId="1B223951" w14:textId="77777777" w:rsidR="00350D42" w:rsidRDefault="008E6F64">
            <w:pPr>
              <w:pStyle w:val="2c"/>
              <w:framePr w:w="6581" w:wrap="notBeside" w:vAnchor="text" w:hAnchor="text" w:xAlign="center" w:y="1"/>
              <w:shd w:val="clear" w:color="auto" w:fill="auto"/>
              <w:spacing w:before="0" w:line="221" w:lineRule="exact"/>
            </w:pPr>
            <w:r>
              <w:rPr>
                <w:rStyle w:val="275pt"/>
              </w:rPr>
              <w:t>Баллы</w:t>
            </w:r>
          </w:p>
          <w:p w14:paraId="0AFDA322" w14:textId="77777777" w:rsidR="00350D42" w:rsidRDefault="008E6F64">
            <w:pPr>
              <w:pStyle w:val="2c"/>
              <w:framePr w:w="6581" w:wrap="notBeside" w:vAnchor="text" w:hAnchor="text" w:xAlign="center" w:y="1"/>
              <w:shd w:val="clear" w:color="auto" w:fill="auto"/>
              <w:spacing w:before="0" w:line="221" w:lineRule="exact"/>
            </w:pPr>
            <w:r>
              <w:rPr>
                <w:rStyle w:val="275pt"/>
              </w:rPr>
              <w:t>по под</w:t>
            </w:r>
            <w:r>
              <w:rPr>
                <w:rStyle w:val="275pt"/>
              </w:rPr>
              <w:softHyphen/>
              <w:t>группе</w:t>
            </w:r>
          </w:p>
        </w:tc>
        <w:tc>
          <w:tcPr>
            <w:tcW w:w="1056" w:type="dxa"/>
            <w:tcBorders>
              <w:top w:val="single" w:sz="4" w:space="0" w:color="auto"/>
              <w:left w:val="single" w:sz="4" w:space="0" w:color="auto"/>
              <w:right w:val="single" w:sz="4" w:space="0" w:color="auto"/>
            </w:tcBorders>
            <w:shd w:val="clear" w:color="auto" w:fill="FFFFFF"/>
            <w:vAlign w:val="bottom"/>
          </w:tcPr>
          <w:p w14:paraId="3F680680" w14:textId="77777777" w:rsidR="00350D42" w:rsidRDefault="008E6F64">
            <w:pPr>
              <w:pStyle w:val="2c"/>
              <w:framePr w:w="6581" w:wrap="notBeside" w:vAnchor="text" w:hAnchor="text" w:xAlign="center" w:y="1"/>
              <w:shd w:val="clear" w:color="auto" w:fill="auto"/>
              <w:spacing w:before="0" w:line="221" w:lineRule="exact"/>
              <w:ind w:left="180" w:hanging="180"/>
              <w:jc w:val="left"/>
            </w:pPr>
            <w:r>
              <w:rPr>
                <w:rStyle w:val="275pt"/>
              </w:rPr>
              <w:t>Удельный вес под</w:t>
            </w:r>
            <w:r>
              <w:rPr>
                <w:rStyle w:val="275pt"/>
              </w:rPr>
              <w:softHyphen/>
              <w:t>группы</w:t>
            </w:r>
          </w:p>
        </w:tc>
      </w:tr>
      <w:tr w:rsidR="00350D42" w14:paraId="0E6511B0" w14:textId="77777777">
        <w:trPr>
          <w:trHeight w:hRule="exact" w:val="547"/>
          <w:jc w:val="center"/>
        </w:trPr>
        <w:tc>
          <w:tcPr>
            <w:tcW w:w="4690" w:type="dxa"/>
            <w:tcBorders>
              <w:top w:val="single" w:sz="4" w:space="0" w:color="auto"/>
              <w:left w:val="single" w:sz="4" w:space="0" w:color="auto"/>
            </w:tcBorders>
            <w:shd w:val="clear" w:color="auto" w:fill="FFFFFF"/>
            <w:vAlign w:val="bottom"/>
          </w:tcPr>
          <w:p w14:paraId="443B8DF8" w14:textId="77777777" w:rsidR="00350D42" w:rsidRDefault="008E6F64">
            <w:pPr>
              <w:pStyle w:val="2c"/>
              <w:framePr w:w="6581" w:wrap="notBeside" w:vAnchor="text" w:hAnchor="text" w:xAlign="center" w:y="1"/>
              <w:shd w:val="clear" w:color="auto" w:fill="auto"/>
              <w:spacing w:before="0" w:line="221" w:lineRule="exact"/>
            </w:pPr>
            <w:r>
              <w:rPr>
                <w:rStyle w:val="275pt0"/>
              </w:rPr>
              <w:t>Менее 70 % капитальных вложений осуществляются в валюте кредита</w:t>
            </w:r>
          </w:p>
        </w:tc>
        <w:tc>
          <w:tcPr>
            <w:tcW w:w="835" w:type="dxa"/>
            <w:tcBorders>
              <w:top w:val="single" w:sz="4" w:space="0" w:color="auto"/>
              <w:left w:val="single" w:sz="4" w:space="0" w:color="auto"/>
            </w:tcBorders>
            <w:shd w:val="clear" w:color="auto" w:fill="FFFFFF"/>
          </w:tcPr>
          <w:p w14:paraId="3BC243AD"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c>
          <w:tcPr>
            <w:tcW w:w="1056" w:type="dxa"/>
            <w:vMerge w:val="restart"/>
            <w:tcBorders>
              <w:top w:val="single" w:sz="4" w:space="0" w:color="auto"/>
              <w:left w:val="single" w:sz="4" w:space="0" w:color="auto"/>
              <w:right w:val="single" w:sz="4" w:space="0" w:color="auto"/>
            </w:tcBorders>
            <w:shd w:val="clear" w:color="auto" w:fill="FFFFFF"/>
          </w:tcPr>
          <w:p w14:paraId="26AB22D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34C3B97D" w14:textId="77777777">
        <w:trPr>
          <w:trHeight w:hRule="exact" w:val="547"/>
          <w:jc w:val="center"/>
        </w:trPr>
        <w:tc>
          <w:tcPr>
            <w:tcW w:w="4690" w:type="dxa"/>
            <w:tcBorders>
              <w:top w:val="single" w:sz="4" w:space="0" w:color="auto"/>
              <w:left w:val="single" w:sz="4" w:space="0" w:color="auto"/>
            </w:tcBorders>
            <w:shd w:val="clear" w:color="auto" w:fill="FFFFFF"/>
            <w:vAlign w:val="bottom"/>
          </w:tcPr>
          <w:p w14:paraId="56645684" w14:textId="77777777" w:rsidR="00350D42" w:rsidRDefault="008E6F64">
            <w:pPr>
              <w:pStyle w:val="2c"/>
              <w:framePr w:w="6581" w:wrap="notBeside" w:vAnchor="text" w:hAnchor="text" w:xAlign="center" w:y="1"/>
              <w:shd w:val="clear" w:color="auto" w:fill="auto"/>
              <w:spacing w:before="0" w:line="221" w:lineRule="exact"/>
            </w:pPr>
            <w:r>
              <w:rPr>
                <w:rStyle w:val="275pt0"/>
              </w:rPr>
              <w:t>Более 70 % капитальных вложений осуществляются в валюте кредита</w:t>
            </w:r>
          </w:p>
        </w:tc>
        <w:tc>
          <w:tcPr>
            <w:tcW w:w="835" w:type="dxa"/>
            <w:tcBorders>
              <w:top w:val="single" w:sz="4" w:space="0" w:color="auto"/>
              <w:left w:val="single" w:sz="4" w:space="0" w:color="auto"/>
            </w:tcBorders>
            <w:shd w:val="clear" w:color="auto" w:fill="FFFFFF"/>
          </w:tcPr>
          <w:p w14:paraId="6257EE0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85</w:t>
            </w:r>
          </w:p>
        </w:tc>
        <w:tc>
          <w:tcPr>
            <w:tcW w:w="1056" w:type="dxa"/>
            <w:vMerge/>
            <w:tcBorders>
              <w:left w:val="single" w:sz="4" w:space="0" w:color="auto"/>
              <w:right w:val="single" w:sz="4" w:space="0" w:color="auto"/>
            </w:tcBorders>
            <w:shd w:val="clear" w:color="auto" w:fill="FFFFFF"/>
          </w:tcPr>
          <w:p w14:paraId="625367D8" w14:textId="77777777" w:rsidR="00350D42" w:rsidRDefault="00350D42">
            <w:pPr>
              <w:framePr w:w="6581" w:wrap="notBeside" w:vAnchor="text" w:hAnchor="text" w:xAlign="center" w:y="1"/>
            </w:pPr>
          </w:p>
        </w:tc>
      </w:tr>
      <w:tr w:rsidR="00350D42" w14:paraId="0E1A706C" w14:textId="77777777">
        <w:trPr>
          <w:trHeight w:hRule="exact" w:val="475"/>
          <w:jc w:val="center"/>
        </w:trPr>
        <w:tc>
          <w:tcPr>
            <w:tcW w:w="4690" w:type="dxa"/>
            <w:tcBorders>
              <w:top w:val="single" w:sz="4" w:space="0" w:color="auto"/>
              <w:left w:val="single" w:sz="4" w:space="0" w:color="auto"/>
              <w:bottom w:val="single" w:sz="4" w:space="0" w:color="auto"/>
            </w:tcBorders>
            <w:shd w:val="clear" w:color="auto" w:fill="FFFFFF"/>
            <w:vAlign w:val="center"/>
          </w:tcPr>
          <w:p w14:paraId="53AFB917"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Капитальные вложения и валюта кредита совпадают</w:t>
            </w:r>
          </w:p>
        </w:tc>
        <w:tc>
          <w:tcPr>
            <w:tcW w:w="835" w:type="dxa"/>
            <w:tcBorders>
              <w:top w:val="single" w:sz="4" w:space="0" w:color="auto"/>
              <w:left w:val="single" w:sz="4" w:space="0" w:color="auto"/>
              <w:bottom w:val="single" w:sz="4" w:space="0" w:color="auto"/>
            </w:tcBorders>
            <w:shd w:val="clear" w:color="auto" w:fill="FFFFFF"/>
            <w:vAlign w:val="center"/>
          </w:tcPr>
          <w:p w14:paraId="175C888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056" w:type="dxa"/>
            <w:vMerge/>
            <w:tcBorders>
              <w:left w:val="single" w:sz="4" w:space="0" w:color="auto"/>
              <w:bottom w:val="single" w:sz="4" w:space="0" w:color="auto"/>
              <w:right w:val="single" w:sz="4" w:space="0" w:color="auto"/>
            </w:tcBorders>
            <w:shd w:val="clear" w:color="auto" w:fill="FFFFFF"/>
          </w:tcPr>
          <w:p w14:paraId="53EEE029" w14:textId="77777777" w:rsidR="00350D42" w:rsidRDefault="00350D42">
            <w:pPr>
              <w:framePr w:w="6581" w:wrap="notBeside" w:vAnchor="text" w:hAnchor="text" w:xAlign="center" w:y="1"/>
            </w:pPr>
          </w:p>
        </w:tc>
      </w:tr>
    </w:tbl>
    <w:p w14:paraId="27578573" w14:textId="77777777" w:rsidR="00350D42" w:rsidRDefault="00350D42">
      <w:pPr>
        <w:framePr w:w="6581" w:wrap="notBeside" w:vAnchor="text" w:hAnchor="text" w:xAlign="center" w:y="1"/>
        <w:rPr>
          <w:sz w:val="2"/>
          <w:szCs w:val="2"/>
        </w:rPr>
      </w:pPr>
    </w:p>
    <w:p w14:paraId="63A758AE" w14:textId="77777777" w:rsidR="00350D42" w:rsidRDefault="00350D42">
      <w:pPr>
        <w:rPr>
          <w:sz w:val="2"/>
          <w:szCs w:val="2"/>
        </w:rPr>
      </w:pPr>
    </w:p>
    <w:p w14:paraId="2601E520" w14:textId="77777777" w:rsidR="00350D42" w:rsidRDefault="00350D42">
      <w:pPr>
        <w:rPr>
          <w:sz w:val="2"/>
          <w:szCs w:val="2"/>
        </w:rPr>
        <w:sectPr w:rsidR="00350D42">
          <w:pgSz w:w="8789" w:h="13493"/>
          <w:pgMar w:top="889" w:right="1080" w:bottom="1143" w:left="107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690"/>
        <w:gridCol w:w="835"/>
        <w:gridCol w:w="1056"/>
      </w:tblGrid>
      <w:tr w:rsidR="00350D42" w14:paraId="358ED0F2" w14:textId="77777777">
        <w:trPr>
          <w:trHeight w:hRule="exact" w:val="773"/>
          <w:jc w:val="center"/>
        </w:trPr>
        <w:tc>
          <w:tcPr>
            <w:tcW w:w="4690" w:type="dxa"/>
            <w:tcBorders>
              <w:top w:val="single" w:sz="4" w:space="0" w:color="auto"/>
              <w:left w:val="single" w:sz="4" w:space="0" w:color="auto"/>
            </w:tcBorders>
            <w:shd w:val="clear" w:color="auto" w:fill="FFFFFF"/>
          </w:tcPr>
          <w:p w14:paraId="31BFD544"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lastRenderedPageBreak/>
              <w:t>Показатели по подгруппам</w:t>
            </w:r>
          </w:p>
        </w:tc>
        <w:tc>
          <w:tcPr>
            <w:tcW w:w="835" w:type="dxa"/>
            <w:tcBorders>
              <w:top w:val="single" w:sz="4" w:space="0" w:color="auto"/>
              <w:left w:val="single" w:sz="4" w:space="0" w:color="auto"/>
            </w:tcBorders>
            <w:shd w:val="clear" w:color="auto" w:fill="FFFFFF"/>
            <w:vAlign w:val="bottom"/>
          </w:tcPr>
          <w:p w14:paraId="276566F9" w14:textId="77777777" w:rsidR="00350D42" w:rsidRDefault="008E6F64">
            <w:pPr>
              <w:pStyle w:val="2c"/>
              <w:framePr w:w="6581" w:wrap="notBeside" w:vAnchor="text" w:hAnchor="text" w:xAlign="center" w:y="1"/>
              <w:shd w:val="clear" w:color="auto" w:fill="auto"/>
              <w:spacing w:before="0" w:line="216" w:lineRule="exact"/>
            </w:pPr>
            <w:r>
              <w:rPr>
                <w:rStyle w:val="275pt"/>
              </w:rPr>
              <w:t>Баллы</w:t>
            </w:r>
          </w:p>
          <w:p w14:paraId="782C2D0E" w14:textId="77777777" w:rsidR="00350D42" w:rsidRDefault="008E6F64">
            <w:pPr>
              <w:pStyle w:val="2c"/>
              <w:framePr w:w="6581" w:wrap="notBeside" w:vAnchor="text" w:hAnchor="text" w:xAlign="center" w:y="1"/>
              <w:shd w:val="clear" w:color="auto" w:fill="auto"/>
              <w:spacing w:before="0" w:line="216" w:lineRule="exact"/>
            </w:pPr>
            <w:r>
              <w:rPr>
                <w:rStyle w:val="275pt"/>
              </w:rPr>
              <w:t>по под</w:t>
            </w:r>
            <w:r>
              <w:rPr>
                <w:rStyle w:val="275pt"/>
              </w:rPr>
              <w:softHyphen/>
              <w:t>группе</w:t>
            </w:r>
          </w:p>
        </w:tc>
        <w:tc>
          <w:tcPr>
            <w:tcW w:w="1056" w:type="dxa"/>
            <w:tcBorders>
              <w:top w:val="single" w:sz="4" w:space="0" w:color="auto"/>
              <w:left w:val="single" w:sz="4" w:space="0" w:color="auto"/>
              <w:right w:val="single" w:sz="4" w:space="0" w:color="auto"/>
            </w:tcBorders>
            <w:shd w:val="clear" w:color="auto" w:fill="FFFFFF"/>
            <w:vAlign w:val="bottom"/>
          </w:tcPr>
          <w:p w14:paraId="51C960AE" w14:textId="77777777" w:rsidR="00350D42" w:rsidRDefault="008E6F64">
            <w:pPr>
              <w:pStyle w:val="2c"/>
              <w:framePr w:w="6581" w:wrap="notBeside" w:vAnchor="text" w:hAnchor="text" w:xAlign="center" w:y="1"/>
              <w:shd w:val="clear" w:color="auto" w:fill="auto"/>
              <w:spacing w:before="0" w:line="216" w:lineRule="exact"/>
              <w:ind w:left="180" w:hanging="180"/>
              <w:jc w:val="left"/>
            </w:pPr>
            <w:r>
              <w:rPr>
                <w:rStyle w:val="275pt"/>
              </w:rPr>
              <w:t>Удельный вес под</w:t>
            </w:r>
            <w:r>
              <w:rPr>
                <w:rStyle w:val="275pt"/>
              </w:rPr>
              <w:softHyphen/>
              <w:t>группы</w:t>
            </w:r>
          </w:p>
        </w:tc>
      </w:tr>
      <w:tr w:rsidR="00350D42" w14:paraId="0735B081" w14:textId="77777777">
        <w:trPr>
          <w:trHeight w:hRule="exact" w:val="326"/>
          <w:jc w:val="center"/>
        </w:trPr>
        <w:tc>
          <w:tcPr>
            <w:tcW w:w="4690" w:type="dxa"/>
            <w:tcBorders>
              <w:top w:val="single" w:sz="4" w:space="0" w:color="auto"/>
              <w:left w:val="single" w:sz="4" w:space="0" w:color="auto"/>
            </w:tcBorders>
            <w:shd w:val="clear" w:color="auto" w:fill="FFFFFF"/>
            <w:vAlign w:val="bottom"/>
          </w:tcPr>
          <w:p w14:paraId="42F2B6A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Менее 70 % продукции реализуется в валюте кредита</w:t>
            </w:r>
          </w:p>
        </w:tc>
        <w:tc>
          <w:tcPr>
            <w:tcW w:w="835" w:type="dxa"/>
            <w:tcBorders>
              <w:top w:val="single" w:sz="4" w:space="0" w:color="auto"/>
              <w:left w:val="single" w:sz="4" w:space="0" w:color="auto"/>
            </w:tcBorders>
            <w:shd w:val="clear" w:color="auto" w:fill="FFFFFF"/>
            <w:vAlign w:val="bottom"/>
          </w:tcPr>
          <w:p w14:paraId="7456A76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50</w:t>
            </w:r>
          </w:p>
        </w:tc>
        <w:tc>
          <w:tcPr>
            <w:tcW w:w="1056" w:type="dxa"/>
            <w:vMerge w:val="restart"/>
            <w:tcBorders>
              <w:top w:val="single" w:sz="4" w:space="0" w:color="auto"/>
              <w:left w:val="single" w:sz="4" w:space="0" w:color="auto"/>
              <w:right w:val="single" w:sz="4" w:space="0" w:color="auto"/>
            </w:tcBorders>
            <w:shd w:val="clear" w:color="auto" w:fill="FFFFFF"/>
          </w:tcPr>
          <w:p w14:paraId="3B60AF6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w:t>
            </w:r>
          </w:p>
        </w:tc>
      </w:tr>
      <w:tr w:rsidR="00350D42" w14:paraId="69405F16" w14:textId="77777777">
        <w:trPr>
          <w:trHeight w:hRule="exact" w:val="322"/>
          <w:jc w:val="center"/>
        </w:trPr>
        <w:tc>
          <w:tcPr>
            <w:tcW w:w="4690" w:type="dxa"/>
            <w:tcBorders>
              <w:top w:val="single" w:sz="4" w:space="0" w:color="auto"/>
              <w:left w:val="single" w:sz="4" w:space="0" w:color="auto"/>
            </w:tcBorders>
            <w:shd w:val="clear" w:color="auto" w:fill="FFFFFF"/>
            <w:vAlign w:val="bottom"/>
          </w:tcPr>
          <w:p w14:paraId="31C0ED2D"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Более 70 % продукции реализуется в валюте кредита</w:t>
            </w:r>
          </w:p>
        </w:tc>
        <w:tc>
          <w:tcPr>
            <w:tcW w:w="835" w:type="dxa"/>
            <w:tcBorders>
              <w:top w:val="single" w:sz="4" w:space="0" w:color="auto"/>
              <w:left w:val="single" w:sz="4" w:space="0" w:color="auto"/>
            </w:tcBorders>
            <w:shd w:val="clear" w:color="auto" w:fill="FFFFFF"/>
            <w:vAlign w:val="bottom"/>
          </w:tcPr>
          <w:p w14:paraId="5157A68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85</w:t>
            </w:r>
          </w:p>
        </w:tc>
        <w:tc>
          <w:tcPr>
            <w:tcW w:w="1056" w:type="dxa"/>
            <w:vMerge/>
            <w:tcBorders>
              <w:left w:val="single" w:sz="4" w:space="0" w:color="auto"/>
              <w:right w:val="single" w:sz="4" w:space="0" w:color="auto"/>
            </w:tcBorders>
            <w:shd w:val="clear" w:color="auto" w:fill="FFFFFF"/>
          </w:tcPr>
          <w:p w14:paraId="2A9D227A" w14:textId="77777777" w:rsidR="00350D42" w:rsidRDefault="00350D42">
            <w:pPr>
              <w:framePr w:w="6581" w:wrap="notBeside" w:vAnchor="text" w:hAnchor="text" w:xAlign="center" w:y="1"/>
            </w:pPr>
          </w:p>
        </w:tc>
      </w:tr>
      <w:tr w:rsidR="00350D42" w14:paraId="65C7C000" w14:textId="77777777">
        <w:trPr>
          <w:trHeight w:hRule="exact" w:val="326"/>
          <w:jc w:val="center"/>
        </w:trPr>
        <w:tc>
          <w:tcPr>
            <w:tcW w:w="4690" w:type="dxa"/>
            <w:tcBorders>
              <w:top w:val="single" w:sz="4" w:space="0" w:color="auto"/>
              <w:left w:val="single" w:sz="4" w:space="0" w:color="auto"/>
            </w:tcBorders>
            <w:shd w:val="clear" w:color="auto" w:fill="FFFFFF"/>
            <w:vAlign w:val="center"/>
          </w:tcPr>
          <w:p w14:paraId="658CB4BE"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Продукция реализуется в валюте кредита</w:t>
            </w:r>
          </w:p>
        </w:tc>
        <w:tc>
          <w:tcPr>
            <w:tcW w:w="835" w:type="dxa"/>
            <w:tcBorders>
              <w:top w:val="single" w:sz="4" w:space="0" w:color="auto"/>
              <w:left w:val="single" w:sz="4" w:space="0" w:color="auto"/>
            </w:tcBorders>
            <w:shd w:val="clear" w:color="auto" w:fill="FFFFFF"/>
            <w:vAlign w:val="bottom"/>
          </w:tcPr>
          <w:p w14:paraId="61FED07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056" w:type="dxa"/>
            <w:vMerge/>
            <w:tcBorders>
              <w:left w:val="single" w:sz="4" w:space="0" w:color="auto"/>
              <w:right w:val="single" w:sz="4" w:space="0" w:color="auto"/>
            </w:tcBorders>
            <w:shd w:val="clear" w:color="auto" w:fill="FFFFFF"/>
          </w:tcPr>
          <w:p w14:paraId="079121BB" w14:textId="77777777" w:rsidR="00350D42" w:rsidRDefault="00350D42">
            <w:pPr>
              <w:framePr w:w="6581" w:wrap="notBeside" w:vAnchor="text" w:hAnchor="text" w:xAlign="center" w:y="1"/>
            </w:pPr>
          </w:p>
        </w:tc>
      </w:tr>
      <w:tr w:rsidR="00350D42" w14:paraId="3CD028A7" w14:textId="77777777">
        <w:trPr>
          <w:trHeight w:hRule="exact" w:val="326"/>
          <w:jc w:val="center"/>
        </w:trPr>
        <w:tc>
          <w:tcPr>
            <w:tcW w:w="4690" w:type="dxa"/>
            <w:tcBorders>
              <w:top w:val="single" w:sz="4" w:space="0" w:color="auto"/>
              <w:left w:val="single" w:sz="4" w:space="0" w:color="auto"/>
            </w:tcBorders>
            <w:shd w:val="clear" w:color="auto" w:fill="FFFFFF"/>
            <w:vAlign w:val="center"/>
          </w:tcPr>
          <w:p w14:paraId="3B1D9B43"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Регион является дотационным</w:t>
            </w:r>
          </w:p>
        </w:tc>
        <w:tc>
          <w:tcPr>
            <w:tcW w:w="835" w:type="dxa"/>
            <w:tcBorders>
              <w:top w:val="single" w:sz="4" w:space="0" w:color="auto"/>
              <w:left w:val="single" w:sz="4" w:space="0" w:color="auto"/>
            </w:tcBorders>
            <w:shd w:val="clear" w:color="auto" w:fill="FFFFFF"/>
            <w:vAlign w:val="bottom"/>
          </w:tcPr>
          <w:p w14:paraId="79DA3C5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60</w:t>
            </w:r>
          </w:p>
        </w:tc>
        <w:tc>
          <w:tcPr>
            <w:tcW w:w="1056" w:type="dxa"/>
            <w:vMerge w:val="restart"/>
            <w:tcBorders>
              <w:top w:val="single" w:sz="4" w:space="0" w:color="auto"/>
              <w:left w:val="single" w:sz="4" w:space="0" w:color="auto"/>
              <w:right w:val="single" w:sz="4" w:space="0" w:color="auto"/>
            </w:tcBorders>
            <w:shd w:val="clear" w:color="auto" w:fill="FFFFFF"/>
          </w:tcPr>
          <w:p w14:paraId="4448ED9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r>
      <w:tr w:rsidR="00350D42" w14:paraId="4280FA95" w14:textId="77777777">
        <w:trPr>
          <w:trHeight w:hRule="exact" w:val="326"/>
          <w:jc w:val="center"/>
        </w:trPr>
        <w:tc>
          <w:tcPr>
            <w:tcW w:w="4690" w:type="dxa"/>
            <w:tcBorders>
              <w:top w:val="single" w:sz="4" w:space="0" w:color="auto"/>
              <w:left w:val="single" w:sz="4" w:space="0" w:color="auto"/>
            </w:tcBorders>
            <w:shd w:val="clear" w:color="auto" w:fill="FFFFFF"/>
            <w:vAlign w:val="center"/>
          </w:tcPr>
          <w:p w14:paraId="18B4643D"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Регион не имеет дефицита бюджета</w:t>
            </w:r>
          </w:p>
        </w:tc>
        <w:tc>
          <w:tcPr>
            <w:tcW w:w="835" w:type="dxa"/>
            <w:tcBorders>
              <w:top w:val="single" w:sz="4" w:space="0" w:color="auto"/>
              <w:left w:val="single" w:sz="4" w:space="0" w:color="auto"/>
            </w:tcBorders>
            <w:shd w:val="clear" w:color="auto" w:fill="FFFFFF"/>
            <w:vAlign w:val="bottom"/>
          </w:tcPr>
          <w:p w14:paraId="5B763C4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80</w:t>
            </w:r>
          </w:p>
        </w:tc>
        <w:tc>
          <w:tcPr>
            <w:tcW w:w="1056" w:type="dxa"/>
            <w:vMerge/>
            <w:tcBorders>
              <w:left w:val="single" w:sz="4" w:space="0" w:color="auto"/>
              <w:right w:val="single" w:sz="4" w:space="0" w:color="auto"/>
            </w:tcBorders>
            <w:shd w:val="clear" w:color="auto" w:fill="FFFFFF"/>
          </w:tcPr>
          <w:p w14:paraId="61F3012D" w14:textId="77777777" w:rsidR="00350D42" w:rsidRDefault="00350D42">
            <w:pPr>
              <w:framePr w:w="6581" w:wrap="notBeside" w:vAnchor="text" w:hAnchor="text" w:xAlign="center" w:y="1"/>
            </w:pPr>
          </w:p>
        </w:tc>
      </w:tr>
      <w:tr w:rsidR="00350D42" w14:paraId="697F5D73" w14:textId="77777777">
        <w:trPr>
          <w:trHeight w:hRule="exact" w:val="542"/>
          <w:jc w:val="center"/>
        </w:trPr>
        <w:tc>
          <w:tcPr>
            <w:tcW w:w="4690" w:type="dxa"/>
            <w:tcBorders>
              <w:top w:val="single" w:sz="4" w:space="0" w:color="auto"/>
              <w:left w:val="single" w:sz="4" w:space="0" w:color="auto"/>
            </w:tcBorders>
            <w:shd w:val="clear" w:color="auto" w:fill="FFFFFF"/>
            <w:vAlign w:val="bottom"/>
          </w:tcPr>
          <w:p w14:paraId="6919FACC"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Регион имеет положительный бюджет и является «до</w:t>
            </w:r>
            <w:r>
              <w:rPr>
                <w:rStyle w:val="275pt0"/>
              </w:rPr>
              <w:softHyphen/>
              <w:t>нором» в государственный бюджет</w:t>
            </w:r>
          </w:p>
        </w:tc>
        <w:tc>
          <w:tcPr>
            <w:tcW w:w="835" w:type="dxa"/>
            <w:tcBorders>
              <w:top w:val="single" w:sz="4" w:space="0" w:color="auto"/>
              <w:left w:val="single" w:sz="4" w:space="0" w:color="auto"/>
            </w:tcBorders>
            <w:shd w:val="clear" w:color="auto" w:fill="FFFFFF"/>
            <w:vAlign w:val="center"/>
          </w:tcPr>
          <w:p w14:paraId="24B747B1"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056" w:type="dxa"/>
            <w:vMerge/>
            <w:tcBorders>
              <w:left w:val="single" w:sz="4" w:space="0" w:color="auto"/>
              <w:right w:val="single" w:sz="4" w:space="0" w:color="auto"/>
            </w:tcBorders>
            <w:shd w:val="clear" w:color="auto" w:fill="FFFFFF"/>
          </w:tcPr>
          <w:p w14:paraId="26461424" w14:textId="77777777" w:rsidR="00350D42" w:rsidRDefault="00350D42">
            <w:pPr>
              <w:framePr w:w="6581" w:wrap="notBeside" w:vAnchor="text" w:hAnchor="text" w:xAlign="center" w:y="1"/>
            </w:pPr>
          </w:p>
        </w:tc>
      </w:tr>
      <w:tr w:rsidR="00350D42" w14:paraId="77D6190D" w14:textId="77777777">
        <w:trPr>
          <w:trHeight w:hRule="exact" w:val="547"/>
          <w:jc w:val="center"/>
        </w:trPr>
        <w:tc>
          <w:tcPr>
            <w:tcW w:w="4690" w:type="dxa"/>
            <w:tcBorders>
              <w:top w:val="single" w:sz="4" w:space="0" w:color="auto"/>
              <w:left w:val="single" w:sz="4" w:space="0" w:color="auto"/>
            </w:tcBorders>
            <w:shd w:val="clear" w:color="auto" w:fill="FFFFFF"/>
            <w:vAlign w:val="center"/>
          </w:tcPr>
          <w:p w14:paraId="563103B4"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В производстве используются или производятся опас</w:t>
            </w:r>
            <w:r>
              <w:rPr>
                <w:rStyle w:val="275pt0"/>
              </w:rPr>
              <w:softHyphen/>
              <w:t>ные для жизни вещества</w:t>
            </w:r>
          </w:p>
        </w:tc>
        <w:tc>
          <w:tcPr>
            <w:tcW w:w="835" w:type="dxa"/>
            <w:tcBorders>
              <w:top w:val="single" w:sz="4" w:space="0" w:color="auto"/>
              <w:left w:val="single" w:sz="4" w:space="0" w:color="auto"/>
            </w:tcBorders>
            <w:shd w:val="clear" w:color="auto" w:fill="FFFFFF"/>
            <w:vAlign w:val="center"/>
          </w:tcPr>
          <w:p w14:paraId="3168050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056" w:type="dxa"/>
            <w:vMerge w:val="restart"/>
            <w:tcBorders>
              <w:top w:val="single" w:sz="4" w:space="0" w:color="auto"/>
              <w:left w:val="single" w:sz="4" w:space="0" w:color="auto"/>
              <w:right w:val="single" w:sz="4" w:space="0" w:color="auto"/>
            </w:tcBorders>
            <w:shd w:val="clear" w:color="auto" w:fill="FFFFFF"/>
          </w:tcPr>
          <w:p w14:paraId="7E96BCCE"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w:t>
            </w:r>
          </w:p>
        </w:tc>
      </w:tr>
      <w:tr w:rsidR="00350D42" w14:paraId="328A2958" w14:textId="77777777">
        <w:trPr>
          <w:trHeight w:hRule="exact" w:val="542"/>
          <w:jc w:val="center"/>
        </w:trPr>
        <w:tc>
          <w:tcPr>
            <w:tcW w:w="4690" w:type="dxa"/>
            <w:tcBorders>
              <w:top w:val="single" w:sz="4" w:space="0" w:color="auto"/>
              <w:left w:val="single" w:sz="4" w:space="0" w:color="auto"/>
            </w:tcBorders>
            <w:shd w:val="clear" w:color="auto" w:fill="FFFFFF"/>
            <w:vAlign w:val="bottom"/>
          </w:tcPr>
          <w:p w14:paraId="6B8C0F6A"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В случае нарушения системы очистки возможны вредные выбросы</w:t>
            </w:r>
          </w:p>
        </w:tc>
        <w:tc>
          <w:tcPr>
            <w:tcW w:w="835" w:type="dxa"/>
            <w:tcBorders>
              <w:top w:val="single" w:sz="4" w:space="0" w:color="auto"/>
              <w:left w:val="single" w:sz="4" w:space="0" w:color="auto"/>
            </w:tcBorders>
            <w:shd w:val="clear" w:color="auto" w:fill="FFFFFF"/>
          </w:tcPr>
          <w:p w14:paraId="773853E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75</w:t>
            </w:r>
          </w:p>
        </w:tc>
        <w:tc>
          <w:tcPr>
            <w:tcW w:w="1056" w:type="dxa"/>
            <w:vMerge/>
            <w:tcBorders>
              <w:left w:val="single" w:sz="4" w:space="0" w:color="auto"/>
              <w:right w:val="single" w:sz="4" w:space="0" w:color="auto"/>
            </w:tcBorders>
            <w:shd w:val="clear" w:color="auto" w:fill="FFFFFF"/>
          </w:tcPr>
          <w:p w14:paraId="46F7FBF8" w14:textId="77777777" w:rsidR="00350D42" w:rsidRDefault="00350D42">
            <w:pPr>
              <w:framePr w:w="6581" w:wrap="notBeside" w:vAnchor="text" w:hAnchor="text" w:xAlign="center" w:y="1"/>
            </w:pPr>
          </w:p>
        </w:tc>
      </w:tr>
      <w:tr w:rsidR="00350D42" w14:paraId="6A9D3D75" w14:textId="77777777">
        <w:trPr>
          <w:trHeight w:hRule="exact" w:val="336"/>
          <w:jc w:val="center"/>
        </w:trPr>
        <w:tc>
          <w:tcPr>
            <w:tcW w:w="4690" w:type="dxa"/>
            <w:tcBorders>
              <w:top w:val="single" w:sz="4" w:space="0" w:color="auto"/>
              <w:left w:val="single" w:sz="4" w:space="0" w:color="auto"/>
              <w:bottom w:val="single" w:sz="4" w:space="0" w:color="auto"/>
            </w:tcBorders>
            <w:shd w:val="clear" w:color="auto" w:fill="FFFFFF"/>
            <w:vAlign w:val="center"/>
          </w:tcPr>
          <w:p w14:paraId="7960DD0C"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Экологически чистое производство</w:t>
            </w:r>
          </w:p>
        </w:tc>
        <w:tc>
          <w:tcPr>
            <w:tcW w:w="835" w:type="dxa"/>
            <w:tcBorders>
              <w:top w:val="single" w:sz="4" w:space="0" w:color="auto"/>
              <w:left w:val="single" w:sz="4" w:space="0" w:color="auto"/>
              <w:bottom w:val="single" w:sz="4" w:space="0" w:color="auto"/>
            </w:tcBorders>
            <w:shd w:val="clear" w:color="auto" w:fill="FFFFFF"/>
            <w:vAlign w:val="bottom"/>
          </w:tcPr>
          <w:p w14:paraId="140D0B8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056" w:type="dxa"/>
            <w:vMerge/>
            <w:tcBorders>
              <w:left w:val="single" w:sz="4" w:space="0" w:color="auto"/>
              <w:bottom w:val="single" w:sz="4" w:space="0" w:color="auto"/>
              <w:right w:val="single" w:sz="4" w:space="0" w:color="auto"/>
            </w:tcBorders>
            <w:shd w:val="clear" w:color="auto" w:fill="FFFFFF"/>
          </w:tcPr>
          <w:p w14:paraId="537FD863" w14:textId="77777777" w:rsidR="00350D42" w:rsidRDefault="00350D42">
            <w:pPr>
              <w:framePr w:w="6581" w:wrap="notBeside" w:vAnchor="text" w:hAnchor="text" w:xAlign="center" w:y="1"/>
            </w:pPr>
          </w:p>
        </w:tc>
      </w:tr>
    </w:tbl>
    <w:p w14:paraId="2D4B9622" w14:textId="77777777" w:rsidR="00350D42" w:rsidRDefault="00350D42">
      <w:pPr>
        <w:framePr w:w="6581" w:wrap="notBeside" w:vAnchor="text" w:hAnchor="text" w:xAlign="center" w:y="1"/>
        <w:rPr>
          <w:sz w:val="2"/>
          <w:szCs w:val="2"/>
        </w:rPr>
      </w:pPr>
    </w:p>
    <w:p w14:paraId="47CB6E04" w14:textId="77777777" w:rsidR="00350D42" w:rsidRDefault="00350D42">
      <w:pPr>
        <w:rPr>
          <w:sz w:val="2"/>
          <w:szCs w:val="2"/>
        </w:rPr>
      </w:pPr>
    </w:p>
    <w:p w14:paraId="62487D39" w14:textId="77777777" w:rsidR="00350D42" w:rsidRDefault="008E6F64">
      <w:pPr>
        <w:pStyle w:val="90"/>
        <w:shd w:val="clear" w:color="auto" w:fill="auto"/>
        <w:spacing w:before="107"/>
        <w:jc w:val="left"/>
      </w:pPr>
      <w:r>
        <w:rPr>
          <w:rStyle w:val="91"/>
          <w:b/>
          <w:bCs/>
          <w:i/>
          <w:iCs/>
        </w:rPr>
        <w:t>Характеристика кредитной/инвестиционной сделки</w:t>
      </w:r>
    </w:p>
    <w:p w14:paraId="11F8D185" w14:textId="77777777" w:rsidR="00350D42" w:rsidRDefault="008E6F64">
      <w:pPr>
        <w:pStyle w:val="180"/>
        <w:numPr>
          <w:ilvl w:val="0"/>
          <w:numId w:val="164"/>
        </w:numPr>
        <w:shd w:val="clear" w:color="auto" w:fill="auto"/>
        <w:tabs>
          <w:tab w:val="left" w:pos="637"/>
        </w:tabs>
        <w:spacing w:line="245" w:lineRule="exact"/>
        <w:ind w:firstLine="320"/>
        <w:jc w:val="left"/>
      </w:pPr>
      <w:r>
        <w:rPr>
          <w:rStyle w:val="181"/>
          <w:i/>
          <w:iCs/>
        </w:rPr>
        <w:t>Оценка фактора «обеспеченность кредита / обеспеченность сделки».</w:t>
      </w:r>
    </w:p>
    <w:p w14:paraId="118A9EAE" w14:textId="77777777" w:rsidR="00350D42" w:rsidRDefault="008E6F64">
      <w:pPr>
        <w:pStyle w:val="2c"/>
        <w:shd w:val="clear" w:color="auto" w:fill="auto"/>
        <w:spacing w:before="0" w:line="245" w:lineRule="exact"/>
        <w:ind w:firstLine="320"/>
        <w:jc w:val="left"/>
      </w:pPr>
      <w:r>
        <w:rPr>
          <w:rStyle w:val="2d"/>
        </w:rPr>
        <w:t>Показатели оценки данного фактора представлены в табл. П.2.14.</w:t>
      </w:r>
    </w:p>
    <w:p w14:paraId="0DF63801" w14:textId="77777777" w:rsidR="00350D42" w:rsidRDefault="008E6F64">
      <w:pPr>
        <w:pStyle w:val="190"/>
        <w:shd w:val="clear" w:color="auto" w:fill="auto"/>
        <w:spacing w:after="138"/>
      </w:pPr>
      <w:r>
        <w:rPr>
          <w:rStyle w:val="191"/>
          <w:i/>
          <w:iCs/>
        </w:rPr>
        <w:t>Таблица П.2.14</w:t>
      </w:r>
    </w:p>
    <w:p w14:paraId="39CF3A15" w14:textId="77777777" w:rsidR="00350D42" w:rsidRDefault="008E6F64">
      <w:pPr>
        <w:pStyle w:val="111"/>
        <w:shd w:val="clear" w:color="auto" w:fill="auto"/>
        <w:spacing w:before="0" w:after="0" w:line="194" w:lineRule="exact"/>
      </w:pPr>
      <w:r>
        <w:rPr>
          <w:rStyle w:val="113"/>
          <w:b/>
          <w:bCs/>
        </w:rPr>
        <w:t>Оценка фактора «обеспеченность кредита / обеспеченность сделки»</w:t>
      </w:r>
      <w:r>
        <w:rPr>
          <w:rStyle w:val="113"/>
          <w:b/>
          <w:bCs/>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2395"/>
        <w:gridCol w:w="902"/>
        <w:gridCol w:w="1272"/>
      </w:tblGrid>
      <w:tr w:rsidR="00350D42" w14:paraId="1DDF7C80" w14:textId="77777777">
        <w:trPr>
          <w:trHeight w:hRule="exact" w:val="768"/>
          <w:jc w:val="center"/>
        </w:trPr>
        <w:tc>
          <w:tcPr>
            <w:tcW w:w="4406" w:type="dxa"/>
            <w:gridSpan w:val="2"/>
            <w:tcBorders>
              <w:top w:val="single" w:sz="4" w:space="0" w:color="auto"/>
              <w:left w:val="single" w:sz="4" w:space="0" w:color="auto"/>
            </w:tcBorders>
            <w:shd w:val="clear" w:color="auto" w:fill="FFFFFF"/>
          </w:tcPr>
          <w:p w14:paraId="5DF4088D"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Показатели по подгруппам</w:t>
            </w:r>
          </w:p>
        </w:tc>
        <w:tc>
          <w:tcPr>
            <w:tcW w:w="902" w:type="dxa"/>
            <w:tcBorders>
              <w:top w:val="single" w:sz="4" w:space="0" w:color="auto"/>
              <w:left w:val="single" w:sz="4" w:space="0" w:color="auto"/>
            </w:tcBorders>
            <w:shd w:val="clear" w:color="auto" w:fill="FFFFFF"/>
            <w:vAlign w:val="bottom"/>
          </w:tcPr>
          <w:p w14:paraId="75F8E9A7" w14:textId="77777777" w:rsidR="00350D42" w:rsidRDefault="008E6F64">
            <w:pPr>
              <w:pStyle w:val="2c"/>
              <w:framePr w:w="6581" w:wrap="notBeside" w:vAnchor="text" w:hAnchor="text" w:xAlign="center" w:y="1"/>
              <w:shd w:val="clear" w:color="auto" w:fill="auto"/>
              <w:spacing w:before="0" w:line="221" w:lineRule="exact"/>
            </w:pPr>
            <w:r>
              <w:rPr>
                <w:rStyle w:val="275pt"/>
              </w:rPr>
              <w:t>Баллы</w:t>
            </w:r>
          </w:p>
          <w:p w14:paraId="6928A31A" w14:textId="77777777" w:rsidR="00350D42" w:rsidRDefault="008E6F64">
            <w:pPr>
              <w:pStyle w:val="2c"/>
              <w:framePr w:w="6581" w:wrap="notBeside" w:vAnchor="text" w:hAnchor="text" w:xAlign="center" w:y="1"/>
              <w:shd w:val="clear" w:color="auto" w:fill="auto"/>
              <w:spacing w:before="0" w:line="221" w:lineRule="exact"/>
            </w:pPr>
            <w:r>
              <w:rPr>
                <w:rStyle w:val="275pt"/>
              </w:rPr>
              <w:t>по под</w:t>
            </w:r>
            <w:r>
              <w:rPr>
                <w:rStyle w:val="275pt"/>
              </w:rPr>
              <w:softHyphen/>
              <w:t>группе</w:t>
            </w:r>
          </w:p>
        </w:tc>
        <w:tc>
          <w:tcPr>
            <w:tcW w:w="1272" w:type="dxa"/>
            <w:tcBorders>
              <w:top w:val="single" w:sz="4" w:space="0" w:color="auto"/>
              <w:left w:val="single" w:sz="4" w:space="0" w:color="auto"/>
              <w:right w:val="single" w:sz="4" w:space="0" w:color="auto"/>
            </w:tcBorders>
            <w:shd w:val="clear" w:color="auto" w:fill="FFFFFF"/>
            <w:vAlign w:val="bottom"/>
          </w:tcPr>
          <w:p w14:paraId="57060AF7" w14:textId="77777777" w:rsidR="00350D42" w:rsidRDefault="008E6F64">
            <w:pPr>
              <w:pStyle w:val="2c"/>
              <w:framePr w:w="6581" w:wrap="notBeside" w:vAnchor="text" w:hAnchor="text" w:xAlign="center" w:y="1"/>
              <w:shd w:val="clear" w:color="auto" w:fill="auto"/>
              <w:spacing w:before="0" w:line="221" w:lineRule="exact"/>
              <w:ind w:left="300" w:hanging="100"/>
              <w:jc w:val="left"/>
            </w:pPr>
            <w:r>
              <w:rPr>
                <w:rStyle w:val="275pt"/>
              </w:rPr>
              <w:t>Удельный вес под</w:t>
            </w:r>
            <w:r>
              <w:rPr>
                <w:rStyle w:val="275pt"/>
              </w:rPr>
              <w:softHyphen/>
              <w:t>группы</w:t>
            </w:r>
          </w:p>
        </w:tc>
      </w:tr>
      <w:tr w:rsidR="00350D42" w14:paraId="16DA16EA" w14:textId="77777777">
        <w:trPr>
          <w:trHeight w:hRule="exact" w:val="331"/>
          <w:jc w:val="center"/>
        </w:trPr>
        <w:tc>
          <w:tcPr>
            <w:tcW w:w="2011" w:type="dxa"/>
            <w:vMerge w:val="restart"/>
            <w:tcBorders>
              <w:top w:val="single" w:sz="4" w:space="0" w:color="auto"/>
              <w:left w:val="single" w:sz="4" w:space="0" w:color="auto"/>
            </w:tcBorders>
            <w:shd w:val="clear" w:color="auto" w:fill="FFFFFF"/>
            <w:vAlign w:val="center"/>
          </w:tcPr>
          <w:p w14:paraId="21B7FB04"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Залоговая стоимость обеспечения покры</w:t>
            </w:r>
            <w:r>
              <w:rPr>
                <w:rStyle w:val="275pt0"/>
              </w:rPr>
              <w:softHyphen/>
              <w:t>вает сумму основного</w:t>
            </w:r>
          </w:p>
          <w:p w14:paraId="2A258AFE"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долга и процентов за один год в объеме:</w:t>
            </w:r>
          </w:p>
        </w:tc>
        <w:tc>
          <w:tcPr>
            <w:tcW w:w="2395" w:type="dxa"/>
            <w:tcBorders>
              <w:top w:val="single" w:sz="4" w:space="0" w:color="auto"/>
              <w:left w:val="single" w:sz="4" w:space="0" w:color="auto"/>
            </w:tcBorders>
            <w:shd w:val="clear" w:color="auto" w:fill="FFFFFF"/>
            <w:vAlign w:val="center"/>
          </w:tcPr>
          <w:p w14:paraId="7D51F123"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&gt; 100 %</w:t>
            </w:r>
          </w:p>
        </w:tc>
        <w:tc>
          <w:tcPr>
            <w:tcW w:w="902" w:type="dxa"/>
            <w:tcBorders>
              <w:top w:val="single" w:sz="4" w:space="0" w:color="auto"/>
              <w:left w:val="single" w:sz="4" w:space="0" w:color="auto"/>
            </w:tcBorders>
            <w:shd w:val="clear" w:color="auto" w:fill="FFFFFF"/>
            <w:vAlign w:val="bottom"/>
          </w:tcPr>
          <w:p w14:paraId="4B9CB4C4"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272" w:type="dxa"/>
            <w:tcBorders>
              <w:top w:val="single" w:sz="4" w:space="0" w:color="auto"/>
              <w:left w:val="single" w:sz="4" w:space="0" w:color="auto"/>
              <w:right w:val="single" w:sz="4" w:space="0" w:color="auto"/>
            </w:tcBorders>
            <w:shd w:val="clear" w:color="auto" w:fill="FFFFFF"/>
            <w:vAlign w:val="center"/>
          </w:tcPr>
          <w:p w14:paraId="55CF902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0,5</w:t>
            </w:r>
          </w:p>
        </w:tc>
      </w:tr>
      <w:tr w:rsidR="00350D42" w14:paraId="657B13B2" w14:textId="77777777">
        <w:trPr>
          <w:trHeight w:hRule="exact" w:val="326"/>
          <w:jc w:val="center"/>
        </w:trPr>
        <w:tc>
          <w:tcPr>
            <w:tcW w:w="2011" w:type="dxa"/>
            <w:vMerge/>
            <w:tcBorders>
              <w:left w:val="single" w:sz="4" w:space="0" w:color="auto"/>
            </w:tcBorders>
            <w:shd w:val="clear" w:color="auto" w:fill="FFFFFF"/>
            <w:vAlign w:val="center"/>
          </w:tcPr>
          <w:p w14:paraId="47ADD451" w14:textId="77777777" w:rsidR="00350D42" w:rsidRDefault="00350D42">
            <w:pPr>
              <w:framePr w:w="6581" w:wrap="notBeside" w:vAnchor="text" w:hAnchor="text" w:xAlign="center" w:y="1"/>
            </w:pPr>
          </w:p>
        </w:tc>
        <w:tc>
          <w:tcPr>
            <w:tcW w:w="2395" w:type="dxa"/>
            <w:tcBorders>
              <w:top w:val="single" w:sz="4" w:space="0" w:color="auto"/>
              <w:left w:val="single" w:sz="4" w:space="0" w:color="auto"/>
            </w:tcBorders>
            <w:shd w:val="clear" w:color="auto" w:fill="FFFFFF"/>
            <w:vAlign w:val="bottom"/>
          </w:tcPr>
          <w:p w14:paraId="72B701F0"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70 % &lt; ... &lt; 100 %</w:t>
            </w:r>
          </w:p>
        </w:tc>
        <w:tc>
          <w:tcPr>
            <w:tcW w:w="902" w:type="dxa"/>
            <w:tcBorders>
              <w:top w:val="single" w:sz="4" w:space="0" w:color="auto"/>
              <w:left w:val="single" w:sz="4" w:space="0" w:color="auto"/>
            </w:tcBorders>
            <w:shd w:val="clear" w:color="auto" w:fill="FFFFFF"/>
            <w:vAlign w:val="bottom"/>
          </w:tcPr>
          <w:p w14:paraId="71D23E3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70</w:t>
            </w:r>
          </w:p>
        </w:tc>
        <w:tc>
          <w:tcPr>
            <w:tcW w:w="1272" w:type="dxa"/>
            <w:tcBorders>
              <w:top w:val="single" w:sz="4" w:space="0" w:color="auto"/>
              <w:left w:val="single" w:sz="4" w:space="0" w:color="auto"/>
              <w:right w:val="single" w:sz="4" w:space="0" w:color="auto"/>
            </w:tcBorders>
            <w:shd w:val="clear" w:color="auto" w:fill="FFFFFF"/>
          </w:tcPr>
          <w:p w14:paraId="29A9785B" w14:textId="77777777" w:rsidR="00350D42" w:rsidRDefault="00350D42">
            <w:pPr>
              <w:framePr w:w="6581" w:wrap="notBeside" w:vAnchor="text" w:hAnchor="text" w:xAlign="center" w:y="1"/>
              <w:rPr>
                <w:sz w:val="10"/>
                <w:szCs w:val="10"/>
              </w:rPr>
            </w:pPr>
          </w:p>
        </w:tc>
      </w:tr>
      <w:tr w:rsidR="00350D42" w14:paraId="4797076E" w14:textId="77777777">
        <w:trPr>
          <w:trHeight w:hRule="exact" w:val="331"/>
          <w:jc w:val="center"/>
        </w:trPr>
        <w:tc>
          <w:tcPr>
            <w:tcW w:w="2011" w:type="dxa"/>
            <w:vMerge/>
            <w:tcBorders>
              <w:left w:val="single" w:sz="4" w:space="0" w:color="auto"/>
            </w:tcBorders>
            <w:shd w:val="clear" w:color="auto" w:fill="FFFFFF"/>
            <w:vAlign w:val="center"/>
          </w:tcPr>
          <w:p w14:paraId="3DAF8F4C" w14:textId="77777777" w:rsidR="00350D42" w:rsidRDefault="00350D42">
            <w:pPr>
              <w:framePr w:w="6581" w:wrap="notBeside" w:vAnchor="text" w:hAnchor="text" w:xAlign="center" w:y="1"/>
            </w:pPr>
          </w:p>
        </w:tc>
        <w:tc>
          <w:tcPr>
            <w:tcW w:w="2395" w:type="dxa"/>
            <w:tcBorders>
              <w:top w:val="single" w:sz="4" w:space="0" w:color="auto"/>
              <w:left w:val="single" w:sz="4" w:space="0" w:color="auto"/>
            </w:tcBorders>
            <w:shd w:val="clear" w:color="auto" w:fill="FFFFFF"/>
            <w:vAlign w:val="bottom"/>
          </w:tcPr>
          <w:p w14:paraId="1319253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50 % &lt; ... &lt; 70 %</w:t>
            </w:r>
          </w:p>
        </w:tc>
        <w:tc>
          <w:tcPr>
            <w:tcW w:w="902" w:type="dxa"/>
            <w:tcBorders>
              <w:top w:val="single" w:sz="4" w:space="0" w:color="auto"/>
              <w:left w:val="single" w:sz="4" w:space="0" w:color="auto"/>
            </w:tcBorders>
            <w:shd w:val="clear" w:color="auto" w:fill="FFFFFF"/>
            <w:vAlign w:val="bottom"/>
          </w:tcPr>
          <w:p w14:paraId="46B550D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50</w:t>
            </w:r>
          </w:p>
        </w:tc>
        <w:tc>
          <w:tcPr>
            <w:tcW w:w="1272" w:type="dxa"/>
            <w:tcBorders>
              <w:top w:val="single" w:sz="4" w:space="0" w:color="auto"/>
              <w:left w:val="single" w:sz="4" w:space="0" w:color="auto"/>
              <w:right w:val="single" w:sz="4" w:space="0" w:color="auto"/>
            </w:tcBorders>
            <w:shd w:val="clear" w:color="auto" w:fill="FFFFFF"/>
          </w:tcPr>
          <w:p w14:paraId="34EB7291" w14:textId="77777777" w:rsidR="00350D42" w:rsidRDefault="00350D42">
            <w:pPr>
              <w:framePr w:w="6581" w:wrap="notBeside" w:vAnchor="text" w:hAnchor="text" w:xAlign="center" w:y="1"/>
              <w:rPr>
                <w:sz w:val="10"/>
                <w:szCs w:val="10"/>
              </w:rPr>
            </w:pPr>
          </w:p>
        </w:tc>
      </w:tr>
      <w:tr w:rsidR="00350D42" w14:paraId="304F9F13" w14:textId="77777777">
        <w:trPr>
          <w:trHeight w:hRule="exact" w:val="331"/>
          <w:jc w:val="center"/>
        </w:trPr>
        <w:tc>
          <w:tcPr>
            <w:tcW w:w="2011" w:type="dxa"/>
            <w:vMerge/>
            <w:tcBorders>
              <w:left w:val="single" w:sz="4" w:space="0" w:color="auto"/>
            </w:tcBorders>
            <w:shd w:val="clear" w:color="auto" w:fill="FFFFFF"/>
            <w:vAlign w:val="center"/>
          </w:tcPr>
          <w:p w14:paraId="0804F03D" w14:textId="77777777" w:rsidR="00350D42" w:rsidRDefault="00350D42">
            <w:pPr>
              <w:framePr w:w="6581" w:wrap="notBeside" w:vAnchor="text" w:hAnchor="text" w:xAlign="center" w:y="1"/>
            </w:pPr>
          </w:p>
        </w:tc>
        <w:tc>
          <w:tcPr>
            <w:tcW w:w="2395" w:type="dxa"/>
            <w:tcBorders>
              <w:top w:val="single" w:sz="4" w:space="0" w:color="auto"/>
              <w:left w:val="single" w:sz="4" w:space="0" w:color="auto"/>
            </w:tcBorders>
            <w:shd w:val="clear" w:color="auto" w:fill="FFFFFF"/>
            <w:vAlign w:val="center"/>
          </w:tcPr>
          <w:p w14:paraId="40810F8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&lt; 70 %</w:t>
            </w:r>
          </w:p>
        </w:tc>
        <w:tc>
          <w:tcPr>
            <w:tcW w:w="902" w:type="dxa"/>
            <w:tcBorders>
              <w:top w:val="single" w:sz="4" w:space="0" w:color="auto"/>
              <w:left w:val="single" w:sz="4" w:space="0" w:color="auto"/>
            </w:tcBorders>
            <w:shd w:val="clear" w:color="auto" w:fill="FFFFFF"/>
            <w:vAlign w:val="bottom"/>
          </w:tcPr>
          <w:p w14:paraId="323C9C4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272" w:type="dxa"/>
            <w:tcBorders>
              <w:top w:val="single" w:sz="4" w:space="0" w:color="auto"/>
              <w:left w:val="single" w:sz="4" w:space="0" w:color="auto"/>
              <w:right w:val="single" w:sz="4" w:space="0" w:color="auto"/>
            </w:tcBorders>
            <w:shd w:val="clear" w:color="auto" w:fill="FFFFFF"/>
          </w:tcPr>
          <w:p w14:paraId="5A45515F" w14:textId="77777777" w:rsidR="00350D42" w:rsidRDefault="00350D42">
            <w:pPr>
              <w:framePr w:w="6581" w:wrap="notBeside" w:vAnchor="text" w:hAnchor="text" w:xAlign="center" w:y="1"/>
              <w:rPr>
                <w:sz w:val="10"/>
                <w:szCs w:val="10"/>
              </w:rPr>
            </w:pPr>
          </w:p>
        </w:tc>
      </w:tr>
      <w:tr w:rsidR="00350D42" w14:paraId="5B5C0563" w14:textId="77777777">
        <w:trPr>
          <w:trHeight w:hRule="exact" w:val="542"/>
          <w:jc w:val="center"/>
        </w:trPr>
        <w:tc>
          <w:tcPr>
            <w:tcW w:w="2011" w:type="dxa"/>
            <w:vMerge w:val="restart"/>
            <w:tcBorders>
              <w:top w:val="single" w:sz="4" w:space="0" w:color="auto"/>
              <w:left w:val="single" w:sz="4" w:space="0" w:color="auto"/>
            </w:tcBorders>
            <w:shd w:val="clear" w:color="auto" w:fill="FFFFFF"/>
          </w:tcPr>
          <w:p w14:paraId="79967583"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Процентные платежи на инвестиционной стадии могут быть осуществлены:</w:t>
            </w:r>
          </w:p>
        </w:tc>
        <w:tc>
          <w:tcPr>
            <w:tcW w:w="2395" w:type="dxa"/>
            <w:tcBorders>
              <w:top w:val="single" w:sz="4" w:space="0" w:color="auto"/>
              <w:left w:val="single" w:sz="4" w:space="0" w:color="auto"/>
            </w:tcBorders>
            <w:shd w:val="clear" w:color="auto" w:fill="FFFFFF"/>
            <w:vAlign w:val="center"/>
          </w:tcPr>
          <w:p w14:paraId="1C272C16"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из специально созданного</w:t>
            </w:r>
          </w:p>
          <w:p w14:paraId="25D3077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депозита</w:t>
            </w:r>
          </w:p>
        </w:tc>
        <w:tc>
          <w:tcPr>
            <w:tcW w:w="902" w:type="dxa"/>
            <w:tcBorders>
              <w:top w:val="single" w:sz="4" w:space="0" w:color="auto"/>
              <w:left w:val="single" w:sz="4" w:space="0" w:color="auto"/>
            </w:tcBorders>
            <w:shd w:val="clear" w:color="auto" w:fill="FFFFFF"/>
            <w:vAlign w:val="center"/>
          </w:tcPr>
          <w:p w14:paraId="2BD1E79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272" w:type="dxa"/>
            <w:tcBorders>
              <w:top w:val="single" w:sz="4" w:space="0" w:color="auto"/>
              <w:left w:val="single" w:sz="4" w:space="0" w:color="auto"/>
              <w:right w:val="single" w:sz="4" w:space="0" w:color="auto"/>
            </w:tcBorders>
            <w:shd w:val="clear" w:color="auto" w:fill="FFFFFF"/>
            <w:vAlign w:val="center"/>
          </w:tcPr>
          <w:p w14:paraId="2EADC49A"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0,15</w:t>
            </w:r>
          </w:p>
        </w:tc>
      </w:tr>
      <w:tr w:rsidR="00350D42" w14:paraId="473F7E46" w14:textId="77777777">
        <w:trPr>
          <w:trHeight w:hRule="exact" w:val="768"/>
          <w:jc w:val="center"/>
        </w:trPr>
        <w:tc>
          <w:tcPr>
            <w:tcW w:w="2011" w:type="dxa"/>
            <w:vMerge/>
            <w:tcBorders>
              <w:left w:val="single" w:sz="4" w:space="0" w:color="auto"/>
            </w:tcBorders>
            <w:shd w:val="clear" w:color="auto" w:fill="FFFFFF"/>
          </w:tcPr>
          <w:p w14:paraId="74477EB4" w14:textId="77777777" w:rsidR="00350D42" w:rsidRDefault="00350D42">
            <w:pPr>
              <w:framePr w:w="6581" w:wrap="notBeside" w:vAnchor="text" w:hAnchor="text" w:xAlign="center" w:y="1"/>
            </w:pPr>
          </w:p>
        </w:tc>
        <w:tc>
          <w:tcPr>
            <w:tcW w:w="2395" w:type="dxa"/>
            <w:tcBorders>
              <w:top w:val="single" w:sz="4" w:space="0" w:color="auto"/>
              <w:left w:val="single" w:sz="4" w:space="0" w:color="auto"/>
            </w:tcBorders>
            <w:shd w:val="clear" w:color="auto" w:fill="FFFFFF"/>
            <w:vAlign w:val="bottom"/>
          </w:tcPr>
          <w:p w14:paraId="75D4B420"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из денежных потоков от операционной деятель</w:t>
            </w:r>
            <w:r>
              <w:rPr>
                <w:rStyle w:val="275pt0"/>
              </w:rPr>
              <w:softHyphen/>
              <w:t>ности инициатора</w:t>
            </w:r>
          </w:p>
        </w:tc>
        <w:tc>
          <w:tcPr>
            <w:tcW w:w="902" w:type="dxa"/>
            <w:tcBorders>
              <w:top w:val="single" w:sz="4" w:space="0" w:color="auto"/>
              <w:left w:val="single" w:sz="4" w:space="0" w:color="auto"/>
            </w:tcBorders>
            <w:shd w:val="clear" w:color="auto" w:fill="FFFFFF"/>
          </w:tcPr>
          <w:p w14:paraId="7C0F2FD3"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90</w:t>
            </w:r>
          </w:p>
        </w:tc>
        <w:tc>
          <w:tcPr>
            <w:tcW w:w="1272" w:type="dxa"/>
            <w:tcBorders>
              <w:top w:val="single" w:sz="4" w:space="0" w:color="auto"/>
              <w:left w:val="single" w:sz="4" w:space="0" w:color="auto"/>
              <w:right w:val="single" w:sz="4" w:space="0" w:color="auto"/>
            </w:tcBorders>
            <w:shd w:val="clear" w:color="auto" w:fill="FFFFFF"/>
          </w:tcPr>
          <w:p w14:paraId="6DAAA9C3" w14:textId="77777777" w:rsidR="00350D42" w:rsidRDefault="00350D42">
            <w:pPr>
              <w:framePr w:w="6581" w:wrap="notBeside" w:vAnchor="text" w:hAnchor="text" w:xAlign="center" w:y="1"/>
              <w:rPr>
                <w:sz w:val="10"/>
                <w:szCs w:val="10"/>
              </w:rPr>
            </w:pPr>
          </w:p>
        </w:tc>
      </w:tr>
      <w:tr w:rsidR="00350D42" w14:paraId="5F0D603A" w14:textId="77777777">
        <w:trPr>
          <w:trHeight w:hRule="exact" w:val="773"/>
          <w:jc w:val="center"/>
        </w:trPr>
        <w:tc>
          <w:tcPr>
            <w:tcW w:w="2011" w:type="dxa"/>
            <w:vMerge/>
            <w:tcBorders>
              <w:left w:val="single" w:sz="4" w:space="0" w:color="auto"/>
              <w:bottom w:val="single" w:sz="4" w:space="0" w:color="auto"/>
            </w:tcBorders>
            <w:shd w:val="clear" w:color="auto" w:fill="FFFFFF"/>
          </w:tcPr>
          <w:p w14:paraId="69DC1493" w14:textId="77777777" w:rsidR="00350D42" w:rsidRDefault="00350D42">
            <w:pPr>
              <w:framePr w:w="6581" w:wrap="notBeside" w:vAnchor="text" w:hAnchor="text" w:xAlign="center" w:y="1"/>
            </w:pPr>
          </w:p>
        </w:tc>
        <w:tc>
          <w:tcPr>
            <w:tcW w:w="2395" w:type="dxa"/>
            <w:tcBorders>
              <w:top w:val="single" w:sz="4" w:space="0" w:color="auto"/>
              <w:left w:val="single" w:sz="4" w:space="0" w:color="auto"/>
              <w:bottom w:val="single" w:sz="4" w:space="0" w:color="auto"/>
            </w:tcBorders>
            <w:shd w:val="clear" w:color="auto" w:fill="FFFFFF"/>
            <w:vAlign w:val="center"/>
          </w:tcPr>
          <w:p w14:paraId="3B0E40BE" w14:textId="77777777" w:rsidR="00350D42" w:rsidRDefault="008E6F64">
            <w:pPr>
              <w:pStyle w:val="2c"/>
              <w:framePr w:w="6581" w:wrap="notBeside" w:vAnchor="text" w:hAnchor="text" w:xAlign="center" w:y="1"/>
              <w:shd w:val="clear" w:color="auto" w:fill="auto"/>
              <w:spacing w:before="0" w:line="221" w:lineRule="exact"/>
            </w:pPr>
            <w:r>
              <w:rPr>
                <w:rStyle w:val="275pt0"/>
              </w:rPr>
              <w:t>за счет средств спонсоров инициатора (без создания специального депозита)</w:t>
            </w:r>
          </w:p>
        </w:tc>
        <w:tc>
          <w:tcPr>
            <w:tcW w:w="902" w:type="dxa"/>
            <w:tcBorders>
              <w:top w:val="single" w:sz="4" w:space="0" w:color="auto"/>
              <w:left w:val="single" w:sz="4" w:space="0" w:color="auto"/>
              <w:bottom w:val="single" w:sz="4" w:space="0" w:color="auto"/>
            </w:tcBorders>
            <w:shd w:val="clear" w:color="auto" w:fill="FFFFFF"/>
          </w:tcPr>
          <w:p w14:paraId="2CD67DB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3BA25E6D" w14:textId="77777777" w:rsidR="00350D42" w:rsidRDefault="00350D42">
            <w:pPr>
              <w:framePr w:w="6581" w:wrap="notBeside" w:vAnchor="text" w:hAnchor="text" w:xAlign="center" w:y="1"/>
              <w:rPr>
                <w:sz w:val="10"/>
                <w:szCs w:val="10"/>
              </w:rPr>
            </w:pPr>
          </w:p>
        </w:tc>
      </w:tr>
    </w:tbl>
    <w:p w14:paraId="1F3168BD" w14:textId="77777777" w:rsidR="00350D42" w:rsidRDefault="008E6F64">
      <w:pPr>
        <w:pStyle w:val="3f2"/>
        <w:framePr w:w="6581" w:wrap="notBeside" w:vAnchor="text" w:hAnchor="text" w:xAlign="center" w:y="1"/>
        <w:shd w:val="clear" w:color="auto" w:fill="auto"/>
        <w:spacing w:line="202" w:lineRule="exact"/>
        <w:jc w:val="left"/>
      </w:pPr>
      <w:r>
        <w:rPr>
          <w:rStyle w:val="3f3"/>
          <w:b/>
          <w:bCs/>
          <w:vertAlign w:val="superscript"/>
        </w:rPr>
        <w:t>1</w:t>
      </w:r>
      <w:r>
        <w:rPr>
          <w:rStyle w:val="3f3"/>
          <w:b/>
          <w:bCs/>
        </w:rPr>
        <w:t xml:space="preserve"> В случае если рассматриваемая сделка финансируется соинвесторами на прин</w:t>
      </w:r>
      <w:r>
        <w:rPr>
          <w:rStyle w:val="3f3"/>
          <w:b/>
          <w:bCs/>
        </w:rPr>
        <w:softHyphen/>
        <w:t>ципах участия в капитале проекта.</w:t>
      </w:r>
    </w:p>
    <w:p w14:paraId="458BE211" w14:textId="77777777" w:rsidR="00350D42" w:rsidRDefault="00350D42">
      <w:pPr>
        <w:framePr w:w="6581" w:wrap="notBeside" w:vAnchor="text" w:hAnchor="text" w:xAlign="center" w:y="1"/>
        <w:rPr>
          <w:sz w:val="2"/>
          <w:szCs w:val="2"/>
        </w:rPr>
      </w:pPr>
    </w:p>
    <w:p w14:paraId="226C83FD" w14:textId="77777777" w:rsidR="00350D42" w:rsidRDefault="00350D42">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2395"/>
        <w:gridCol w:w="902"/>
        <w:gridCol w:w="1272"/>
      </w:tblGrid>
      <w:tr w:rsidR="00350D42" w14:paraId="6DB542BF" w14:textId="77777777">
        <w:trPr>
          <w:trHeight w:hRule="exact" w:val="773"/>
          <w:jc w:val="center"/>
        </w:trPr>
        <w:tc>
          <w:tcPr>
            <w:tcW w:w="4406" w:type="dxa"/>
            <w:gridSpan w:val="2"/>
            <w:tcBorders>
              <w:top w:val="single" w:sz="4" w:space="0" w:color="auto"/>
              <w:left w:val="single" w:sz="4" w:space="0" w:color="auto"/>
            </w:tcBorders>
            <w:shd w:val="clear" w:color="auto" w:fill="FFFFFF"/>
          </w:tcPr>
          <w:p w14:paraId="38104446"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Показатели по подгруппам</w:t>
            </w:r>
          </w:p>
        </w:tc>
        <w:tc>
          <w:tcPr>
            <w:tcW w:w="902" w:type="dxa"/>
            <w:tcBorders>
              <w:top w:val="single" w:sz="4" w:space="0" w:color="auto"/>
              <w:left w:val="single" w:sz="4" w:space="0" w:color="auto"/>
            </w:tcBorders>
            <w:shd w:val="clear" w:color="auto" w:fill="FFFFFF"/>
            <w:vAlign w:val="bottom"/>
          </w:tcPr>
          <w:p w14:paraId="6317F038" w14:textId="77777777" w:rsidR="00350D42" w:rsidRDefault="008E6F64">
            <w:pPr>
              <w:pStyle w:val="2c"/>
              <w:framePr w:w="6581" w:wrap="notBeside" w:vAnchor="text" w:hAnchor="text" w:xAlign="center" w:y="1"/>
              <w:shd w:val="clear" w:color="auto" w:fill="auto"/>
              <w:spacing w:before="0" w:line="216" w:lineRule="exact"/>
            </w:pPr>
            <w:r>
              <w:rPr>
                <w:rStyle w:val="275pt"/>
              </w:rPr>
              <w:t>Баллы</w:t>
            </w:r>
          </w:p>
          <w:p w14:paraId="2867766D" w14:textId="77777777" w:rsidR="00350D42" w:rsidRDefault="008E6F64">
            <w:pPr>
              <w:pStyle w:val="2c"/>
              <w:framePr w:w="6581" w:wrap="notBeside" w:vAnchor="text" w:hAnchor="text" w:xAlign="center" w:y="1"/>
              <w:shd w:val="clear" w:color="auto" w:fill="auto"/>
              <w:spacing w:before="0" w:line="216" w:lineRule="exact"/>
            </w:pPr>
            <w:r>
              <w:rPr>
                <w:rStyle w:val="275pt"/>
              </w:rPr>
              <w:t>по под</w:t>
            </w:r>
            <w:r>
              <w:rPr>
                <w:rStyle w:val="275pt"/>
              </w:rPr>
              <w:softHyphen/>
              <w:t>группе</w:t>
            </w:r>
          </w:p>
        </w:tc>
        <w:tc>
          <w:tcPr>
            <w:tcW w:w="1272" w:type="dxa"/>
            <w:tcBorders>
              <w:top w:val="single" w:sz="4" w:space="0" w:color="auto"/>
              <w:left w:val="single" w:sz="4" w:space="0" w:color="auto"/>
              <w:right w:val="single" w:sz="4" w:space="0" w:color="auto"/>
            </w:tcBorders>
            <w:shd w:val="clear" w:color="auto" w:fill="FFFFFF"/>
            <w:vAlign w:val="bottom"/>
          </w:tcPr>
          <w:p w14:paraId="24370486" w14:textId="77777777" w:rsidR="00350D42" w:rsidRDefault="008E6F64">
            <w:pPr>
              <w:pStyle w:val="2c"/>
              <w:framePr w:w="6581" w:wrap="notBeside" w:vAnchor="text" w:hAnchor="text" w:xAlign="center" w:y="1"/>
              <w:shd w:val="clear" w:color="auto" w:fill="auto"/>
              <w:spacing w:before="0" w:line="216" w:lineRule="exact"/>
              <w:ind w:left="300" w:hanging="100"/>
              <w:jc w:val="left"/>
            </w:pPr>
            <w:r>
              <w:rPr>
                <w:rStyle w:val="275pt"/>
              </w:rPr>
              <w:t>Удельный вес под</w:t>
            </w:r>
            <w:r>
              <w:rPr>
                <w:rStyle w:val="275pt"/>
              </w:rPr>
              <w:softHyphen/>
              <w:t>группы</w:t>
            </w:r>
          </w:p>
        </w:tc>
      </w:tr>
      <w:tr w:rsidR="00350D42" w14:paraId="7B41A634" w14:textId="77777777">
        <w:trPr>
          <w:trHeight w:hRule="exact" w:val="331"/>
          <w:jc w:val="center"/>
        </w:trPr>
        <w:tc>
          <w:tcPr>
            <w:tcW w:w="2011" w:type="dxa"/>
            <w:vMerge w:val="restart"/>
            <w:tcBorders>
              <w:top w:val="single" w:sz="4" w:space="0" w:color="auto"/>
              <w:left w:val="single" w:sz="4" w:space="0" w:color="auto"/>
            </w:tcBorders>
            <w:shd w:val="clear" w:color="auto" w:fill="FFFFFF"/>
          </w:tcPr>
          <w:p w14:paraId="5DCE90D2"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Доля банка в общем объеме финансирова</w:t>
            </w:r>
            <w:r>
              <w:rPr>
                <w:rStyle w:val="275pt0"/>
              </w:rPr>
              <w:softHyphen/>
              <w:t>ния составляет:</w:t>
            </w:r>
          </w:p>
        </w:tc>
        <w:tc>
          <w:tcPr>
            <w:tcW w:w="2395" w:type="dxa"/>
            <w:tcBorders>
              <w:top w:val="single" w:sz="4" w:space="0" w:color="auto"/>
              <w:left w:val="single" w:sz="4" w:space="0" w:color="auto"/>
            </w:tcBorders>
            <w:shd w:val="clear" w:color="auto" w:fill="FFFFFF"/>
            <w:vAlign w:val="center"/>
          </w:tcPr>
          <w:p w14:paraId="5896B6CF"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&lt; 20 %</w:t>
            </w:r>
          </w:p>
        </w:tc>
        <w:tc>
          <w:tcPr>
            <w:tcW w:w="902" w:type="dxa"/>
            <w:tcBorders>
              <w:top w:val="single" w:sz="4" w:space="0" w:color="auto"/>
              <w:left w:val="single" w:sz="4" w:space="0" w:color="auto"/>
            </w:tcBorders>
            <w:shd w:val="clear" w:color="auto" w:fill="FFFFFF"/>
            <w:vAlign w:val="bottom"/>
          </w:tcPr>
          <w:p w14:paraId="28EFF9F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c>
          <w:tcPr>
            <w:tcW w:w="1272" w:type="dxa"/>
            <w:tcBorders>
              <w:top w:val="single" w:sz="4" w:space="0" w:color="auto"/>
              <w:left w:val="single" w:sz="4" w:space="0" w:color="auto"/>
              <w:right w:val="single" w:sz="4" w:space="0" w:color="auto"/>
            </w:tcBorders>
            <w:shd w:val="clear" w:color="auto" w:fill="FFFFFF"/>
            <w:vAlign w:val="center"/>
          </w:tcPr>
          <w:p w14:paraId="19555F9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0,35</w:t>
            </w:r>
          </w:p>
        </w:tc>
      </w:tr>
      <w:tr w:rsidR="00350D42" w14:paraId="617FA3A8" w14:textId="77777777">
        <w:trPr>
          <w:trHeight w:hRule="exact" w:val="326"/>
          <w:jc w:val="center"/>
        </w:trPr>
        <w:tc>
          <w:tcPr>
            <w:tcW w:w="2011" w:type="dxa"/>
            <w:vMerge/>
            <w:tcBorders>
              <w:left w:val="single" w:sz="4" w:space="0" w:color="auto"/>
            </w:tcBorders>
            <w:shd w:val="clear" w:color="auto" w:fill="FFFFFF"/>
          </w:tcPr>
          <w:p w14:paraId="2092247C" w14:textId="77777777" w:rsidR="00350D42" w:rsidRDefault="00350D42">
            <w:pPr>
              <w:framePr w:w="6581" w:wrap="notBeside" w:vAnchor="text" w:hAnchor="text" w:xAlign="center" w:y="1"/>
            </w:pPr>
          </w:p>
        </w:tc>
        <w:tc>
          <w:tcPr>
            <w:tcW w:w="2395" w:type="dxa"/>
            <w:tcBorders>
              <w:top w:val="single" w:sz="4" w:space="0" w:color="auto"/>
              <w:left w:val="single" w:sz="4" w:space="0" w:color="auto"/>
            </w:tcBorders>
            <w:shd w:val="clear" w:color="auto" w:fill="FFFFFF"/>
            <w:vAlign w:val="bottom"/>
          </w:tcPr>
          <w:p w14:paraId="218E6BCF"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20 % &lt; ... &lt; 30 %</w:t>
            </w:r>
          </w:p>
        </w:tc>
        <w:tc>
          <w:tcPr>
            <w:tcW w:w="902" w:type="dxa"/>
            <w:tcBorders>
              <w:top w:val="single" w:sz="4" w:space="0" w:color="auto"/>
              <w:left w:val="single" w:sz="4" w:space="0" w:color="auto"/>
            </w:tcBorders>
            <w:shd w:val="clear" w:color="auto" w:fill="FFFFFF"/>
            <w:vAlign w:val="bottom"/>
          </w:tcPr>
          <w:p w14:paraId="6FCAB7F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50</w:t>
            </w:r>
          </w:p>
        </w:tc>
        <w:tc>
          <w:tcPr>
            <w:tcW w:w="1272" w:type="dxa"/>
            <w:tcBorders>
              <w:top w:val="single" w:sz="4" w:space="0" w:color="auto"/>
              <w:left w:val="single" w:sz="4" w:space="0" w:color="auto"/>
              <w:right w:val="single" w:sz="4" w:space="0" w:color="auto"/>
            </w:tcBorders>
            <w:shd w:val="clear" w:color="auto" w:fill="FFFFFF"/>
          </w:tcPr>
          <w:p w14:paraId="4F0081C8" w14:textId="77777777" w:rsidR="00350D42" w:rsidRDefault="00350D42">
            <w:pPr>
              <w:framePr w:w="6581" w:wrap="notBeside" w:vAnchor="text" w:hAnchor="text" w:xAlign="center" w:y="1"/>
              <w:rPr>
                <w:sz w:val="10"/>
                <w:szCs w:val="10"/>
              </w:rPr>
            </w:pPr>
          </w:p>
        </w:tc>
      </w:tr>
      <w:tr w:rsidR="00350D42" w14:paraId="2BEDE742" w14:textId="77777777">
        <w:trPr>
          <w:trHeight w:hRule="exact" w:val="331"/>
          <w:jc w:val="center"/>
        </w:trPr>
        <w:tc>
          <w:tcPr>
            <w:tcW w:w="2011" w:type="dxa"/>
            <w:vMerge/>
            <w:tcBorders>
              <w:left w:val="single" w:sz="4" w:space="0" w:color="auto"/>
            </w:tcBorders>
            <w:shd w:val="clear" w:color="auto" w:fill="FFFFFF"/>
          </w:tcPr>
          <w:p w14:paraId="78B6413D" w14:textId="77777777" w:rsidR="00350D42" w:rsidRDefault="00350D42">
            <w:pPr>
              <w:framePr w:w="6581" w:wrap="notBeside" w:vAnchor="text" w:hAnchor="text" w:xAlign="center" w:y="1"/>
            </w:pPr>
          </w:p>
        </w:tc>
        <w:tc>
          <w:tcPr>
            <w:tcW w:w="2395" w:type="dxa"/>
            <w:tcBorders>
              <w:top w:val="single" w:sz="4" w:space="0" w:color="auto"/>
              <w:left w:val="single" w:sz="4" w:space="0" w:color="auto"/>
            </w:tcBorders>
            <w:shd w:val="clear" w:color="auto" w:fill="FFFFFF"/>
            <w:vAlign w:val="bottom"/>
          </w:tcPr>
          <w:p w14:paraId="02F1BFDE"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30 % &lt; ... &lt; 50 %</w:t>
            </w:r>
          </w:p>
        </w:tc>
        <w:tc>
          <w:tcPr>
            <w:tcW w:w="902" w:type="dxa"/>
            <w:tcBorders>
              <w:top w:val="single" w:sz="4" w:space="0" w:color="auto"/>
              <w:left w:val="single" w:sz="4" w:space="0" w:color="auto"/>
            </w:tcBorders>
            <w:shd w:val="clear" w:color="auto" w:fill="FFFFFF"/>
            <w:vAlign w:val="bottom"/>
          </w:tcPr>
          <w:p w14:paraId="0F5A611F"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75</w:t>
            </w:r>
          </w:p>
        </w:tc>
        <w:tc>
          <w:tcPr>
            <w:tcW w:w="1272" w:type="dxa"/>
            <w:tcBorders>
              <w:top w:val="single" w:sz="4" w:space="0" w:color="auto"/>
              <w:left w:val="single" w:sz="4" w:space="0" w:color="auto"/>
              <w:right w:val="single" w:sz="4" w:space="0" w:color="auto"/>
            </w:tcBorders>
            <w:shd w:val="clear" w:color="auto" w:fill="FFFFFF"/>
          </w:tcPr>
          <w:p w14:paraId="194CA1F5" w14:textId="77777777" w:rsidR="00350D42" w:rsidRDefault="00350D42">
            <w:pPr>
              <w:framePr w:w="6581" w:wrap="notBeside" w:vAnchor="text" w:hAnchor="text" w:xAlign="center" w:y="1"/>
              <w:rPr>
                <w:sz w:val="10"/>
                <w:szCs w:val="10"/>
              </w:rPr>
            </w:pPr>
          </w:p>
        </w:tc>
      </w:tr>
      <w:tr w:rsidR="00350D42" w14:paraId="7600CD27" w14:textId="77777777">
        <w:trPr>
          <w:trHeight w:hRule="exact" w:val="336"/>
          <w:jc w:val="center"/>
        </w:trPr>
        <w:tc>
          <w:tcPr>
            <w:tcW w:w="2011" w:type="dxa"/>
            <w:vMerge/>
            <w:tcBorders>
              <w:left w:val="single" w:sz="4" w:space="0" w:color="auto"/>
              <w:bottom w:val="single" w:sz="4" w:space="0" w:color="auto"/>
            </w:tcBorders>
            <w:shd w:val="clear" w:color="auto" w:fill="FFFFFF"/>
          </w:tcPr>
          <w:p w14:paraId="60CD8BBE" w14:textId="77777777" w:rsidR="00350D42" w:rsidRDefault="00350D42">
            <w:pPr>
              <w:framePr w:w="6581" w:wrap="notBeside" w:vAnchor="text" w:hAnchor="text" w:xAlign="center" w:y="1"/>
            </w:pPr>
          </w:p>
        </w:tc>
        <w:tc>
          <w:tcPr>
            <w:tcW w:w="2395" w:type="dxa"/>
            <w:tcBorders>
              <w:top w:val="single" w:sz="4" w:space="0" w:color="auto"/>
              <w:left w:val="single" w:sz="4" w:space="0" w:color="auto"/>
              <w:bottom w:val="single" w:sz="4" w:space="0" w:color="auto"/>
            </w:tcBorders>
            <w:shd w:val="clear" w:color="auto" w:fill="FFFFFF"/>
            <w:vAlign w:val="center"/>
          </w:tcPr>
          <w:p w14:paraId="4876DDC7"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&gt; 50 %</w:t>
            </w:r>
          </w:p>
        </w:tc>
        <w:tc>
          <w:tcPr>
            <w:tcW w:w="902" w:type="dxa"/>
            <w:tcBorders>
              <w:top w:val="single" w:sz="4" w:space="0" w:color="auto"/>
              <w:left w:val="single" w:sz="4" w:space="0" w:color="auto"/>
              <w:bottom w:val="single" w:sz="4" w:space="0" w:color="auto"/>
            </w:tcBorders>
            <w:shd w:val="clear" w:color="auto" w:fill="FFFFFF"/>
            <w:vAlign w:val="bottom"/>
          </w:tcPr>
          <w:p w14:paraId="1326E86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56AE4102" w14:textId="77777777" w:rsidR="00350D42" w:rsidRDefault="00350D42">
            <w:pPr>
              <w:framePr w:w="6581" w:wrap="notBeside" w:vAnchor="text" w:hAnchor="text" w:xAlign="center" w:y="1"/>
              <w:rPr>
                <w:sz w:val="10"/>
                <w:szCs w:val="10"/>
              </w:rPr>
            </w:pPr>
          </w:p>
        </w:tc>
      </w:tr>
    </w:tbl>
    <w:p w14:paraId="17CB52CC" w14:textId="77777777" w:rsidR="00350D42" w:rsidRDefault="00350D42">
      <w:pPr>
        <w:framePr w:w="6581" w:wrap="notBeside" w:vAnchor="text" w:hAnchor="text" w:xAlign="center" w:y="1"/>
        <w:rPr>
          <w:sz w:val="2"/>
          <w:szCs w:val="2"/>
        </w:rPr>
      </w:pPr>
    </w:p>
    <w:p w14:paraId="6E3418E0" w14:textId="77777777" w:rsidR="00350D42" w:rsidRDefault="00350D42">
      <w:pPr>
        <w:rPr>
          <w:sz w:val="2"/>
          <w:szCs w:val="2"/>
        </w:rPr>
      </w:pPr>
    </w:p>
    <w:p w14:paraId="5FAB2F20" w14:textId="77777777" w:rsidR="00350D42" w:rsidRDefault="008E6F64">
      <w:pPr>
        <w:pStyle w:val="111"/>
        <w:numPr>
          <w:ilvl w:val="0"/>
          <w:numId w:val="164"/>
        </w:numPr>
        <w:shd w:val="clear" w:color="auto" w:fill="auto"/>
        <w:tabs>
          <w:tab w:val="left" w:pos="635"/>
        </w:tabs>
        <w:spacing w:before="94" w:after="146" w:line="250" w:lineRule="exact"/>
        <w:ind w:firstLine="320"/>
        <w:jc w:val="left"/>
      </w:pPr>
      <w:r>
        <w:rPr>
          <w:rStyle w:val="11BookmanOldStyle9pt0"/>
        </w:rPr>
        <w:t xml:space="preserve">Наличие дополнительных источников финансирования. </w:t>
      </w:r>
      <w:r>
        <w:rPr>
          <w:rStyle w:val="113"/>
          <w:b/>
          <w:bCs/>
        </w:rPr>
        <w:t>Оценить фактор «наличие дополнительных источников финан</w:t>
      </w:r>
      <w:r>
        <w:rPr>
          <w:rStyle w:val="113"/>
          <w:b/>
          <w:bCs/>
        </w:rPr>
        <w:softHyphen/>
        <w:t>сирования» нам позволяет табл. П.2.15.</w:t>
      </w:r>
    </w:p>
    <w:p w14:paraId="453BD23D" w14:textId="77777777" w:rsidR="00350D42" w:rsidRDefault="008E6F64">
      <w:pPr>
        <w:pStyle w:val="190"/>
        <w:shd w:val="clear" w:color="auto" w:fill="auto"/>
        <w:spacing w:after="98"/>
      </w:pPr>
      <w:r>
        <w:rPr>
          <w:rStyle w:val="191"/>
          <w:i/>
          <w:iCs/>
        </w:rPr>
        <w:t>Таблица П.2.15</w:t>
      </w:r>
    </w:p>
    <w:p w14:paraId="22FD526B" w14:textId="77777777" w:rsidR="00350D42" w:rsidRDefault="008E6F64">
      <w:pPr>
        <w:pStyle w:val="111"/>
        <w:shd w:val="clear" w:color="auto" w:fill="auto"/>
        <w:spacing w:before="0" w:after="0" w:line="194" w:lineRule="exact"/>
      </w:pPr>
      <w:r>
        <w:rPr>
          <w:rStyle w:val="113"/>
          <w:b/>
          <w:bCs/>
        </w:rPr>
        <w:t>Оценка фактора «наличие дополнительных источников финансирования»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13"/>
        <w:gridCol w:w="4224"/>
        <w:gridCol w:w="744"/>
      </w:tblGrid>
      <w:tr w:rsidR="00350D42" w14:paraId="07CF2FCA" w14:textId="77777777">
        <w:trPr>
          <w:trHeight w:hRule="exact" w:val="408"/>
          <w:jc w:val="center"/>
        </w:trPr>
        <w:tc>
          <w:tcPr>
            <w:tcW w:w="5837" w:type="dxa"/>
            <w:gridSpan w:val="2"/>
            <w:tcBorders>
              <w:top w:val="single" w:sz="4" w:space="0" w:color="auto"/>
              <w:left w:val="single" w:sz="4" w:space="0" w:color="auto"/>
            </w:tcBorders>
            <w:shd w:val="clear" w:color="auto" w:fill="FFFFFF"/>
            <w:vAlign w:val="center"/>
          </w:tcPr>
          <w:p w14:paraId="6B4F87B1"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t>Значения показателя</w:t>
            </w:r>
          </w:p>
        </w:tc>
        <w:tc>
          <w:tcPr>
            <w:tcW w:w="744" w:type="dxa"/>
            <w:tcBorders>
              <w:top w:val="single" w:sz="4" w:space="0" w:color="auto"/>
              <w:left w:val="single" w:sz="4" w:space="0" w:color="auto"/>
              <w:right w:val="single" w:sz="4" w:space="0" w:color="auto"/>
            </w:tcBorders>
            <w:shd w:val="clear" w:color="auto" w:fill="FFFFFF"/>
            <w:vAlign w:val="center"/>
          </w:tcPr>
          <w:p w14:paraId="651593AD"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Баллы</w:t>
            </w:r>
          </w:p>
        </w:tc>
      </w:tr>
      <w:tr w:rsidR="00350D42" w14:paraId="6930231F" w14:textId="77777777">
        <w:trPr>
          <w:trHeight w:hRule="exact" w:val="1282"/>
          <w:jc w:val="center"/>
        </w:trPr>
        <w:tc>
          <w:tcPr>
            <w:tcW w:w="1613" w:type="dxa"/>
            <w:vMerge w:val="restart"/>
            <w:tcBorders>
              <w:top w:val="single" w:sz="4" w:space="0" w:color="auto"/>
              <w:left w:val="single" w:sz="4" w:space="0" w:color="auto"/>
            </w:tcBorders>
            <w:shd w:val="clear" w:color="auto" w:fill="FFFFFF"/>
          </w:tcPr>
          <w:p w14:paraId="326906FD"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В случае превы</w:t>
            </w:r>
            <w:r>
              <w:rPr>
                <w:rStyle w:val="275pt0"/>
              </w:rPr>
              <w:softHyphen/>
              <w:t>шения факти</w:t>
            </w:r>
            <w:r>
              <w:rPr>
                <w:rStyle w:val="275pt0"/>
              </w:rPr>
              <w:softHyphen/>
              <w:t>ческой сметной</w:t>
            </w:r>
          </w:p>
          <w:p w14:paraId="023DF101"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стоимости</w:t>
            </w:r>
          </w:p>
          <w:p w14:paraId="1D5365B8"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строительства</w:t>
            </w:r>
          </w:p>
          <w:p w14:paraId="2371F9B9"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над запланиро</w:t>
            </w:r>
            <w:r>
              <w:rPr>
                <w:rStyle w:val="275pt0"/>
              </w:rPr>
              <w:softHyphen/>
              <w:t>ванной:</w:t>
            </w:r>
          </w:p>
        </w:tc>
        <w:tc>
          <w:tcPr>
            <w:tcW w:w="4224" w:type="dxa"/>
            <w:tcBorders>
              <w:top w:val="single" w:sz="4" w:space="0" w:color="auto"/>
              <w:left w:val="single" w:sz="4" w:space="0" w:color="auto"/>
            </w:tcBorders>
            <w:shd w:val="clear" w:color="auto" w:fill="FFFFFF"/>
            <w:vAlign w:val="center"/>
          </w:tcPr>
          <w:p w14:paraId="6685E953"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дополнительные расходы способны оплатить инициатор из денежных потоков от операцион</w:t>
            </w:r>
            <w:r>
              <w:rPr>
                <w:rStyle w:val="275pt0"/>
              </w:rPr>
              <w:softHyphen/>
              <w:t>ной деятельности либо третьи лица (имеются соответствующие документы)</w:t>
            </w:r>
          </w:p>
        </w:tc>
        <w:tc>
          <w:tcPr>
            <w:tcW w:w="744" w:type="dxa"/>
            <w:tcBorders>
              <w:top w:val="single" w:sz="4" w:space="0" w:color="auto"/>
              <w:left w:val="single" w:sz="4" w:space="0" w:color="auto"/>
              <w:right w:val="single" w:sz="4" w:space="0" w:color="auto"/>
            </w:tcBorders>
            <w:shd w:val="clear" w:color="auto" w:fill="FFFFFF"/>
          </w:tcPr>
          <w:p w14:paraId="3A54FB0E" w14:textId="77777777" w:rsidR="00350D42" w:rsidRDefault="008E6F64">
            <w:pPr>
              <w:pStyle w:val="2c"/>
              <w:framePr w:w="6581" w:wrap="notBeside" w:vAnchor="text" w:hAnchor="text" w:xAlign="center" w:y="1"/>
              <w:shd w:val="clear" w:color="auto" w:fill="auto"/>
              <w:spacing w:before="0" w:line="168" w:lineRule="exact"/>
              <w:ind w:left="240"/>
              <w:jc w:val="left"/>
            </w:pPr>
            <w:r>
              <w:rPr>
                <w:rStyle w:val="275pt0"/>
              </w:rPr>
              <w:t>100</w:t>
            </w:r>
          </w:p>
        </w:tc>
      </w:tr>
      <w:tr w:rsidR="00350D42" w14:paraId="489601CF" w14:textId="77777777">
        <w:trPr>
          <w:trHeight w:hRule="exact" w:val="634"/>
          <w:jc w:val="center"/>
        </w:trPr>
        <w:tc>
          <w:tcPr>
            <w:tcW w:w="1613" w:type="dxa"/>
            <w:vMerge/>
            <w:tcBorders>
              <w:left w:val="single" w:sz="4" w:space="0" w:color="auto"/>
              <w:bottom w:val="single" w:sz="4" w:space="0" w:color="auto"/>
            </w:tcBorders>
            <w:shd w:val="clear" w:color="auto" w:fill="FFFFFF"/>
          </w:tcPr>
          <w:p w14:paraId="76C050B2" w14:textId="77777777" w:rsidR="00350D42" w:rsidRDefault="00350D42">
            <w:pPr>
              <w:framePr w:w="6581" w:wrap="notBeside" w:vAnchor="text" w:hAnchor="text" w:xAlign="center" w:y="1"/>
            </w:pPr>
          </w:p>
        </w:tc>
        <w:tc>
          <w:tcPr>
            <w:tcW w:w="4224" w:type="dxa"/>
            <w:tcBorders>
              <w:top w:val="single" w:sz="4" w:space="0" w:color="auto"/>
              <w:left w:val="single" w:sz="4" w:space="0" w:color="auto"/>
              <w:bottom w:val="single" w:sz="4" w:space="0" w:color="auto"/>
            </w:tcBorders>
            <w:shd w:val="clear" w:color="auto" w:fill="FFFFFF"/>
            <w:vAlign w:val="center"/>
          </w:tcPr>
          <w:p w14:paraId="4AE4C73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средства для оплаты дополнительных расходов</w:t>
            </w:r>
          </w:p>
          <w:p w14:paraId="45BB108C"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не предусмотрены</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14:paraId="3476B1F6"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r>
    </w:tbl>
    <w:p w14:paraId="3DD03B11" w14:textId="77777777" w:rsidR="00350D42" w:rsidRDefault="00350D42">
      <w:pPr>
        <w:framePr w:w="6581" w:wrap="notBeside" w:vAnchor="text" w:hAnchor="text" w:xAlign="center" w:y="1"/>
        <w:rPr>
          <w:sz w:val="2"/>
          <w:szCs w:val="2"/>
        </w:rPr>
      </w:pPr>
    </w:p>
    <w:p w14:paraId="7876BEFC" w14:textId="77777777" w:rsidR="00350D42" w:rsidRDefault="00350D42">
      <w:pPr>
        <w:rPr>
          <w:sz w:val="2"/>
          <w:szCs w:val="2"/>
        </w:rPr>
      </w:pPr>
    </w:p>
    <w:p w14:paraId="7E89B225" w14:textId="77777777" w:rsidR="00350D42" w:rsidRDefault="008E6F64">
      <w:pPr>
        <w:pStyle w:val="180"/>
        <w:numPr>
          <w:ilvl w:val="0"/>
          <w:numId w:val="164"/>
        </w:numPr>
        <w:shd w:val="clear" w:color="auto" w:fill="auto"/>
        <w:tabs>
          <w:tab w:val="left" w:pos="639"/>
        </w:tabs>
        <w:spacing w:before="98" w:line="250" w:lineRule="exact"/>
        <w:ind w:firstLine="320"/>
        <w:jc w:val="left"/>
      </w:pPr>
      <w:r>
        <w:rPr>
          <w:rStyle w:val="181"/>
          <w:i/>
          <w:iCs/>
        </w:rPr>
        <w:t>Степень контроля банка за заемщиком.</w:t>
      </w:r>
    </w:p>
    <w:p w14:paraId="0384252A" w14:textId="77777777" w:rsidR="00350D42" w:rsidRDefault="008E6F64">
      <w:pPr>
        <w:pStyle w:val="111"/>
        <w:shd w:val="clear" w:color="auto" w:fill="auto"/>
        <w:spacing w:before="0" w:after="146" w:line="250" w:lineRule="exact"/>
        <w:ind w:firstLine="320"/>
        <w:jc w:val="both"/>
      </w:pPr>
      <w:r>
        <w:rPr>
          <w:rStyle w:val="113"/>
          <w:b/>
          <w:bCs/>
        </w:rPr>
        <w:t>Ниже приведена табл. П.2.16, позволяющая нам оценить данный фактор «степень контроля банка за заемщиком» / «степень контро</w:t>
      </w:r>
      <w:r>
        <w:rPr>
          <w:rStyle w:val="113"/>
          <w:b/>
          <w:bCs/>
        </w:rPr>
        <w:softHyphen/>
        <w:t>ля инвестора за инициатором проекта».</w:t>
      </w:r>
    </w:p>
    <w:p w14:paraId="7F926923" w14:textId="77777777" w:rsidR="00350D42" w:rsidRDefault="008E6F64">
      <w:pPr>
        <w:pStyle w:val="190"/>
        <w:shd w:val="clear" w:color="auto" w:fill="auto"/>
        <w:spacing w:after="66"/>
      </w:pPr>
      <w:r>
        <w:rPr>
          <w:rStyle w:val="191"/>
          <w:i/>
          <w:iCs/>
        </w:rPr>
        <w:t>Таблица П.2.16</w:t>
      </w:r>
    </w:p>
    <w:p w14:paraId="2ED85C5A" w14:textId="77777777" w:rsidR="00350D42" w:rsidRDefault="008E6F64">
      <w:pPr>
        <w:pStyle w:val="111"/>
        <w:shd w:val="clear" w:color="auto" w:fill="auto"/>
        <w:spacing w:before="0" w:after="0" w:line="235" w:lineRule="exact"/>
      </w:pPr>
      <w:r>
        <w:rPr>
          <w:rStyle w:val="113"/>
          <w:b/>
          <w:bCs/>
        </w:rPr>
        <w:t>Оценка фактора «степень контроля банка за заемщиком» / «степень контроля</w:t>
      </w:r>
      <w:r>
        <w:rPr>
          <w:rStyle w:val="113"/>
          <w:b/>
          <w:bCs/>
        </w:rPr>
        <w:br/>
        <w:t>инвестора за инициатором проекта»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98"/>
        <w:gridCol w:w="782"/>
      </w:tblGrid>
      <w:tr w:rsidR="00350D42" w14:paraId="3C98F67E" w14:textId="77777777">
        <w:trPr>
          <w:trHeight w:hRule="exact" w:val="437"/>
          <w:jc w:val="center"/>
        </w:trPr>
        <w:tc>
          <w:tcPr>
            <w:tcW w:w="5798" w:type="dxa"/>
            <w:tcBorders>
              <w:top w:val="single" w:sz="4" w:space="0" w:color="auto"/>
              <w:left w:val="single" w:sz="4" w:space="0" w:color="auto"/>
            </w:tcBorders>
            <w:shd w:val="clear" w:color="auto" w:fill="FFFFFF"/>
            <w:vAlign w:val="center"/>
          </w:tcPr>
          <w:p w14:paraId="3D5BAD41" w14:textId="77777777" w:rsidR="00350D42" w:rsidRDefault="008E6F64">
            <w:pPr>
              <w:pStyle w:val="2c"/>
              <w:framePr w:w="6581" w:wrap="notBeside" w:vAnchor="text" w:hAnchor="text" w:xAlign="center" w:y="1"/>
              <w:shd w:val="clear" w:color="auto" w:fill="auto"/>
              <w:spacing w:before="0" w:line="176" w:lineRule="exact"/>
              <w:jc w:val="center"/>
            </w:pPr>
            <w:r>
              <w:rPr>
                <w:rStyle w:val="275pt"/>
              </w:rPr>
              <w:lastRenderedPageBreak/>
              <w:t>Показатель</w:t>
            </w:r>
          </w:p>
        </w:tc>
        <w:tc>
          <w:tcPr>
            <w:tcW w:w="782" w:type="dxa"/>
            <w:tcBorders>
              <w:top w:val="single" w:sz="4" w:space="0" w:color="auto"/>
              <w:left w:val="single" w:sz="4" w:space="0" w:color="auto"/>
              <w:right w:val="single" w:sz="4" w:space="0" w:color="auto"/>
            </w:tcBorders>
            <w:shd w:val="clear" w:color="auto" w:fill="FFFFFF"/>
            <w:vAlign w:val="center"/>
          </w:tcPr>
          <w:p w14:paraId="0112782D" w14:textId="77777777" w:rsidR="00350D42" w:rsidRDefault="008E6F64">
            <w:pPr>
              <w:pStyle w:val="2c"/>
              <w:framePr w:w="6581" w:wrap="notBeside" w:vAnchor="text" w:hAnchor="text" w:xAlign="center" w:y="1"/>
              <w:shd w:val="clear" w:color="auto" w:fill="auto"/>
              <w:spacing w:before="0" w:line="176" w:lineRule="exact"/>
              <w:jc w:val="left"/>
            </w:pPr>
            <w:r>
              <w:rPr>
                <w:rStyle w:val="275pt"/>
              </w:rPr>
              <w:t>Баллы</w:t>
            </w:r>
          </w:p>
        </w:tc>
      </w:tr>
      <w:tr w:rsidR="00350D42" w14:paraId="408F3C9F" w14:textId="77777777">
        <w:trPr>
          <w:trHeight w:hRule="exact" w:val="874"/>
          <w:jc w:val="center"/>
        </w:trPr>
        <w:tc>
          <w:tcPr>
            <w:tcW w:w="5798" w:type="dxa"/>
            <w:tcBorders>
              <w:top w:val="single" w:sz="4" w:space="0" w:color="auto"/>
              <w:left w:val="single" w:sz="4" w:space="0" w:color="auto"/>
            </w:tcBorders>
            <w:shd w:val="clear" w:color="auto" w:fill="FFFFFF"/>
            <w:vAlign w:val="center"/>
          </w:tcPr>
          <w:p w14:paraId="533516B1"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Заемщик полностью обслуживается в банке и открывает специаль</w:t>
            </w:r>
            <w:r>
              <w:rPr>
                <w:rStyle w:val="275pt0"/>
              </w:rPr>
              <w:softHyphen/>
              <w:t>ный счет для аккумулирования выручки от проекта / инициатор проекта полностью подконтролен инвестору</w:t>
            </w:r>
          </w:p>
        </w:tc>
        <w:tc>
          <w:tcPr>
            <w:tcW w:w="782" w:type="dxa"/>
            <w:tcBorders>
              <w:top w:val="single" w:sz="4" w:space="0" w:color="auto"/>
              <w:left w:val="single" w:sz="4" w:space="0" w:color="auto"/>
              <w:right w:val="single" w:sz="4" w:space="0" w:color="auto"/>
            </w:tcBorders>
            <w:shd w:val="clear" w:color="auto" w:fill="FFFFFF"/>
          </w:tcPr>
          <w:p w14:paraId="36B45E37"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100</w:t>
            </w:r>
          </w:p>
        </w:tc>
      </w:tr>
      <w:tr w:rsidR="00350D42" w14:paraId="18967D76" w14:textId="77777777">
        <w:trPr>
          <w:trHeight w:hRule="exact" w:val="874"/>
          <w:jc w:val="center"/>
        </w:trPr>
        <w:tc>
          <w:tcPr>
            <w:tcW w:w="5798" w:type="dxa"/>
            <w:tcBorders>
              <w:top w:val="single" w:sz="4" w:space="0" w:color="auto"/>
              <w:left w:val="single" w:sz="4" w:space="0" w:color="auto"/>
            </w:tcBorders>
            <w:shd w:val="clear" w:color="auto" w:fill="FFFFFF"/>
            <w:vAlign w:val="center"/>
          </w:tcPr>
          <w:p w14:paraId="52157508"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Заемщик имеет счета в данном банке и других банках (активно их использует) / инициатор проекта частично подконтролен инве</w:t>
            </w:r>
            <w:r>
              <w:rPr>
                <w:rStyle w:val="275pt0"/>
              </w:rPr>
              <w:softHyphen/>
              <w:t>стору</w:t>
            </w:r>
          </w:p>
        </w:tc>
        <w:tc>
          <w:tcPr>
            <w:tcW w:w="782" w:type="dxa"/>
            <w:tcBorders>
              <w:top w:val="single" w:sz="4" w:space="0" w:color="auto"/>
              <w:left w:val="single" w:sz="4" w:space="0" w:color="auto"/>
              <w:right w:val="single" w:sz="4" w:space="0" w:color="auto"/>
            </w:tcBorders>
            <w:shd w:val="clear" w:color="auto" w:fill="FFFFFF"/>
          </w:tcPr>
          <w:p w14:paraId="1C37828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75</w:t>
            </w:r>
          </w:p>
        </w:tc>
      </w:tr>
      <w:tr w:rsidR="00350D42" w14:paraId="20D8AF49" w14:textId="77777777">
        <w:trPr>
          <w:trHeight w:hRule="exact" w:val="883"/>
          <w:jc w:val="center"/>
        </w:trPr>
        <w:tc>
          <w:tcPr>
            <w:tcW w:w="5798" w:type="dxa"/>
            <w:tcBorders>
              <w:top w:val="single" w:sz="4" w:space="0" w:color="auto"/>
              <w:left w:val="single" w:sz="4" w:space="0" w:color="auto"/>
              <w:bottom w:val="single" w:sz="4" w:space="0" w:color="auto"/>
            </w:tcBorders>
            <w:shd w:val="clear" w:color="auto" w:fill="FFFFFF"/>
            <w:vAlign w:val="center"/>
          </w:tcPr>
          <w:p w14:paraId="6057CF3D"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Заемщик открывает счет в банке только для проведения оборотов по проекту (в размере получаемого кредита в период его дей</w:t>
            </w:r>
            <w:r>
              <w:rPr>
                <w:rStyle w:val="275pt0"/>
              </w:rPr>
              <w:softHyphen/>
              <w:t>ствия) / денежные потоки инициатора проекта неконтролируемы</w:t>
            </w:r>
          </w:p>
        </w:tc>
        <w:tc>
          <w:tcPr>
            <w:tcW w:w="782" w:type="dxa"/>
            <w:tcBorders>
              <w:top w:val="single" w:sz="4" w:space="0" w:color="auto"/>
              <w:left w:val="single" w:sz="4" w:space="0" w:color="auto"/>
              <w:bottom w:val="single" w:sz="4" w:space="0" w:color="auto"/>
              <w:right w:val="single" w:sz="4" w:space="0" w:color="auto"/>
            </w:tcBorders>
            <w:shd w:val="clear" w:color="auto" w:fill="FFFFFF"/>
          </w:tcPr>
          <w:p w14:paraId="23B639E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w:t>
            </w:r>
          </w:p>
        </w:tc>
      </w:tr>
    </w:tbl>
    <w:p w14:paraId="33C93EDD" w14:textId="77777777" w:rsidR="00350D42" w:rsidRDefault="00350D42">
      <w:pPr>
        <w:framePr w:w="6581" w:wrap="notBeside" w:vAnchor="text" w:hAnchor="text" w:xAlign="center" w:y="1"/>
        <w:rPr>
          <w:sz w:val="2"/>
          <w:szCs w:val="2"/>
        </w:rPr>
      </w:pPr>
    </w:p>
    <w:p w14:paraId="4A7D78BB" w14:textId="77777777" w:rsidR="00350D42" w:rsidRDefault="00350D42">
      <w:pPr>
        <w:rPr>
          <w:sz w:val="2"/>
          <w:szCs w:val="2"/>
        </w:rPr>
      </w:pPr>
    </w:p>
    <w:p w14:paraId="4A8D6C9C" w14:textId="77777777" w:rsidR="00350D42" w:rsidRDefault="00350D42">
      <w:pPr>
        <w:rPr>
          <w:sz w:val="2"/>
          <w:szCs w:val="2"/>
        </w:rPr>
        <w:sectPr w:rsidR="00350D42">
          <w:headerReference w:type="even" r:id="rId212"/>
          <w:footerReference w:type="even" r:id="rId213"/>
          <w:footerReference w:type="default" r:id="rId214"/>
          <w:headerReference w:type="first" r:id="rId215"/>
          <w:footerReference w:type="first" r:id="rId216"/>
          <w:pgSz w:w="8789" w:h="13493"/>
          <w:pgMar w:top="1110" w:right="1074" w:bottom="1082" w:left="1072" w:header="0" w:footer="3" w:gutter="0"/>
          <w:cols w:space="720"/>
          <w:noEndnote/>
          <w:titlePg/>
          <w:docGrid w:linePitch="360"/>
        </w:sectPr>
      </w:pPr>
    </w:p>
    <w:p w14:paraId="2E8C6BDF" w14:textId="77777777" w:rsidR="00350D42" w:rsidRDefault="008E6F64">
      <w:pPr>
        <w:pStyle w:val="111"/>
        <w:shd w:val="clear" w:color="auto" w:fill="auto"/>
        <w:spacing w:before="0" w:after="0" w:line="264" w:lineRule="exact"/>
        <w:ind w:firstLine="140"/>
        <w:jc w:val="left"/>
      </w:pPr>
      <w:r>
        <w:rPr>
          <w:rStyle w:val="112"/>
        </w:rPr>
        <w:lastRenderedPageBreak/>
        <w:t xml:space="preserve">Классификация финансового состояния инициатора проекта </w:t>
      </w:r>
      <w:r>
        <w:rPr>
          <w:rStyle w:val="113"/>
          <w:b/>
          <w:bCs/>
        </w:rPr>
        <w:t>Классификация финансового состояния инициатора проекта и определение возможности участия банка в финансировании про</w:t>
      </w:r>
      <w:r>
        <w:rPr>
          <w:rStyle w:val="113"/>
          <w:b/>
          <w:bCs/>
        </w:rPr>
        <w:softHyphen/>
        <w:t>екта осуществляются с помощью табл. П.2.17.</w:t>
      </w:r>
    </w:p>
    <w:p w14:paraId="5C1323A0" w14:textId="77777777" w:rsidR="00350D42" w:rsidRDefault="008E6F64">
      <w:pPr>
        <w:pStyle w:val="190"/>
        <w:shd w:val="clear" w:color="auto" w:fill="auto"/>
      </w:pPr>
      <w:r>
        <w:rPr>
          <w:rStyle w:val="191"/>
          <w:i/>
          <w:iCs/>
        </w:rPr>
        <w:t>Таблица П.2.17</w:t>
      </w:r>
    </w:p>
    <w:p w14:paraId="654A9441" w14:textId="77777777" w:rsidR="00350D42" w:rsidRDefault="008E6F64">
      <w:pPr>
        <w:pStyle w:val="3f2"/>
        <w:framePr w:w="6581" w:wrap="notBeside" w:vAnchor="text" w:hAnchor="text" w:xAlign="center" w:y="1"/>
        <w:shd w:val="clear" w:color="auto" w:fill="auto"/>
      </w:pPr>
      <w:r>
        <w:rPr>
          <w:rStyle w:val="3f3"/>
          <w:b/>
          <w:bCs/>
        </w:rPr>
        <w:t xml:space="preserve">Классификация финансового состояния и возможности участия в проекте исходя из оценки уровня риска </w:t>
      </w:r>
      <w:r>
        <w:rPr>
          <w:rStyle w:val="3fa"/>
        </w:rPr>
        <w:t>R</w:t>
      </w:r>
      <w:r>
        <w:rPr>
          <w:rStyle w:val="3fa"/>
          <w:lang w:val="ru-RU" w:eastAsia="ru-RU" w:bidi="ru-RU"/>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1195"/>
        <w:gridCol w:w="4526"/>
      </w:tblGrid>
      <w:tr w:rsidR="00350D42" w14:paraId="48AFADB9" w14:textId="77777777">
        <w:trPr>
          <w:trHeight w:hRule="exact" w:val="835"/>
          <w:jc w:val="center"/>
        </w:trPr>
        <w:tc>
          <w:tcPr>
            <w:tcW w:w="859" w:type="dxa"/>
            <w:vMerge w:val="restart"/>
            <w:tcBorders>
              <w:top w:val="single" w:sz="4" w:space="0" w:color="auto"/>
              <w:left w:val="single" w:sz="4" w:space="0" w:color="auto"/>
            </w:tcBorders>
            <w:shd w:val="clear" w:color="auto" w:fill="FFFFFF"/>
          </w:tcPr>
          <w:p w14:paraId="7926675D"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Финан</w:t>
            </w:r>
            <w:r>
              <w:rPr>
                <w:rStyle w:val="275pt0"/>
              </w:rPr>
              <w:softHyphen/>
            </w:r>
          </w:p>
          <w:p w14:paraId="51584E40" w14:textId="77777777" w:rsidR="00350D42" w:rsidRDefault="008E6F64">
            <w:pPr>
              <w:pStyle w:val="2c"/>
              <w:framePr w:w="6581" w:wrap="notBeside" w:vAnchor="text" w:hAnchor="text" w:xAlign="center" w:y="1"/>
              <w:shd w:val="clear" w:color="auto" w:fill="auto"/>
              <w:spacing w:before="0" w:line="221" w:lineRule="exact"/>
              <w:jc w:val="center"/>
            </w:pPr>
            <w:r>
              <w:rPr>
                <w:rStyle w:val="275pt0"/>
              </w:rPr>
              <w:t>совое</w:t>
            </w:r>
          </w:p>
          <w:p w14:paraId="43BEC3A4" w14:textId="77777777" w:rsidR="00350D42" w:rsidRDefault="008E6F64">
            <w:pPr>
              <w:pStyle w:val="2c"/>
              <w:framePr w:w="6581" w:wrap="notBeside" w:vAnchor="text" w:hAnchor="text" w:xAlign="center" w:y="1"/>
              <w:shd w:val="clear" w:color="auto" w:fill="auto"/>
              <w:spacing w:before="0" w:line="221" w:lineRule="exact"/>
              <w:jc w:val="left"/>
            </w:pPr>
            <w:r>
              <w:rPr>
                <w:rStyle w:val="275pt0"/>
              </w:rPr>
              <w:t>состоя</w:t>
            </w:r>
            <w:r>
              <w:rPr>
                <w:rStyle w:val="275pt0"/>
              </w:rPr>
              <w:softHyphen/>
            </w:r>
          </w:p>
          <w:p w14:paraId="086454FB" w14:textId="77777777" w:rsidR="00350D42" w:rsidRDefault="008E6F64">
            <w:pPr>
              <w:pStyle w:val="2c"/>
              <w:framePr w:w="6581" w:wrap="notBeside" w:vAnchor="text" w:hAnchor="text" w:xAlign="center" w:y="1"/>
              <w:shd w:val="clear" w:color="auto" w:fill="auto"/>
              <w:spacing w:before="0" w:line="221" w:lineRule="exact"/>
              <w:jc w:val="center"/>
            </w:pPr>
            <w:r>
              <w:rPr>
                <w:rStyle w:val="275pt0"/>
              </w:rPr>
              <w:t>ние</w:t>
            </w:r>
          </w:p>
        </w:tc>
        <w:tc>
          <w:tcPr>
            <w:tcW w:w="5721" w:type="dxa"/>
            <w:gridSpan w:val="2"/>
            <w:tcBorders>
              <w:top w:val="single" w:sz="4" w:space="0" w:color="auto"/>
              <w:left w:val="single" w:sz="4" w:space="0" w:color="auto"/>
              <w:right w:val="single" w:sz="4" w:space="0" w:color="auto"/>
            </w:tcBorders>
            <w:shd w:val="clear" w:color="auto" w:fill="FFFFFF"/>
            <w:vAlign w:val="center"/>
          </w:tcPr>
          <w:p w14:paraId="0C1CD1F7" w14:textId="77777777" w:rsidR="00350D42" w:rsidRDefault="008E6F64">
            <w:pPr>
              <w:pStyle w:val="2c"/>
              <w:framePr w:w="6581" w:wrap="notBeside" w:vAnchor="text" w:hAnchor="text" w:xAlign="center" w:y="1"/>
              <w:shd w:val="clear" w:color="auto" w:fill="auto"/>
              <w:spacing w:before="0" w:line="221" w:lineRule="exact"/>
              <w:jc w:val="center"/>
            </w:pPr>
            <w:r>
              <w:rPr>
                <w:rStyle w:val="275pt0"/>
              </w:rPr>
              <w:t xml:space="preserve">Оценка риска, связанного с состоянием внутренней и внешней среды бизнеса инициатора и условиями кредитной сделки (риск </w:t>
            </w:r>
            <w:r>
              <w:rPr>
                <w:rStyle w:val="275pt1pt"/>
              </w:rPr>
              <w:t>Я</w:t>
            </w:r>
            <w:r>
              <w:rPr>
                <w:rStyle w:val="275pt1pt"/>
                <w:vertAlign w:val="subscript"/>
              </w:rPr>
              <w:t>г</w:t>
            </w:r>
            <w:r>
              <w:rPr>
                <w:rStyle w:val="275pt1pt"/>
              </w:rPr>
              <w:t>)</w:t>
            </w:r>
          </w:p>
        </w:tc>
      </w:tr>
      <w:tr w:rsidR="00350D42" w14:paraId="204F1757" w14:textId="77777777">
        <w:trPr>
          <w:trHeight w:hRule="exact" w:val="610"/>
          <w:jc w:val="center"/>
        </w:trPr>
        <w:tc>
          <w:tcPr>
            <w:tcW w:w="859" w:type="dxa"/>
            <w:vMerge/>
            <w:tcBorders>
              <w:left w:val="single" w:sz="4" w:space="0" w:color="auto"/>
            </w:tcBorders>
            <w:shd w:val="clear" w:color="auto" w:fill="FFFFFF"/>
          </w:tcPr>
          <w:p w14:paraId="16A86681" w14:textId="77777777" w:rsidR="00350D42" w:rsidRDefault="00350D42">
            <w:pPr>
              <w:framePr w:w="6581" w:wrap="notBeside" w:vAnchor="text" w:hAnchor="text" w:xAlign="center" w:y="1"/>
            </w:pPr>
          </w:p>
        </w:tc>
        <w:tc>
          <w:tcPr>
            <w:tcW w:w="1195" w:type="dxa"/>
            <w:tcBorders>
              <w:top w:val="single" w:sz="4" w:space="0" w:color="auto"/>
              <w:left w:val="single" w:sz="4" w:space="0" w:color="auto"/>
            </w:tcBorders>
            <w:shd w:val="clear" w:color="auto" w:fill="FFFFFF"/>
            <w:vAlign w:val="center"/>
          </w:tcPr>
          <w:p w14:paraId="5571239A"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Количество</w:t>
            </w:r>
          </w:p>
          <w:p w14:paraId="706FA262"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баллов</w:t>
            </w:r>
          </w:p>
        </w:tc>
        <w:tc>
          <w:tcPr>
            <w:tcW w:w="4526" w:type="dxa"/>
            <w:tcBorders>
              <w:top w:val="single" w:sz="4" w:space="0" w:color="auto"/>
              <w:left w:val="single" w:sz="4" w:space="0" w:color="auto"/>
              <w:right w:val="single" w:sz="4" w:space="0" w:color="auto"/>
            </w:tcBorders>
            <w:shd w:val="clear" w:color="auto" w:fill="FFFFFF"/>
          </w:tcPr>
          <w:p w14:paraId="05B588D5"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Интерпретация</w:t>
            </w:r>
          </w:p>
        </w:tc>
      </w:tr>
      <w:tr w:rsidR="00350D42" w14:paraId="4B49A13E" w14:textId="77777777">
        <w:trPr>
          <w:trHeight w:hRule="exact" w:val="389"/>
          <w:jc w:val="center"/>
        </w:trPr>
        <w:tc>
          <w:tcPr>
            <w:tcW w:w="859" w:type="dxa"/>
            <w:vMerge w:val="restart"/>
            <w:tcBorders>
              <w:top w:val="single" w:sz="4" w:space="0" w:color="auto"/>
              <w:left w:val="single" w:sz="4" w:space="0" w:color="auto"/>
            </w:tcBorders>
            <w:shd w:val="clear" w:color="auto" w:fill="FFFFFF"/>
          </w:tcPr>
          <w:p w14:paraId="153F34C8"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Хоро</w:t>
            </w:r>
            <w:r>
              <w:rPr>
                <w:rStyle w:val="275pt0"/>
              </w:rPr>
              <w:softHyphen/>
            </w:r>
          </w:p>
          <w:p w14:paraId="34D89DC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шее</w:t>
            </w:r>
          </w:p>
        </w:tc>
        <w:tc>
          <w:tcPr>
            <w:tcW w:w="1195" w:type="dxa"/>
            <w:tcBorders>
              <w:top w:val="single" w:sz="4" w:space="0" w:color="auto"/>
              <w:left w:val="single" w:sz="4" w:space="0" w:color="auto"/>
            </w:tcBorders>
            <w:shd w:val="clear" w:color="auto" w:fill="FFFFFF"/>
            <w:vAlign w:val="center"/>
          </w:tcPr>
          <w:p w14:paraId="7529627C"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65—100</w:t>
            </w:r>
          </w:p>
        </w:tc>
        <w:tc>
          <w:tcPr>
            <w:tcW w:w="4526" w:type="dxa"/>
            <w:tcBorders>
              <w:top w:val="single" w:sz="4" w:space="0" w:color="auto"/>
              <w:left w:val="single" w:sz="4" w:space="0" w:color="auto"/>
              <w:right w:val="single" w:sz="4" w:space="0" w:color="auto"/>
            </w:tcBorders>
            <w:shd w:val="clear" w:color="auto" w:fill="FFFFFF"/>
            <w:vAlign w:val="center"/>
          </w:tcPr>
          <w:p w14:paraId="4FB419A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Возможно участие в финансировании проекта</w:t>
            </w:r>
          </w:p>
        </w:tc>
      </w:tr>
      <w:tr w:rsidR="00350D42" w14:paraId="6AF44591" w14:textId="77777777">
        <w:trPr>
          <w:trHeight w:hRule="exact" w:val="830"/>
          <w:jc w:val="center"/>
        </w:trPr>
        <w:tc>
          <w:tcPr>
            <w:tcW w:w="859" w:type="dxa"/>
            <w:vMerge/>
            <w:tcBorders>
              <w:left w:val="single" w:sz="4" w:space="0" w:color="auto"/>
            </w:tcBorders>
            <w:shd w:val="clear" w:color="auto" w:fill="FFFFFF"/>
          </w:tcPr>
          <w:p w14:paraId="62BBA57B" w14:textId="77777777" w:rsidR="00350D42" w:rsidRDefault="00350D42">
            <w:pPr>
              <w:framePr w:w="6581" w:wrap="notBeside" w:vAnchor="text" w:hAnchor="text" w:xAlign="center" w:y="1"/>
            </w:pPr>
          </w:p>
        </w:tc>
        <w:tc>
          <w:tcPr>
            <w:tcW w:w="1195" w:type="dxa"/>
            <w:tcBorders>
              <w:top w:val="single" w:sz="4" w:space="0" w:color="auto"/>
              <w:left w:val="single" w:sz="4" w:space="0" w:color="auto"/>
            </w:tcBorders>
            <w:shd w:val="clear" w:color="auto" w:fill="FFFFFF"/>
          </w:tcPr>
          <w:p w14:paraId="53C85758"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45—65</w:t>
            </w:r>
          </w:p>
        </w:tc>
        <w:tc>
          <w:tcPr>
            <w:tcW w:w="4526" w:type="dxa"/>
            <w:tcBorders>
              <w:top w:val="single" w:sz="4" w:space="0" w:color="auto"/>
              <w:left w:val="single" w:sz="4" w:space="0" w:color="auto"/>
              <w:right w:val="single" w:sz="4" w:space="0" w:color="auto"/>
            </w:tcBorders>
            <w:shd w:val="clear" w:color="auto" w:fill="FFFFFF"/>
            <w:vAlign w:val="center"/>
          </w:tcPr>
          <w:p w14:paraId="47CBA7E1" w14:textId="77777777" w:rsidR="00350D42" w:rsidRDefault="008E6F64">
            <w:pPr>
              <w:pStyle w:val="2c"/>
              <w:framePr w:w="6581" w:wrap="notBeside" w:vAnchor="text" w:hAnchor="text" w:xAlign="center" w:y="1"/>
              <w:shd w:val="clear" w:color="auto" w:fill="auto"/>
              <w:spacing w:before="0" w:line="216" w:lineRule="exact"/>
              <w:jc w:val="left"/>
            </w:pPr>
            <w:r>
              <w:rPr>
                <w:rStyle w:val="275pt0"/>
              </w:rPr>
              <w:t>Возможно участие в финансировании проекта при наличии возможности компенсировать недо</w:t>
            </w:r>
            <w:r>
              <w:rPr>
                <w:rStyle w:val="275pt0"/>
              </w:rPr>
              <w:softHyphen/>
              <w:t>работки проекта принятием отлагательных условий</w:t>
            </w:r>
          </w:p>
        </w:tc>
      </w:tr>
      <w:tr w:rsidR="00350D42" w14:paraId="6A8B1796" w14:textId="77777777">
        <w:trPr>
          <w:trHeight w:hRule="exact" w:val="394"/>
          <w:jc w:val="center"/>
        </w:trPr>
        <w:tc>
          <w:tcPr>
            <w:tcW w:w="859" w:type="dxa"/>
            <w:tcBorders>
              <w:top w:val="single" w:sz="4" w:space="0" w:color="auto"/>
              <w:left w:val="single" w:sz="4" w:space="0" w:color="auto"/>
            </w:tcBorders>
            <w:shd w:val="clear" w:color="auto" w:fill="FFFFFF"/>
            <w:vAlign w:val="center"/>
          </w:tcPr>
          <w:p w14:paraId="381DBBEB"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Среднее</w:t>
            </w:r>
          </w:p>
        </w:tc>
        <w:tc>
          <w:tcPr>
            <w:tcW w:w="1195" w:type="dxa"/>
            <w:tcBorders>
              <w:top w:val="single" w:sz="4" w:space="0" w:color="auto"/>
              <w:left w:val="single" w:sz="4" w:space="0" w:color="auto"/>
            </w:tcBorders>
            <w:shd w:val="clear" w:color="auto" w:fill="FFFFFF"/>
            <w:vAlign w:val="center"/>
          </w:tcPr>
          <w:p w14:paraId="67BF041B"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25—45</w:t>
            </w:r>
          </w:p>
        </w:tc>
        <w:tc>
          <w:tcPr>
            <w:tcW w:w="4526" w:type="dxa"/>
            <w:tcBorders>
              <w:top w:val="single" w:sz="4" w:space="0" w:color="auto"/>
              <w:left w:val="single" w:sz="4" w:space="0" w:color="auto"/>
              <w:right w:val="single" w:sz="4" w:space="0" w:color="auto"/>
            </w:tcBorders>
            <w:shd w:val="clear" w:color="auto" w:fill="FFFFFF"/>
            <w:vAlign w:val="center"/>
          </w:tcPr>
          <w:p w14:paraId="260D6291"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Проект нуждается в значительной доработке</w:t>
            </w:r>
          </w:p>
        </w:tc>
      </w:tr>
      <w:tr w:rsidR="00350D42" w14:paraId="21EDD56C" w14:textId="77777777">
        <w:trPr>
          <w:trHeight w:hRule="exact" w:val="398"/>
          <w:jc w:val="center"/>
        </w:trPr>
        <w:tc>
          <w:tcPr>
            <w:tcW w:w="859" w:type="dxa"/>
            <w:tcBorders>
              <w:top w:val="single" w:sz="4" w:space="0" w:color="auto"/>
              <w:left w:val="single" w:sz="4" w:space="0" w:color="auto"/>
              <w:bottom w:val="single" w:sz="4" w:space="0" w:color="auto"/>
            </w:tcBorders>
            <w:shd w:val="clear" w:color="auto" w:fill="FFFFFF"/>
            <w:vAlign w:val="center"/>
          </w:tcPr>
          <w:p w14:paraId="7514B732"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Плохое</w:t>
            </w:r>
          </w:p>
        </w:tc>
        <w:tc>
          <w:tcPr>
            <w:tcW w:w="1195" w:type="dxa"/>
            <w:tcBorders>
              <w:top w:val="single" w:sz="4" w:space="0" w:color="auto"/>
              <w:left w:val="single" w:sz="4" w:space="0" w:color="auto"/>
              <w:bottom w:val="single" w:sz="4" w:space="0" w:color="auto"/>
            </w:tcBorders>
            <w:shd w:val="clear" w:color="auto" w:fill="FFFFFF"/>
            <w:vAlign w:val="center"/>
          </w:tcPr>
          <w:p w14:paraId="36C4F3F9" w14:textId="77777777" w:rsidR="00350D42" w:rsidRDefault="008E6F64">
            <w:pPr>
              <w:pStyle w:val="2c"/>
              <w:framePr w:w="6581" w:wrap="notBeside" w:vAnchor="text" w:hAnchor="text" w:xAlign="center" w:y="1"/>
              <w:shd w:val="clear" w:color="auto" w:fill="auto"/>
              <w:spacing w:before="0" w:line="168" w:lineRule="exact"/>
              <w:jc w:val="center"/>
            </w:pPr>
            <w:r>
              <w:rPr>
                <w:rStyle w:val="275pt0"/>
              </w:rPr>
              <w:t>0—25</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14:paraId="3CD06635" w14:textId="77777777" w:rsidR="00350D42" w:rsidRDefault="008E6F64">
            <w:pPr>
              <w:pStyle w:val="2c"/>
              <w:framePr w:w="6581" w:wrap="notBeside" w:vAnchor="text" w:hAnchor="text" w:xAlign="center" w:y="1"/>
              <w:shd w:val="clear" w:color="auto" w:fill="auto"/>
              <w:spacing w:before="0" w:line="168" w:lineRule="exact"/>
              <w:jc w:val="left"/>
            </w:pPr>
            <w:r>
              <w:rPr>
                <w:rStyle w:val="275pt0"/>
              </w:rPr>
              <w:t>Участие в финансировании проекта нежелательно</w:t>
            </w:r>
          </w:p>
        </w:tc>
      </w:tr>
    </w:tbl>
    <w:p w14:paraId="3C2165BA" w14:textId="77777777" w:rsidR="00350D42" w:rsidRDefault="00350D42">
      <w:pPr>
        <w:framePr w:w="6581" w:wrap="notBeside" w:vAnchor="text" w:hAnchor="text" w:xAlign="center" w:y="1"/>
        <w:rPr>
          <w:sz w:val="2"/>
          <w:szCs w:val="2"/>
        </w:rPr>
      </w:pPr>
    </w:p>
    <w:p w14:paraId="68487413" w14:textId="77777777" w:rsidR="00350D42" w:rsidRDefault="00350D42">
      <w:pPr>
        <w:rPr>
          <w:sz w:val="2"/>
          <w:szCs w:val="2"/>
        </w:rPr>
      </w:pPr>
    </w:p>
    <w:p w14:paraId="3E99DF22" w14:textId="77777777" w:rsidR="00350D42" w:rsidRDefault="008E6F64">
      <w:pPr>
        <w:pStyle w:val="111"/>
        <w:shd w:val="clear" w:color="auto" w:fill="auto"/>
        <w:spacing w:before="78" w:after="0" w:line="250" w:lineRule="exact"/>
        <w:ind w:firstLine="320"/>
        <w:jc w:val="both"/>
      </w:pPr>
      <w:r>
        <w:rPr>
          <w:rStyle w:val="113"/>
          <w:b/>
          <w:bCs/>
        </w:rPr>
        <w:t>При этом финансовое положение инициатора проекта может быть классифицировано только как плохое (вне зависимости от ко</w:t>
      </w:r>
      <w:r>
        <w:rPr>
          <w:rStyle w:val="113"/>
          <w:b/>
          <w:bCs/>
        </w:rPr>
        <w:softHyphen/>
        <w:t>личества набранных при проведении анализа баллов), если имеет место хотя бы один из следующих фактов:</w:t>
      </w:r>
    </w:p>
    <w:p w14:paraId="3011FA36" w14:textId="77777777" w:rsidR="00350D42" w:rsidRDefault="008E6F64">
      <w:pPr>
        <w:pStyle w:val="111"/>
        <w:numPr>
          <w:ilvl w:val="0"/>
          <w:numId w:val="165"/>
        </w:numPr>
        <w:shd w:val="clear" w:color="auto" w:fill="auto"/>
        <w:tabs>
          <w:tab w:val="left" w:pos="629"/>
        </w:tabs>
        <w:spacing w:before="0" w:after="0" w:line="250" w:lineRule="exact"/>
        <w:ind w:firstLine="320"/>
        <w:jc w:val="both"/>
      </w:pPr>
      <w:r>
        <w:rPr>
          <w:rStyle w:val="113"/>
          <w:b/>
          <w:bCs/>
        </w:rPr>
        <w:t>признание инициатора несостоятельным (банкротом) в соот</w:t>
      </w:r>
      <w:r>
        <w:rPr>
          <w:rStyle w:val="113"/>
          <w:b/>
          <w:bCs/>
        </w:rPr>
        <w:softHyphen/>
        <w:t>ветствии с законодательством РФ;</w:t>
      </w:r>
    </w:p>
    <w:p w14:paraId="3CB8C1CF" w14:textId="77777777" w:rsidR="00350D42" w:rsidRDefault="008E6F64">
      <w:pPr>
        <w:pStyle w:val="111"/>
        <w:numPr>
          <w:ilvl w:val="0"/>
          <w:numId w:val="165"/>
        </w:numPr>
        <w:shd w:val="clear" w:color="auto" w:fill="auto"/>
        <w:tabs>
          <w:tab w:val="left" w:pos="629"/>
        </w:tabs>
        <w:spacing w:before="0" w:after="0" w:line="250" w:lineRule="exact"/>
        <w:ind w:firstLine="320"/>
        <w:jc w:val="both"/>
      </w:pPr>
      <w:r>
        <w:rPr>
          <w:rStyle w:val="113"/>
          <w:b/>
          <w:bCs/>
        </w:rPr>
        <w:t>возникновение не согласованных с банком/инвестором убыт</w:t>
      </w:r>
      <w:r>
        <w:rPr>
          <w:rStyle w:val="113"/>
          <w:b/>
          <w:bCs/>
        </w:rPr>
        <w:softHyphen/>
        <w:t>ков, приведших к существенному (25 % и более) снижению чистых активов инициатора по сравнению с их максимально достигнутым уровнем;</w:t>
      </w:r>
    </w:p>
    <w:p w14:paraId="16EFF406" w14:textId="77777777" w:rsidR="00350D42" w:rsidRDefault="008E6F64">
      <w:pPr>
        <w:pStyle w:val="111"/>
        <w:numPr>
          <w:ilvl w:val="0"/>
          <w:numId w:val="165"/>
        </w:numPr>
        <w:shd w:val="clear" w:color="auto" w:fill="auto"/>
        <w:tabs>
          <w:tab w:val="left" w:pos="629"/>
        </w:tabs>
        <w:spacing w:before="0" w:after="0" w:line="250" w:lineRule="exact"/>
        <w:ind w:firstLine="320"/>
        <w:jc w:val="both"/>
      </w:pPr>
      <w:r>
        <w:rPr>
          <w:rStyle w:val="113"/>
          <w:b/>
          <w:bCs/>
        </w:rPr>
        <w:t>возникновение отрицательной величины чистых активов либо их значительное снижение (на 50 % и более по сравнению с предыдущей датой), ранее не согласованное с банком;</w:t>
      </w:r>
    </w:p>
    <w:p w14:paraId="0E714B25" w14:textId="77777777" w:rsidR="00350D42" w:rsidRDefault="008E6F64">
      <w:pPr>
        <w:pStyle w:val="111"/>
        <w:numPr>
          <w:ilvl w:val="0"/>
          <w:numId w:val="165"/>
        </w:numPr>
        <w:shd w:val="clear" w:color="auto" w:fill="auto"/>
        <w:tabs>
          <w:tab w:val="left" w:pos="629"/>
        </w:tabs>
        <w:spacing w:before="0" w:after="0" w:line="250" w:lineRule="exact"/>
        <w:ind w:firstLine="320"/>
        <w:jc w:val="both"/>
      </w:pPr>
      <w:r>
        <w:rPr>
          <w:rStyle w:val="113"/>
          <w:b/>
          <w:bCs/>
        </w:rPr>
        <w:t>значительное снижение объемов производства (на 50 % и бо</w:t>
      </w:r>
      <w:r>
        <w:rPr>
          <w:rStyle w:val="113"/>
          <w:b/>
          <w:bCs/>
        </w:rPr>
        <w:softHyphen/>
        <w:t>лее по сравнению с предыдущей датой), ранее не согласованное с банком/инвестором;</w:t>
      </w:r>
    </w:p>
    <w:p w14:paraId="2B5C906D" w14:textId="77777777" w:rsidR="00350D42" w:rsidRDefault="008E6F64">
      <w:pPr>
        <w:pStyle w:val="111"/>
        <w:numPr>
          <w:ilvl w:val="0"/>
          <w:numId w:val="165"/>
        </w:numPr>
        <w:shd w:val="clear" w:color="auto" w:fill="auto"/>
        <w:tabs>
          <w:tab w:val="left" w:pos="629"/>
        </w:tabs>
        <w:spacing w:before="0" w:after="0" w:line="250" w:lineRule="exact"/>
        <w:ind w:firstLine="320"/>
        <w:jc w:val="both"/>
      </w:pPr>
      <w:r>
        <w:rPr>
          <w:rStyle w:val="113"/>
          <w:b/>
          <w:bCs/>
        </w:rPr>
        <w:t>непредоставление инициатором банку/инвестору докумен</w:t>
      </w:r>
      <w:r>
        <w:rPr>
          <w:rStyle w:val="113"/>
          <w:b/>
          <w:bCs/>
        </w:rPr>
        <w:softHyphen/>
        <w:t>тов, необходимых для проведения анализа его финансового состоя</w:t>
      </w:r>
      <w:r>
        <w:rPr>
          <w:rStyle w:val="113"/>
          <w:b/>
          <w:bCs/>
        </w:rPr>
        <w:softHyphen/>
        <w:t>ния, в течение двух кварталов и более.</w:t>
      </w:r>
    </w:p>
    <w:p w14:paraId="191D721A" w14:textId="77777777" w:rsidR="00350D42" w:rsidRDefault="008E6F64">
      <w:pPr>
        <w:pStyle w:val="111"/>
        <w:shd w:val="clear" w:color="auto" w:fill="auto"/>
        <w:spacing w:before="0" w:after="0" w:line="250" w:lineRule="exact"/>
        <w:ind w:firstLine="320"/>
        <w:jc w:val="both"/>
        <w:sectPr w:rsidR="00350D42">
          <w:pgSz w:w="8789" w:h="13493"/>
          <w:pgMar w:top="964" w:right="1071" w:bottom="1204" w:left="1069" w:header="0" w:footer="3" w:gutter="0"/>
          <w:cols w:space="720"/>
          <w:noEndnote/>
          <w:docGrid w:linePitch="360"/>
        </w:sectPr>
      </w:pPr>
      <w:r>
        <w:rPr>
          <w:rStyle w:val="113"/>
          <w:b/>
          <w:bCs/>
        </w:rPr>
        <w:t>Финансовое положение инициатора проекта может быть клас</w:t>
      </w:r>
      <w:r>
        <w:rPr>
          <w:rStyle w:val="113"/>
          <w:b/>
          <w:bCs/>
        </w:rPr>
        <w:softHyphen/>
        <w:t>сифицировано не выше чем среднее (вне зависимости от количе</w:t>
      </w:r>
      <w:r>
        <w:rPr>
          <w:rStyle w:val="113"/>
          <w:b/>
          <w:bCs/>
        </w:rPr>
        <w:softHyphen/>
        <w:t>ства набранных при проведении анализа баллов), если имеет место хотя бы один из следующих фактов:</w:t>
      </w:r>
    </w:p>
    <w:p w14:paraId="19AF1462" w14:textId="77777777" w:rsidR="00350D42" w:rsidRDefault="008E6F64">
      <w:pPr>
        <w:pStyle w:val="111"/>
        <w:numPr>
          <w:ilvl w:val="0"/>
          <w:numId w:val="166"/>
        </w:numPr>
        <w:shd w:val="clear" w:color="auto" w:fill="auto"/>
        <w:tabs>
          <w:tab w:val="left" w:pos="626"/>
        </w:tabs>
        <w:spacing w:before="0" w:after="0" w:line="250" w:lineRule="exact"/>
        <w:ind w:firstLine="320"/>
        <w:jc w:val="both"/>
      </w:pPr>
      <w:r>
        <w:rPr>
          <w:rStyle w:val="113"/>
          <w:b/>
          <w:bCs/>
        </w:rPr>
        <w:lastRenderedPageBreak/>
        <w:t>наличие текущей картотеки неоплаченных расчетных документов к банковским счетам инициатора, не согласованной с банком/инвестором; наличие просроченной задолженности перед федеральным бюджетом, бюджетами субъектов РФ, местными бюд</w:t>
      </w:r>
      <w:r>
        <w:rPr>
          <w:rStyle w:val="113"/>
          <w:b/>
          <w:bCs/>
        </w:rPr>
        <w:softHyphen/>
        <w:t>жетами и внебюджетными фондами; наличие просроченной задол</w:t>
      </w:r>
      <w:r>
        <w:rPr>
          <w:rStyle w:val="113"/>
          <w:b/>
          <w:bCs/>
        </w:rPr>
        <w:softHyphen/>
        <w:t>женности перед работниками по заработной плате;</w:t>
      </w:r>
    </w:p>
    <w:p w14:paraId="6CADAB45" w14:textId="77777777" w:rsidR="00350D42" w:rsidRDefault="008E6F64">
      <w:pPr>
        <w:pStyle w:val="111"/>
        <w:numPr>
          <w:ilvl w:val="0"/>
          <w:numId w:val="166"/>
        </w:numPr>
        <w:shd w:val="clear" w:color="auto" w:fill="auto"/>
        <w:tabs>
          <w:tab w:val="left" w:pos="626"/>
        </w:tabs>
        <w:spacing w:before="0" w:after="0" w:line="250" w:lineRule="exact"/>
        <w:ind w:firstLine="320"/>
        <w:jc w:val="both"/>
      </w:pPr>
      <w:r>
        <w:rPr>
          <w:rStyle w:val="113"/>
          <w:b/>
          <w:bCs/>
        </w:rPr>
        <w:t>наличие у инициатора скрытых потерь (например, неликвид</w:t>
      </w:r>
      <w:r>
        <w:rPr>
          <w:rStyle w:val="113"/>
          <w:b/>
          <w:bCs/>
        </w:rPr>
        <w:softHyphen/>
        <w:t>ных запасов готовой продукции и (или) требований, безнадежных ко взысканию) в размере, равном или превышающем 25 % его чи</w:t>
      </w:r>
      <w:r>
        <w:rPr>
          <w:rStyle w:val="113"/>
          <w:b/>
          <w:bCs/>
        </w:rPr>
        <w:softHyphen/>
        <w:t>стых активов (собственных средств);</w:t>
      </w:r>
    </w:p>
    <w:p w14:paraId="5D9074B2" w14:textId="77777777" w:rsidR="00350D42" w:rsidRDefault="008E6F64">
      <w:pPr>
        <w:pStyle w:val="111"/>
        <w:numPr>
          <w:ilvl w:val="0"/>
          <w:numId w:val="166"/>
        </w:numPr>
        <w:shd w:val="clear" w:color="auto" w:fill="auto"/>
        <w:tabs>
          <w:tab w:val="left" w:pos="626"/>
        </w:tabs>
        <w:spacing w:before="0" w:after="0" w:line="250" w:lineRule="exact"/>
        <w:ind w:firstLine="320"/>
        <w:jc w:val="both"/>
      </w:pPr>
      <w:r>
        <w:rPr>
          <w:rStyle w:val="113"/>
          <w:b/>
          <w:bCs/>
        </w:rPr>
        <w:t>наличие случая (случаев) неисполнения инициатором в тече</w:t>
      </w:r>
      <w:r>
        <w:rPr>
          <w:rStyle w:val="113"/>
          <w:b/>
          <w:bCs/>
        </w:rPr>
        <w:softHyphen/>
        <w:t>ние последнего года обязательств по иным договорам с банком/ин</w:t>
      </w:r>
      <w:r>
        <w:rPr>
          <w:rStyle w:val="113"/>
          <w:b/>
          <w:bCs/>
        </w:rPr>
        <w:softHyphen/>
        <w:t>вестором либо прекращение инициатором обязательств по иным договорам с банком/инвестором с предоставлением взамен испол</w:t>
      </w:r>
      <w:r>
        <w:rPr>
          <w:rStyle w:val="113"/>
          <w:b/>
          <w:bCs/>
        </w:rPr>
        <w:softHyphen/>
        <w:t>нения обязательства отступного в форме имущества, которое не ре</w:t>
      </w:r>
      <w:r>
        <w:rPr>
          <w:rStyle w:val="113"/>
          <w:b/>
          <w:bCs/>
        </w:rPr>
        <w:softHyphen/>
        <w:t>ализовано банком/инвестором в течение 180 календарных дней или более;</w:t>
      </w:r>
    </w:p>
    <w:p w14:paraId="09D9A99C" w14:textId="77777777" w:rsidR="00350D42" w:rsidRDefault="008E6F64">
      <w:pPr>
        <w:pStyle w:val="111"/>
        <w:numPr>
          <w:ilvl w:val="0"/>
          <w:numId w:val="166"/>
        </w:numPr>
        <w:shd w:val="clear" w:color="auto" w:fill="auto"/>
        <w:tabs>
          <w:tab w:val="left" w:pos="626"/>
        </w:tabs>
        <w:spacing w:before="0" w:after="0" w:line="250" w:lineRule="exact"/>
        <w:ind w:firstLine="320"/>
        <w:jc w:val="both"/>
        <w:sectPr w:rsidR="00350D42">
          <w:headerReference w:type="even" r:id="rId217"/>
          <w:footerReference w:type="even" r:id="rId218"/>
          <w:footerReference w:type="default" r:id="rId219"/>
          <w:headerReference w:type="first" r:id="rId220"/>
          <w:footerReference w:type="first" r:id="rId221"/>
          <w:pgSz w:w="8789" w:h="13493"/>
          <w:pgMar w:top="964" w:right="1071" w:bottom="1204" w:left="1069" w:header="0" w:footer="3" w:gutter="0"/>
          <w:cols w:space="720"/>
          <w:noEndnote/>
          <w:docGrid w:linePitch="360"/>
        </w:sectPr>
      </w:pPr>
      <w:r>
        <w:rPr>
          <w:rStyle w:val="113"/>
          <w:b/>
          <w:bCs/>
        </w:rPr>
        <w:t>непредоставление инициатором банку/инвестору докумен</w:t>
      </w:r>
      <w:r>
        <w:rPr>
          <w:rStyle w:val="113"/>
          <w:b/>
          <w:bCs/>
        </w:rPr>
        <w:softHyphen/>
        <w:t>тов, необходимых для проведения анализа его финансового состоя</w:t>
      </w:r>
      <w:r>
        <w:rPr>
          <w:rStyle w:val="113"/>
          <w:b/>
          <w:bCs/>
        </w:rPr>
        <w:softHyphen/>
        <w:t>ния, в течение менее двух кварталов.</w:t>
      </w:r>
    </w:p>
    <w:p w14:paraId="7E4C6A15" w14:textId="77777777" w:rsidR="00350D42" w:rsidRDefault="008E6F64">
      <w:pPr>
        <w:pStyle w:val="39"/>
        <w:keepNext/>
        <w:keepLines/>
        <w:shd w:val="clear" w:color="auto" w:fill="auto"/>
        <w:spacing w:after="406" w:line="432" w:lineRule="exact"/>
      </w:pPr>
      <w:bookmarkStart w:id="139" w:name="bookmark119"/>
      <w:bookmarkStart w:id="140" w:name="bookmark120"/>
      <w:r>
        <w:rPr>
          <w:rStyle w:val="3a"/>
          <w:b/>
          <w:bCs/>
        </w:rPr>
        <w:lastRenderedPageBreak/>
        <w:t>Новые издания по дисциплине</w:t>
      </w:r>
      <w:r>
        <w:rPr>
          <w:rStyle w:val="3a"/>
          <w:b/>
          <w:bCs/>
        </w:rPr>
        <w:br/>
        <w:t>«Взаимодействие бизнеса и власти»</w:t>
      </w:r>
      <w:r>
        <w:rPr>
          <w:rStyle w:val="3a"/>
          <w:b/>
          <w:bCs/>
        </w:rPr>
        <w:br/>
        <w:t>и смежным дисциплинам</w:t>
      </w:r>
      <w:bookmarkEnd w:id="139"/>
      <w:bookmarkEnd w:id="140"/>
    </w:p>
    <w:p w14:paraId="548EB278" w14:textId="77777777" w:rsidR="00350D42" w:rsidRDefault="008E6F64">
      <w:pPr>
        <w:pStyle w:val="2c"/>
        <w:numPr>
          <w:ilvl w:val="0"/>
          <w:numId w:val="167"/>
        </w:numPr>
        <w:shd w:val="clear" w:color="auto" w:fill="auto"/>
        <w:tabs>
          <w:tab w:val="left" w:pos="626"/>
        </w:tabs>
        <w:spacing w:before="0"/>
        <w:ind w:firstLine="320"/>
      </w:pPr>
      <w:r>
        <w:rPr>
          <w:rStyle w:val="2d"/>
          <w:lang w:val="en-US" w:eastAsia="en-US" w:bidi="en-US"/>
        </w:rPr>
        <w:t>GR</w:t>
      </w:r>
      <w:r w:rsidRPr="000E0C7E">
        <w:rPr>
          <w:rStyle w:val="2d"/>
          <w:lang w:eastAsia="en-US" w:bidi="en-US"/>
        </w:rPr>
        <w:t xml:space="preserve"> </w:t>
      </w:r>
      <w:r>
        <w:rPr>
          <w:rStyle w:val="2d"/>
        </w:rPr>
        <w:t>и лоббизм: теория и технологии : учебник и практикум для бакалавриата и магистратуры / В. А. Ачкасова [и др.] ; под ред. В. А. Ачкасовой, И. Е. Минтусова, О. Г. Филатовой. — М. : Издатель</w:t>
      </w:r>
      <w:r>
        <w:rPr>
          <w:rStyle w:val="2d"/>
        </w:rPr>
        <w:softHyphen/>
        <w:t>ство Юрайт, 2017.</w:t>
      </w:r>
    </w:p>
    <w:p w14:paraId="016195C4" w14:textId="77777777" w:rsidR="00350D42" w:rsidRDefault="008E6F64">
      <w:pPr>
        <w:pStyle w:val="2c"/>
        <w:numPr>
          <w:ilvl w:val="0"/>
          <w:numId w:val="167"/>
        </w:numPr>
        <w:shd w:val="clear" w:color="auto" w:fill="auto"/>
        <w:tabs>
          <w:tab w:val="left" w:pos="626"/>
        </w:tabs>
        <w:spacing w:before="0"/>
        <w:ind w:firstLine="320"/>
        <w:sectPr w:rsidR="00350D42">
          <w:pgSz w:w="8789" w:h="13493"/>
          <w:pgMar w:top="2140" w:right="1085" w:bottom="2140" w:left="1075" w:header="0" w:footer="3" w:gutter="0"/>
          <w:cols w:space="720"/>
          <w:noEndnote/>
          <w:docGrid w:linePitch="360"/>
        </w:sectPr>
      </w:pPr>
      <w:r>
        <w:rPr>
          <w:rStyle w:val="2f4"/>
        </w:rPr>
        <w:t>Меньшенина, Н. Н.</w:t>
      </w:r>
      <w:r>
        <w:rPr>
          <w:rStyle w:val="2d"/>
        </w:rPr>
        <w:t xml:space="preserve"> </w:t>
      </w:r>
      <w:r>
        <w:rPr>
          <w:rStyle w:val="2d"/>
          <w:lang w:val="en-US" w:eastAsia="en-US" w:bidi="en-US"/>
        </w:rPr>
        <w:t>GR</w:t>
      </w:r>
      <w:r w:rsidRPr="000E0C7E">
        <w:rPr>
          <w:rStyle w:val="2d"/>
          <w:lang w:eastAsia="en-US" w:bidi="en-US"/>
        </w:rPr>
        <w:t xml:space="preserve"> </w:t>
      </w:r>
      <w:r>
        <w:rPr>
          <w:rStyle w:val="2d"/>
        </w:rPr>
        <w:t>и лоббизм : учеб. пособие для академи</w:t>
      </w:r>
      <w:r>
        <w:rPr>
          <w:rStyle w:val="2d"/>
        </w:rPr>
        <w:softHyphen/>
        <w:t>ческого бакалавриата / Н. Н. Меньшенина, М. В. Пантелеева. — М. : Издательство Юрайт, 2017.</w:t>
      </w:r>
    </w:p>
    <w:p w14:paraId="17BB3076" w14:textId="77777777" w:rsidR="00350D42" w:rsidRDefault="008E6F64">
      <w:pPr>
        <w:pStyle w:val="311"/>
        <w:shd w:val="clear" w:color="auto" w:fill="auto"/>
        <w:spacing w:after="152"/>
      </w:pPr>
      <w:r>
        <w:rPr>
          <w:rStyle w:val="312"/>
          <w:b/>
          <w:bCs/>
        </w:rPr>
        <w:lastRenderedPageBreak/>
        <w:t>Наши книги можно приобрести:</w:t>
      </w:r>
    </w:p>
    <w:p w14:paraId="033ED173" w14:textId="77777777" w:rsidR="00350D42" w:rsidRDefault="008E6F64">
      <w:pPr>
        <w:pStyle w:val="311"/>
        <w:shd w:val="clear" w:color="auto" w:fill="auto"/>
        <w:spacing w:after="0" w:line="211" w:lineRule="exact"/>
      </w:pPr>
      <w:r>
        <w:rPr>
          <w:rStyle w:val="312"/>
          <w:b/>
          <w:bCs/>
        </w:rPr>
        <w:t>Учебным заведениям и библиотекам</w:t>
      </w:r>
      <w:r>
        <w:rPr>
          <w:rStyle w:val="313"/>
        </w:rPr>
        <w:t>:</w:t>
      </w:r>
    </w:p>
    <w:p w14:paraId="1BF5D8B2" w14:textId="77777777" w:rsidR="00350D42" w:rsidRDefault="008E6F64">
      <w:pPr>
        <w:pStyle w:val="63"/>
        <w:shd w:val="clear" w:color="auto" w:fill="auto"/>
        <w:spacing w:after="180" w:line="211" w:lineRule="exact"/>
        <w:jc w:val="center"/>
      </w:pPr>
      <w:r>
        <w:rPr>
          <w:rStyle w:val="64"/>
        </w:rPr>
        <w:t>в отделе по работе с вузами</w:t>
      </w:r>
      <w:r>
        <w:rPr>
          <w:rStyle w:val="64"/>
        </w:rPr>
        <w:br/>
        <w:t xml:space="preserve">тел.: (495) 744-00-12, </w:t>
      </w:r>
      <w:r>
        <w:rPr>
          <w:rStyle w:val="64"/>
          <w:lang w:val="en-US" w:eastAsia="en-US" w:bidi="en-US"/>
        </w:rPr>
        <w:t>e</w:t>
      </w:r>
      <w:r w:rsidRPr="000E0C7E">
        <w:rPr>
          <w:rStyle w:val="64"/>
          <w:lang w:eastAsia="en-US" w:bidi="en-US"/>
        </w:rPr>
        <w:t>-</w:t>
      </w:r>
      <w:r>
        <w:rPr>
          <w:rStyle w:val="64"/>
          <w:lang w:val="en-US" w:eastAsia="en-US" w:bidi="en-US"/>
        </w:rPr>
        <w:t>mail</w:t>
      </w:r>
      <w:r w:rsidRPr="000E0C7E">
        <w:rPr>
          <w:rStyle w:val="64"/>
          <w:lang w:eastAsia="en-US" w:bidi="en-US"/>
        </w:rPr>
        <w:t xml:space="preserve">: </w:t>
      </w:r>
      <w:hyperlink r:id="rId222" w:history="1">
        <w:r>
          <w:rPr>
            <w:rStyle w:val="64"/>
            <w:lang w:val="en-US" w:eastAsia="en-US" w:bidi="en-US"/>
          </w:rPr>
          <w:t>vuz</w:t>
        </w:r>
        <w:r w:rsidRPr="000E0C7E">
          <w:rPr>
            <w:rStyle w:val="64"/>
            <w:lang w:eastAsia="en-US" w:bidi="en-US"/>
          </w:rPr>
          <w:t>@</w:t>
        </w:r>
        <w:r>
          <w:rPr>
            <w:rStyle w:val="64"/>
            <w:lang w:val="en-US" w:eastAsia="en-US" w:bidi="en-US"/>
          </w:rPr>
          <w:t>urait</w:t>
        </w:r>
        <w:r w:rsidRPr="000E0C7E">
          <w:rPr>
            <w:rStyle w:val="64"/>
            <w:lang w:eastAsia="en-US" w:bidi="en-US"/>
          </w:rPr>
          <w:t>.</w:t>
        </w:r>
        <w:r>
          <w:rPr>
            <w:rStyle w:val="64"/>
            <w:lang w:val="en-US" w:eastAsia="en-US" w:bidi="en-US"/>
          </w:rPr>
          <w:t>ru</w:t>
        </w:r>
      </w:hyperlink>
    </w:p>
    <w:p w14:paraId="4186F16E" w14:textId="77777777" w:rsidR="00350D42" w:rsidRDefault="008E6F64">
      <w:pPr>
        <w:pStyle w:val="311"/>
        <w:shd w:val="clear" w:color="auto" w:fill="auto"/>
        <w:spacing w:after="0" w:line="211" w:lineRule="exact"/>
      </w:pPr>
      <w:r>
        <w:rPr>
          <w:rStyle w:val="312"/>
          <w:b/>
          <w:bCs/>
        </w:rPr>
        <w:t>Частным лицам</w:t>
      </w:r>
      <w:r>
        <w:rPr>
          <w:rStyle w:val="313"/>
        </w:rPr>
        <w:t>:</w:t>
      </w:r>
    </w:p>
    <w:p w14:paraId="70E8EA1A" w14:textId="77777777" w:rsidR="00350D42" w:rsidRDefault="008E6F64">
      <w:pPr>
        <w:pStyle w:val="63"/>
        <w:shd w:val="clear" w:color="auto" w:fill="auto"/>
        <w:spacing w:after="184" w:line="211" w:lineRule="exact"/>
        <w:jc w:val="center"/>
      </w:pPr>
      <w:r>
        <w:rPr>
          <w:rStyle w:val="64"/>
        </w:rPr>
        <w:t xml:space="preserve">список магазинов смотрите на сайте </w:t>
      </w:r>
      <w:r>
        <w:rPr>
          <w:rStyle w:val="64"/>
          <w:lang w:val="en-US" w:eastAsia="en-US" w:bidi="en-US"/>
        </w:rPr>
        <w:t>urait</w:t>
      </w:r>
      <w:r w:rsidRPr="000E0C7E">
        <w:rPr>
          <w:rStyle w:val="64"/>
          <w:lang w:eastAsia="en-US" w:bidi="en-US"/>
        </w:rPr>
        <w:t>.</w:t>
      </w:r>
      <w:r>
        <w:rPr>
          <w:rStyle w:val="64"/>
          <w:lang w:val="en-US" w:eastAsia="en-US" w:bidi="en-US"/>
        </w:rPr>
        <w:t>ru</w:t>
      </w:r>
      <w:r w:rsidRPr="000E0C7E">
        <w:rPr>
          <w:rStyle w:val="64"/>
          <w:lang w:eastAsia="en-US" w:bidi="en-US"/>
        </w:rPr>
        <w:br/>
      </w:r>
      <w:r>
        <w:rPr>
          <w:rStyle w:val="64"/>
        </w:rPr>
        <w:t>в разделе «Частным лицам»</w:t>
      </w:r>
    </w:p>
    <w:p w14:paraId="3269E793" w14:textId="77777777" w:rsidR="00350D42" w:rsidRDefault="008E6F64">
      <w:pPr>
        <w:pStyle w:val="311"/>
        <w:shd w:val="clear" w:color="auto" w:fill="auto"/>
        <w:spacing w:after="0" w:line="206" w:lineRule="exact"/>
      </w:pPr>
      <w:r>
        <w:rPr>
          <w:rStyle w:val="312"/>
          <w:b/>
          <w:bCs/>
        </w:rPr>
        <w:t>Магазинам и корпоративным клиентам</w:t>
      </w:r>
      <w:r>
        <w:rPr>
          <w:rStyle w:val="313"/>
        </w:rPr>
        <w:t>:</w:t>
      </w:r>
    </w:p>
    <w:p w14:paraId="23E5BD42" w14:textId="77777777" w:rsidR="00350D42" w:rsidRDefault="008E6F64">
      <w:pPr>
        <w:pStyle w:val="63"/>
        <w:shd w:val="clear" w:color="auto" w:fill="auto"/>
        <w:jc w:val="center"/>
      </w:pPr>
      <w:r>
        <w:rPr>
          <w:rStyle w:val="64"/>
        </w:rPr>
        <w:t>в отделе продаж</w:t>
      </w:r>
    </w:p>
    <w:p w14:paraId="3F9A5210" w14:textId="77777777" w:rsidR="00350D42" w:rsidRPr="000E0C7E" w:rsidRDefault="008E6F64">
      <w:pPr>
        <w:pStyle w:val="63"/>
        <w:shd w:val="clear" w:color="auto" w:fill="auto"/>
        <w:spacing w:after="204"/>
        <w:jc w:val="center"/>
        <w:rPr>
          <w:lang w:val="en-US"/>
        </w:rPr>
      </w:pPr>
      <w:r>
        <w:rPr>
          <w:rStyle w:val="64"/>
        </w:rPr>
        <w:t>тел</w:t>
      </w:r>
      <w:r w:rsidRPr="000E0C7E">
        <w:rPr>
          <w:rStyle w:val="64"/>
          <w:lang w:val="en-US"/>
        </w:rPr>
        <w:t xml:space="preserve">.: (495) 744-00-12, </w:t>
      </w:r>
      <w:r>
        <w:rPr>
          <w:rStyle w:val="64"/>
          <w:lang w:val="en-US" w:eastAsia="en-US" w:bidi="en-US"/>
        </w:rPr>
        <w:t xml:space="preserve">e-mail: </w:t>
      </w:r>
      <w:hyperlink r:id="rId223" w:history="1">
        <w:r>
          <w:rPr>
            <w:rStyle w:val="64"/>
            <w:lang w:val="en-US" w:eastAsia="en-US" w:bidi="en-US"/>
          </w:rPr>
          <w:t>sales@urait.ru</w:t>
        </w:r>
      </w:hyperlink>
    </w:p>
    <w:p w14:paraId="1E4AF56C" w14:textId="77777777" w:rsidR="00350D42" w:rsidRDefault="008E6F64">
      <w:pPr>
        <w:pStyle w:val="311"/>
        <w:shd w:val="clear" w:color="auto" w:fill="auto"/>
        <w:spacing w:after="0"/>
      </w:pPr>
      <w:r>
        <w:rPr>
          <w:rStyle w:val="312"/>
          <w:b/>
          <w:bCs/>
        </w:rPr>
        <w:t>Отзывы об издании присылайте в редакцию</w:t>
      </w:r>
    </w:p>
    <w:p w14:paraId="3CB60042" w14:textId="77777777" w:rsidR="00350D42" w:rsidRDefault="008E6F64">
      <w:pPr>
        <w:pStyle w:val="63"/>
        <w:shd w:val="clear" w:color="auto" w:fill="auto"/>
        <w:spacing w:after="469" w:line="168" w:lineRule="exact"/>
        <w:jc w:val="center"/>
      </w:pPr>
      <w:r>
        <w:rPr>
          <w:rStyle w:val="64"/>
          <w:lang w:val="en-US" w:eastAsia="en-US" w:bidi="en-US"/>
        </w:rPr>
        <w:t>e</w:t>
      </w:r>
      <w:r w:rsidRPr="000E0C7E">
        <w:rPr>
          <w:rStyle w:val="64"/>
          <w:lang w:eastAsia="en-US" w:bidi="en-US"/>
        </w:rPr>
        <w:t>-</w:t>
      </w:r>
      <w:r>
        <w:rPr>
          <w:rStyle w:val="64"/>
          <w:lang w:val="en-US" w:eastAsia="en-US" w:bidi="en-US"/>
        </w:rPr>
        <w:t>mail</w:t>
      </w:r>
      <w:r w:rsidRPr="000E0C7E">
        <w:rPr>
          <w:rStyle w:val="64"/>
          <w:lang w:eastAsia="en-US" w:bidi="en-US"/>
        </w:rPr>
        <w:t xml:space="preserve">: </w:t>
      </w:r>
      <w:hyperlink r:id="rId224" w:history="1">
        <w:r>
          <w:rPr>
            <w:rStyle w:val="64"/>
            <w:lang w:val="en-US" w:eastAsia="en-US" w:bidi="en-US"/>
          </w:rPr>
          <w:t>gred</w:t>
        </w:r>
        <w:r w:rsidRPr="000E0C7E">
          <w:rPr>
            <w:rStyle w:val="64"/>
            <w:lang w:eastAsia="en-US" w:bidi="en-US"/>
          </w:rPr>
          <w:t>@</w:t>
        </w:r>
        <w:r>
          <w:rPr>
            <w:rStyle w:val="64"/>
            <w:lang w:val="en-US" w:eastAsia="en-US" w:bidi="en-US"/>
          </w:rPr>
          <w:t>urait</w:t>
        </w:r>
        <w:r w:rsidRPr="000E0C7E">
          <w:rPr>
            <w:rStyle w:val="64"/>
            <w:lang w:eastAsia="en-US" w:bidi="en-US"/>
          </w:rPr>
          <w:t>.</w:t>
        </w:r>
        <w:r>
          <w:rPr>
            <w:rStyle w:val="64"/>
            <w:lang w:val="en-US" w:eastAsia="en-US" w:bidi="en-US"/>
          </w:rPr>
          <w:t>ru</w:t>
        </w:r>
      </w:hyperlink>
    </w:p>
    <w:p w14:paraId="2D34BD84" w14:textId="77777777" w:rsidR="00350D42" w:rsidRDefault="008E6F64">
      <w:pPr>
        <w:pStyle w:val="311"/>
        <w:shd w:val="clear" w:color="auto" w:fill="auto"/>
        <w:spacing w:after="3032" w:line="206" w:lineRule="exact"/>
      </w:pPr>
      <w:r>
        <w:rPr>
          <w:rStyle w:val="312"/>
          <w:b/>
          <w:bCs/>
        </w:rPr>
        <w:t>Новые издания и дополнительные материалы доступны</w:t>
      </w:r>
      <w:r>
        <w:rPr>
          <w:rStyle w:val="312"/>
          <w:b/>
          <w:bCs/>
        </w:rPr>
        <w:br/>
        <w:t xml:space="preserve">на образовательной платформе «Юрайт» </w:t>
      </w:r>
      <w:r>
        <w:rPr>
          <w:rStyle w:val="312"/>
          <w:b/>
          <w:bCs/>
          <w:lang w:val="en-US" w:eastAsia="en-US" w:bidi="en-US"/>
        </w:rPr>
        <w:t>urait</w:t>
      </w:r>
      <w:r w:rsidRPr="000E0C7E">
        <w:rPr>
          <w:rStyle w:val="312"/>
          <w:b/>
          <w:bCs/>
          <w:lang w:eastAsia="en-US" w:bidi="en-US"/>
        </w:rPr>
        <w:t>.</w:t>
      </w:r>
      <w:r>
        <w:rPr>
          <w:rStyle w:val="312"/>
          <w:b/>
          <w:bCs/>
          <w:lang w:val="en-US" w:eastAsia="en-US" w:bidi="en-US"/>
        </w:rPr>
        <w:t>ru</w:t>
      </w:r>
      <w:r w:rsidRPr="000E0C7E">
        <w:rPr>
          <w:rStyle w:val="312"/>
          <w:b/>
          <w:bCs/>
          <w:lang w:eastAsia="en-US" w:bidi="en-US"/>
        </w:rPr>
        <w:t>,</w:t>
      </w:r>
      <w:r w:rsidRPr="000E0C7E">
        <w:rPr>
          <w:rStyle w:val="312"/>
          <w:b/>
          <w:bCs/>
          <w:lang w:eastAsia="en-US" w:bidi="en-US"/>
        </w:rPr>
        <w:br/>
      </w:r>
      <w:r>
        <w:rPr>
          <w:rStyle w:val="312"/>
          <w:b/>
          <w:bCs/>
        </w:rPr>
        <w:t>а также в мобильном приложении «Юрайт.Библиотека»</w:t>
      </w:r>
    </w:p>
    <w:p w14:paraId="5B574D1D" w14:textId="77777777" w:rsidR="00350D42" w:rsidRDefault="008E6F64">
      <w:pPr>
        <w:pStyle w:val="190"/>
        <w:shd w:val="clear" w:color="auto" w:fill="auto"/>
        <w:spacing w:after="626"/>
        <w:jc w:val="center"/>
      </w:pPr>
      <w:r>
        <w:rPr>
          <w:rStyle w:val="191"/>
          <w:i/>
          <w:iCs/>
        </w:rPr>
        <w:t>Учебное издание</w:t>
      </w:r>
    </w:p>
    <w:p w14:paraId="3F363B69" w14:textId="77777777" w:rsidR="00350D42" w:rsidRDefault="008E6F64">
      <w:pPr>
        <w:pStyle w:val="321"/>
        <w:shd w:val="clear" w:color="auto" w:fill="auto"/>
        <w:spacing w:before="0"/>
      </w:pPr>
      <w:r>
        <w:rPr>
          <w:rStyle w:val="322"/>
          <w:b/>
          <w:bCs/>
          <w:lang w:val="en-US" w:eastAsia="en-US" w:bidi="en-US"/>
        </w:rPr>
        <w:t>GR</w:t>
      </w:r>
      <w:r w:rsidRPr="000E0C7E">
        <w:rPr>
          <w:rStyle w:val="322"/>
          <w:b/>
          <w:bCs/>
          <w:lang w:eastAsia="en-US" w:bidi="en-US"/>
        </w:rPr>
        <w:t xml:space="preserve">. </w:t>
      </w:r>
      <w:r>
        <w:rPr>
          <w:rStyle w:val="322"/>
          <w:b/>
          <w:bCs/>
        </w:rPr>
        <w:t>ВЗАИМОДЕЙСТВИЕ БИЗНЕСА</w:t>
      </w:r>
      <w:r>
        <w:rPr>
          <w:rStyle w:val="322"/>
          <w:b/>
          <w:bCs/>
        </w:rPr>
        <w:br/>
        <w:t>И ОРГАНОВ ВЛАСТИ</w:t>
      </w:r>
    </w:p>
    <w:p w14:paraId="1E91F7E0" w14:textId="77777777" w:rsidR="00350D42" w:rsidRDefault="008E6F64">
      <w:pPr>
        <w:pStyle w:val="63"/>
        <w:shd w:val="clear" w:color="auto" w:fill="auto"/>
        <w:spacing w:line="432" w:lineRule="exact"/>
        <w:jc w:val="center"/>
      </w:pPr>
      <w:r>
        <w:rPr>
          <w:rStyle w:val="64"/>
        </w:rPr>
        <w:t>Учебник и практикум для вузов</w:t>
      </w:r>
      <w:r>
        <w:rPr>
          <w:rStyle w:val="64"/>
        </w:rPr>
        <w:br/>
        <w:t xml:space="preserve">Под редакцией </w:t>
      </w:r>
      <w:r>
        <w:rPr>
          <w:rStyle w:val="65"/>
        </w:rPr>
        <w:t>Е. И. Марковской</w:t>
      </w:r>
    </w:p>
    <w:p w14:paraId="60DEFFD9" w14:textId="77777777" w:rsidR="00350D42" w:rsidRDefault="008E6F64">
      <w:pPr>
        <w:pStyle w:val="63"/>
        <w:shd w:val="clear" w:color="auto" w:fill="auto"/>
        <w:jc w:val="center"/>
      </w:pPr>
      <w:r>
        <w:rPr>
          <w:rStyle w:val="64"/>
        </w:rPr>
        <w:t xml:space="preserve">Формат </w:t>
      </w:r>
      <w:r w:rsidRPr="000E0C7E">
        <w:rPr>
          <w:rStyle w:val="64"/>
          <w:lang w:eastAsia="en-US" w:bidi="en-US"/>
        </w:rPr>
        <w:t>70</w:t>
      </w:r>
      <w:r>
        <w:rPr>
          <w:rStyle w:val="64"/>
          <w:lang w:val="en-US" w:eastAsia="en-US" w:bidi="en-US"/>
        </w:rPr>
        <w:t>x</w:t>
      </w:r>
      <w:r w:rsidRPr="000E0C7E">
        <w:rPr>
          <w:rStyle w:val="64"/>
          <w:lang w:eastAsia="en-US" w:bidi="en-US"/>
        </w:rPr>
        <w:t xml:space="preserve">100 </w:t>
      </w:r>
      <w:r>
        <w:rPr>
          <w:rStyle w:val="64"/>
          <w:vertAlign w:val="superscript"/>
        </w:rPr>
        <w:t>1</w:t>
      </w:r>
      <w:r>
        <w:rPr>
          <w:rStyle w:val="64"/>
        </w:rPr>
        <w:t>/</w:t>
      </w:r>
      <w:r>
        <w:rPr>
          <w:rStyle w:val="64"/>
          <w:vertAlign w:val="subscript"/>
        </w:rPr>
        <w:t>16</w:t>
      </w:r>
      <w:r>
        <w:rPr>
          <w:rStyle w:val="64"/>
        </w:rPr>
        <w:t xml:space="preserve"> .</w:t>
      </w:r>
    </w:p>
    <w:p w14:paraId="660A1FDD" w14:textId="77777777" w:rsidR="00350D42" w:rsidRDefault="008E6F64">
      <w:pPr>
        <w:pStyle w:val="63"/>
        <w:shd w:val="clear" w:color="auto" w:fill="auto"/>
        <w:jc w:val="center"/>
      </w:pPr>
      <w:r>
        <w:rPr>
          <w:rStyle w:val="64"/>
        </w:rPr>
        <w:t xml:space="preserve">Гарнитура </w:t>
      </w:r>
      <w:r w:rsidRPr="000E0C7E">
        <w:rPr>
          <w:rStyle w:val="64"/>
          <w:lang w:eastAsia="en-US" w:bidi="en-US"/>
        </w:rPr>
        <w:t>«</w:t>
      </w:r>
      <w:r>
        <w:rPr>
          <w:rStyle w:val="64"/>
          <w:lang w:val="en-US" w:eastAsia="en-US" w:bidi="en-US"/>
        </w:rPr>
        <w:t>Charter</w:t>
      </w:r>
      <w:r w:rsidRPr="000E0C7E">
        <w:rPr>
          <w:rStyle w:val="64"/>
          <w:lang w:eastAsia="en-US" w:bidi="en-US"/>
        </w:rPr>
        <w:t xml:space="preserve">». </w:t>
      </w:r>
      <w:r>
        <w:rPr>
          <w:rStyle w:val="64"/>
        </w:rPr>
        <w:t>Печать цифровая.</w:t>
      </w:r>
    </w:p>
    <w:p w14:paraId="2D75610A" w14:textId="77777777" w:rsidR="00350D42" w:rsidRDefault="008E6F64">
      <w:pPr>
        <w:pStyle w:val="63"/>
        <w:shd w:val="clear" w:color="auto" w:fill="auto"/>
        <w:spacing w:after="180"/>
        <w:jc w:val="center"/>
      </w:pPr>
      <w:r>
        <w:rPr>
          <w:rStyle w:val="64"/>
        </w:rPr>
        <w:t>Усл. печ. л. 28,47.</w:t>
      </w:r>
    </w:p>
    <w:p w14:paraId="0B188ADD" w14:textId="77777777" w:rsidR="00350D42" w:rsidRDefault="008E6F64">
      <w:pPr>
        <w:pStyle w:val="311"/>
        <w:shd w:val="clear" w:color="auto" w:fill="auto"/>
        <w:spacing w:after="0" w:line="206" w:lineRule="exact"/>
      </w:pPr>
      <w:r>
        <w:rPr>
          <w:rStyle w:val="312"/>
          <w:b/>
          <w:bCs/>
        </w:rPr>
        <w:t>ООО «Издательство Юрайт»</w:t>
      </w:r>
    </w:p>
    <w:p w14:paraId="4793E5AD" w14:textId="77777777" w:rsidR="00350D42" w:rsidRDefault="008E6F64">
      <w:pPr>
        <w:pStyle w:val="63"/>
        <w:shd w:val="clear" w:color="auto" w:fill="auto"/>
        <w:jc w:val="center"/>
      </w:pPr>
      <w:r>
        <w:rPr>
          <w:rStyle w:val="64"/>
        </w:rPr>
        <w:t xml:space="preserve">111123, г. Москва, ул. Плеханова, д. </w:t>
      </w:r>
      <w:r w:rsidRPr="000E0C7E">
        <w:rPr>
          <w:rStyle w:val="64"/>
          <w:lang w:eastAsia="en-US" w:bidi="en-US"/>
        </w:rPr>
        <w:t>4</w:t>
      </w:r>
      <w:r>
        <w:rPr>
          <w:rStyle w:val="64"/>
          <w:lang w:val="en-US" w:eastAsia="en-US" w:bidi="en-US"/>
        </w:rPr>
        <w:t>a</w:t>
      </w:r>
      <w:r w:rsidRPr="000E0C7E">
        <w:rPr>
          <w:rStyle w:val="64"/>
          <w:lang w:eastAsia="en-US" w:bidi="en-US"/>
        </w:rPr>
        <w:t>.</w:t>
      </w:r>
    </w:p>
    <w:p w14:paraId="0FDEE9D4" w14:textId="77777777" w:rsidR="00350D42" w:rsidRPr="000E0C7E" w:rsidRDefault="008E6F64">
      <w:pPr>
        <w:pStyle w:val="63"/>
        <w:shd w:val="clear" w:color="auto" w:fill="auto"/>
        <w:jc w:val="center"/>
        <w:rPr>
          <w:lang w:val="en-US"/>
        </w:rPr>
        <w:sectPr w:rsidR="00350D42" w:rsidRPr="000E0C7E">
          <w:pgSz w:w="8789" w:h="13493"/>
          <w:pgMar w:top="979" w:right="1085" w:bottom="979" w:left="1075" w:header="0" w:footer="3" w:gutter="0"/>
          <w:cols w:space="720"/>
          <w:noEndnote/>
          <w:docGrid w:linePitch="360"/>
        </w:sectPr>
      </w:pPr>
      <w:r>
        <w:rPr>
          <w:rStyle w:val="64"/>
        </w:rPr>
        <w:t>Тел</w:t>
      </w:r>
      <w:r w:rsidRPr="000E0C7E">
        <w:rPr>
          <w:rStyle w:val="64"/>
          <w:lang w:val="en-US"/>
        </w:rPr>
        <w:t xml:space="preserve">.: (495) 744-00-12. </w:t>
      </w:r>
      <w:r>
        <w:rPr>
          <w:rStyle w:val="64"/>
          <w:lang w:val="en-US" w:eastAsia="en-US" w:bidi="en-US"/>
        </w:rPr>
        <w:t xml:space="preserve">E-mail: </w:t>
      </w:r>
      <w:hyperlink r:id="rId225" w:history="1">
        <w:r>
          <w:rPr>
            <w:rStyle w:val="64"/>
            <w:lang w:val="en-US" w:eastAsia="en-US" w:bidi="en-US"/>
          </w:rPr>
          <w:t>izdat@urait.ru</w:t>
        </w:r>
      </w:hyperlink>
      <w:r>
        <w:rPr>
          <w:rStyle w:val="64"/>
          <w:lang w:val="en-US" w:eastAsia="en-US" w:bidi="en-US"/>
        </w:rPr>
        <w:t xml:space="preserve">, </w:t>
      </w:r>
      <w:hyperlink r:id="rId226" w:history="1">
        <w:r>
          <w:rPr>
            <w:rStyle w:val="64"/>
            <w:lang w:val="en-US" w:eastAsia="en-US" w:bidi="en-US"/>
          </w:rPr>
          <w:t>www.urait.ru</w:t>
        </w:r>
      </w:hyperlink>
    </w:p>
    <w:p w14:paraId="75BD2488" w14:textId="77777777" w:rsidR="00350D42" w:rsidRDefault="008E6F64">
      <w:pPr>
        <w:pStyle w:val="a4"/>
        <w:shd w:val="clear" w:color="auto" w:fill="auto"/>
        <w:tabs>
          <w:tab w:val="left" w:pos="446"/>
        </w:tabs>
        <w:ind w:firstLine="320"/>
      </w:pPr>
      <w:r>
        <w:rPr>
          <w:rStyle w:val="9pt"/>
          <w:vertAlign w:val="superscript"/>
        </w:rPr>
        <w:lastRenderedPageBreak/>
        <w:t>2</w:t>
      </w:r>
      <w:r>
        <w:rPr>
          <w:rStyle w:val="a5"/>
        </w:rPr>
        <w:tab/>
      </w:r>
      <w:r>
        <w:rPr>
          <w:rStyle w:val="a6"/>
        </w:rPr>
        <w:t>Марковская Е. И., Троицкая И. В.</w:t>
      </w:r>
      <w:r>
        <w:rPr>
          <w:rStyle w:val="a5"/>
        </w:rPr>
        <w:t xml:space="preserve"> Агентская проблема в российской экономи</w:t>
      </w:r>
      <w:r>
        <w:rPr>
          <w:rStyle w:val="a5"/>
        </w:rPr>
        <w:softHyphen/>
        <w:t xml:space="preserve">ке: теория и практика; </w:t>
      </w:r>
      <w:r>
        <w:rPr>
          <w:rStyle w:val="a6"/>
        </w:rPr>
        <w:t>Троицкая И. В.</w:t>
      </w:r>
      <w:r>
        <w:rPr>
          <w:rStyle w:val="a5"/>
        </w:rPr>
        <w:t xml:space="preserve"> Психология отношения к экономическим явлениям : монография. С. 147—158; </w:t>
      </w:r>
      <w:r>
        <w:rPr>
          <w:rStyle w:val="a6"/>
        </w:rPr>
        <w:t>Ее же.</w:t>
      </w:r>
      <w:r>
        <w:rPr>
          <w:rStyle w:val="a5"/>
        </w:rPr>
        <w:t xml:space="preserve"> Психология предпринимательской</w:t>
      </w:r>
    </w:p>
    <w:sectPr w:rsidR="00350D42" w:rsidSect="00350D42">
      <w:type w:val="continuous"/>
      <w:pgSz w:w="8789" w:h="13493"/>
      <w:pgMar w:top="979" w:right="1085" w:bottom="979" w:left="107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8DE8B" w14:textId="77777777" w:rsidR="00B83D32" w:rsidRDefault="00B83D32" w:rsidP="00350D42">
      <w:r>
        <w:separator/>
      </w:r>
    </w:p>
  </w:endnote>
  <w:endnote w:type="continuationSeparator" w:id="0">
    <w:p w14:paraId="3BC5EE32" w14:textId="77777777" w:rsidR="00B83D32" w:rsidRDefault="00B83D32" w:rsidP="00350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PT Sans">
    <w:altName w:val="Arial"/>
    <w:charset w:val="CC"/>
    <w:family w:val="swiss"/>
    <w:pitch w:val="variable"/>
    <w:sig w:usb0="A00002EF"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9043" w14:textId="757374AE" w:rsidR="00350D42" w:rsidRDefault="00A74D21">
    <w:pPr>
      <w:rPr>
        <w:sz w:val="2"/>
        <w:szCs w:val="2"/>
      </w:rPr>
    </w:pPr>
    <w:r>
      <w:rPr>
        <w:noProof/>
        <w:lang w:bidi="ar-SA"/>
      </w:rPr>
      <mc:AlternateContent>
        <mc:Choice Requires="wps">
          <w:drawing>
            <wp:anchor distT="0" distB="0" distL="63500" distR="63500" simplePos="0" relativeHeight="314572416" behindDoc="1" locked="0" layoutInCell="1" allowOverlap="1" wp14:anchorId="2E0C203C" wp14:editId="37B6A8B8">
              <wp:simplePos x="0" y="0"/>
              <wp:positionH relativeFrom="page">
                <wp:posOffset>715010</wp:posOffset>
              </wp:positionH>
              <wp:positionV relativeFrom="page">
                <wp:posOffset>8040370</wp:posOffset>
              </wp:positionV>
              <wp:extent cx="259080" cy="114935"/>
              <wp:effectExtent l="635" t="127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7446" w14:textId="2AAB12B6" w:rsidR="00350D42" w:rsidRDefault="00A74D21">
                          <w:pPr>
                            <w:pStyle w:val="aa"/>
                            <w:shd w:val="clear" w:color="auto" w:fill="auto"/>
                            <w:spacing w:line="240" w:lineRule="auto"/>
                          </w:pPr>
                          <w:r>
                            <w:fldChar w:fldCharType="begin"/>
                          </w:r>
                          <w:r>
                            <w:instrText xml:space="preserve"> PAGE \* MERGEFORMAT </w:instrText>
                          </w:r>
                          <w:r>
                            <w:fldChar w:fldCharType="separate"/>
                          </w:r>
                          <w:r w:rsidR="001F090F" w:rsidRPr="001F090F">
                            <w:rPr>
                              <w:rStyle w:val="ab"/>
                              <w:b/>
                              <w:bCs/>
                              <w:noProof/>
                            </w:rPr>
                            <w:t>6</w:t>
                          </w:r>
                          <w:r>
                            <w:rPr>
                              <w:rStyle w:val="ab"/>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0C203C" id="_x0000_t202" coordsize="21600,21600" o:spt="202" path="m,l,21600r21600,l21600,xe">
              <v:stroke joinstyle="miter"/>
              <v:path gradientshapeok="t" o:connecttype="rect"/>
            </v:shapetype>
            <v:shape id="Text Box 135" o:spid="_x0000_s1083" type="#_x0000_t202" style="position:absolute;left:0;text-align:left;margin-left:56.3pt;margin-top:633.1pt;width:20.4pt;height:9.0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" filled="f" stroked="f">
              <v:textbox style="mso-fit-shape-to-text:t" inset="0,0,0,0">
                <w:txbxContent>
                  <w:p w14:paraId="2CF87446" w14:textId="2AAB12B6" w:rsidR="00350D42" w:rsidRDefault="00A74D21">
                    <w:pPr>
                      <w:pStyle w:val="aa"/>
                      <w:shd w:val="clear" w:color="auto" w:fill="auto"/>
                      <w:spacing w:line="240" w:lineRule="auto"/>
                    </w:pPr>
                    <w:r>
                      <w:fldChar w:fldCharType="begin"/>
                    </w:r>
                    <w:r>
                      <w:instrText xml:space="preserve"> PAGE \* MERGEFORMAT </w:instrText>
                    </w:r>
                    <w:r>
                      <w:fldChar w:fldCharType="separate"/>
                    </w:r>
                    <w:r w:rsidR="001F090F" w:rsidRPr="001F090F">
                      <w:rPr>
                        <w:rStyle w:val="ab"/>
                        <w:b/>
                        <w:bCs/>
                        <w:noProof/>
                      </w:rPr>
                      <w:t>6</w:t>
                    </w:r>
                    <w:r>
                      <w:rPr>
                        <w:rStyle w:val="ab"/>
                        <w:b/>
                        <w:bCs/>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8C8D" w14:textId="77777777" w:rsidR="00350396" w:rsidRDefault="00350396">
    <w:pPr>
      <w:rPr>
        <w:sz w:val="2"/>
        <w:szCs w:val="2"/>
      </w:rPr>
    </w:pPr>
    <w:r>
      <w:rPr>
        <w:noProof/>
        <w:lang w:bidi="ar-SA"/>
      </w:rPr>
      <mc:AlternateContent>
        <mc:Choice Requires="wps">
          <w:drawing>
            <wp:anchor distT="0" distB="0" distL="63500" distR="63500" simplePos="0" relativeHeight="314578694" behindDoc="1" locked="0" layoutInCell="1" allowOverlap="1" wp14:anchorId="3E71138F" wp14:editId="13082700">
              <wp:simplePos x="0" y="0"/>
              <wp:positionH relativeFrom="page">
                <wp:posOffset>4766945</wp:posOffset>
              </wp:positionH>
              <wp:positionV relativeFrom="page">
                <wp:posOffset>7996555</wp:posOffset>
              </wp:positionV>
              <wp:extent cx="170180" cy="114935"/>
              <wp:effectExtent l="4445" t="0" r="0" b="381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9CEC0" w14:textId="1B0FB750"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121</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71138F" id="_x0000_t202" coordsize="21600,21600" o:spt="202" path="m,l,21600r21600,l21600,xe">
              <v:stroke joinstyle="miter"/>
              <v:path gradientshapeok="t" o:connecttype="rect"/>
            </v:shapetype>
            <v:shape id="Text Box 127" o:spid="_x0000_s1091" type="#_x0000_t202" style="position:absolute;left:0;text-align:left;margin-left:375.35pt;margin-top:629.65pt;width:13.4pt;height:9.05pt;z-index:-188737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" filled="f" stroked="f">
              <v:textbox style="mso-fit-shape-to-text:t" inset="0,0,0,0">
                <w:txbxContent>
                  <w:p w14:paraId="2409CEC0" w14:textId="1B0FB750"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121</w:t>
                    </w:r>
                    <w:r>
                      <w:rPr>
                        <w:b w:val="0"/>
                        <w:bCs w:val="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0AEF" w14:textId="7979B837" w:rsidR="00350D42" w:rsidRDefault="00A74D21">
    <w:pPr>
      <w:rPr>
        <w:sz w:val="2"/>
        <w:szCs w:val="2"/>
      </w:rPr>
    </w:pPr>
    <w:r>
      <w:rPr>
        <w:noProof/>
        <w:lang w:bidi="ar-SA"/>
      </w:rPr>
      <mc:AlternateContent>
        <mc:Choice Requires="wps">
          <w:drawing>
            <wp:anchor distT="0" distB="0" distL="63500" distR="63500" simplePos="0" relativeHeight="314572548" behindDoc="1" locked="0" layoutInCell="1" allowOverlap="1" wp14:anchorId="4F4F7FD8" wp14:editId="30C7BBBB">
              <wp:simplePos x="0" y="0"/>
              <wp:positionH relativeFrom="page">
                <wp:posOffset>4766945</wp:posOffset>
              </wp:positionH>
              <wp:positionV relativeFrom="page">
                <wp:posOffset>7996555</wp:posOffset>
              </wp:positionV>
              <wp:extent cx="372110" cy="114935"/>
              <wp:effectExtent l="4445" t="0" r="444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BD4E" w14:textId="79504609"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401</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4F7FD8" id="_x0000_t202" coordsize="21600,21600" o:spt="202" path="m,l,21600r21600,l21600,xe">
              <v:stroke joinstyle="miter"/>
              <v:path gradientshapeok="t" o:connecttype="rect"/>
            </v:shapetype>
            <v:shape id="Text Box 3" o:spid="_x0000_s1195" type="#_x0000_t202" style="position:absolute;left:0;text-align:left;margin-left:375.35pt;margin-top:629.65pt;width:29.3pt;height:9.0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" filled="f" stroked="f">
              <v:textbox style="mso-fit-shape-to-text:t" inset="0,0,0,0">
                <w:txbxContent>
                  <w:p w14:paraId="0DC5BD4E" w14:textId="79504609"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401</w:t>
                    </w:r>
                    <w:r>
                      <w:rPr>
                        <w:rStyle w:val="ab"/>
                        <w:b/>
                        <w:bCs/>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013A" w14:textId="6C15AAE0" w:rsidR="00350D42" w:rsidRDefault="00A74D21">
    <w:pPr>
      <w:rPr>
        <w:sz w:val="2"/>
        <w:szCs w:val="2"/>
      </w:rPr>
    </w:pPr>
    <w:r>
      <w:rPr>
        <w:noProof/>
        <w:lang w:bidi="ar-SA"/>
      </w:rPr>
      <mc:AlternateContent>
        <mc:Choice Requires="wps">
          <w:drawing>
            <wp:anchor distT="0" distB="0" distL="63500" distR="63500" simplePos="0" relativeHeight="314572550" behindDoc="1" locked="0" layoutInCell="1" allowOverlap="1" wp14:anchorId="689370E7" wp14:editId="0A1894EB">
              <wp:simplePos x="0" y="0"/>
              <wp:positionH relativeFrom="page">
                <wp:posOffset>4699000</wp:posOffset>
              </wp:positionH>
              <wp:positionV relativeFrom="page">
                <wp:posOffset>7941945</wp:posOffset>
              </wp:positionV>
              <wp:extent cx="372110" cy="114935"/>
              <wp:effectExtent l="3175"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D96BA" w14:textId="57DE09CA"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398</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9370E7" id="_x0000_t202" coordsize="21600,21600" o:spt="202" path="m,l,21600r21600,l21600,xe">
              <v:stroke joinstyle="miter"/>
              <v:path gradientshapeok="t" o:connecttype="rect"/>
            </v:shapetype>
            <v:shape id="Text Box 1" o:spid="_x0000_s1197" type="#_x0000_t202" style="position:absolute;left:0;text-align:left;margin-left:370pt;margin-top:625.35pt;width:29.3pt;height:9.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" filled="f" stroked="f">
              <v:textbox style="mso-fit-shape-to-text:t" inset="0,0,0,0">
                <w:txbxContent>
                  <w:p w14:paraId="1C0D96BA" w14:textId="57DE09CA"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398</w:t>
                    </w:r>
                    <w:r>
                      <w:rPr>
                        <w:rStyle w:val="2MicrosoftSansSerif8pt"/>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3AE5" w14:textId="77777777" w:rsidR="00350D42" w:rsidRDefault="00350D42"/>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8FFB" w14:textId="77777777" w:rsidR="00350D42" w:rsidRDefault="00350D42"/>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D04D" w14:textId="77777777" w:rsidR="00350D42" w:rsidRDefault="00350D4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E44EB" w14:textId="77777777" w:rsidR="00350396" w:rsidRDefault="00350396">
    <w:pPr>
      <w:rPr>
        <w:sz w:val="2"/>
        <w:szCs w:val="2"/>
      </w:rPr>
    </w:pPr>
    <w:r>
      <w:rPr>
        <w:noProof/>
        <w:lang w:bidi="ar-SA"/>
      </w:rPr>
      <mc:AlternateContent>
        <mc:Choice Requires="wps">
          <w:drawing>
            <wp:anchor distT="0" distB="0" distL="63500" distR="63500" simplePos="0" relativeHeight="314579718" behindDoc="1" locked="0" layoutInCell="1" allowOverlap="1" wp14:anchorId="3ACCDA81" wp14:editId="5FE766D8">
              <wp:simplePos x="0" y="0"/>
              <wp:positionH relativeFrom="page">
                <wp:posOffset>713105</wp:posOffset>
              </wp:positionH>
              <wp:positionV relativeFrom="page">
                <wp:posOffset>8145780</wp:posOffset>
              </wp:positionV>
              <wp:extent cx="3034665" cy="226695"/>
              <wp:effectExtent l="0" t="1905"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D5320" w14:textId="77777777" w:rsidR="00350396" w:rsidRDefault="00350396">
                          <w:pPr>
                            <w:pStyle w:val="aa"/>
                            <w:shd w:val="clear" w:color="auto" w:fill="auto"/>
                            <w:spacing w:line="240" w:lineRule="auto"/>
                          </w:pPr>
                          <w:r>
                            <w:rPr>
                              <w:rStyle w:val="BookmanOldStyle75pt"/>
                              <w:vertAlign w:val="superscript"/>
                            </w:rPr>
                            <w:t>1</w:t>
                          </w:r>
                          <w:r>
                            <w:rPr>
                              <w:rStyle w:val="BookmanOldStyle75pt"/>
                            </w:rPr>
                            <w:t xml:space="preserve"> </w:t>
                          </w:r>
                          <w:r>
                            <w:rPr>
                              <w:rStyle w:val="BookmanOldStyle75pt0"/>
                            </w:rPr>
                            <w:t>Привалов Н. Г.</w:t>
                          </w:r>
                          <w:r>
                            <w:rPr>
                              <w:rStyle w:val="BookmanOldStyle75pt"/>
                            </w:rPr>
                            <w:t xml:space="preserve"> Экономика некоммерческого сектора. С. 182.</w:t>
                          </w:r>
                        </w:p>
                        <w:p w14:paraId="5C7AAF04" w14:textId="01D04F11"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126</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CCDA81" id="_x0000_t202" coordsize="21600,21600" o:spt="202" path="m,l,21600r21600,l21600,xe">
              <v:stroke joinstyle="miter"/>
              <v:path gradientshapeok="t" o:connecttype="rect"/>
            </v:shapetype>
            <v:shape id="Text Box 126" o:spid="_x0000_s1092" type="#_x0000_t202" style="position:absolute;left:0;text-align:left;margin-left:56.15pt;margin-top:641.4pt;width:238.95pt;height:17.85pt;z-index:-188736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" filled="f" stroked="f">
              <v:textbox style="mso-fit-shape-to-text:t" inset="0,0,0,0">
                <w:txbxContent>
                  <w:p w14:paraId="274D5320" w14:textId="77777777" w:rsidR="00350396" w:rsidRDefault="00350396">
                    <w:pPr>
                      <w:pStyle w:val="aa"/>
                      <w:shd w:val="clear" w:color="auto" w:fill="auto"/>
                      <w:spacing w:line="240" w:lineRule="auto"/>
                    </w:pPr>
                    <w:r>
                      <w:rPr>
                        <w:rStyle w:val="BookmanOldStyle75pt"/>
                        <w:vertAlign w:val="superscript"/>
                      </w:rPr>
                      <w:t>1</w:t>
                    </w:r>
                    <w:r>
                      <w:rPr>
                        <w:rStyle w:val="BookmanOldStyle75pt"/>
                      </w:rPr>
                      <w:t xml:space="preserve"> </w:t>
                    </w:r>
                    <w:r>
                      <w:rPr>
                        <w:rStyle w:val="BookmanOldStyle75pt0"/>
                      </w:rPr>
                      <w:t>Привалов Н. Г.</w:t>
                    </w:r>
                    <w:r>
                      <w:rPr>
                        <w:rStyle w:val="BookmanOldStyle75pt"/>
                      </w:rPr>
                      <w:t xml:space="preserve"> Экономика некоммерческого сектора. С. 182.</w:t>
                    </w:r>
                  </w:p>
                  <w:p w14:paraId="5C7AAF04" w14:textId="01D04F11"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126</w:t>
                    </w:r>
                    <w:r>
                      <w:rPr>
                        <w:b w:val="0"/>
                        <w:bCs w:val="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BFE8" w14:textId="77777777" w:rsidR="00350396" w:rsidRDefault="00350396">
    <w:pPr>
      <w:rPr>
        <w:sz w:val="2"/>
        <w:szCs w:val="2"/>
      </w:rPr>
    </w:pPr>
    <w:r>
      <w:rPr>
        <w:noProof/>
        <w:lang w:bidi="ar-SA"/>
      </w:rPr>
      <mc:AlternateContent>
        <mc:Choice Requires="wps">
          <w:drawing>
            <wp:anchor distT="0" distB="0" distL="63500" distR="63500" simplePos="0" relativeHeight="314580742" behindDoc="1" locked="0" layoutInCell="1" allowOverlap="1" wp14:anchorId="4B616075" wp14:editId="71BE493C">
              <wp:simplePos x="0" y="0"/>
              <wp:positionH relativeFrom="page">
                <wp:posOffset>4766945</wp:posOffset>
              </wp:positionH>
              <wp:positionV relativeFrom="page">
                <wp:posOffset>7996555</wp:posOffset>
              </wp:positionV>
              <wp:extent cx="170180" cy="114935"/>
              <wp:effectExtent l="4445" t="0" r="0" b="381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915BA" w14:textId="5B551D8E"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127</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616075" id="_x0000_t202" coordsize="21600,21600" o:spt="202" path="m,l,21600r21600,l21600,xe">
              <v:stroke joinstyle="miter"/>
              <v:path gradientshapeok="t" o:connecttype="rect"/>
            </v:shapetype>
            <v:shape id="Text Box 125" o:spid="_x0000_s1093" type="#_x0000_t202" style="position:absolute;left:0;text-align:left;margin-left:375.35pt;margin-top:629.65pt;width:13.4pt;height:9.05pt;z-index:-188735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" filled="f" stroked="f">
              <v:textbox style="mso-fit-shape-to-text:t" inset="0,0,0,0">
                <w:txbxContent>
                  <w:p w14:paraId="699915BA" w14:textId="5B551D8E"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127</w:t>
                    </w:r>
                    <w:r>
                      <w:rPr>
                        <w:b w:val="0"/>
                        <w:bCs w:val="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4B32" w14:textId="77777777" w:rsidR="00350396" w:rsidRDefault="00350396">
    <w:pPr>
      <w:rPr>
        <w:sz w:val="2"/>
        <w:szCs w:val="2"/>
      </w:rPr>
    </w:pPr>
    <w:r>
      <w:rPr>
        <w:noProof/>
        <w:lang w:bidi="ar-SA"/>
      </w:rPr>
      <mc:AlternateContent>
        <mc:Choice Requires="wps">
          <w:drawing>
            <wp:anchor distT="0" distB="0" distL="63500" distR="63500" simplePos="0" relativeHeight="314581766" behindDoc="1" locked="0" layoutInCell="1" allowOverlap="1" wp14:anchorId="2C0C6FBF" wp14:editId="7427AA0E">
              <wp:simplePos x="0" y="0"/>
              <wp:positionH relativeFrom="page">
                <wp:posOffset>890270</wp:posOffset>
              </wp:positionH>
              <wp:positionV relativeFrom="page">
                <wp:posOffset>7877810</wp:posOffset>
              </wp:positionV>
              <wp:extent cx="3034665" cy="226695"/>
              <wp:effectExtent l="4445" t="635" r="0" b="12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36247" w14:textId="348D215D"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125</w:t>
                          </w:r>
                          <w:r>
                            <w:rPr>
                              <w:b w:val="0"/>
                              <w:bCs w:val="0"/>
                            </w:rPr>
                            <w:fldChar w:fldCharType="end"/>
                          </w:r>
                        </w:p>
                        <w:p w14:paraId="1E3E123D" w14:textId="77777777" w:rsidR="00350396" w:rsidRDefault="00350396">
                          <w:pPr>
                            <w:pStyle w:val="aa"/>
                            <w:shd w:val="clear" w:color="auto" w:fill="auto"/>
                            <w:spacing w:line="240" w:lineRule="auto"/>
                          </w:pPr>
                          <w:r>
                            <w:rPr>
                              <w:rStyle w:val="BookmanOldStyle75pt"/>
                              <w:vertAlign w:val="superscript"/>
                            </w:rPr>
                            <w:t>1</w:t>
                          </w:r>
                          <w:r>
                            <w:rPr>
                              <w:rStyle w:val="BookmanOldStyle75pt"/>
                            </w:rPr>
                            <w:t xml:space="preserve"> </w:t>
                          </w:r>
                          <w:r>
                            <w:rPr>
                              <w:rStyle w:val="BookmanOldStyle75pt0"/>
                            </w:rPr>
                            <w:t>Привалов Н. Г.</w:t>
                          </w:r>
                          <w:r>
                            <w:rPr>
                              <w:rStyle w:val="BookmanOldStyle75pt"/>
                            </w:rPr>
                            <w:t xml:space="preserve"> Экономика некоммерческого сектора. С. 178.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0C6FBF" id="_x0000_t202" coordsize="21600,21600" o:spt="202" path="m,l,21600r21600,l21600,xe">
              <v:stroke joinstyle="miter"/>
              <v:path gradientshapeok="t" o:connecttype="rect"/>
            </v:shapetype>
            <v:shape id="Text Box 124" o:spid="_x0000_s1094" type="#_x0000_t202" style="position:absolute;left:0;text-align:left;margin-left:70.1pt;margin-top:620.3pt;width:238.95pt;height:17.85pt;z-index:-188734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" filled="f" stroked="f">
              <v:textbox style="mso-fit-shape-to-text:t" inset="0,0,0,0">
                <w:txbxContent>
                  <w:p w14:paraId="30E36247" w14:textId="348D215D"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125</w:t>
                    </w:r>
                    <w:r>
                      <w:rPr>
                        <w:b w:val="0"/>
                        <w:bCs w:val="0"/>
                      </w:rPr>
                      <w:fldChar w:fldCharType="end"/>
                    </w:r>
                  </w:p>
                  <w:p w14:paraId="1E3E123D" w14:textId="77777777" w:rsidR="00350396" w:rsidRDefault="00350396">
                    <w:pPr>
                      <w:pStyle w:val="aa"/>
                      <w:shd w:val="clear" w:color="auto" w:fill="auto"/>
                      <w:spacing w:line="240" w:lineRule="auto"/>
                    </w:pPr>
                    <w:r>
                      <w:rPr>
                        <w:rStyle w:val="BookmanOldStyle75pt"/>
                        <w:vertAlign w:val="superscript"/>
                      </w:rPr>
                      <w:t>1</w:t>
                    </w:r>
                    <w:r>
                      <w:rPr>
                        <w:rStyle w:val="BookmanOldStyle75pt"/>
                      </w:rPr>
                      <w:t xml:space="preserve"> </w:t>
                    </w:r>
                    <w:r>
                      <w:rPr>
                        <w:rStyle w:val="BookmanOldStyle75pt0"/>
                      </w:rPr>
                      <w:t>Привалов Н. Г.</w:t>
                    </w:r>
                    <w:r>
                      <w:rPr>
                        <w:rStyle w:val="BookmanOldStyle75pt"/>
                      </w:rPr>
                      <w:t xml:space="preserve"> Экономика некоммерческого сектора. С. 178.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70F30" w14:textId="77777777" w:rsidR="00350396" w:rsidRDefault="00000000">
    <w:pPr>
      <w:rPr>
        <w:sz w:val="2"/>
        <w:szCs w:val="2"/>
      </w:rPr>
    </w:pPr>
    <w:r>
      <w:pict w14:anchorId="4D1A0A09">
        <v:shapetype id="_x0000_t202" coordsize="21600,21600" o:spt="202" path="m,l,21600r21600,l21600,xe">
          <v:stroke joinstyle="miter"/>
          <v:path gradientshapeok="t" o:connecttype="rect"/>
        </v:shapetype>
        <v:shape id="_x0000_s1025" type="#_x0000_t202" style="position:absolute;left:0;text-align:left;margin-left:56.3pt;margin-top:633.1pt;width:8.4pt;height:6pt;z-index:-188732666;mso-wrap-style:none;mso-wrap-distance-left:5pt;mso-wrap-distance-right:5pt;mso-position-horizontal-relative:page;mso-position-vertical-relative:page" wrapcoords="0 0" filled="f" stroked="f">
          <v:textbox style="mso-next-textbox:#_x0000_s1025;mso-fit-shape-to-text:t" inset="0,0,0,0">
            <w:txbxContent>
              <w:p w14:paraId="4FFD2B7B" w14:textId="47D01595" w:rsidR="00350396" w:rsidRDefault="00350396">
                <w:r>
                  <w:fldChar w:fldCharType="begin"/>
                </w:r>
                <w:r>
                  <w:instrText xml:space="preserve"> PAGE \* MERGEFORMAT </w:instrText>
                </w:r>
                <w:r>
                  <w:fldChar w:fldCharType="separate"/>
                </w:r>
                <w:r w:rsidR="00960409">
                  <w:rPr>
                    <w:noProof/>
                  </w:rPr>
                  <w:t>154</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5122" w14:textId="77777777" w:rsidR="00350396" w:rsidRDefault="00000000">
    <w:pPr>
      <w:rPr>
        <w:sz w:val="2"/>
        <w:szCs w:val="2"/>
      </w:rPr>
    </w:pPr>
    <w:r>
      <w:pict w14:anchorId="7AFFD51B">
        <v:shapetype id="_x0000_t202" coordsize="21600,21600" o:spt="202" path="m,l,21600r21600,l21600,xe">
          <v:stroke joinstyle="miter"/>
          <v:path gradientshapeok="t" o:connecttype="rect"/>
        </v:shapetype>
        <v:shape id="_x0000_s1026" type="#_x0000_t202" style="position:absolute;left:0;text-align:left;margin-left:375.35pt;margin-top:629.65pt;width:7.2pt;height:6pt;z-index:-188731642;mso-wrap-style:none;mso-wrap-distance-left:5pt;mso-wrap-distance-right:5pt;mso-position-horizontal-relative:page;mso-position-vertical-relative:page" wrapcoords="0 0" filled="f" stroked="f">
          <v:textbox style="mso-next-textbox:#_x0000_s1026;mso-fit-shape-to-text:t" inset="0,0,0,0">
            <w:txbxContent>
              <w:p w14:paraId="3E79E9EC" w14:textId="7617739C" w:rsidR="00350396" w:rsidRDefault="00350396">
                <w:r>
                  <w:fldChar w:fldCharType="begin"/>
                </w:r>
                <w:r>
                  <w:instrText xml:space="preserve"> PAGE \* MERGEFORMAT </w:instrText>
                </w:r>
                <w:r>
                  <w:fldChar w:fldCharType="separate"/>
                </w:r>
                <w:r w:rsidR="00960409">
                  <w:rPr>
                    <w:noProof/>
                  </w:rPr>
                  <w:t>145</w:t>
                </w:r>
                <w:r>
                  <w:rPr>
                    <w:noProof/>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C26D7" w14:textId="77777777" w:rsidR="00350396" w:rsidRDefault="00000000">
    <w:pPr>
      <w:rPr>
        <w:sz w:val="2"/>
        <w:szCs w:val="2"/>
      </w:rPr>
    </w:pPr>
    <w:r>
      <w:pict w14:anchorId="439F64D8">
        <v:shapetype id="_x0000_t202" coordsize="21600,21600" o:spt="202" path="m,l,21600r21600,l21600,xe">
          <v:stroke joinstyle="miter"/>
          <v:path gradientshapeok="t" o:connecttype="rect"/>
        </v:shapetype>
        <v:shape id="_x0000_s1027" type="#_x0000_t202" style="position:absolute;left:0;text-align:left;margin-left:9.4pt;margin-top:632.35pt;width:642.35pt;height:26.9pt;z-index:-188730618;mso-wrap-distance-left:5pt;mso-wrap-distance-right:5pt;mso-position-horizontal-relative:page;mso-position-vertical-relative:page" wrapcoords="0 0" filled="f" stroked="f">
          <v:textbox style="mso-next-textbox:#_x0000_s1027" inset="0,0,0,0">
            <w:txbxContent>
              <w:p w14:paraId="660FCD36" w14:textId="77777777" w:rsidR="00350396" w:rsidRDefault="00350396">
                <w:r>
                  <w:rPr>
                    <w:rStyle w:val="BookmanOldStyle75pt"/>
                    <w:vertAlign w:val="superscript"/>
                  </w:rPr>
                  <w:t>1</w:t>
                </w:r>
                <w:r>
                  <w:rPr>
                    <w:rStyle w:val="BookmanOldStyle75pt"/>
                  </w:rPr>
                  <w:t xml:space="preserve"> </w:t>
                </w:r>
                <w:r>
                  <w:rPr>
                    <w:rStyle w:val="BookmanOldStyle75pt0"/>
                  </w:rPr>
                  <w:t>Привалов Н. Г.</w:t>
                </w:r>
                <w:r>
                  <w:rPr>
                    <w:rStyle w:val="BookmanOldStyle75pt"/>
                  </w:rPr>
                  <w:t xml:space="preserve"> Экономика некоммерческого сектора. С. 197—198.</w:t>
                </w:r>
              </w:p>
              <w:p w14:paraId="07407F97" w14:textId="3A2C80A9" w:rsidR="00350396" w:rsidRDefault="00350396">
                <w:r>
                  <w:fldChar w:fldCharType="begin"/>
                </w:r>
                <w:r>
                  <w:instrText xml:space="preserve"> PAGE \* MERGEFORMAT </w:instrText>
                </w:r>
                <w:r>
                  <w:fldChar w:fldCharType="separate"/>
                </w:r>
                <w:r w:rsidR="00F03FA7">
                  <w:rPr>
                    <w:noProof/>
                  </w:rPr>
                  <w:t>128</w:t>
                </w:r>
                <w:r>
                  <w:rPr>
                    <w:noProof/>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8A8F" w14:textId="7AE3F9A7" w:rsidR="00350396" w:rsidRDefault="00350396">
    <w:pPr>
      <w:rPr>
        <w:sz w:val="2"/>
        <w:szCs w:val="2"/>
      </w:rPr>
    </w:pPr>
    <w:r>
      <w:rPr>
        <w:noProof/>
        <w:lang w:bidi="ar-SA"/>
      </w:rPr>
      <mc:AlternateContent>
        <mc:Choice Requires="wps">
          <w:drawing>
            <wp:anchor distT="0" distB="0" distL="63500" distR="63500" simplePos="0" relativeHeight="314586886" behindDoc="1" locked="0" layoutInCell="1" allowOverlap="1" wp14:anchorId="54EC8C02" wp14:editId="343F4918">
              <wp:simplePos x="0" y="0"/>
              <wp:positionH relativeFrom="page">
                <wp:posOffset>715010</wp:posOffset>
              </wp:positionH>
              <wp:positionV relativeFrom="page">
                <wp:posOffset>8040370</wp:posOffset>
              </wp:positionV>
              <wp:extent cx="106680" cy="76200"/>
              <wp:effectExtent l="635" t="1270" r="0" b="0"/>
              <wp:wrapNone/>
              <wp:docPr id="332" name="Надпись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B77B5" w14:textId="20265CD2" w:rsidR="00350396" w:rsidRDefault="00350396">
                          <w:r>
                            <w:fldChar w:fldCharType="begin"/>
                          </w:r>
                          <w:r>
                            <w:instrText xml:space="preserve"> PAGE \* MERGEFORMAT </w:instrText>
                          </w:r>
                          <w:r>
                            <w:fldChar w:fldCharType="separate"/>
                          </w:r>
                          <w:r w:rsidR="00960409">
                            <w:rPr>
                              <w:noProof/>
                            </w:rPr>
                            <w:t>172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EC8C02" id="_x0000_t202" coordsize="21600,21600" o:spt="202" path="m,l,21600r21600,l21600,xe">
              <v:stroke joinstyle="miter"/>
              <v:path gradientshapeok="t" o:connecttype="rect"/>
            </v:shapetype>
            <v:shape id="Надпись 332" o:spid="_x0000_s1095" type="#_x0000_t202" style="position:absolute;left:0;text-align:left;margin-left:56.3pt;margin-top:633.1pt;width:8.4pt;height:6pt;z-index:-188729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" filled="f" stroked="f">
              <v:textbox style="mso-fit-shape-to-text:t" inset="0,0,0,0">
                <w:txbxContent>
                  <w:p w14:paraId="506B77B5" w14:textId="20265CD2" w:rsidR="00350396" w:rsidRDefault="00350396">
                    <w:r>
                      <w:fldChar w:fldCharType="begin"/>
                    </w:r>
                    <w:r>
                      <w:instrText xml:space="preserve"> PAGE \* MERGEFORMAT </w:instrText>
                    </w:r>
                    <w:r>
                      <w:fldChar w:fldCharType="separate"/>
                    </w:r>
                    <w:r w:rsidR="00960409">
                      <w:rPr>
                        <w:noProof/>
                      </w:rPr>
                      <w:t>172</w:t>
                    </w:r>
                    <w:r>
                      <w:rPr>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F1F4B" w14:textId="444EC39C" w:rsidR="00350396" w:rsidRDefault="00350396">
    <w:pPr>
      <w:rPr>
        <w:sz w:val="2"/>
        <w:szCs w:val="2"/>
      </w:rPr>
    </w:pPr>
    <w:r>
      <w:rPr>
        <w:noProof/>
        <w:lang w:bidi="ar-SA"/>
      </w:rPr>
      <mc:AlternateContent>
        <mc:Choice Requires="wps">
          <w:drawing>
            <wp:anchor distT="0" distB="0" distL="63500" distR="63500" simplePos="0" relativeHeight="314587910" behindDoc="1" locked="0" layoutInCell="1" allowOverlap="1" wp14:anchorId="11C404E4" wp14:editId="7A345285">
              <wp:simplePos x="0" y="0"/>
              <wp:positionH relativeFrom="page">
                <wp:posOffset>4766945</wp:posOffset>
              </wp:positionH>
              <wp:positionV relativeFrom="page">
                <wp:posOffset>7996555</wp:posOffset>
              </wp:positionV>
              <wp:extent cx="113665" cy="114935"/>
              <wp:effectExtent l="4445" t="0" r="0" b="3810"/>
              <wp:wrapNone/>
              <wp:docPr id="331" name="Надпись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28E7" w14:textId="2CC1E9EE" w:rsidR="00350396" w:rsidRDefault="00350396">
                          <w:r>
                            <w:fldChar w:fldCharType="begin"/>
                          </w:r>
                          <w:r>
                            <w:instrText xml:space="preserve"> PAGE \* MERGEFORMAT </w:instrText>
                          </w:r>
                          <w:r>
                            <w:fldChar w:fldCharType="separate"/>
                          </w:r>
                          <w:r w:rsidR="00960409">
                            <w:rPr>
                              <w:noProof/>
                            </w:rPr>
                            <w:t>171</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C404E4" id="_x0000_t202" coordsize="21600,21600" o:spt="202" path="m,l,21600r21600,l21600,xe">
              <v:stroke joinstyle="miter"/>
              <v:path gradientshapeok="t" o:connecttype="rect"/>
            </v:shapetype>
            <v:shape id="Надпись 331" o:spid="_x0000_s1096" type="#_x0000_t202" style="position:absolute;left:0;text-align:left;margin-left:375.35pt;margin-top:629.65pt;width:8.95pt;height:9.05pt;z-index:-1887285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" filled="f" stroked="f">
              <v:textbox style="mso-fit-shape-to-text:t" inset="0,0,0,0">
                <w:txbxContent>
                  <w:p w14:paraId="45DC28E7" w14:textId="2CC1E9EE" w:rsidR="00350396" w:rsidRDefault="00350396">
                    <w:r>
                      <w:fldChar w:fldCharType="begin"/>
                    </w:r>
                    <w:r>
                      <w:instrText xml:space="preserve"> PAGE \* MERGEFORMAT </w:instrText>
                    </w:r>
                    <w:r>
                      <w:fldChar w:fldCharType="separate"/>
                    </w:r>
                    <w:r w:rsidR="00960409">
                      <w:rPr>
                        <w:noProof/>
                      </w:rPr>
                      <w:t>171</w:t>
                    </w:r>
                    <w:r>
                      <w:rPr>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04B0" w14:textId="60814B3F" w:rsidR="00350396" w:rsidRDefault="00350396">
    <w:pPr>
      <w:rPr>
        <w:sz w:val="2"/>
        <w:szCs w:val="2"/>
      </w:rPr>
    </w:pPr>
    <w:r>
      <w:rPr>
        <w:noProof/>
        <w:lang w:bidi="ar-SA"/>
      </w:rPr>
      <mc:AlternateContent>
        <mc:Choice Requires="wps">
          <w:drawing>
            <wp:anchor distT="0" distB="0" distL="63500" distR="63500" simplePos="0" relativeHeight="314589958" behindDoc="1" locked="0" layoutInCell="1" allowOverlap="1" wp14:anchorId="18557056" wp14:editId="47A00233">
              <wp:simplePos x="0" y="0"/>
              <wp:positionH relativeFrom="page">
                <wp:posOffset>711835</wp:posOffset>
              </wp:positionH>
              <wp:positionV relativeFrom="page">
                <wp:posOffset>7823200</wp:posOffset>
              </wp:positionV>
              <wp:extent cx="113665" cy="114935"/>
              <wp:effectExtent l="0" t="3175" r="3175" b="0"/>
              <wp:wrapNone/>
              <wp:docPr id="329" name="Надпись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8946" w14:textId="360A1229" w:rsidR="00350396" w:rsidRDefault="00350396">
                          <w:r>
                            <w:fldChar w:fldCharType="begin"/>
                          </w:r>
                          <w:r>
                            <w:instrText xml:space="preserve"> PAGE \* MERGEFORMAT </w:instrText>
                          </w:r>
                          <w:r>
                            <w:fldChar w:fldCharType="separate"/>
                          </w:r>
                          <w:r w:rsidR="00960409" w:rsidRPr="00960409">
                            <w:rPr>
                              <w:rStyle w:val="2MicrosoftSansSerif8pt"/>
                              <w:noProof/>
                            </w:rPr>
                            <w:t>155</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557056" id="_x0000_t202" coordsize="21600,21600" o:spt="202" path="m,l,21600r21600,l21600,xe">
              <v:stroke joinstyle="miter"/>
              <v:path gradientshapeok="t" o:connecttype="rect"/>
            </v:shapetype>
            <v:shape id="Надпись 329" o:spid="_x0000_s1098" type="#_x0000_t202" style="position:absolute;left:0;text-align:left;margin-left:56.05pt;margin-top:616pt;width:8.95pt;height:9.05pt;z-index:-188726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" filled="f" stroked="f">
              <v:textbox style="mso-fit-shape-to-text:t" inset="0,0,0,0">
                <w:txbxContent>
                  <w:p w14:paraId="450D8946" w14:textId="360A1229" w:rsidR="00350396" w:rsidRDefault="00350396">
                    <w:r>
                      <w:fldChar w:fldCharType="begin"/>
                    </w:r>
                    <w:r>
                      <w:instrText xml:space="preserve"> PAGE \* MERGEFORMAT </w:instrText>
                    </w:r>
                    <w:r>
                      <w:fldChar w:fldCharType="separate"/>
                    </w:r>
                    <w:r w:rsidR="00960409" w:rsidRPr="00960409">
                      <w:rPr>
                        <w:rStyle w:val="2MicrosoftSansSerif8pt"/>
                        <w:noProof/>
                      </w:rPr>
                      <w:t>155</w:t>
                    </w:r>
                    <w:r>
                      <w:rPr>
                        <w:rStyle w:val="2MicrosoftSansSerif8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00ED" w14:textId="00BBF722" w:rsidR="00350D42" w:rsidRDefault="00A74D21">
    <w:pPr>
      <w:rPr>
        <w:sz w:val="2"/>
        <w:szCs w:val="2"/>
      </w:rPr>
    </w:pPr>
    <w:r>
      <w:rPr>
        <w:noProof/>
        <w:lang w:bidi="ar-SA"/>
      </w:rPr>
      <mc:AlternateContent>
        <mc:Choice Requires="wps">
          <w:drawing>
            <wp:anchor distT="0" distB="0" distL="63500" distR="63500" simplePos="0" relativeHeight="314572417" behindDoc="1" locked="0" layoutInCell="1" allowOverlap="1" wp14:anchorId="223D6B20" wp14:editId="04D8803A">
              <wp:simplePos x="0" y="0"/>
              <wp:positionH relativeFrom="page">
                <wp:posOffset>4766945</wp:posOffset>
              </wp:positionH>
              <wp:positionV relativeFrom="page">
                <wp:posOffset>7996555</wp:posOffset>
              </wp:positionV>
              <wp:extent cx="259080" cy="114935"/>
              <wp:effectExtent l="4445" t="0" r="3175" b="381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E82BB" w14:textId="333B0957" w:rsidR="00350D42" w:rsidRDefault="00A74D21">
                          <w:pPr>
                            <w:pStyle w:val="aa"/>
                            <w:shd w:val="clear" w:color="auto" w:fill="auto"/>
                            <w:spacing w:line="240" w:lineRule="auto"/>
                          </w:pPr>
                          <w:r>
                            <w:fldChar w:fldCharType="begin"/>
                          </w:r>
                          <w:r>
                            <w:instrText xml:space="preserve"> PAGE \* MERGEFORMAT </w:instrText>
                          </w:r>
                          <w:r>
                            <w:fldChar w:fldCharType="separate"/>
                          </w:r>
                          <w:r w:rsidR="001F090F" w:rsidRPr="001F090F">
                            <w:rPr>
                              <w:rStyle w:val="ab"/>
                              <w:b/>
                              <w:bCs/>
                              <w:noProof/>
                            </w:rPr>
                            <w:t>4</w:t>
                          </w:r>
                          <w:r>
                            <w:rPr>
                              <w:rStyle w:val="ab"/>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3D6B20" id="_x0000_t202" coordsize="21600,21600" o:spt="202" path="m,l,21600r21600,l21600,xe">
              <v:stroke joinstyle="miter"/>
              <v:path gradientshapeok="t" o:connecttype="rect"/>
            </v:shapetype>
            <v:shape id="Text Box 134" o:spid="_x0000_s1084" type="#_x0000_t202" style="position:absolute;left:0;text-align:left;margin-left:375.35pt;margin-top:629.65pt;width:20.4pt;height:9.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" filled="f" stroked="f">
              <v:textbox style="mso-fit-shape-to-text:t" inset="0,0,0,0">
                <w:txbxContent>
                  <w:p w14:paraId="313E82BB" w14:textId="333B0957" w:rsidR="00350D42" w:rsidRDefault="00A74D21">
                    <w:pPr>
                      <w:pStyle w:val="aa"/>
                      <w:shd w:val="clear" w:color="auto" w:fill="auto"/>
                      <w:spacing w:line="240" w:lineRule="auto"/>
                    </w:pPr>
                    <w:r>
                      <w:fldChar w:fldCharType="begin"/>
                    </w:r>
                    <w:r>
                      <w:instrText xml:space="preserve"> PAGE \* MERGEFORMAT </w:instrText>
                    </w:r>
                    <w:r>
                      <w:fldChar w:fldCharType="separate"/>
                    </w:r>
                    <w:r w:rsidR="001F090F" w:rsidRPr="001F090F">
                      <w:rPr>
                        <w:rStyle w:val="ab"/>
                        <w:b/>
                        <w:bCs/>
                        <w:noProof/>
                      </w:rPr>
                      <w:t>4</w:t>
                    </w:r>
                    <w:r>
                      <w:rPr>
                        <w:rStyle w:val="ab"/>
                        <w:b/>
                        <w:bCs/>
                        <w:noProof/>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B7F1" w14:textId="5EA5AEA3" w:rsidR="00350396" w:rsidRDefault="00350396">
    <w:pPr>
      <w:rPr>
        <w:sz w:val="2"/>
        <w:szCs w:val="2"/>
      </w:rPr>
    </w:pPr>
    <w:r>
      <w:rPr>
        <w:noProof/>
        <w:lang w:bidi="ar-SA"/>
      </w:rPr>
      <mc:AlternateContent>
        <mc:Choice Requires="wps">
          <w:drawing>
            <wp:anchor distT="0" distB="0" distL="63500" distR="63500" simplePos="0" relativeHeight="314590982" behindDoc="1" locked="0" layoutInCell="1" allowOverlap="1" wp14:anchorId="20C346B8" wp14:editId="6535DE80">
              <wp:simplePos x="0" y="0"/>
              <wp:positionH relativeFrom="page">
                <wp:posOffset>715010</wp:posOffset>
              </wp:positionH>
              <wp:positionV relativeFrom="page">
                <wp:posOffset>8040370</wp:posOffset>
              </wp:positionV>
              <wp:extent cx="106680" cy="76200"/>
              <wp:effectExtent l="635" t="1270" r="0" b="0"/>
              <wp:wrapNone/>
              <wp:docPr id="328" name="Надпись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822F0" w14:textId="1528C99E" w:rsidR="00350396" w:rsidRDefault="00350396">
                          <w:r>
                            <w:fldChar w:fldCharType="begin"/>
                          </w:r>
                          <w:r>
                            <w:instrText xml:space="preserve"> PAGE \* MERGEFORMAT </w:instrText>
                          </w:r>
                          <w:r>
                            <w:fldChar w:fldCharType="separate"/>
                          </w:r>
                          <w:r w:rsidR="00960409">
                            <w:rPr>
                              <w:noProof/>
                            </w:rPr>
                            <w:t>174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C346B8" id="_x0000_t202" coordsize="21600,21600" o:spt="202" path="m,l,21600r21600,l21600,xe">
              <v:stroke joinstyle="miter"/>
              <v:path gradientshapeok="t" o:connecttype="rect"/>
            </v:shapetype>
            <v:shape id="Надпись 328" o:spid="_x0000_s1099" type="#_x0000_t202" style="position:absolute;left:0;text-align:left;margin-left:56.3pt;margin-top:633.1pt;width:8.4pt;height:6pt;z-index:-1887254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" filled="f" stroked="f">
              <v:textbox style="mso-fit-shape-to-text:t" inset="0,0,0,0">
                <w:txbxContent>
                  <w:p w14:paraId="335822F0" w14:textId="1528C99E" w:rsidR="00350396" w:rsidRDefault="00350396">
                    <w:r>
                      <w:fldChar w:fldCharType="begin"/>
                    </w:r>
                    <w:r>
                      <w:instrText xml:space="preserve"> PAGE \* MERGEFORMAT </w:instrText>
                    </w:r>
                    <w:r>
                      <w:fldChar w:fldCharType="separate"/>
                    </w:r>
                    <w:r w:rsidR="00960409">
                      <w:rPr>
                        <w:noProof/>
                      </w:rPr>
                      <w:t>174</w:t>
                    </w:r>
                    <w:r>
                      <w:rPr>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3C06" w14:textId="0C8F8F40" w:rsidR="00350396" w:rsidRDefault="00350396">
    <w:pPr>
      <w:rPr>
        <w:sz w:val="2"/>
        <w:szCs w:val="2"/>
      </w:rPr>
    </w:pPr>
    <w:r>
      <w:rPr>
        <w:noProof/>
        <w:lang w:bidi="ar-SA"/>
      </w:rPr>
      <mc:AlternateContent>
        <mc:Choice Requires="wps">
          <w:drawing>
            <wp:anchor distT="0" distB="0" distL="63500" distR="63500" simplePos="0" relativeHeight="314592006" behindDoc="1" locked="0" layoutInCell="1" allowOverlap="1" wp14:anchorId="7E7CD283" wp14:editId="5A97CC90">
              <wp:simplePos x="0" y="0"/>
              <wp:positionH relativeFrom="page">
                <wp:posOffset>4766945</wp:posOffset>
              </wp:positionH>
              <wp:positionV relativeFrom="page">
                <wp:posOffset>7996555</wp:posOffset>
              </wp:positionV>
              <wp:extent cx="113665" cy="114935"/>
              <wp:effectExtent l="4445" t="0" r="0" b="3810"/>
              <wp:wrapNone/>
              <wp:docPr id="327" name="Надпись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293A" w14:textId="0ED55CCA" w:rsidR="00350396" w:rsidRDefault="00350396">
                          <w:r>
                            <w:fldChar w:fldCharType="begin"/>
                          </w:r>
                          <w:r>
                            <w:instrText xml:space="preserve"> PAGE \* MERGEFORMAT </w:instrText>
                          </w:r>
                          <w:r>
                            <w:fldChar w:fldCharType="separate"/>
                          </w:r>
                          <w:r w:rsidR="00960409">
                            <w:rPr>
                              <w:noProof/>
                            </w:rPr>
                            <w:t>175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7CD283" id="_x0000_t202" coordsize="21600,21600" o:spt="202" path="m,l,21600r21600,l21600,xe">
              <v:stroke joinstyle="miter"/>
              <v:path gradientshapeok="t" o:connecttype="rect"/>
            </v:shapetype>
            <v:shape id="Надпись 327" o:spid="_x0000_s1100" type="#_x0000_t202" style="position:absolute;left:0;text-align:left;margin-left:375.35pt;margin-top:629.65pt;width:8.95pt;height:9.05pt;z-index:-1887244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" filled="f" stroked="f">
              <v:textbox style="mso-fit-shape-to-text:t" inset="0,0,0,0">
                <w:txbxContent>
                  <w:p w14:paraId="5741293A" w14:textId="0ED55CCA" w:rsidR="00350396" w:rsidRDefault="00350396">
                    <w:r>
                      <w:fldChar w:fldCharType="begin"/>
                    </w:r>
                    <w:r>
                      <w:instrText xml:space="preserve"> PAGE \* MERGEFORMAT </w:instrText>
                    </w:r>
                    <w:r>
                      <w:fldChar w:fldCharType="separate"/>
                    </w:r>
                    <w:r w:rsidR="00960409">
                      <w:rPr>
                        <w:noProof/>
                      </w:rPr>
                      <w:t>175</w:t>
                    </w:r>
                    <w:r>
                      <w:rPr>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929C" w14:textId="547809D6" w:rsidR="00350396" w:rsidRDefault="00350396">
    <w:pPr>
      <w:rPr>
        <w:sz w:val="2"/>
        <w:szCs w:val="2"/>
      </w:rPr>
    </w:pPr>
    <w:r>
      <w:rPr>
        <w:noProof/>
        <w:lang w:bidi="ar-SA"/>
      </w:rPr>
      <mc:AlternateContent>
        <mc:Choice Requires="wps">
          <w:drawing>
            <wp:anchor distT="0" distB="0" distL="63500" distR="63500" simplePos="0" relativeHeight="314594054" behindDoc="1" locked="0" layoutInCell="1" allowOverlap="1" wp14:anchorId="72E55D44" wp14:editId="21444E2E">
              <wp:simplePos x="0" y="0"/>
              <wp:positionH relativeFrom="page">
                <wp:posOffset>713740</wp:posOffset>
              </wp:positionH>
              <wp:positionV relativeFrom="page">
                <wp:posOffset>7885430</wp:posOffset>
              </wp:positionV>
              <wp:extent cx="113665" cy="114935"/>
              <wp:effectExtent l="0" t="0" r="1270" b="635"/>
              <wp:wrapNone/>
              <wp:docPr id="325" name="Надпись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92FE" w14:textId="40C3DC49" w:rsidR="00350396" w:rsidRDefault="00350396">
                          <w:r>
                            <w:fldChar w:fldCharType="begin"/>
                          </w:r>
                          <w:r>
                            <w:instrText xml:space="preserve"> PAGE \* MERGEFORMAT </w:instrText>
                          </w:r>
                          <w:r>
                            <w:fldChar w:fldCharType="separate"/>
                          </w:r>
                          <w:r w:rsidR="00960409" w:rsidRPr="00960409">
                            <w:rPr>
                              <w:rStyle w:val="2MicrosoftSansSerif8pt"/>
                              <w:noProof/>
                            </w:rPr>
                            <w:t>173</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E55D44" id="_x0000_t202" coordsize="21600,21600" o:spt="202" path="m,l,21600r21600,l21600,xe">
              <v:stroke joinstyle="miter"/>
              <v:path gradientshapeok="t" o:connecttype="rect"/>
            </v:shapetype>
            <v:shape id="Надпись 325" o:spid="_x0000_s1102" type="#_x0000_t202" style="position:absolute;left:0;text-align:left;margin-left:56.2pt;margin-top:620.9pt;width:8.95pt;height:9.05pt;z-index:-1887224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" filled="f" stroked="f">
              <v:textbox style="mso-fit-shape-to-text:t" inset="0,0,0,0">
                <w:txbxContent>
                  <w:p w14:paraId="5B6292FE" w14:textId="40C3DC49" w:rsidR="00350396" w:rsidRDefault="00350396">
                    <w:r>
                      <w:fldChar w:fldCharType="begin"/>
                    </w:r>
                    <w:r>
                      <w:instrText xml:space="preserve"> PAGE \* MERGEFORMAT </w:instrText>
                    </w:r>
                    <w:r>
                      <w:fldChar w:fldCharType="separate"/>
                    </w:r>
                    <w:r w:rsidR="00960409" w:rsidRPr="00960409">
                      <w:rPr>
                        <w:rStyle w:val="2MicrosoftSansSerif8pt"/>
                        <w:noProof/>
                      </w:rPr>
                      <w:t>173</w:t>
                    </w:r>
                    <w:r>
                      <w:rPr>
                        <w:rStyle w:val="2MicrosoftSansSerif8pt"/>
                        <w:noProof/>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CA9F" w14:textId="5ACC71DC" w:rsidR="00350396" w:rsidRDefault="00350396">
    <w:pPr>
      <w:rPr>
        <w:sz w:val="2"/>
        <w:szCs w:val="2"/>
      </w:rPr>
    </w:pPr>
    <w:r>
      <w:rPr>
        <w:noProof/>
        <w:lang w:bidi="ar-SA"/>
      </w:rPr>
      <mc:AlternateContent>
        <mc:Choice Requires="wps">
          <w:drawing>
            <wp:anchor distT="0" distB="0" distL="63500" distR="63500" simplePos="0" relativeHeight="314596102" behindDoc="1" locked="0" layoutInCell="1" allowOverlap="1" wp14:anchorId="5169F73D" wp14:editId="10319FCF">
              <wp:simplePos x="0" y="0"/>
              <wp:positionH relativeFrom="page">
                <wp:posOffset>715010</wp:posOffset>
              </wp:positionH>
              <wp:positionV relativeFrom="page">
                <wp:posOffset>8040370</wp:posOffset>
              </wp:positionV>
              <wp:extent cx="106680" cy="76200"/>
              <wp:effectExtent l="635" t="1270" r="0" b="0"/>
              <wp:wrapNone/>
              <wp:docPr id="323" name="Надпись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EF6E" w14:textId="040ADABE" w:rsidR="00350396" w:rsidRDefault="00350396">
                          <w:r>
                            <w:fldChar w:fldCharType="begin"/>
                          </w:r>
                          <w:r>
                            <w:instrText xml:space="preserve"> PAGE \* MERGEFORMAT </w:instrText>
                          </w:r>
                          <w:r>
                            <w:fldChar w:fldCharType="separate"/>
                          </w:r>
                          <w:r w:rsidR="00960409">
                            <w:rPr>
                              <w:noProof/>
                            </w:rPr>
                            <w:t>218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69F73D" id="_x0000_t202" coordsize="21600,21600" o:spt="202" path="m,l,21600r21600,l21600,xe">
              <v:stroke joinstyle="miter"/>
              <v:path gradientshapeok="t" o:connecttype="rect"/>
            </v:shapetype>
            <v:shape id="Надпись 323" o:spid="_x0000_s1104" type="#_x0000_t202" style="position:absolute;left:0;text-align:left;margin-left:56.3pt;margin-top:633.1pt;width:8.4pt;height:6pt;z-index:-1887203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" filled="f" stroked="f">
              <v:textbox style="mso-fit-shape-to-text:t" inset="0,0,0,0">
                <w:txbxContent>
                  <w:p w14:paraId="0226EF6E" w14:textId="040ADABE" w:rsidR="00350396" w:rsidRDefault="00350396">
                    <w:r>
                      <w:fldChar w:fldCharType="begin"/>
                    </w:r>
                    <w:r>
                      <w:instrText xml:space="preserve"> PAGE \* MERGEFORMAT </w:instrText>
                    </w:r>
                    <w:r>
                      <w:fldChar w:fldCharType="separate"/>
                    </w:r>
                    <w:r w:rsidR="00960409">
                      <w:rPr>
                        <w:noProof/>
                      </w:rPr>
                      <w:t>218</w:t>
                    </w:r>
                    <w:r>
                      <w:rPr>
                        <w:noProof/>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E0CEB" w14:textId="638449D8" w:rsidR="00350396" w:rsidRDefault="00350396">
    <w:pPr>
      <w:rPr>
        <w:sz w:val="2"/>
        <w:szCs w:val="2"/>
      </w:rPr>
    </w:pPr>
    <w:r>
      <w:rPr>
        <w:noProof/>
        <w:lang w:bidi="ar-SA"/>
      </w:rPr>
      <mc:AlternateContent>
        <mc:Choice Requires="wps">
          <w:drawing>
            <wp:anchor distT="0" distB="0" distL="63500" distR="63500" simplePos="0" relativeHeight="314597126" behindDoc="1" locked="0" layoutInCell="1" allowOverlap="1" wp14:anchorId="693EC06A" wp14:editId="6EEF0AF5">
              <wp:simplePos x="0" y="0"/>
              <wp:positionH relativeFrom="page">
                <wp:posOffset>4705985</wp:posOffset>
              </wp:positionH>
              <wp:positionV relativeFrom="page">
                <wp:posOffset>7830820</wp:posOffset>
              </wp:positionV>
              <wp:extent cx="113665" cy="114935"/>
              <wp:effectExtent l="635" t="1270" r="0" b="0"/>
              <wp:wrapNone/>
              <wp:docPr id="322" name="Надпись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129F" w14:textId="44297A2D" w:rsidR="00350396" w:rsidRDefault="00350396">
                          <w:r>
                            <w:fldChar w:fldCharType="begin"/>
                          </w:r>
                          <w:r>
                            <w:instrText xml:space="preserve"> PAGE \* MERGEFORMAT </w:instrText>
                          </w:r>
                          <w:r>
                            <w:fldChar w:fldCharType="separate"/>
                          </w:r>
                          <w:r w:rsidR="00960409" w:rsidRPr="00960409">
                            <w:rPr>
                              <w:rStyle w:val="2MicrosoftSansSerif8pt"/>
                              <w:noProof/>
                            </w:rPr>
                            <w:t>217</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3EC06A" id="_x0000_t202" coordsize="21600,21600" o:spt="202" path="m,l,21600r21600,l21600,xe">
              <v:stroke joinstyle="miter"/>
              <v:path gradientshapeok="t" o:connecttype="rect"/>
            </v:shapetype>
            <v:shape id="Надпись 322" o:spid="_x0000_s1105" type="#_x0000_t202" style="position:absolute;left:0;text-align:left;margin-left:370.55pt;margin-top:616.6pt;width:8.95pt;height:9.05pt;z-index:-1887193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" filled="f" stroked="f">
              <v:textbox style="mso-fit-shape-to-text:t" inset="0,0,0,0">
                <w:txbxContent>
                  <w:p w14:paraId="2ABC129F" w14:textId="44297A2D" w:rsidR="00350396" w:rsidRDefault="00350396">
                    <w:r>
                      <w:fldChar w:fldCharType="begin"/>
                    </w:r>
                    <w:r>
                      <w:instrText xml:space="preserve"> PAGE \* MERGEFORMAT </w:instrText>
                    </w:r>
                    <w:r>
                      <w:fldChar w:fldCharType="separate"/>
                    </w:r>
                    <w:r w:rsidR="00960409" w:rsidRPr="00960409">
                      <w:rPr>
                        <w:rStyle w:val="2MicrosoftSansSerif8pt"/>
                        <w:noProof/>
                      </w:rPr>
                      <w:t>217</w:t>
                    </w:r>
                    <w:r>
                      <w:rPr>
                        <w:rStyle w:val="2MicrosoftSansSerif8pt"/>
                        <w:noProof/>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7643" w14:textId="032ABC51" w:rsidR="00350396" w:rsidRDefault="00350396">
    <w:pPr>
      <w:rPr>
        <w:sz w:val="2"/>
        <w:szCs w:val="2"/>
      </w:rPr>
    </w:pPr>
    <w:r>
      <w:rPr>
        <w:noProof/>
        <w:lang w:bidi="ar-SA"/>
      </w:rPr>
      <mc:AlternateContent>
        <mc:Choice Requires="wps">
          <w:drawing>
            <wp:anchor distT="0" distB="0" distL="63500" distR="63500" simplePos="0" relativeHeight="314598150" behindDoc="1" locked="0" layoutInCell="1" allowOverlap="1" wp14:anchorId="276899DF" wp14:editId="127DE79A">
              <wp:simplePos x="0" y="0"/>
              <wp:positionH relativeFrom="page">
                <wp:posOffset>4766945</wp:posOffset>
              </wp:positionH>
              <wp:positionV relativeFrom="page">
                <wp:posOffset>7996555</wp:posOffset>
              </wp:positionV>
              <wp:extent cx="91440" cy="76200"/>
              <wp:effectExtent l="4445" t="0" r="0" b="4445"/>
              <wp:wrapNone/>
              <wp:docPr id="321" name="Надпись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386E" w14:textId="77777777" w:rsidR="00350396" w:rsidRDefault="00350396">
                          <w:r>
                            <w:fldChar w:fldCharType="begin"/>
                          </w:r>
                          <w:r>
                            <w:instrText xml:space="preserve"> PAGE \* MERGEFORMAT </w:instrText>
                          </w:r>
                          <w:r>
                            <w:fldChar w:fldCharType="separate"/>
                          </w:r>
                          <w:r w:rsidRPr="002A5447">
                            <w:rPr>
                              <w:noProof/>
                            </w:rPr>
                            <w:t>44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6899DF" id="_x0000_t202" coordsize="21600,21600" o:spt="202" path="m,l,21600r21600,l21600,xe">
              <v:stroke joinstyle="miter"/>
              <v:path gradientshapeok="t" o:connecttype="rect"/>
            </v:shapetype>
            <v:shape id="Надпись 321" o:spid="_x0000_s1106" type="#_x0000_t202" style="position:absolute;left:0;text-align:left;margin-left:375.35pt;margin-top:629.65pt;width:7.2pt;height:6pt;z-index:-1887183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" filled="f" stroked="f">
              <v:textbox style="mso-fit-shape-to-text:t" inset="0,0,0,0">
                <w:txbxContent>
                  <w:p w14:paraId="0C23386E" w14:textId="77777777" w:rsidR="00350396" w:rsidRDefault="00350396">
                    <w:r>
                      <w:fldChar w:fldCharType="begin"/>
                    </w:r>
                    <w:r>
                      <w:instrText xml:space="preserve"> PAGE \* MERGEFORMAT </w:instrText>
                    </w:r>
                    <w:r>
                      <w:fldChar w:fldCharType="separate"/>
                    </w:r>
                    <w:r w:rsidRPr="002A5447">
                      <w:rPr>
                        <w:noProof/>
                      </w:rPr>
                      <w:t>44</w:t>
                    </w:r>
                    <w:r>
                      <w:rPr>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CDFC" w14:textId="512FE8E9" w:rsidR="00350396" w:rsidRDefault="00350396">
    <w:pP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4C6F" w14:textId="5F1EF8B1" w:rsidR="00350396" w:rsidRDefault="00350396">
    <w:pPr>
      <w:rPr>
        <w:sz w:val="2"/>
        <w:szCs w:val="2"/>
      </w:rPr>
    </w:pPr>
    <w:r>
      <w:rPr>
        <w:noProof/>
        <w:lang w:bidi="ar-SA"/>
      </w:rPr>
      <mc:AlternateContent>
        <mc:Choice Requires="wps">
          <w:drawing>
            <wp:anchor distT="0" distB="0" distL="63500" distR="63500" simplePos="0" relativeHeight="314600198" behindDoc="1" locked="0" layoutInCell="1" allowOverlap="1" wp14:anchorId="2671DCAD" wp14:editId="39D29806">
              <wp:simplePos x="0" y="0"/>
              <wp:positionH relativeFrom="page">
                <wp:posOffset>4766945</wp:posOffset>
              </wp:positionH>
              <wp:positionV relativeFrom="page">
                <wp:posOffset>7996555</wp:posOffset>
              </wp:positionV>
              <wp:extent cx="113665" cy="114935"/>
              <wp:effectExtent l="4445" t="0" r="0" b="3810"/>
              <wp:wrapNone/>
              <wp:docPr id="319" name="Надпись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EACD3" w14:textId="4337DE9B" w:rsidR="00350396" w:rsidRDefault="00350396">
                          <w:r>
                            <w:fldChar w:fldCharType="begin"/>
                          </w:r>
                          <w:r>
                            <w:instrText xml:space="preserve"> PAGE \* MERGEFORMAT </w:instrText>
                          </w:r>
                          <w:r>
                            <w:fldChar w:fldCharType="separate"/>
                          </w:r>
                          <w:r w:rsidR="00960409">
                            <w:rPr>
                              <w:noProof/>
                            </w:rPr>
                            <w:t>235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71DCAD" id="_x0000_t202" coordsize="21600,21600" o:spt="202" path="m,l,21600r21600,l21600,xe">
              <v:stroke joinstyle="miter"/>
              <v:path gradientshapeok="t" o:connecttype="rect"/>
            </v:shapetype>
            <v:shape id="Надпись 319" o:spid="_x0000_s1107" type="#_x0000_t202" style="position:absolute;left:0;text-align:left;margin-left:375.35pt;margin-top:629.65pt;width:8.95pt;height:9.05pt;z-index:-1887162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" filled="f" stroked="f">
              <v:textbox style="mso-fit-shape-to-text:t" inset="0,0,0,0">
                <w:txbxContent>
                  <w:p w14:paraId="6ABEACD3" w14:textId="4337DE9B" w:rsidR="00350396" w:rsidRDefault="00350396">
                    <w:r>
                      <w:fldChar w:fldCharType="begin"/>
                    </w:r>
                    <w:r>
                      <w:instrText xml:space="preserve"> PAGE \* MERGEFORMAT </w:instrText>
                    </w:r>
                    <w:r>
                      <w:fldChar w:fldCharType="separate"/>
                    </w:r>
                    <w:r w:rsidR="00960409">
                      <w:rPr>
                        <w:noProof/>
                      </w:rPr>
                      <w:t>235</w:t>
                    </w:r>
                    <w:r>
                      <w:rPr>
                        <w:noProof/>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C672" w14:textId="3EBA8DA6" w:rsidR="00350396" w:rsidRDefault="00350396">
    <w:pPr>
      <w:rPr>
        <w:sz w:val="2"/>
        <w:szCs w:val="2"/>
      </w:rPr>
    </w:pPr>
    <w:r>
      <w:rPr>
        <w:noProof/>
        <w:lang w:bidi="ar-SA"/>
      </w:rPr>
      <mc:AlternateContent>
        <mc:Choice Requires="wps">
          <w:drawing>
            <wp:anchor distT="0" distB="0" distL="63500" distR="63500" simplePos="0" relativeHeight="314601222" behindDoc="1" locked="0" layoutInCell="1" allowOverlap="1" wp14:anchorId="792BA14D" wp14:editId="14E8B6D4">
              <wp:simplePos x="0" y="0"/>
              <wp:positionH relativeFrom="page">
                <wp:posOffset>715010</wp:posOffset>
              </wp:positionH>
              <wp:positionV relativeFrom="page">
                <wp:posOffset>8040370</wp:posOffset>
              </wp:positionV>
              <wp:extent cx="113665" cy="114935"/>
              <wp:effectExtent l="635" t="1270" r="0" b="0"/>
              <wp:wrapNone/>
              <wp:docPr id="318" name="Надпись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1443" w14:textId="69E373E1" w:rsidR="00350396" w:rsidRDefault="00350396">
                          <w:r>
                            <w:fldChar w:fldCharType="begin"/>
                          </w:r>
                          <w:r>
                            <w:instrText xml:space="preserve"> PAGE \* MERGEFORMAT </w:instrText>
                          </w:r>
                          <w:r>
                            <w:fldChar w:fldCharType="separate"/>
                          </w:r>
                          <w:r w:rsidR="00960409">
                            <w:rPr>
                              <w:noProof/>
                            </w:rPr>
                            <w:t>219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2BA14D" id="_x0000_t202" coordsize="21600,21600" o:spt="202" path="m,l,21600r21600,l21600,xe">
              <v:stroke joinstyle="miter"/>
              <v:path gradientshapeok="t" o:connecttype="rect"/>
            </v:shapetype>
            <v:shape id="Надпись 318" o:spid="_x0000_s1108" type="#_x0000_t202" style="position:absolute;left:0;text-align:left;margin-left:56.3pt;margin-top:633.1pt;width:8.95pt;height:9.05pt;z-index:-1887152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" filled="f" stroked="f">
              <v:textbox style="mso-fit-shape-to-text:t" inset="0,0,0,0">
                <w:txbxContent>
                  <w:p w14:paraId="2FF91443" w14:textId="69E373E1" w:rsidR="00350396" w:rsidRDefault="00350396">
                    <w:r>
                      <w:fldChar w:fldCharType="begin"/>
                    </w:r>
                    <w:r>
                      <w:instrText xml:space="preserve"> PAGE \* MERGEFORMAT </w:instrText>
                    </w:r>
                    <w:r>
                      <w:fldChar w:fldCharType="separate"/>
                    </w:r>
                    <w:r w:rsidR="00960409">
                      <w:rPr>
                        <w:noProof/>
                      </w:rPr>
                      <w:t>219</w:t>
                    </w:r>
                    <w:r>
                      <w:rPr>
                        <w:noProof/>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5AE0" w14:textId="035BFD41" w:rsidR="00350396" w:rsidRDefault="00350396">
    <w:pPr>
      <w:rPr>
        <w:sz w:val="2"/>
        <w:szCs w:val="2"/>
      </w:rPr>
    </w:pPr>
    <w:r>
      <w:rPr>
        <w:noProof/>
        <w:lang w:bidi="ar-SA"/>
      </w:rPr>
      <mc:AlternateContent>
        <mc:Choice Requires="wps">
          <w:drawing>
            <wp:anchor distT="0" distB="0" distL="63500" distR="63500" simplePos="0" relativeHeight="314602246" behindDoc="1" locked="0" layoutInCell="1" allowOverlap="1" wp14:anchorId="19D7F99E" wp14:editId="7E0E3D8B">
              <wp:simplePos x="0" y="0"/>
              <wp:positionH relativeFrom="page">
                <wp:posOffset>715010</wp:posOffset>
              </wp:positionH>
              <wp:positionV relativeFrom="page">
                <wp:posOffset>8040370</wp:posOffset>
              </wp:positionV>
              <wp:extent cx="106680" cy="76200"/>
              <wp:effectExtent l="635" t="1270" r="0" b="0"/>
              <wp:wrapNone/>
              <wp:docPr id="317" name="Надпись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209E" w14:textId="0B31C3A7" w:rsidR="00350396" w:rsidRDefault="00350396">
                          <w:r>
                            <w:fldChar w:fldCharType="begin"/>
                          </w:r>
                          <w:r>
                            <w:instrText xml:space="preserve"> PAGE \* MERGEFORMAT </w:instrText>
                          </w:r>
                          <w:r>
                            <w:fldChar w:fldCharType="separate"/>
                          </w:r>
                          <w:r w:rsidR="00960409">
                            <w:rPr>
                              <w:noProof/>
                            </w:rPr>
                            <w:t>238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D7F99E" id="_x0000_t202" coordsize="21600,21600" o:spt="202" path="m,l,21600r21600,l21600,xe">
              <v:stroke joinstyle="miter"/>
              <v:path gradientshapeok="t" o:connecttype="rect"/>
            </v:shapetype>
            <v:shape id="Надпись 317" o:spid="_x0000_s1109" type="#_x0000_t202" style="position:absolute;left:0;text-align:left;margin-left:56.3pt;margin-top:633.1pt;width:8.4pt;height:6pt;z-index:-1887142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" filled="f" stroked="f">
              <v:textbox style="mso-fit-shape-to-text:t" inset="0,0,0,0">
                <w:txbxContent>
                  <w:p w14:paraId="018B209E" w14:textId="0B31C3A7" w:rsidR="00350396" w:rsidRDefault="00350396">
                    <w:r>
                      <w:fldChar w:fldCharType="begin"/>
                    </w:r>
                    <w:r>
                      <w:instrText xml:space="preserve"> PAGE \* MERGEFORMAT </w:instrText>
                    </w:r>
                    <w:r>
                      <w:fldChar w:fldCharType="separate"/>
                    </w:r>
                    <w:r w:rsidR="00960409">
                      <w:rPr>
                        <w:noProof/>
                      </w:rPr>
                      <w:t>238</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D414" w14:textId="46778C45" w:rsidR="00350D42" w:rsidRDefault="00A74D21">
    <w:pPr>
      <w:rPr>
        <w:sz w:val="2"/>
        <w:szCs w:val="2"/>
      </w:rPr>
    </w:pPr>
    <w:r>
      <w:rPr>
        <w:noProof/>
        <w:lang w:bidi="ar-SA"/>
      </w:rPr>
      <mc:AlternateContent>
        <mc:Choice Requires="wps">
          <w:drawing>
            <wp:anchor distT="0" distB="0" distL="63500" distR="63500" simplePos="0" relativeHeight="314572418" behindDoc="1" locked="0" layoutInCell="1" allowOverlap="1" wp14:anchorId="29436F7C" wp14:editId="2A136E34">
              <wp:simplePos x="0" y="0"/>
              <wp:positionH relativeFrom="page">
                <wp:posOffset>715010</wp:posOffset>
              </wp:positionH>
              <wp:positionV relativeFrom="page">
                <wp:posOffset>8040370</wp:posOffset>
              </wp:positionV>
              <wp:extent cx="259080" cy="114935"/>
              <wp:effectExtent l="635" t="127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AEAB6" w14:textId="015A66F3" w:rsidR="00350D42" w:rsidRDefault="00A74D21">
                          <w:pPr>
                            <w:pStyle w:val="aa"/>
                            <w:shd w:val="clear" w:color="auto" w:fill="auto"/>
                            <w:spacing w:line="240" w:lineRule="auto"/>
                          </w:pPr>
                          <w:r>
                            <w:fldChar w:fldCharType="begin"/>
                          </w:r>
                          <w:r>
                            <w:instrText xml:space="preserve"> PAGE \* MERGEFORMAT </w:instrText>
                          </w:r>
                          <w:r>
                            <w:fldChar w:fldCharType="separate"/>
                          </w:r>
                          <w:r w:rsidR="005C7F97" w:rsidRPr="005C7F97">
                            <w:rPr>
                              <w:rStyle w:val="ab"/>
                              <w:b/>
                              <w:bCs/>
                              <w:noProof/>
                            </w:rPr>
                            <w:t>22</w:t>
                          </w:r>
                          <w:r>
                            <w:rPr>
                              <w:rStyle w:val="ab"/>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436F7C" id="_x0000_t202" coordsize="21600,21600" o:spt="202" path="m,l,21600r21600,l21600,xe">
              <v:stroke joinstyle="miter"/>
              <v:path gradientshapeok="t" o:connecttype="rect"/>
            </v:shapetype>
            <v:shape id="Text Box 133" o:spid="_x0000_s1085" type="#_x0000_t202" style="position:absolute;left:0;text-align:left;margin-left:56.3pt;margin-top:633.1pt;width:20.4pt;height:9.0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" filled="f" stroked="f">
              <v:textbox style="mso-fit-shape-to-text:t" inset="0,0,0,0">
                <w:txbxContent>
                  <w:p w14:paraId="58DAEAB6" w14:textId="015A66F3" w:rsidR="00350D42" w:rsidRDefault="00A74D21">
                    <w:pPr>
                      <w:pStyle w:val="aa"/>
                      <w:shd w:val="clear" w:color="auto" w:fill="auto"/>
                      <w:spacing w:line="240" w:lineRule="auto"/>
                    </w:pPr>
                    <w:r>
                      <w:fldChar w:fldCharType="begin"/>
                    </w:r>
                    <w:r>
                      <w:instrText xml:space="preserve"> PAGE \* MERGEFORMAT </w:instrText>
                    </w:r>
                    <w:r>
                      <w:fldChar w:fldCharType="separate"/>
                    </w:r>
                    <w:r w:rsidR="005C7F97" w:rsidRPr="005C7F97">
                      <w:rPr>
                        <w:rStyle w:val="ab"/>
                        <w:b/>
                        <w:bCs/>
                        <w:noProof/>
                      </w:rPr>
                      <w:t>22</w:t>
                    </w:r>
                    <w:r>
                      <w:rPr>
                        <w:rStyle w:val="ab"/>
                        <w:b/>
                        <w:bCs/>
                        <w:noProof/>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11D1" w14:textId="488F096B" w:rsidR="00350396" w:rsidRDefault="00350396">
    <w:pPr>
      <w:rPr>
        <w:sz w:val="2"/>
        <w:szCs w:val="2"/>
      </w:rPr>
    </w:pPr>
    <w:r>
      <w:rPr>
        <w:noProof/>
        <w:lang w:bidi="ar-SA"/>
      </w:rPr>
      <mc:AlternateContent>
        <mc:Choice Requires="wps">
          <w:drawing>
            <wp:anchor distT="0" distB="0" distL="63500" distR="63500" simplePos="0" relativeHeight="314603270" behindDoc="1" locked="0" layoutInCell="1" allowOverlap="1" wp14:anchorId="0D8FD295" wp14:editId="787F593A">
              <wp:simplePos x="0" y="0"/>
              <wp:positionH relativeFrom="page">
                <wp:posOffset>4766945</wp:posOffset>
              </wp:positionH>
              <wp:positionV relativeFrom="page">
                <wp:posOffset>7996555</wp:posOffset>
              </wp:positionV>
              <wp:extent cx="170180" cy="114935"/>
              <wp:effectExtent l="4445" t="0" r="0" b="3810"/>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EB72" w14:textId="7151D421" w:rsidR="00350396" w:rsidRDefault="00350396">
                          <w:r>
                            <w:fldChar w:fldCharType="begin"/>
                          </w:r>
                          <w:r>
                            <w:instrText xml:space="preserve"> PAGE \* MERGEFORMAT </w:instrText>
                          </w:r>
                          <w:r>
                            <w:fldChar w:fldCharType="separate"/>
                          </w:r>
                          <w:r w:rsidR="00960409">
                            <w:rPr>
                              <w:noProof/>
                            </w:rPr>
                            <w:t>237</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8FD295" id="_x0000_t202" coordsize="21600,21600" o:spt="202" path="m,l,21600r21600,l21600,xe">
              <v:stroke joinstyle="miter"/>
              <v:path gradientshapeok="t" o:connecttype="rect"/>
            </v:shapetype>
            <v:shape id="Надпись 316" o:spid="_x0000_s1110" type="#_x0000_t202" style="position:absolute;left:0;text-align:left;margin-left:375.35pt;margin-top:629.65pt;width:13.4pt;height:9.05pt;z-index:-18871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" filled="f" stroked="f">
              <v:textbox style="mso-fit-shape-to-text:t" inset="0,0,0,0">
                <w:txbxContent>
                  <w:p w14:paraId="516EEB72" w14:textId="7151D421" w:rsidR="00350396" w:rsidRDefault="00350396">
                    <w:r>
                      <w:fldChar w:fldCharType="begin"/>
                    </w:r>
                    <w:r>
                      <w:instrText xml:space="preserve"> PAGE \* MERGEFORMAT </w:instrText>
                    </w:r>
                    <w:r>
                      <w:fldChar w:fldCharType="separate"/>
                    </w:r>
                    <w:r w:rsidR="00960409">
                      <w:rPr>
                        <w:noProof/>
                      </w:rPr>
                      <w:t>237</w:t>
                    </w:r>
                    <w:r>
                      <w:rPr>
                        <w:noProof/>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E046" w14:textId="6F8855C7" w:rsidR="00350396" w:rsidRDefault="00350396">
    <w:pPr>
      <w:rPr>
        <w:sz w:val="2"/>
        <w:szCs w:val="2"/>
      </w:rPr>
    </w:pPr>
    <w:r>
      <w:rPr>
        <w:noProof/>
        <w:lang w:bidi="ar-SA"/>
      </w:rPr>
      <mc:AlternateContent>
        <mc:Choice Requires="wps">
          <w:drawing>
            <wp:anchor distT="0" distB="0" distL="63500" distR="63500" simplePos="0" relativeHeight="314605318" behindDoc="1" locked="0" layoutInCell="1" allowOverlap="1" wp14:anchorId="2AAFA690" wp14:editId="42A5D926">
              <wp:simplePos x="0" y="0"/>
              <wp:positionH relativeFrom="page">
                <wp:posOffset>704850</wp:posOffset>
              </wp:positionH>
              <wp:positionV relativeFrom="page">
                <wp:posOffset>7929880</wp:posOffset>
              </wp:positionV>
              <wp:extent cx="170180" cy="114935"/>
              <wp:effectExtent l="0" t="0" r="1270" b="3810"/>
              <wp:wrapNone/>
              <wp:docPr id="314" name="Надпись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5B7D" w14:textId="7BFFBD6B" w:rsidR="00350396" w:rsidRDefault="00350396">
                          <w:r>
                            <w:fldChar w:fldCharType="begin"/>
                          </w:r>
                          <w:r>
                            <w:instrText xml:space="preserve"> PAGE \* MERGEFORMAT </w:instrText>
                          </w:r>
                          <w:r>
                            <w:fldChar w:fldCharType="separate"/>
                          </w:r>
                          <w:r w:rsidR="00960409" w:rsidRPr="00960409">
                            <w:rPr>
                              <w:rStyle w:val="2MicrosoftSansSerif8pt1"/>
                              <w:noProof/>
                            </w:rPr>
                            <w:t>236</w:t>
                          </w:r>
                          <w:r>
                            <w:rPr>
                              <w:rStyle w:val="2MicrosoftSansSerif8pt1"/>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AFA690" id="_x0000_t202" coordsize="21600,21600" o:spt="202" path="m,l,21600r21600,l21600,xe">
              <v:stroke joinstyle="miter"/>
              <v:path gradientshapeok="t" o:connecttype="rect"/>
            </v:shapetype>
            <v:shape id="Надпись 314" o:spid="_x0000_s1112" type="#_x0000_t202" style="position:absolute;left:0;text-align:left;margin-left:55.5pt;margin-top:624.4pt;width:13.4pt;height:9.05pt;z-index:-188711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" filled="f" stroked="f">
              <v:textbox style="mso-fit-shape-to-text:t" inset="0,0,0,0">
                <w:txbxContent>
                  <w:p w14:paraId="0E175B7D" w14:textId="7BFFBD6B" w:rsidR="00350396" w:rsidRDefault="00350396">
                    <w:r>
                      <w:fldChar w:fldCharType="begin"/>
                    </w:r>
                    <w:r>
                      <w:instrText xml:space="preserve"> PAGE \* MERGEFORMAT </w:instrText>
                    </w:r>
                    <w:r>
                      <w:fldChar w:fldCharType="separate"/>
                    </w:r>
                    <w:r w:rsidR="00960409" w:rsidRPr="00960409">
                      <w:rPr>
                        <w:rStyle w:val="2MicrosoftSansSerif8pt1"/>
                        <w:noProof/>
                      </w:rPr>
                      <w:t>236</w:t>
                    </w:r>
                    <w:r>
                      <w:rPr>
                        <w:rStyle w:val="2MicrosoftSansSerif8pt1"/>
                        <w:noProof/>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FBE8" w14:textId="64D7255A" w:rsidR="00350396" w:rsidRDefault="00350396">
    <w:pPr>
      <w:rPr>
        <w:sz w:val="2"/>
        <w:szCs w:val="2"/>
      </w:rPr>
    </w:pPr>
    <w:r>
      <w:rPr>
        <w:noProof/>
        <w:lang w:bidi="ar-SA"/>
      </w:rPr>
      <mc:AlternateContent>
        <mc:Choice Requires="wps">
          <w:drawing>
            <wp:anchor distT="0" distB="0" distL="63500" distR="63500" simplePos="0" relativeHeight="314606342" behindDoc="1" locked="0" layoutInCell="1" allowOverlap="1" wp14:anchorId="2F95A00E" wp14:editId="5664672E">
              <wp:simplePos x="0" y="0"/>
              <wp:positionH relativeFrom="page">
                <wp:posOffset>715010</wp:posOffset>
              </wp:positionH>
              <wp:positionV relativeFrom="page">
                <wp:posOffset>8040370</wp:posOffset>
              </wp:positionV>
              <wp:extent cx="106680" cy="76200"/>
              <wp:effectExtent l="635" t="1270" r="0" b="0"/>
              <wp:wrapNone/>
              <wp:docPr id="313" name="Надпись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D7233" w14:textId="41BAB6A9" w:rsidR="00350396" w:rsidRDefault="00350396">
                          <w:r>
                            <w:fldChar w:fldCharType="begin"/>
                          </w:r>
                          <w:r>
                            <w:instrText xml:space="preserve"> PAGE \* MERGEFORMAT </w:instrText>
                          </w:r>
                          <w:r>
                            <w:fldChar w:fldCharType="separate"/>
                          </w:r>
                          <w:r w:rsidR="00960409">
                            <w:rPr>
                              <w:noProof/>
                            </w:rPr>
                            <w:t>252</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95A00E" id="_x0000_t202" coordsize="21600,21600" o:spt="202" path="m,l,21600r21600,l21600,xe">
              <v:stroke joinstyle="miter"/>
              <v:path gradientshapeok="t" o:connecttype="rect"/>
            </v:shapetype>
            <v:shape id="Надпись 313" o:spid="_x0000_s1113" type="#_x0000_t202" style="position:absolute;left:0;text-align:left;margin-left:56.3pt;margin-top:633.1pt;width:8.4pt;height:6pt;z-index:-1887101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" filled="f" stroked="f">
              <v:textbox style="mso-fit-shape-to-text:t" inset="0,0,0,0">
                <w:txbxContent>
                  <w:p w14:paraId="311D7233" w14:textId="41BAB6A9" w:rsidR="00350396" w:rsidRDefault="00350396">
                    <w:r>
                      <w:fldChar w:fldCharType="begin"/>
                    </w:r>
                    <w:r>
                      <w:instrText xml:space="preserve"> PAGE \* MERGEFORMAT </w:instrText>
                    </w:r>
                    <w:r>
                      <w:fldChar w:fldCharType="separate"/>
                    </w:r>
                    <w:r w:rsidR="00960409">
                      <w:rPr>
                        <w:noProof/>
                      </w:rPr>
                      <w:t>252</w:t>
                    </w:r>
                    <w:r>
                      <w:rPr>
                        <w:noProof/>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3667" w14:textId="49A26309" w:rsidR="00350396" w:rsidRDefault="00350396">
    <w:pPr>
      <w:rPr>
        <w:sz w:val="2"/>
        <w:szCs w:val="2"/>
      </w:rPr>
    </w:pPr>
    <w:r>
      <w:rPr>
        <w:noProof/>
        <w:lang w:bidi="ar-SA"/>
      </w:rPr>
      <mc:AlternateContent>
        <mc:Choice Requires="wps">
          <w:drawing>
            <wp:anchor distT="0" distB="0" distL="63500" distR="63500" simplePos="0" relativeHeight="314607366" behindDoc="1" locked="0" layoutInCell="1" allowOverlap="1" wp14:anchorId="1A2A0657" wp14:editId="529C1A1B">
              <wp:simplePos x="0" y="0"/>
              <wp:positionH relativeFrom="page">
                <wp:posOffset>4766945</wp:posOffset>
              </wp:positionH>
              <wp:positionV relativeFrom="page">
                <wp:posOffset>7996555</wp:posOffset>
              </wp:positionV>
              <wp:extent cx="170180" cy="114935"/>
              <wp:effectExtent l="4445" t="0" r="0" b="3810"/>
              <wp:wrapNone/>
              <wp:docPr id="312" name="Надпись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2D350" w14:textId="27CA38D3" w:rsidR="00350396" w:rsidRDefault="00350396">
                          <w:r>
                            <w:fldChar w:fldCharType="begin"/>
                          </w:r>
                          <w:r>
                            <w:instrText xml:space="preserve"> PAGE \* MERGEFORMAT </w:instrText>
                          </w:r>
                          <w:r>
                            <w:fldChar w:fldCharType="separate"/>
                          </w:r>
                          <w:r w:rsidR="00960409">
                            <w:rPr>
                              <w:noProof/>
                            </w:rPr>
                            <w:t>253</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2A0657" id="_x0000_t202" coordsize="21600,21600" o:spt="202" path="m,l,21600r21600,l21600,xe">
              <v:stroke joinstyle="miter"/>
              <v:path gradientshapeok="t" o:connecttype="rect"/>
            </v:shapetype>
            <v:shape id="Надпись 312" o:spid="_x0000_s1114" type="#_x0000_t202" style="position:absolute;left:0;text-align:left;margin-left:375.35pt;margin-top:629.65pt;width:13.4pt;height:9.05pt;z-index:-188709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" filled="f" stroked="f">
              <v:textbox style="mso-fit-shape-to-text:t" inset="0,0,0,0">
                <w:txbxContent>
                  <w:p w14:paraId="51B2D350" w14:textId="27CA38D3" w:rsidR="00350396" w:rsidRDefault="00350396">
                    <w:r>
                      <w:fldChar w:fldCharType="begin"/>
                    </w:r>
                    <w:r>
                      <w:instrText xml:space="preserve"> PAGE \* MERGEFORMAT </w:instrText>
                    </w:r>
                    <w:r>
                      <w:fldChar w:fldCharType="separate"/>
                    </w:r>
                    <w:r w:rsidR="00960409">
                      <w:rPr>
                        <w:noProof/>
                      </w:rPr>
                      <w:t>253</w:t>
                    </w:r>
                    <w:r>
                      <w:rPr>
                        <w:noProof/>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8D76" w14:textId="1D7B8288" w:rsidR="00350396" w:rsidRDefault="00350396">
    <w:pPr>
      <w:rPr>
        <w:sz w:val="2"/>
        <w:szCs w:val="2"/>
      </w:rPr>
    </w:pPr>
    <w:r>
      <w:rPr>
        <w:noProof/>
        <w:lang w:bidi="ar-SA"/>
      </w:rPr>
      <mc:AlternateContent>
        <mc:Choice Requires="wps">
          <w:drawing>
            <wp:anchor distT="0" distB="0" distL="63500" distR="63500" simplePos="0" relativeHeight="314608390" behindDoc="1" locked="0" layoutInCell="1" allowOverlap="1" wp14:anchorId="5941F57F" wp14:editId="1A3C7C5C">
              <wp:simplePos x="0" y="0"/>
              <wp:positionH relativeFrom="page">
                <wp:posOffset>340995</wp:posOffset>
              </wp:positionH>
              <wp:positionV relativeFrom="page">
                <wp:posOffset>7840345</wp:posOffset>
              </wp:positionV>
              <wp:extent cx="4954270" cy="450215"/>
              <wp:effectExtent l="0" t="1270" r="635" b="0"/>
              <wp:wrapNone/>
              <wp:docPr id="311" name="Надпись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17429" w14:textId="77777777" w:rsidR="00350396" w:rsidRPr="009F075E" w:rsidRDefault="00350396">
                          <w:pPr>
                            <w:rPr>
                              <w:highlight w:val="red"/>
                            </w:rPr>
                          </w:pPr>
                          <w:r w:rsidRPr="009F075E">
                            <w:rPr>
                              <w:highlight w:val="red"/>
                              <w:vertAlign w:val="superscript"/>
                            </w:rPr>
                            <w:t>1</w:t>
                          </w:r>
                          <w:r w:rsidRPr="009F075E">
                            <w:rPr>
                              <w:highlight w:val="red"/>
                            </w:rPr>
                            <w:t xml:space="preserve"> </w:t>
                          </w:r>
                          <w:r w:rsidRPr="009F075E">
                            <w:rPr>
                              <w:rStyle w:val="2fe"/>
                              <w:highlight w:val="red"/>
                            </w:rPr>
                            <w:t>Бабенков В. И., Афанасьев М. В., Бабенков А. В.</w:t>
                          </w:r>
                          <w:r w:rsidRPr="009F075E">
                            <w:rPr>
                              <w:highlight w:val="red"/>
                            </w:rPr>
                            <w:t xml:space="preserve"> Механизмы взаимодействия</w:t>
                          </w:r>
                        </w:p>
                        <w:p w14:paraId="39B22967" w14:textId="77777777" w:rsidR="00350396" w:rsidRPr="009F075E" w:rsidRDefault="00350396">
                          <w:pPr>
                            <w:rPr>
                              <w:highlight w:val="red"/>
                            </w:rPr>
                          </w:pPr>
                          <w:r w:rsidRPr="009F075E">
                            <w:rPr>
                              <w:highlight w:val="red"/>
                            </w:rPr>
                            <w:t>государства и бизнеса по приоритетным инновационным проектам // Научно-тех-</w:t>
                          </w:r>
                        </w:p>
                        <w:p w14:paraId="02EB2C76" w14:textId="77777777" w:rsidR="00350396" w:rsidRDefault="00350396">
                          <w:r w:rsidRPr="009F075E">
                            <w:rPr>
                              <w:highlight w:val="red"/>
                            </w:rPr>
                            <w:t>нические ведомости СПБГПУ. Экономические науки. 2015. № 3. С. 107.</w:t>
                          </w:r>
                        </w:p>
                        <w:p w14:paraId="13156EC1" w14:textId="13949F53" w:rsidR="00350396" w:rsidRDefault="00350396">
                          <w:r>
                            <w:fldChar w:fldCharType="begin"/>
                          </w:r>
                          <w:r>
                            <w:instrText xml:space="preserve"> PAGE \* MERGEFORMAT </w:instrText>
                          </w:r>
                          <w:r>
                            <w:fldChar w:fldCharType="separate"/>
                          </w:r>
                          <w:r w:rsidR="00960409" w:rsidRPr="00960409">
                            <w:rPr>
                              <w:rStyle w:val="2MicrosoftSansSerif8pt"/>
                              <w:noProof/>
                            </w:rPr>
                            <w:t>239</w:t>
                          </w:r>
                          <w:r>
                            <w:rPr>
                              <w:rStyle w:val="2MicrosoftSansSerif8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41F57F" id="_x0000_t202" coordsize="21600,21600" o:spt="202" path="m,l,21600r21600,l21600,xe">
              <v:stroke joinstyle="miter"/>
              <v:path gradientshapeok="t" o:connecttype="rect"/>
            </v:shapetype>
            <v:shape id="Надпись 311" o:spid="_x0000_s1115" type="#_x0000_t202" style="position:absolute;left:0;text-align:left;margin-left:26.85pt;margin-top:617.35pt;width:390.1pt;height:35.45pt;z-index:-1887080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" filled="f" stroked="f">
              <v:textbox style="mso-fit-shape-to-text:t" inset="0,0,0,0">
                <w:txbxContent>
                  <w:p w14:paraId="54617429" w14:textId="77777777" w:rsidR="00350396" w:rsidRPr="009F075E" w:rsidRDefault="00350396">
                    <w:pPr>
                      <w:rPr>
                        <w:highlight w:val="red"/>
                      </w:rPr>
                    </w:pPr>
                    <w:r w:rsidRPr="009F075E">
                      <w:rPr>
                        <w:highlight w:val="red"/>
                        <w:vertAlign w:val="superscript"/>
                      </w:rPr>
                      <w:t>1</w:t>
                    </w:r>
                    <w:r w:rsidRPr="009F075E">
                      <w:rPr>
                        <w:highlight w:val="red"/>
                      </w:rPr>
                      <w:t xml:space="preserve"> </w:t>
                    </w:r>
                    <w:r w:rsidRPr="009F075E">
                      <w:rPr>
                        <w:rStyle w:val="2fe"/>
                        <w:highlight w:val="red"/>
                      </w:rPr>
                      <w:t>Бабенков В. И., Афанасьев М. В., Бабенков А. В.</w:t>
                    </w:r>
                    <w:r w:rsidRPr="009F075E">
                      <w:rPr>
                        <w:highlight w:val="red"/>
                      </w:rPr>
                      <w:t xml:space="preserve"> Механизмы взаимодействия</w:t>
                    </w:r>
                  </w:p>
                  <w:p w14:paraId="39B22967" w14:textId="77777777" w:rsidR="00350396" w:rsidRPr="009F075E" w:rsidRDefault="00350396">
                    <w:pPr>
                      <w:rPr>
                        <w:highlight w:val="red"/>
                      </w:rPr>
                    </w:pPr>
                    <w:r w:rsidRPr="009F075E">
                      <w:rPr>
                        <w:highlight w:val="red"/>
                      </w:rPr>
                      <w:t>государства и бизнеса по приоритетным инновационным проектам // Научно-тех-</w:t>
                    </w:r>
                  </w:p>
                  <w:p w14:paraId="02EB2C76" w14:textId="77777777" w:rsidR="00350396" w:rsidRDefault="00350396">
                    <w:r w:rsidRPr="009F075E">
                      <w:rPr>
                        <w:highlight w:val="red"/>
                      </w:rPr>
                      <w:t>нические ведомости СПБГПУ. Экономические науки. 2015. № 3. С. 107.</w:t>
                    </w:r>
                  </w:p>
                  <w:p w14:paraId="13156EC1" w14:textId="13949F53" w:rsidR="00350396" w:rsidRDefault="00350396">
                    <w:r>
                      <w:fldChar w:fldCharType="begin"/>
                    </w:r>
                    <w:r>
                      <w:instrText xml:space="preserve"> PAGE \* MERGEFORMAT </w:instrText>
                    </w:r>
                    <w:r>
                      <w:fldChar w:fldCharType="separate"/>
                    </w:r>
                    <w:r w:rsidR="00960409" w:rsidRPr="00960409">
                      <w:rPr>
                        <w:rStyle w:val="2MicrosoftSansSerif8pt"/>
                        <w:noProof/>
                      </w:rPr>
                      <w:t>239</w:t>
                    </w:r>
                    <w:r>
                      <w:rPr>
                        <w:rStyle w:val="2MicrosoftSansSerif8pt"/>
                        <w:noProof/>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97708" w14:textId="6D5C09D7" w:rsidR="00350396" w:rsidRDefault="00350396">
    <w:pPr>
      <w:rPr>
        <w:sz w:val="2"/>
        <w:szCs w:val="2"/>
      </w:rPr>
    </w:pPr>
    <w:r>
      <w:rPr>
        <w:noProof/>
        <w:lang w:bidi="ar-SA"/>
      </w:rPr>
      <mc:AlternateContent>
        <mc:Choice Requires="wps">
          <w:drawing>
            <wp:anchor distT="0" distB="0" distL="63500" distR="63500" simplePos="0" relativeHeight="314611462" behindDoc="1" locked="0" layoutInCell="1" allowOverlap="1" wp14:anchorId="1CDDC733" wp14:editId="63D7EAEA">
              <wp:simplePos x="0" y="0"/>
              <wp:positionH relativeFrom="page">
                <wp:posOffset>707390</wp:posOffset>
              </wp:positionH>
              <wp:positionV relativeFrom="page">
                <wp:posOffset>7938135</wp:posOffset>
              </wp:positionV>
              <wp:extent cx="176530" cy="76200"/>
              <wp:effectExtent l="2540" t="3810" r="1905" b="0"/>
              <wp:wrapNone/>
              <wp:docPr id="308" name="Надпись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E806" w14:textId="574935EE" w:rsidR="00350396" w:rsidRDefault="00350396">
                          <w:r>
                            <w:fldChar w:fldCharType="begin"/>
                          </w:r>
                          <w:r>
                            <w:instrText xml:space="preserve"> PAGE \* MERGEFORMAT </w:instrText>
                          </w:r>
                          <w:r>
                            <w:fldChar w:fldCharType="separate"/>
                          </w:r>
                          <w:r w:rsidR="00960409" w:rsidRPr="00960409">
                            <w:rPr>
                              <w:rStyle w:val="2MicrosoftSansSerif8pt1"/>
                              <w:noProof/>
                            </w:rPr>
                            <w:t>256</w:t>
                          </w:r>
                          <w:r>
                            <w:rPr>
                              <w:rStyle w:val="2MicrosoftSansSerif8pt1"/>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DDC733" id="_x0000_t202" coordsize="21600,21600" o:spt="202" path="m,l,21600r21600,l21600,xe">
              <v:stroke joinstyle="miter"/>
              <v:path gradientshapeok="t" o:connecttype="rect"/>
            </v:shapetype>
            <v:shape id="Надпись 308" o:spid="_x0000_s1118" type="#_x0000_t202" style="position:absolute;left:0;text-align:left;margin-left:55.7pt;margin-top:625.05pt;width:13.9pt;height:6pt;z-index:-188705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" filled="f" stroked="f">
              <v:textbox style="mso-fit-shape-to-text:t" inset="0,0,0,0">
                <w:txbxContent>
                  <w:p w14:paraId="1F8FE806" w14:textId="574935EE" w:rsidR="00350396" w:rsidRDefault="00350396">
                    <w:r>
                      <w:fldChar w:fldCharType="begin"/>
                    </w:r>
                    <w:r>
                      <w:instrText xml:space="preserve"> PAGE \* MERGEFORMAT </w:instrText>
                    </w:r>
                    <w:r>
                      <w:fldChar w:fldCharType="separate"/>
                    </w:r>
                    <w:r w:rsidR="00960409" w:rsidRPr="00960409">
                      <w:rPr>
                        <w:rStyle w:val="2MicrosoftSansSerif8pt1"/>
                        <w:noProof/>
                      </w:rPr>
                      <w:t>256</w:t>
                    </w:r>
                    <w:r>
                      <w:rPr>
                        <w:rStyle w:val="2MicrosoftSansSerif8pt1"/>
                        <w:noProof/>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688C" w14:textId="0B65023C" w:rsidR="00350396" w:rsidRDefault="00350396">
    <w:pPr>
      <w:rPr>
        <w:sz w:val="2"/>
        <w:szCs w:val="2"/>
      </w:rPr>
    </w:pPr>
    <w:r>
      <w:rPr>
        <w:noProof/>
        <w:lang w:bidi="ar-SA"/>
      </w:rPr>
      <mc:AlternateContent>
        <mc:Choice Requires="wps">
          <w:drawing>
            <wp:anchor distT="0" distB="0" distL="63500" distR="63500" simplePos="0" relativeHeight="314612486" behindDoc="1" locked="0" layoutInCell="1" allowOverlap="1" wp14:anchorId="032F9E23" wp14:editId="3D629E70">
              <wp:simplePos x="0" y="0"/>
              <wp:positionH relativeFrom="page">
                <wp:posOffset>4700270</wp:posOffset>
              </wp:positionH>
              <wp:positionV relativeFrom="page">
                <wp:posOffset>7938135</wp:posOffset>
              </wp:positionV>
              <wp:extent cx="170180" cy="114935"/>
              <wp:effectExtent l="4445" t="3810" r="0" b="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F6C8" w14:textId="49E89FB7" w:rsidR="00350396" w:rsidRDefault="00350396">
                          <w:r>
                            <w:fldChar w:fldCharType="begin"/>
                          </w:r>
                          <w:r>
                            <w:instrText xml:space="preserve"> PAGE \* MERGEFORMAT </w:instrText>
                          </w:r>
                          <w:r>
                            <w:fldChar w:fldCharType="separate"/>
                          </w:r>
                          <w:r w:rsidR="00960409" w:rsidRPr="00960409">
                            <w:rPr>
                              <w:rStyle w:val="2MicrosoftSansSerif8pt"/>
                              <w:noProof/>
                            </w:rPr>
                            <w:t>255</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2F9E23" id="_x0000_t202" coordsize="21600,21600" o:spt="202" path="m,l,21600r21600,l21600,xe">
              <v:stroke joinstyle="miter"/>
              <v:path gradientshapeok="t" o:connecttype="rect"/>
            </v:shapetype>
            <v:shape id="Надпись 307" o:spid="_x0000_s1119" type="#_x0000_t202" style="position:absolute;left:0;text-align:left;margin-left:370.1pt;margin-top:625.05pt;width:13.4pt;height:9.05pt;z-index:-18870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" filled="f" stroked="f">
              <v:textbox style="mso-fit-shape-to-text:t" inset="0,0,0,0">
                <w:txbxContent>
                  <w:p w14:paraId="6EC4F6C8" w14:textId="49E89FB7" w:rsidR="00350396" w:rsidRDefault="00350396">
                    <w:r>
                      <w:fldChar w:fldCharType="begin"/>
                    </w:r>
                    <w:r>
                      <w:instrText xml:space="preserve"> PAGE \* MERGEFORMAT </w:instrText>
                    </w:r>
                    <w:r>
                      <w:fldChar w:fldCharType="separate"/>
                    </w:r>
                    <w:r w:rsidR="00960409" w:rsidRPr="00960409">
                      <w:rPr>
                        <w:rStyle w:val="2MicrosoftSansSerif8pt"/>
                        <w:noProof/>
                      </w:rPr>
                      <w:t>255</w:t>
                    </w:r>
                    <w:r>
                      <w:rPr>
                        <w:rStyle w:val="2MicrosoftSansSerif8pt"/>
                        <w:noProof/>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1495" w14:textId="11E237B2" w:rsidR="00350396" w:rsidRDefault="00350396">
    <w:pPr>
      <w:rPr>
        <w:sz w:val="2"/>
        <w:szCs w:val="2"/>
      </w:rPr>
    </w:pPr>
    <w:r>
      <w:rPr>
        <w:noProof/>
        <w:lang w:bidi="ar-SA"/>
      </w:rPr>
      <mc:AlternateContent>
        <mc:Choice Requires="wps">
          <w:drawing>
            <wp:anchor distT="0" distB="0" distL="63500" distR="63500" simplePos="0" relativeHeight="314613510" behindDoc="1" locked="0" layoutInCell="1" allowOverlap="1" wp14:anchorId="54D25771" wp14:editId="7D6B211C">
              <wp:simplePos x="0" y="0"/>
              <wp:positionH relativeFrom="page">
                <wp:posOffset>708660</wp:posOffset>
              </wp:positionH>
              <wp:positionV relativeFrom="page">
                <wp:posOffset>8162925</wp:posOffset>
              </wp:positionV>
              <wp:extent cx="3759835" cy="338455"/>
              <wp:effectExtent l="3810" t="0" r="0" b="4445"/>
              <wp:wrapNone/>
              <wp:docPr id="306" name="Надпись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573C" w14:textId="77777777" w:rsidR="00350396" w:rsidRDefault="00350396">
                          <w:r>
                            <w:rPr>
                              <w:vertAlign w:val="superscript"/>
                            </w:rPr>
                            <w:t>1</w:t>
                          </w:r>
                          <w:r>
                            <w:t xml:space="preserve"> Обзор отраслевых практик реализации проектов ГЧП 2017—2018. М. : АНО</w:t>
                          </w:r>
                        </w:p>
                        <w:p w14:paraId="46EB66F2" w14:textId="77777777" w:rsidR="00350396" w:rsidRDefault="00350396">
                          <w:r>
                            <w:t>«Национальный центр ГЧП», 2018. С. 32—42.</w:t>
                          </w:r>
                        </w:p>
                        <w:p w14:paraId="4FD93D10" w14:textId="5D6A078A" w:rsidR="00350396" w:rsidRDefault="00350396">
                          <w:r>
                            <w:fldChar w:fldCharType="begin"/>
                          </w:r>
                          <w:r>
                            <w:instrText xml:space="preserve"> PAGE \* MERGEFORMAT </w:instrText>
                          </w:r>
                          <w:r>
                            <w:fldChar w:fldCharType="separate"/>
                          </w:r>
                          <w:r w:rsidR="00960409" w:rsidRPr="00960409">
                            <w:rPr>
                              <w:rStyle w:val="2MicrosoftSansSerif8pt"/>
                              <w:noProof/>
                            </w:rPr>
                            <w:t>254</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D25771" id="_x0000_t202" coordsize="21600,21600" o:spt="202" path="m,l,21600r21600,l21600,xe">
              <v:stroke joinstyle="miter"/>
              <v:path gradientshapeok="t" o:connecttype="rect"/>
            </v:shapetype>
            <v:shape id="Надпись 306" o:spid="_x0000_s1120" type="#_x0000_t202" style="position:absolute;left:0;text-align:left;margin-left:55.8pt;margin-top:642.75pt;width:296.05pt;height:26.65pt;z-index:-18870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" filled="f" stroked="f">
              <v:textbox style="mso-fit-shape-to-text:t" inset="0,0,0,0">
                <w:txbxContent>
                  <w:p w14:paraId="153C573C" w14:textId="77777777" w:rsidR="00350396" w:rsidRDefault="00350396">
                    <w:r>
                      <w:rPr>
                        <w:vertAlign w:val="superscript"/>
                      </w:rPr>
                      <w:t>1</w:t>
                    </w:r>
                    <w:r>
                      <w:t xml:space="preserve"> Обзор отраслевых практик реализации проектов ГЧП 2017—2018. М. : АНО</w:t>
                    </w:r>
                  </w:p>
                  <w:p w14:paraId="46EB66F2" w14:textId="77777777" w:rsidR="00350396" w:rsidRDefault="00350396">
                    <w:r>
                      <w:t>«Национальный центр ГЧП», 2018. С. 32—42.</w:t>
                    </w:r>
                  </w:p>
                  <w:p w14:paraId="4FD93D10" w14:textId="5D6A078A" w:rsidR="00350396" w:rsidRDefault="00350396">
                    <w:r>
                      <w:fldChar w:fldCharType="begin"/>
                    </w:r>
                    <w:r>
                      <w:instrText xml:space="preserve"> PAGE \* MERGEFORMAT </w:instrText>
                    </w:r>
                    <w:r>
                      <w:fldChar w:fldCharType="separate"/>
                    </w:r>
                    <w:r w:rsidR="00960409" w:rsidRPr="00960409">
                      <w:rPr>
                        <w:rStyle w:val="2MicrosoftSansSerif8pt"/>
                        <w:noProof/>
                      </w:rPr>
                      <w:t>254</w:t>
                    </w:r>
                    <w:r>
                      <w:rPr>
                        <w:rStyle w:val="2MicrosoftSansSerif8pt"/>
                        <w:noProof/>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1866" w14:textId="0D53F690" w:rsidR="00350396" w:rsidRDefault="00350396">
    <w:pPr>
      <w:rPr>
        <w:sz w:val="2"/>
        <w:szCs w:val="2"/>
      </w:rPr>
    </w:pPr>
    <w:r>
      <w:rPr>
        <w:noProof/>
        <w:lang w:bidi="ar-SA"/>
      </w:rPr>
      <mc:AlternateContent>
        <mc:Choice Requires="wps">
          <w:drawing>
            <wp:anchor distT="0" distB="0" distL="63500" distR="63500" simplePos="0" relativeHeight="314616582" behindDoc="1" locked="0" layoutInCell="1" allowOverlap="1" wp14:anchorId="320992D4" wp14:editId="2B8AF7DF">
              <wp:simplePos x="0" y="0"/>
              <wp:positionH relativeFrom="page">
                <wp:posOffset>707390</wp:posOffset>
              </wp:positionH>
              <wp:positionV relativeFrom="page">
                <wp:posOffset>7938135</wp:posOffset>
              </wp:positionV>
              <wp:extent cx="176530" cy="76200"/>
              <wp:effectExtent l="2540" t="3810" r="1905" b="0"/>
              <wp:wrapNone/>
              <wp:docPr id="303" name="Надпись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3D36" w14:textId="149D6B74" w:rsidR="00350396" w:rsidRDefault="00350396">
                          <w:r>
                            <w:fldChar w:fldCharType="begin"/>
                          </w:r>
                          <w:r>
                            <w:instrText xml:space="preserve"> PAGE \* MERGEFORMAT </w:instrText>
                          </w:r>
                          <w:r>
                            <w:fldChar w:fldCharType="separate"/>
                          </w:r>
                          <w:r w:rsidR="00960409" w:rsidRPr="00960409">
                            <w:rPr>
                              <w:rStyle w:val="2MicrosoftSansSerif8pt1"/>
                              <w:noProof/>
                            </w:rPr>
                            <w:t>258</w:t>
                          </w:r>
                          <w:r>
                            <w:rPr>
                              <w:rStyle w:val="2MicrosoftSansSerif8pt1"/>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0992D4" id="_x0000_t202" coordsize="21600,21600" o:spt="202" path="m,l,21600r21600,l21600,xe">
              <v:stroke joinstyle="miter"/>
              <v:path gradientshapeok="t" o:connecttype="rect"/>
            </v:shapetype>
            <v:shape id="Надпись 303" o:spid="_x0000_s1123" type="#_x0000_t202" style="position:absolute;left:0;text-align:left;margin-left:55.7pt;margin-top:625.05pt;width:13.9pt;height:6pt;z-index:-188699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" filled="f" stroked="f">
              <v:textbox style="mso-fit-shape-to-text:t" inset="0,0,0,0">
                <w:txbxContent>
                  <w:p w14:paraId="25893D36" w14:textId="149D6B74" w:rsidR="00350396" w:rsidRDefault="00350396">
                    <w:r>
                      <w:fldChar w:fldCharType="begin"/>
                    </w:r>
                    <w:r>
                      <w:instrText xml:space="preserve"> PAGE \* MERGEFORMAT </w:instrText>
                    </w:r>
                    <w:r>
                      <w:fldChar w:fldCharType="separate"/>
                    </w:r>
                    <w:r w:rsidR="00960409" w:rsidRPr="00960409">
                      <w:rPr>
                        <w:rStyle w:val="2MicrosoftSansSerif8pt1"/>
                        <w:noProof/>
                      </w:rPr>
                      <w:t>258</w:t>
                    </w:r>
                    <w:r>
                      <w:rPr>
                        <w:rStyle w:val="2MicrosoftSansSerif8pt1"/>
                        <w:noProof/>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8263F" w14:textId="069FB0F1" w:rsidR="00350396" w:rsidRDefault="00350396">
    <w:pPr>
      <w:rPr>
        <w:sz w:val="2"/>
        <w:szCs w:val="2"/>
      </w:rPr>
    </w:pPr>
    <w:r>
      <w:rPr>
        <w:noProof/>
        <w:lang w:bidi="ar-SA"/>
      </w:rPr>
      <mc:AlternateContent>
        <mc:Choice Requires="wps">
          <w:drawing>
            <wp:anchor distT="0" distB="0" distL="63500" distR="63500" simplePos="0" relativeHeight="314617606" behindDoc="1" locked="0" layoutInCell="1" allowOverlap="1" wp14:anchorId="34529872" wp14:editId="3D9134B4">
              <wp:simplePos x="0" y="0"/>
              <wp:positionH relativeFrom="page">
                <wp:posOffset>4700270</wp:posOffset>
              </wp:positionH>
              <wp:positionV relativeFrom="page">
                <wp:posOffset>8007985</wp:posOffset>
              </wp:positionV>
              <wp:extent cx="170180" cy="114935"/>
              <wp:effectExtent l="4445" t="0" r="0" b="1905"/>
              <wp:wrapNone/>
              <wp:docPr id="302" name="Надпись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E0481" w14:textId="293B1DE6" w:rsidR="00350396" w:rsidRDefault="00350396">
                          <w:r>
                            <w:fldChar w:fldCharType="begin"/>
                          </w:r>
                          <w:r>
                            <w:instrText xml:space="preserve"> PAGE \* MERGEFORMAT </w:instrText>
                          </w:r>
                          <w:r>
                            <w:fldChar w:fldCharType="separate"/>
                          </w:r>
                          <w:r w:rsidR="00960409" w:rsidRPr="00960409">
                            <w:rPr>
                              <w:rStyle w:val="2MicrosoftSansSerif8pt1"/>
                              <w:noProof/>
                            </w:rPr>
                            <w:t>259</w:t>
                          </w:r>
                          <w:r>
                            <w:rPr>
                              <w:rStyle w:val="2MicrosoftSansSerif8pt1"/>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529872" id="_x0000_t202" coordsize="21600,21600" o:spt="202" path="m,l,21600r21600,l21600,xe">
              <v:stroke joinstyle="miter"/>
              <v:path gradientshapeok="t" o:connecttype="rect"/>
            </v:shapetype>
            <v:shape id="Надпись 302" o:spid="_x0000_s1124" type="#_x0000_t202" style="position:absolute;left:0;text-align:left;margin-left:370.1pt;margin-top:630.55pt;width:13.4pt;height:9.05pt;z-index:-188698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" filled="f" stroked="f">
              <v:textbox style="mso-fit-shape-to-text:t" inset="0,0,0,0">
                <w:txbxContent>
                  <w:p w14:paraId="1CFE0481" w14:textId="293B1DE6" w:rsidR="00350396" w:rsidRDefault="00350396">
                    <w:r>
                      <w:fldChar w:fldCharType="begin"/>
                    </w:r>
                    <w:r>
                      <w:instrText xml:space="preserve"> PAGE \* MERGEFORMAT </w:instrText>
                    </w:r>
                    <w:r>
                      <w:fldChar w:fldCharType="separate"/>
                    </w:r>
                    <w:r w:rsidR="00960409" w:rsidRPr="00960409">
                      <w:rPr>
                        <w:rStyle w:val="2MicrosoftSansSerif8pt1"/>
                        <w:noProof/>
                      </w:rPr>
                      <w:t>259</w:t>
                    </w:r>
                    <w:r>
                      <w:rPr>
                        <w:rStyle w:val="2MicrosoftSansSerif8pt1"/>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F5B0" w14:textId="520BCB6C" w:rsidR="00350D42" w:rsidRDefault="00A74D21">
    <w:pPr>
      <w:rPr>
        <w:sz w:val="2"/>
        <w:szCs w:val="2"/>
      </w:rPr>
    </w:pPr>
    <w:r>
      <w:rPr>
        <w:noProof/>
        <w:lang w:bidi="ar-SA"/>
      </w:rPr>
      <mc:AlternateContent>
        <mc:Choice Requires="wps">
          <w:drawing>
            <wp:anchor distT="0" distB="0" distL="63500" distR="63500" simplePos="0" relativeHeight="314572419" behindDoc="1" locked="0" layoutInCell="1" allowOverlap="1" wp14:anchorId="1B18BF1E" wp14:editId="5728C49E">
              <wp:simplePos x="0" y="0"/>
              <wp:positionH relativeFrom="page">
                <wp:posOffset>4766945</wp:posOffset>
              </wp:positionH>
              <wp:positionV relativeFrom="page">
                <wp:posOffset>7996555</wp:posOffset>
              </wp:positionV>
              <wp:extent cx="259080" cy="114935"/>
              <wp:effectExtent l="4445" t="0" r="3175" b="381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88D5" w14:textId="2E3E1549" w:rsidR="00350D42" w:rsidRDefault="00A74D21">
                          <w:pPr>
                            <w:pStyle w:val="aa"/>
                            <w:shd w:val="clear" w:color="auto" w:fill="auto"/>
                            <w:spacing w:line="240" w:lineRule="auto"/>
                          </w:pPr>
                          <w:r>
                            <w:fldChar w:fldCharType="begin"/>
                          </w:r>
                          <w:r>
                            <w:instrText xml:space="preserve"> PAGE \* MERGEFORMAT </w:instrText>
                          </w:r>
                          <w:r>
                            <w:fldChar w:fldCharType="separate"/>
                          </w:r>
                          <w:r w:rsidR="005C7F97" w:rsidRPr="005C7F97">
                            <w:rPr>
                              <w:rStyle w:val="ab"/>
                              <w:b/>
                              <w:bCs/>
                              <w:noProof/>
                            </w:rPr>
                            <w:t>23</w:t>
                          </w:r>
                          <w:r>
                            <w:rPr>
                              <w:rStyle w:val="ab"/>
                              <w:b/>
                              <w:bCs/>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18BF1E" id="_x0000_t202" coordsize="21600,21600" o:spt="202" path="m,l,21600r21600,l21600,xe">
              <v:stroke joinstyle="miter"/>
              <v:path gradientshapeok="t" o:connecttype="rect"/>
            </v:shapetype>
            <v:shape id="Text Box 132" o:spid="_x0000_s1086" type="#_x0000_t202" style="position:absolute;left:0;text-align:left;margin-left:375.35pt;margin-top:629.65pt;width:20.4pt;height:9.0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" filled="f" stroked="f">
              <v:textbox style="mso-fit-shape-to-text:t" inset="0,0,0,0">
                <w:txbxContent>
                  <w:p w14:paraId="688388D5" w14:textId="2E3E1549" w:rsidR="00350D42" w:rsidRDefault="00A74D21">
                    <w:pPr>
                      <w:pStyle w:val="aa"/>
                      <w:shd w:val="clear" w:color="auto" w:fill="auto"/>
                      <w:spacing w:line="240" w:lineRule="auto"/>
                    </w:pPr>
                    <w:r>
                      <w:fldChar w:fldCharType="begin"/>
                    </w:r>
                    <w:r>
                      <w:instrText xml:space="preserve"> PAGE \* MERGEFORMAT </w:instrText>
                    </w:r>
                    <w:r>
                      <w:fldChar w:fldCharType="separate"/>
                    </w:r>
                    <w:r w:rsidR="005C7F97" w:rsidRPr="005C7F97">
                      <w:rPr>
                        <w:rStyle w:val="ab"/>
                        <w:b/>
                        <w:bCs/>
                        <w:noProof/>
                      </w:rPr>
                      <w:t>23</w:t>
                    </w:r>
                    <w:r>
                      <w:rPr>
                        <w:rStyle w:val="ab"/>
                        <w:b/>
                        <w:bCs/>
                        <w:noProof/>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94F70" w14:textId="117796D0" w:rsidR="00350396" w:rsidRDefault="00350396">
    <w:pPr>
      <w:rPr>
        <w:sz w:val="2"/>
        <w:szCs w:val="2"/>
      </w:rPr>
    </w:pPr>
    <w:r>
      <w:rPr>
        <w:noProof/>
        <w:lang w:bidi="ar-SA"/>
      </w:rPr>
      <mc:AlternateContent>
        <mc:Choice Requires="wps">
          <w:drawing>
            <wp:anchor distT="0" distB="0" distL="63500" distR="63500" simplePos="0" relativeHeight="314619654" behindDoc="1" locked="0" layoutInCell="1" allowOverlap="1" wp14:anchorId="5D8D39C4" wp14:editId="1FEE3BC4">
              <wp:simplePos x="0" y="0"/>
              <wp:positionH relativeFrom="page">
                <wp:posOffset>4700270</wp:posOffset>
              </wp:positionH>
              <wp:positionV relativeFrom="page">
                <wp:posOffset>7938135</wp:posOffset>
              </wp:positionV>
              <wp:extent cx="170180" cy="114935"/>
              <wp:effectExtent l="4445" t="3810" r="0" b="0"/>
              <wp:wrapNone/>
              <wp:docPr id="300" name="Надпись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81C7" w14:textId="4DE3788B" w:rsidR="00350396" w:rsidRDefault="00350396">
                          <w:r>
                            <w:fldChar w:fldCharType="begin"/>
                          </w:r>
                          <w:r>
                            <w:instrText xml:space="preserve"> PAGE \* MERGEFORMAT </w:instrText>
                          </w:r>
                          <w:r>
                            <w:fldChar w:fldCharType="separate"/>
                          </w:r>
                          <w:r w:rsidR="00960409" w:rsidRPr="00960409">
                            <w:rPr>
                              <w:rStyle w:val="2MicrosoftSansSerif8pt"/>
                              <w:noProof/>
                            </w:rPr>
                            <w:t>257</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8D39C4" id="_x0000_t202" coordsize="21600,21600" o:spt="202" path="m,l,21600r21600,l21600,xe">
              <v:stroke joinstyle="miter"/>
              <v:path gradientshapeok="t" o:connecttype="rect"/>
            </v:shapetype>
            <v:shape id="Надпись 300" o:spid="_x0000_s1126" type="#_x0000_t202" style="position:absolute;left:0;text-align:left;margin-left:370.1pt;margin-top:625.05pt;width:13.4pt;height:9.05pt;z-index:-188696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" filled="f" stroked="f">
              <v:textbox style="mso-fit-shape-to-text:t" inset="0,0,0,0">
                <w:txbxContent>
                  <w:p w14:paraId="029381C7" w14:textId="4DE3788B" w:rsidR="00350396" w:rsidRDefault="00350396">
                    <w:r>
                      <w:fldChar w:fldCharType="begin"/>
                    </w:r>
                    <w:r>
                      <w:instrText xml:space="preserve"> PAGE \* MERGEFORMAT </w:instrText>
                    </w:r>
                    <w:r>
                      <w:fldChar w:fldCharType="separate"/>
                    </w:r>
                    <w:r w:rsidR="00960409" w:rsidRPr="00960409">
                      <w:rPr>
                        <w:rStyle w:val="2MicrosoftSansSerif8pt"/>
                        <w:noProof/>
                      </w:rPr>
                      <w:t>257</w:t>
                    </w:r>
                    <w:r>
                      <w:rPr>
                        <w:rStyle w:val="2MicrosoftSansSerif8pt"/>
                        <w:noProof/>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9A80" w14:textId="697ACAB8" w:rsidR="00350396" w:rsidRDefault="00350396">
    <w:pPr>
      <w:rPr>
        <w:sz w:val="2"/>
        <w:szCs w:val="2"/>
      </w:rPr>
    </w:pPr>
    <w:r>
      <w:rPr>
        <w:noProof/>
        <w:lang w:bidi="ar-SA"/>
      </w:rPr>
      <mc:AlternateContent>
        <mc:Choice Requires="wps">
          <w:drawing>
            <wp:anchor distT="0" distB="0" distL="63500" distR="63500" simplePos="0" relativeHeight="314622726" behindDoc="1" locked="0" layoutInCell="1" allowOverlap="1" wp14:anchorId="7241DF3D" wp14:editId="5E61D024">
              <wp:simplePos x="0" y="0"/>
              <wp:positionH relativeFrom="page">
                <wp:posOffset>706755</wp:posOffset>
              </wp:positionH>
              <wp:positionV relativeFrom="page">
                <wp:posOffset>7927340</wp:posOffset>
              </wp:positionV>
              <wp:extent cx="173990" cy="76200"/>
              <wp:effectExtent l="1905" t="2540" r="0" b="0"/>
              <wp:wrapNone/>
              <wp:docPr id="297" name="Надпись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E2D0" w14:textId="4727627A" w:rsidR="00350396" w:rsidRDefault="00350396">
                          <w:r>
                            <w:fldChar w:fldCharType="begin"/>
                          </w:r>
                          <w:r>
                            <w:instrText xml:space="preserve"> PAGE \* MERGEFORMAT </w:instrText>
                          </w:r>
                          <w:r>
                            <w:fldChar w:fldCharType="separate"/>
                          </w:r>
                          <w:r w:rsidR="00960409" w:rsidRPr="00960409">
                            <w:rPr>
                              <w:rStyle w:val="2MicrosoftSansSerif8pt"/>
                              <w:noProof/>
                            </w:rPr>
                            <w:t>262</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41DF3D" id="_x0000_t202" coordsize="21600,21600" o:spt="202" path="m,l,21600r21600,l21600,xe">
              <v:stroke joinstyle="miter"/>
              <v:path gradientshapeok="t" o:connecttype="rect"/>
            </v:shapetype>
            <v:shape id="Надпись 297" o:spid="_x0000_s1129" type="#_x0000_t202" style="position:absolute;left:0;text-align:left;margin-left:55.65pt;margin-top:624.2pt;width:13.7pt;height:6pt;z-index:-18869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" filled="f" stroked="f">
              <v:textbox style="mso-fit-shape-to-text:t" inset="0,0,0,0">
                <w:txbxContent>
                  <w:p w14:paraId="2383E2D0" w14:textId="4727627A" w:rsidR="00350396" w:rsidRDefault="00350396">
                    <w:r>
                      <w:fldChar w:fldCharType="begin"/>
                    </w:r>
                    <w:r>
                      <w:instrText xml:space="preserve"> PAGE \* MERGEFORMAT </w:instrText>
                    </w:r>
                    <w:r>
                      <w:fldChar w:fldCharType="separate"/>
                    </w:r>
                    <w:r w:rsidR="00960409" w:rsidRPr="00960409">
                      <w:rPr>
                        <w:rStyle w:val="2MicrosoftSansSerif8pt"/>
                        <w:noProof/>
                      </w:rPr>
                      <w:t>262</w:t>
                    </w:r>
                    <w:r>
                      <w:rPr>
                        <w:rStyle w:val="2MicrosoftSansSerif8pt"/>
                        <w:noProof/>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C428" w14:textId="303B5020" w:rsidR="00350396" w:rsidRDefault="00350396">
    <w:pPr>
      <w:rPr>
        <w:sz w:val="2"/>
        <w:szCs w:val="2"/>
      </w:rPr>
    </w:pPr>
    <w:r>
      <w:rPr>
        <w:noProof/>
        <w:lang w:bidi="ar-SA"/>
      </w:rPr>
      <mc:AlternateContent>
        <mc:Choice Requires="wps">
          <w:drawing>
            <wp:anchor distT="0" distB="0" distL="63500" distR="63500" simplePos="0" relativeHeight="314623750" behindDoc="1" locked="0" layoutInCell="1" allowOverlap="1" wp14:anchorId="641E13E1" wp14:editId="09F8FE2A">
              <wp:simplePos x="0" y="0"/>
              <wp:positionH relativeFrom="page">
                <wp:posOffset>4699635</wp:posOffset>
              </wp:positionH>
              <wp:positionV relativeFrom="page">
                <wp:posOffset>7927340</wp:posOffset>
              </wp:positionV>
              <wp:extent cx="170180" cy="114935"/>
              <wp:effectExtent l="3810" t="2540" r="0" b="0"/>
              <wp:wrapNone/>
              <wp:docPr id="296" name="Надпись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18A9" w14:textId="3598B8D7" w:rsidR="00350396" w:rsidRDefault="00350396">
                          <w:r>
                            <w:fldChar w:fldCharType="begin"/>
                          </w:r>
                          <w:r>
                            <w:instrText xml:space="preserve"> PAGE \* MERGEFORMAT </w:instrText>
                          </w:r>
                          <w:r>
                            <w:fldChar w:fldCharType="separate"/>
                          </w:r>
                          <w:r w:rsidR="00960409" w:rsidRPr="00960409">
                            <w:rPr>
                              <w:rStyle w:val="2MicrosoftSansSerif8pt"/>
                              <w:noProof/>
                            </w:rPr>
                            <w:t>261</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1E13E1" id="_x0000_t202" coordsize="21600,21600" o:spt="202" path="m,l,21600r21600,l21600,xe">
              <v:stroke joinstyle="miter"/>
              <v:path gradientshapeok="t" o:connecttype="rect"/>
            </v:shapetype>
            <v:shape id="Надпись 296" o:spid="_x0000_s1130" type="#_x0000_t202" style="position:absolute;left:0;text-align:left;margin-left:370.05pt;margin-top:624.2pt;width:13.4pt;height:9.05pt;z-index:-188692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" filled="f" stroked="f">
              <v:textbox style="mso-fit-shape-to-text:t" inset="0,0,0,0">
                <w:txbxContent>
                  <w:p w14:paraId="15A118A9" w14:textId="3598B8D7" w:rsidR="00350396" w:rsidRDefault="00350396">
                    <w:r>
                      <w:fldChar w:fldCharType="begin"/>
                    </w:r>
                    <w:r>
                      <w:instrText xml:space="preserve"> PAGE \* MERGEFORMAT </w:instrText>
                    </w:r>
                    <w:r>
                      <w:fldChar w:fldCharType="separate"/>
                    </w:r>
                    <w:r w:rsidR="00960409" w:rsidRPr="00960409">
                      <w:rPr>
                        <w:rStyle w:val="2MicrosoftSansSerif8pt"/>
                        <w:noProof/>
                      </w:rPr>
                      <w:t>261</w:t>
                    </w:r>
                    <w:r>
                      <w:rPr>
                        <w:rStyle w:val="2MicrosoftSansSerif8pt"/>
                        <w:noProof/>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B7CC" w14:textId="2D969A87" w:rsidR="00350396" w:rsidRDefault="00350396">
    <w:pPr>
      <w:rPr>
        <w:sz w:val="2"/>
        <w:szCs w:val="2"/>
      </w:rPr>
    </w:pPr>
    <w:r>
      <w:rPr>
        <w:noProof/>
        <w:lang w:bidi="ar-SA"/>
      </w:rPr>
      <mc:AlternateContent>
        <mc:Choice Requires="wps">
          <w:drawing>
            <wp:anchor distT="0" distB="0" distL="63500" distR="63500" simplePos="0" relativeHeight="314624774" behindDoc="1" locked="0" layoutInCell="1" allowOverlap="1" wp14:anchorId="70ED8E27" wp14:editId="220ED1E2">
              <wp:simplePos x="0" y="0"/>
              <wp:positionH relativeFrom="page">
                <wp:posOffset>715010</wp:posOffset>
              </wp:positionH>
              <wp:positionV relativeFrom="page">
                <wp:posOffset>8040370</wp:posOffset>
              </wp:positionV>
              <wp:extent cx="170180" cy="114935"/>
              <wp:effectExtent l="635" t="1270" r="635" b="0"/>
              <wp:wrapNone/>
              <wp:docPr id="295" name="Надпись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CFBA" w14:textId="08E46D2A" w:rsidR="00350396" w:rsidRDefault="00350396">
                          <w:r>
                            <w:fldChar w:fldCharType="begin"/>
                          </w:r>
                          <w:r>
                            <w:instrText xml:space="preserve"> PAGE \* MERGEFORMAT </w:instrText>
                          </w:r>
                          <w:r>
                            <w:fldChar w:fldCharType="separate"/>
                          </w:r>
                          <w:r w:rsidR="00960409">
                            <w:rPr>
                              <w:noProof/>
                            </w:rPr>
                            <w:t>260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ED8E27" id="_x0000_t202" coordsize="21600,21600" o:spt="202" path="m,l,21600r21600,l21600,xe">
              <v:stroke joinstyle="miter"/>
              <v:path gradientshapeok="t" o:connecttype="rect"/>
            </v:shapetype>
            <v:shape id="Надпись 295" o:spid="_x0000_s1131" type="#_x0000_t202" style="position:absolute;left:0;text-align:left;margin-left:56.3pt;margin-top:633.1pt;width:13.4pt;height:9.05pt;z-index:-188691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" filled="f" stroked="f">
              <v:textbox style="mso-fit-shape-to-text:t" inset="0,0,0,0">
                <w:txbxContent>
                  <w:p w14:paraId="603BCFBA" w14:textId="08E46D2A" w:rsidR="00350396" w:rsidRDefault="00350396">
                    <w:r>
                      <w:fldChar w:fldCharType="begin"/>
                    </w:r>
                    <w:r>
                      <w:instrText xml:space="preserve"> PAGE \* MERGEFORMAT </w:instrText>
                    </w:r>
                    <w:r>
                      <w:fldChar w:fldCharType="separate"/>
                    </w:r>
                    <w:r w:rsidR="00960409">
                      <w:rPr>
                        <w:noProof/>
                      </w:rPr>
                      <w:t>260</w:t>
                    </w:r>
                    <w:r>
                      <w:rPr>
                        <w:noProof/>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D394" w14:textId="6CAF565B" w:rsidR="00350396" w:rsidRDefault="00350396">
    <w:pPr>
      <w:rPr>
        <w:sz w:val="2"/>
        <w:szCs w:val="2"/>
      </w:rPr>
    </w:pPr>
    <w:r>
      <w:rPr>
        <w:noProof/>
        <w:lang w:bidi="ar-SA"/>
      </w:rPr>
      <mc:AlternateContent>
        <mc:Choice Requires="wps">
          <w:drawing>
            <wp:anchor distT="0" distB="0" distL="63500" distR="63500" simplePos="0" relativeHeight="314625798" behindDoc="1" locked="0" layoutInCell="1" allowOverlap="1" wp14:anchorId="64737231" wp14:editId="709058E6">
              <wp:simplePos x="0" y="0"/>
              <wp:positionH relativeFrom="page">
                <wp:posOffset>715010</wp:posOffset>
              </wp:positionH>
              <wp:positionV relativeFrom="page">
                <wp:posOffset>8040370</wp:posOffset>
              </wp:positionV>
              <wp:extent cx="106680" cy="76200"/>
              <wp:effectExtent l="635" t="1270" r="0" b="0"/>
              <wp:wrapNone/>
              <wp:docPr id="294" name="Надпись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0595" w14:textId="7BA1E31B" w:rsidR="00350396" w:rsidRDefault="00350396">
                          <w:r>
                            <w:fldChar w:fldCharType="begin"/>
                          </w:r>
                          <w:r>
                            <w:instrText xml:space="preserve"> PAGE \* MERGEFORMAT </w:instrText>
                          </w:r>
                          <w:r>
                            <w:fldChar w:fldCharType="separate"/>
                          </w:r>
                          <w:r w:rsidR="00960409">
                            <w:rPr>
                              <w:noProof/>
                            </w:rPr>
                            <w:t>284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737231" id="_x0000_t202" coordsize="21600,21600" o:spt="202" path="m,l,21600r21600,l21600,xe">
              <v:stroke joinstyle="miter"/>
              <v:path gradientshapeok="t" o:connecttype="rect"/>
            </v:shapetype>
            <v:shape id="Надпись 294" o:spid="_x0000_s1132" type="#_x0000_t202" style="position:absolute;left:0;text-align:left;margin-left:56.3pt;margin-top:633.1pt;width:8.4pt;height:6pt;z-index:-188690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" filled="f" stroked="f">
              <v:textbox style="mso-fit-shape-to-text:t" inset="0,0,0,0">
                <w:txbxContent>
                  <w:p w14:paraId="719D0595" w14:textId="7BA1E31B" w:rsidR="00350396" w:rsidRDefault="00350396">
                    <w:r>
                      <w:fldChar w:fldCharType="begin"/>
                    </w:r>
                    <w:r>
                      <w:instrText xml:space="preserve"> PAGE \* MERGEFORMAT </w:instrText>
                    </w:r>
                    <w:r>
                      <w:fldChar w:fldCharType="separate"/>
                    </w:r>
                    <w:r w:rsidR="00960409">
                      <w:rPr>
                        <w:noProof/>
                      </w:rPr>
                      <w:t>284</w:t>
                    </w:r>
                    <w:r>
                      <w:rPr>
                        <w:noProof/>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4B4B" w14:textId="68066888" w:rsidR="00350396" w:rsidRDefault="00350396">
    <w:pPr>
      <w:rPr>
        <w:sz w:val="2"/>
        <w:szCs w:val="2"/>
      </w:rPr>
    </w:pPr>
    <w:r>
      <w:rPr>
        <w:noProof/>
        <w:lang w:bidi="ar-SA"/>
      </w:rPr>
      <mc:AlternateContent>
        <mc:Choice Requires="wps">
          <w:drawing>
            <wp:anchor distT="0" distB="0" distL="63500" distR="63500" simplePos="0" relativeHeight="314626822" behindDoc="1" locked="0" layoutInCell="1" allowOverlap="1" wp14:anchorId="3BF09DBD" wp14:editId="4F89797C">
              <wp:simplePos x="0" y="0"/>
              <wp:positionH relativeFrom="page">
                <wp:posOffset>4766945</wp:posOffset>
              </wp:positionH>
              <wp:positionV relativeFrom="page">
                <wp:posOffset>7996555</wp:posOffset>
              </wp:positionV>
              <wp:extent cx="170180" cy="114935"/>
              <wp:effectExtent l="4445" t="0" r="0" b="3810"/>
              <wp:wrapNone/>
              <wp:docPr id="293" name="Надпись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C1E5D" w14:textId="6CCB50C0" w:rsidR="00350396" w:rsidRDefault="00350396">
                          <w:r>
                            <w:fldChar w:fldCharType="begin"/>
                          </w:r>
                          <w:r>
                            <w:instrText xml:space="preserve"> PAGE \* MERGEFORMAT </w:instrText>
                          </w:r>
                          <w:r>
                            <w:fldChar w:fldCharType="separate"/>
                          </w:r>
                          <w:r w:rsidR="00960409">
                            <w:rPr>
                              <w:noProof/>
                            </w:rPr>
                            <w:t>273</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F09DBD" id="_x0000_t202" coordsize="21600,21600" o:spt="202" path="m,l,21600r21600,l21600,xe">
              <v:stroke joinstyle="miter"/>
              <v:path gradientshapeok="t" o:connecttype="rect"/>
            </v:shapetype>
            <v:shape id="Надпись 293" o:spid="_x0000_s1133" type="#_x0000_t202" style="position:absolute;left:0;text-align:left;margin-left:375.35pt;margin-top:629.65pt;width:13.4pt;height:9.05pt;z-index:-188689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" filled="f" stroked="f">
              <v:textbox style="mso-fit-shape-to-text:t" inset="0,0,0,0">
                <w:txbxContent>
                  <w:p w14:paraId="2FEC1E5D" w14:textId="6CCB50C0" w:rsidR="00350396" w:rsidRDefault="00350396">
                    <w:r>
                      <w:fldChar w:fldCharType="begin"/>
                    </w:r>
                    <w:r>
                      <w:instrText xml:space="preserve"> PAGE \* MERGEFORMAT </w:instrText>
                    </w:r>
                    <w:r>
                      <w:fldChar w:fldCharType="separate"/>
                    </w:r>
                    <w:r w:rsidR="00960409">
                      <w:rPr>
                        <w:noProof/>
                      </w:rPr>
                      <w:t>273</w:t>
                    </w:r>
                    <w:r>
                      <w:rPr>
                        <w:noProof/>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9D3D" w14:textId="5496FB1B" w:rsidR="00350396" w:rsidRDefault="00350396">
    <w:pPr>
      <w:rPr>
        <w:sz w:val="2"/>
        <w:szCs w:val="2"/>
      </w:rPr>
    </w:pPr>
    <w:r>
      <w:rPr>
        <w:noProof/>
        <w:lang w:bidi="ar-SA"/>
      </w:rPr>
      <mc:AlternateContent>
        <mc:Choice Requires="wps">
          <w:drawing>
            <wp:anchor distT="0" distB="0" distL="63500" distR="63500" simplePos="0" relativeHeight="314628870" behindDoc="1" locked="0" layoutInCell="1" allowOverlap="1" wp14:anchorId="6BB66993" wp14:editId="066B11D0">
              <wp:simplePos x="0" y="0"/>
              <wp:positionH relativeFrom="page">
                <wp:posOffset>4700905</wp:posOffset>
              </wp:positionH>
              <wp:positionV relativeFrom="page">
                <wp:posOffset>8002270</wp:posOffset>
              </wp:positionV>
              <wp:extent cx="170180" cy="114935"/>
              <wp:effectExtent l="0" t="1270" r="0" b="0"/>
              <wp:wrapNone/>
              <wp:docPr id="291" name="Надпись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9E586" w14:textId="2110C0F6" w:rsidR="00350396" w:rsidRDefault="00350396">
                          <w:r>
                            <w:fldChar w:fldCharType="begin"/>
                          </w:r>
                          <w:r>
                            <w:instrText xml:space="preserve"> PAGE \* MERGEFORMAT </w:instrText>
                          </w:r>
                          <w:r>
                            <w:fldChar w:fldCharType="separate"/>
                          </w:r>
                          <w:r w:rsidR="00960409" w:rsidRPr="00960409">
                            <w:rPr>
                              <w:rStyle w:val="2MicrosoftSansSerif8pt"/>
                              <w:noProof/>
                            </w:rPr>
                            <w:t>263</w:t>
                          </w:r>
                          <w:r>
                            <w:rPr>
                              <w:rStyle w:val="2MicrosoftSansSerif8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B66993" id="_x0000_t202" coordsize="21600,21600" o:spt="202" path="m,l,21600r21600,l21600,xe">
              <v:stroke joinstyle="miter"/>
              <v:path gradientshapeok="t" o:connecttype="rect"/>
            </v:shapetype>
            <v:shape id="Надпись 291" o:spid="_x0000_s1135" type="#_x0000_t202" style="position:absolute;left:0;text-align:left;margin-left:370.15pt;margin-top:630.1pt;width:13.4pt;height:9.05pt;z-index:-1886876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" filled="f" stroked="f">
              <v:textbox style="mso-fit-shape-to-text:t" inset="0,0,0,0">
                <w:txbxContent>
                  <w:p w14:paraId="41A9E586" w14:textId="2110C0F6" w:rsidR="00350396" w:rsidRDefault="00350396">
                    <w:r>
                      <w:fldChar w:fldCharType="begin"/>
                    </w:r>
                    <w:r>
                      <w:instrText xml:space="preserve"> PAGE \* MERGEFORMAT </w:instrText>
                    </w:r>
                    <w:r>
                      <w:fldChar w:fldCharType="separate"/>
                    </w:r>
                    <w:r w:rsidR="00960409" w:rsidRPr="00960409">
                      <w:rPr>
                        <w:rStyle w:val="2MicrosoftSansSerif8pt"/>
                        <w:noProof/>
                      </w:rPr>
                      <w:t>263</w:t>
                    </w:r>
                    <w:r>
                      <w:rPr>
                        <w:rStyle w:val="2MicrosoftSansSerif8pt"/>
                        <w:noProof/>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E053" w14:textId="77777777" w:rsidR="00350396" w:rsidRDefault="00350396">
    <w:pPr>
      <w:rPr>
        <w:sz w:val="2"/>
        <w:szCs w:val="2"/>
      </w:rPr>
    </w:pPr>
    <w:r>
      <w:rPr>
        <w:noProof/>
        <w:lang w:bidi="ar-SA"/>
      </w:rPr>
      <mc:AlternateContent>
        <mc:Choice Requires="wps">
          <w:drawing>
            <wp:anchor distT="0" distB="0" distL="63500" distR="63500" simplePos="0" relativeHeight="314630918" behindDoc="1" locked="0" layoutInCell="1" allowOverlap="1" wp14:anchorId="28E03E7A" wp14:editId="3DC99D25">
              <wp:simplePos x="0" y="0"/>
              <wp:positionH relativeFrom="page">
                <wp:posOffset>715010</wp:posOffset>
              </wp:positionH>
              <wp:positionV relativeFrom="page">
                <wp:posOffset>8040370</wp:posOffset>
              </wp:positionV>
              <wp:extent cx="106680" cy="76200"/>
              <wp:effectExtent l="635" t="127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E030" w14:textId="127DE6E8" w:rsidR="00350396" w:rsidRDefault="00350396">
                          <w:pPr>
                            <w:pStyle w:val="aa"/>
                            <w:shd w:val="clear" w:color="auto" w:fill="auto"/>
                            <w:spacing w:line="240" w:lineRule="auto"/>
                          </w:pPr>
                          <w:r>
                            <w:fldChar w:fldCharType="begin"/>
                          </w:r>
                          <w:r>
                            <w:instrText xml:space="preserve"> PAGE \* MERGEFORMAT </w:instrText>
                          </w:r>
                          <w:r>
                            <w:fldChar w:fldCharType="separate"/>
                          </w:r>
                          <w:r w:rsidR="00960409" w:rsidRPr="00960409">
                            <w:rPr>
                              <w:b w:val="0"/>
                              <w:bCs w:val="0"/>
                              <w:noProof/>
                            </w:rPr>
                            <w:t>288</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E03E7A" id="_x0000_t202" coordsize="21600,21600" o:spt="202" path="m,l,21600r21600,l21600,xe">
              <v:stroke joinstyle="miter"/>
              <v:path gradientshapeok="t" o:connecttype="rect"/>
            </v:shapetype>
            <v:shape id="Text Box 64" o:spid="_x0000_s1136" type="#_x0000_t202" style="position:absolute;left:0;text-align:left;margin-left:56.3pt;margin-top:633.1pt;width:8.4pt;height:6pt;z-index:-1886855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" filled="f" stroked="f">
              <v:textbox style="mso-fit-shape-to-text:t" inset="0,0,0,0">
                <w:txbxContent>
                  <w:p w14:paraId="39D3E030" w14:textId="127DE6E8" w:rsidR="00350396" w:rsidRDefault="00350396">
                    <w:pPr>
                      <w:pStyle w:val="aa"/>
                      <w:shd w:val="clear" w:color="auto" w:fill="auto"/>
                      <w:spacing w:line="240" w:lineRule="auto"/>
                    </w:pPr>
                    <w:r>
                      <w:fldChar w:fldCharType="begin"/>
                    </w:r>
                    <w:r>
                      <w:instrText xml:space="preserve"> PAGE \* MERGEFORMAT </w:instrText>
                    </w:r>
                    <w:r>
                      <w:fldChar w:fldCharType="separate"/>
                    </w:r>
                    <w:r w:rsidR="00960409" w:rsidRPr="00960409">
                      <w:rPr>
                        <w:b w:val="0"/>
                        <w:bCs w:val="0"/>
                        <w:noProof/>
                      </w:rPr>
                      <w:t>288</w:t>
                    </w:r>
                    <w:r>
                      <w:rPr>
                        <w:b w:val="0"/>
                        <w:bCs w:val="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B8FA" w14:textId="77777777" w:rsidR="00350396" w:rsidRDefault="00350396">
    <w:pPr>
      <w:rPr>
        <w:sz w:val="2"/>
        <w:szCs w:val="2"/>
      </w:rPr>
    </w:pPr>
    <w:r>
      <w:rPr>
        <w:noProof/>
        <w:lang w:bidi="ar-SA"/>
      </w:rPr>
      <mc:AlternateContent>
        <mc:Choice Requires="wps">
          <w:drawing>
            <wp:anchor distT="0" distB="0" distL="63500" distR="63500" simplePos="0" relativeHeight="314631942" behindDoc="1" locked="0" layoutInCell="1" allowOverlap="1" wp14:anchorId="7A9E7193" wp14:editId="2B780C24">
              <wp:simplePos x="0" y="0"/>
              <wp:positionH relativeFrom="page">
                <wp:posOffset>4766945</wp:posOffset>
              </wp:positionH>
              <wp:positionV relativeFrom="page">
                <wp:posOffset>7996555</wp:posOffset>
              </wp:positionV>
              <wp:extent cx="91440" cy="76200"/>
              <wp:effectExtent l="4445" t="0" r="0" b="44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6390" w14:textId="1C152E7C" w:rsidR="00350396" w:rsidRDefault="00350396">
                          <w:pPr>
                            <w:pStyle w:val="aa"/>
                            <w:shd w:val="clear" w:color="auto" w:fill="auto"/>
                            <w:spacing w:line="240" w:lineRule="auto"/>
                          </w:pPr>
                          <w:r>
                            <w:fldChar w:fldCharType="begin"/>
                          </w:r>
                          <w:r>
                            <w:instrText xml:space="preserve"> PAGE \* MERGEFORMAT </w:instrText>
                          </w:r>
                          <w:r>
                            <w:fldChar w:fldCharType="separate"/>
                          </w:r>
                          <w:r w:rsidR="00960409" w:rsidRPr="00960409">
                            <w:rPr>
                              <w:b w:val="0"/>
                              <w:bCs w:val="0"/>
                              <w:noProof/>
                            </w:rPr>
                            <w:t>289</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9E7193" id="_x0000_t202" coordsize="21600,21600" o:spt="202" path="m,l,21600r21600,l21600,xe">
              <v:stroke joinstyle="miter"/>
              <v:path gradientshapeok="t" o:connecttype="rect"/>
            </v:shapetype>
            <v:shape id="Text Box 63" o:spid="_x0000_s1137" type="#_x0000_t202" style="position:absolute;left:0;text-align:left;margin-left:375.35pt;margin-top:629.65pt;width:7.2pt;height:6pt;z-index:-1886845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" filled="f" stroked="f">
              <v:textbox style="mso-fit-shape-to-text:t" inset="0,0,0,0">
                <w:txbxContent>
                  <w:p w14:paraId="104C6390" w14:textId="1C152E7C" w:rsidR="00350396" w:rsidRDefault="00350396">
                    <w:pPr>
                      <w:pStyle w:val="aa"/>
                      <w:shd w:val="clear" w:color="auto" w:fill="auto"/>
                      <w:spacing w:line="240" w:lineRule="auto"/>
                    </w:pPr>
                    <w:r>
                      <w:fldChar w:fldCharType="begin"/>
                    </w:r>
                    <w:r>
                      <w:instrText xml:space="preserve"> PAGE \* MERGEFORMAT </w:instrText>
                    </w:r>
                    <w:r>
                      <w:fldChar w:fldCharType="separate"/>
                    </w:r>
                    <w:r w:rsidR="00960409" w:rsidRPr="00960409">
                      <w:rPr>
                        <w:b w:val="0"/>
                        <w:bCs w:val="0"/>
                        <w:noProof/>
                      </w:rPr>
                      <w:t>289</w:t>
                    </w:r>
                    <w:r>
                      <w:rPr>
                        <w:b w:val="0"/>
                        <w:bCs w:val="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8170C" w14:textId="77777777" w:rsidR="00350396" w:rsidRDefault="00350396">
    <w:pPr>
      <w:rPr>
        <w:sz w:val="2"/>
        <w:szCs w:val="2"/>
      </w:rPr>
    </w:pPr>
    <w:r>
      <w:rPr>
        <w:noProof/>
        <w:lang w:bidi="ar-SA"/>
      </w:rPr>
      <mc:AlternateContent>
        <mc:Choice Requires="wps">
          <w:drawing>
            <wp:anchor distT="0" distB="0" distL="63500" distR="63500" simplePos="0" relativeHeight="314632966" behindDoc="1" locked="0" layoutInCell="1" allowOverlap="1" wp14:anchorId="37767EBF" wp14:editId="57E92BAB">
              <wp:simplePos x="0" y="0"/>
              <wp:positionH relativeFrom="page">
                <wp:posOffset>706755</wp:posOffset>
              </wp:positionH>
              <wp:positionV relativeFrom="page">
                <wp:posOffset>8261350</wp:posOffset>
              </wp:positionV>
              <wp:extent cx="176530" cy="76200"/>
              <wp:effectExtent l="1905" t="3175" r="254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41C9" w14:textId="77777777" w:rsidR="00350396" w:rsidRDefault="00350396">
                          <w:pPr>
                            <w:pStyle w:val="2fb"/>
                            <w:shd w:val="clear" w:color="auto" w:fill="auto"/>
                            <w:spacing w:line="240" w:lineRule="auto"/>
                          </w:pPr>
                          <w:r>
                            <w:rPr>
                              <w:vertAlign w:val="superscript"/>
                            </w:rPr>
                            <w:t>1</w:t>
                          </w:r>
                          <w:r>
                            <w:t xml:space="preserve"> Гражданский кодекс Российской Федерации. Часть первая: Федеральный за-</w:t>
                          </w:r>
                        </w:p>
                        <w:p w14:paraId="1BAC97E2" w14:textId="77777777" w:rsidR="00350396" w:rsidRDefault="00350396">
                          <w:pPr>
                            <w:pStyle w:val="2fb"/>
                            <w:shd w:val="clear" w:color="auto" w:fill="auto"/>
                            <w:spacing w:line="240" w:lineRule="auto"/>
                          </w:pPr>
                          <w:r>
                            <w:t>кон от 30.11.1994 № 51-ФЗ.</w:t>
                          </w:r>
                        </w:p>
                        <w:p w14:paraId="474B871A" w14:textId="69F2B045" w:rsidR="00350396" w:rsidRDefault="00350396">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285</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767EBF" id="_x0000_t202" coordsize="21600,21600" o:spt="202" path="m,l,21600r21600,l21600,xe">
              <v:stroke joinstyle="miter"/>
              <v:path gradientshapeok="t" o:connecttype="rect"/>
            </v:shapetype>
            <v:shape id="Text Box 62" o:spid="_x0000_s1138" type="#_x0000_t202" style="position:absolute;left:0;text-align:left;margin-left:55.65pt;margin-top:650.5pt;width:13.9pt;height:6pt;z-index:-18868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" filled="f" stroked="f">
              <v:textbox style="mso-fit-shape-to-text:t" inset="0,0,0,0">
                <w:txbxContent>
                  <w:p w14:paraId="5D9441C9" w14:textId="77777777" w:rsidR="00350396" w:rsidRDefault="00350396">
                    <w:pPr>
                      <w:pStyle w:val="2fb"/>
                      <w:shd w:val="clear" w:color="auto" w:fill="auto"/>
                      <w:spacing w:line="240" w:lineRule="auto"/>
                    </w:pPr>
                    <w:r>
                      <w:rPr>
                        <w:vertAlign w:val="superscript"/>
                      </w:rPr>
                      <w:t>1</w:t>
                    </w:r>
                    <w:r>
                      <w:t xml:space="preserve"> Гражданский кодекс Российской Федерации. Часть первая: Федеральный за-</w:t>
                    </w:r>
                  </w:p>
                  <w:p w14:paraId="1BAC97E2" w14:textId="77777777" w:rsidR="00350396" w:rsidRDefault="00350396">
                    <w:pPr>
                      <w:pStyle w:val="2fb"/>
                      <w:shd w:val="clear" w:color="auto" w:fill="auto"/>
                      <w:spacing w:line="240" w:lineRule="auto"/>
                    </w:pPr>
                    <w:r>
                      <w:t>кон от 30.11.1994 № 51-ФЗ.</w:t>
                    </w:r>
                  </w:p>
                  <w:p w14:paraId="474B871A" w14:textId="69F2B045" w:rsidR="00350396" w:rsidRDefault="00350396">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285</w:t>
                    </w:r>
                    <w:r>
                      <w:rPr>
                        <w:rStyle w:val="2MicrosoftSansSerif8p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4B1E" w14:textId="77777777" w:rsidR="00350D42" w:rsidRDefault="00350D42"/>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74EF" w14:textId="77777777" w:rsidR="00350396" w:rsidRDefault="00350396">
    <w:pPr>
      <w:rPr>
        <w:sz w:val="2"/>
        <w:szCs w:val="2"/>
      </w:rPr>
    </w:pPr>
    <w:r>
      <w:rPr>
        <w:noProof/>
        <w:lang w:bidi="ar-SA"/>
      </w:rPr>
      <mc:AlternateContent>
        <mc:Choice Requires="wps">
          <w:drawing>
            <wp:anchor distT="0" distB="0" distL="63500" distR="63500" simplePos="0" relativeHeight="314633990" behindDoc="1" locked="0" layoutInCell="1" allowOverlap="1" wp14:anchorId="273D277F" wp14:editId="70210DF2">
              <wp:simplePos x="0" y="0"/>
              <wp:positionH relativeFrom="page">
                <wp:posOffset>715010</wp:posOffset>
              </wp:positionH>
              <wp:positionV relativeFrom="page">
                <wp:posOffset>8040370</wp:posOffset>
              </wp:positionV>
              <wp:extent cx="106680" cy="76200"/>
              <wp:effectExtent l="635" t="127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ACDA8" w14:textId="7A8061B7" w:rsidR="00350396" w:rsidRDefault="00350396">
                          <w:pPr>
                            <w:pStyle w:val="aa"/>
                            <w:shd w:val="clear" w:color="auto" w:fill="auto"/>
                            <w:spacing w:line="240" w:lineRule="auto"/>
                          </w:pPr>
                          <w:r>
                            <w:fldChar w:fldCharType="begin"/>
                          </w:r>
                          <w:r>
                            <w:instrText xml:space="preserve"> PAGE \* MERGEFORMAT </w:instrText>
                          </w:r>
                          <w:r>
                            <w:fldChar w:fldCharType="separate"/>
                          </w:r>
                          <w:r w:rsidR="00960409" w:rsidRPr="00960409">
                            <w:rPr>
                              <w:b w:val="0"/>
                              <w:bCs w:val="0"/>
                              <w:noProof/>
                            </w:rPr>
                            <w:t>298</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3D277F" id="_x0000_t202" coordsize="21600,21600" o:spt="202" path="m,l,21600r21600,l21600,xe">
              <v:stroke joinstyle="miter"/>
              <v:path gradientshapeok="t" o:connecttype="rect"/>
            </v:shapetype>
            <v:shape id="Text Box 61" o:spid="_x0000_s1139" type="#_x0000_t202" style="position:absolute;left:0;text-align:left;margin-left:56.3pt;margin-top:633.1pt;width:8.4pt;height:6pt;z-index:-1886824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" filled="f" stroked="f">
              <v:textbox style="mso-fit-shape-to-text:t" inset="0,0,0,0">
                <w:txbxContent>
                  <w:p w14:paraId="378ACDA8" w14:textId="7A8061B7" w:rsidR="00350396" w:rsidRDefault="00350396">
                    <w:pPr>
                      <w:pStyle w:val="aa"/>
                      <w:shd w:val="clear" w:color="auto" w:fill="auto"/>
                      <w:spacing w:line="240" w:lineRule="auto"/>
                    </w:pPr>
                    <w:r>
                      <w:fldChar w:fldCharType="begin"/>
                    </w:r>
                    <w:r>
                      <w:instrText xml:space="preserve"> PAGE \* MERGEFORMAT </w:instrText>
                    </w:r>
                    <w:r>
                      <w:fldChar w:fldCharType="separate"/>
                    </w:r>
                    <w:r w:rsidR="00960409" w:rsidRPr="00960409">
                      <w:rPr>
                        <w:b w:val="0"/>
                        <w:bCs w:val="0"/>
                        <w:noProof/>
                      </w:rPr>
                      <w:t>298</w:t>
                    </w:r>
                    <w:r>
                      <w:rPr>
                        <w:b w:val="0"/>
                        <w:bCs w:val="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691E" w14:textId="77777777" w:rsidR="00350396" w:rsidRDefault="00350396">
    <w:pPr>
      <w:rPr>
        <w:sz w:val="2"/>
        <w:szCs w:val="2"/>
      </w:rPr>
    </w:pPr>
    <w:r>
      <w:rPr>
        <w:noProof/>
        <w:lang w:bidi="ar-SA"/>
      </w:rPr>
      <mc:AlternateContent>
        <mc:Choice Requires="wps">
          <w:drawing>
            <wp:anchor distT="0" distB="0" distL="63500" distR="63500" simplePos="0" relativeHeight="314635014" behindDoc="1" locked="0" layoutInCell="1" allowOverlap="1" wp14:anchorId="3F2102D0" wp14:editId="7075AFD0">
              <wp:simplePos x="0" y="0"/>
              <wp:positionH relativeFrom="page">
                <wp:posOffset>4766945</wp:posOffset>
              </wp:positionH>
              <wp:positionV relativeFrom="page">
                <wp:posOffset>7996555</wp:posOffset>
              </wp:positionV>
              <wp:extent cx="91440" cy="76200"/>
              <wp:effectExtent l="4445" t="0" r="0"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07E5F" w14:textId="4EA92BEC" w:rsidR="00350396" w:rsidRDefault="00350396">
                          <w:pPr>
                            <w:pStyle w:val="aa"/>
                            <w:shd w:val="clear" w:color="auto" w:fill="auto"/>
                            <w:spacing w:line="240" w:lineRule="auto"/>
                          </w:pPr>
                          <w:r>
                            <w:fldChar w:fldCharType="begin"/>
                          </w:r>
                          <w:r>
                            <w:instrText xml:space="preserve"> PAGE \* MERGEFORMAT </w:instrText>
                          </w:r>
                          <w:r>
                            <w:fldChar w:fldCharType="separate"/>
                          </w:r>
                          <w:r w:rsidR="00960409" w:rsidRPr="00960409">
                            <w:rPr>
                              <w:b w:val="0"/>
                              <w:bCs w:val="0"/>
                              <w:noProof/>
                            </w:rPr>
                            <w:t>299</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2102D0" id="_x0000_t202" coordsize="21600,21600" o:spt="202" path="m,l,21600r21600,l21600,xe">
              <v:stroke joinstyle="miter"/>
              <v:path gradientshapeok="t" o:connecttype="rect"/>
            </v:shapetype>
            <v:shape id="Text Box 60" o:spid="_x0000_s1140" type="#_x0000_t202" style="position:absolute;left:0;text-align:left;margin-left:375.35pt;margin-top:629.65pt;width:7.2pt;height:6pt;z-index:-1886814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" filled="f" stroked="f">
              <v:textbox style="mso-fit-shape-to-text:t" inset="0,0,0,0">
                <w:txbxContent>
                  <w:p w14:paraId="63007E5F" w14:textId="4EA92BEC" w:rsidR="00350396" w:rsidRDefault="00350396">
                    <w:pPr>
                      <w:pStyle w:val="aa"/>
                      <w:shd w:val="clear" w:color="auto" w:fill="auto"/>
                      <w:spacing w:line="240" w:lineRule="auto"/>
                    </w:pPr>
                    <w:r>
                      <w:fldChar w:fldCharType="begin"/>
                    </w:r>
                    <w:r>
                      <w:instrText xml:space="preserve"> PAGE \* MERGEFORMAT </w:instrText>
                    </w:r>
                    <w:r>
                      <w:fldChar w:fldCharType="separate"/>
                    </w:r>
                    <w:r w:rsidR="00960409" w:rsidRPr="00960409">
                      <w:rPr>
                        <w:b w:val="0"/>
                        <w:bCs w:val="0"/>
                        <w:noProof/>
                      </w:rPr>
                      <w:t>299</w:t>
                    </w:r>
                    <w:r>
                      <w:rPr>
                        <w:b w:val="0"/>
                        <w:bCs w:val="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D1737" w14:textId="77777777" w:rsidR="00350396" w:rsidRDefault="00350396">
    <w:pPr>
      <w:rPr>
        <w:sz w:val="2"/>
        <w:szCs w:val="2"/>
      </w:rPr>
    </w:pPr>
    <w:r>
      <w:rPr>
        <w:noProof/>
        <w:lang w:bidi="ar-SA"/>
      </w:rPr>
      <mc:AlternateContent>
        <mc:Choice Requires="wps">
          <w:drawing>
            <wp:anchor distT="0" distB="0" distL="63500" distR="63500" simplePos="0" relativeHeight="314636038" behindDoc="1" locked="0" layoutInCell="1" allowOverlap="1" wp14:anchorId="6DE6BEFD" wp14:editId="4839D6A3">
              <wp:simplePos x="0" y="0"/>
              <wp:positionH relativeFrom="page">
                <wp:posOffset>4699635</wp:posOffset>
              </wp:positionH>
              <wp:positionV relativeFrom="page">
                <wp:posOffset>8133715</wp:posOffset>
              </wp:positionV>
              <wp:extent cx="173990" cy="76200"/>
              <wp:effectExtent l="3810" t="0" r="3175" b="6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CE246" w14:textId="77777777" w:rsidR="00350396" w:rsidRDefault="00350396">
                          <w:pPr>
                            <w:pStyle w:val="2fb"/>
                            <w:shd w:val="clear" w:color="auto" w:fill="auto"/>
                            <w:spacing w:line="240" w:lineRule="auto"/>
                          </w:pPr>
                          <w:r>
                            <w:rPr>
                              <w:vertAlign w:val="superscript"/>
                            </w:rPr>
                            <w:t>1</w:t>
                          </w:r>
                          <w:r>
                            <w:t xml:space="preserve"> Доклад о состоянии конкуренции в Российской Федерации. С. 51.</w:t>
                          </w:r>
                        </w:p>
                        <w:p w14:paraId="14815027" w14:textId="1B04AC06" w:rsidR="00350396" w:rsidRDefault="00350396">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290</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E6BEFD" id="_x0000_t202" coordsize="21600,21600" o:spt="202" path="m,l,21600r21600,l21600,xe">
              <v:stroke joinstyle="miter"/>
              <v:path gradientshapeok="t" o:connecttype="rect"/>
            </v:shapetype>
            <v:shape id="Text Box 59" o:spid="_x0000_s1141" type="#_x0000_t202" style="position:absolute;left:0;text-align:left;margin-left:370.05pt;margin-top:640.45pt;width:13.7pt;height:6pt;z-index:-1886804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" filled="f" stroked="f">
              <v:textbox style="mso-fit-shape-to-text:t" inset="0,0,0,0">
                <w:txbxContent>
                  <w:p w14:paraId="24FCE246" w14:textId="77777777" w:rsidR="00350396" w:rsidRDefault="00350396">
                    <w:pPr>
                      <w:pStyle w:val="2fb"/>
                      <w:shd w:val="clear" w:color="auto" w:fill="auto"/>
                      <w:spacing w:line="240" w:lineRule="auto"/>
                    </w:pPr>
                    <w:r>
                      <w:rPr>
                        <w:vertAlign w:val="superscript"/>
                      </w:rPr>
                      <w:t>1</w:t>
                    </w:r>
                    <w:r>
                      <w:t xml:space="preserve"> Доклад о состоянии конкуренции в Российской Федерации. С. 51.</w:t>
                    </w:r>
                  </w:p>
                  <w:p w14:paraId="14815027" w14:textId="1B04AC06" w:rsidR="00350396" w:rsidRDefault="00350396">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290</w:t>
                    </w:r>
                    <w:r>
                      <w:rPr>
                        <w:rStyle w:val="2MicrosoftSansSerif8pt"/>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CAD6" w14:textId="77777777" w:rsidR="00350396" w:rsidRDefault="00350396">
    <w:pPr>
      <w:rPr>
        <w:sz w:val="2"/>
        <w:szCs w:val="2"/>
      </w:rPr>
    </w:pPr>
    <w:r>
      <w:rPr>
        <w:noProof/>
        <w:lang w:bidi="ar-SA"/>
      </w:rPr>
      <mc:AlternateContent>
        <mc:Choice Requires="wps">
          <w:drawing>
            <wp:anchor distT="0" distB="0" distL="63500" distR="63500" simplePos="0" relativeHeight="314637062" behindDoc="1" locked="0" layoutInCell="1" allowOverlap="1" wp14:anchorId="6DEC0640" wp14:editId="12B8B9B1">
              <wp:simplePos x="0" y="0"/>
              <wp:positionH relativeFrom="page">
                <wp:posOffset>715010</wp:posOffset>
              </wp:positionH>
              <wp:positionV relativeFrom="page">
                <wp:posOffset>8040370</wp:posOffset>
              </wp:positionV>
              <wp:extent cx="106680" cy="76200"/>
              <wp:effectExtent l="635" t="1270" r="0" b="0"/>
              <wp:wrapNone/>
              <wp:docPr id="3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AEE7" w14:textId="77777777" w:rsidR="00350396" w:rsidRDefault="00350396">
                          <w:pPr>
                            <w:pStyle w:val="aa"/>
                            <w:shd w:val="clear" w:color="auto" w:fill="auto"/>
                            <w:spacing w:line="240" w:lineRule="auto"/>
                          </w:pPr>
                          <w:r>
                            <w:fldChar w:fldCharType="begin"/>
                          </w:r>
                          <w:r>
                            <w:instrText xml:space="preserve"> PAGE \* MERGEFORMAT </w:instrText>
                          </w:r>
                          <w:r>
                            <w:fldChar w:fldCharType="separate"/>
                          </w:r>
                          <w:r w:rsidRPr="005929C2">
                            <w:rPr>
                              <w:b w:val="0"/>
                              <w:bCs w:val="0"/>
                              <w:noProof/>
                            </w:rPr>
                            <w:t>288</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EC0640" id="_x0000_t202" coordsize="21600,21600" o:spt="202" path="m,l,21600r21600,l21600,xe">
              <v:stroke joinstyle="miter"/>
              <v:path gradientshapeok="t" o:connecttype="rect"/>
            </v:shapetype>
            <v:shape id="Text Box 58" o:spid="_x0000_s1142" type="#_x0000_t202" style="position:absolute;left:0;text-align:left;margin-left:56.3pt;margin-top:633.1pt;width:8.4pt;height:6pt;z-index:-1886794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" filled="f" stroked="f">
              <v:textbox style="mso-fit-shape-to-text:t" inset="0,0,0,0">
                <w:txbxContent>
                  <w:p w14:paraId="3FECAEE7" w14:textId="77777777" w:rsidR="00350396" w:rsidRDefault="00350396">
                    <w:pPr>
                      <w:pStyle w:val="aa"/>
                      <w:shd w:val="clear" w:color="auto" w:fill="auto"/>
                      <w:spacing w:line="240" w:lineRule="auto"/>
                    </w:pPr>
                    <w:r>
                      <w:fldChar w:fldCharType="begin"/>
                    </w:r>
                    <w:r>
                      <w:instrText xml:space="preserve"> PAGE \* MERGEFORMAT </w:instrText>
                    </w:r>
                    <w:r>
                      <w:fldChar w:fldCharType="separate"/>
                    </w:r>
                    <w:r w:rsidRPr="005929C2">
                      <w:rPr>
                        <w:b w:val="0"/>
                        <w:bCs w:val="0"/>
                        <w:noProof/>
                      </w:rPr>
                      <w:t>288</w:t>
                    </w:r>
                    <w:r>
                      <w:rPr>
                        <w:b w:val="0"/>
                        <w:bCs w:val="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2A2E" w14:textId="77777777" w:rsidR="00350396" w:rsidRDefault="00350396">
    <w:pPr>
      <w:rPr>
        <w:sz w:val="2"/>
        <w:szCs w:val="2"/>
      </w:rPr>
    </w:pPr>
    <w:r>
      <w:rPr>
        <w:noProof/>
        <w:lang w:bidi="ar-SA"/>
      </w:rPr>
      <mc:AlternateContent>
        <mc:Choice Requires="wps">
          <w:drawing>
            <wp:anchor distT="0" distB="0" distL="63500" distR="63500" simplePos="0" relativeHeight="314638086" behindDoc="1" locked="0" layoutInCell="1" allowOverlap="1" wp14:anchorId="53B87944" wp14:editId="671107DB">
              <wp:simplePos x="0" y="0"/>
              <wp:positionH relativeFrom="page">
                <wp:posOffset>4766945</wp:posOffset>
              </wp:positionH>
              <wp:positionV relativeFrom="page">
                <wp:posOffset>7996555</wp:posOffset>
              </wp:positionV>
              <wp:extent cx="91440" cy="76200"/>
              <wp:effectExtent l="4445" t="0" r="0" b="4445"/>
              <wp:wrapNone/>
              <wp:docPr id="33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9960" w14:textId="77777777" w:rsidR="00350396" w:rsidRDefault="00350396">
                          <w:pPr>
                            <w:pStyle w:val="aa"/>
                            <w:shd w:val="clear" w:color="auto" w:fill="auto"/>
                            <w:spacing w:line="240" w:lineRule="auto"/>
                          </w:pPr>
                          <w:r>
                            <w:fldChar w:fldCharType="begin"/>
                          </w:r>
                          <w:r>
                            <w:instrText xml:space="preserve"> PAGE \* MERGEFORMAT </w:instrText>
                          </w:r>
                          <w:r>
                            <w:fldChar w:fldCharType="separate"/>
                          </w:r>
                          <w:r w:rsidRPr="005929C2">
                            <w:rPr>
                              <w:b w:val="0"/>
                              <w:bCs w:val="0"/>
                              <w:noProof/>
                            </w:rPr>
                            <w:t>287</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B87944" id="_x0000_t202" coordsize="21600,21600" o:spt="202" path="m,l,21600r21600,l21600,xe">
              <v:stroke joinstyle="miter"/>
              <v:path gradientshapeok="t" o:connecttype="rect"/>
            </v:shapetype>
            <v:shape id="Text Box 57" o:spid="_x0000_s1143" type="#_x0000_t202" style="position:absolute;left:0;text-align:left;margin-left:375.35pt;margin-top:629.65pt;width:7.2pt;height:6pt;z-index:-1886783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" filled="f" stroked="f">
              <v:textbox style="mso-fit-shape-to-text:t" inset="0,0,0,0">
                <w:txbxContent>
                  <w:p w14:paraId="75FE9960" w14:textId="77777777" w:rsidR="00350396" w:rsidRDefault="00350396">
                    <w:pPr>
                      <w:pStyle w:val="aa"/>
                      <w:shd w:val="clear" w:color="auto" w:fill="auto"/>
                      <w:spacing w:line="240" w:lineRule="auto"/>
                    </w:pPr>
                    <w:r>
                      <w:fldChar w:fldCharType="begin"/>
                    </w:r>
                    <w:r>
                      <w:instrText xml:space="preserve"> PAGE \* MERGEFORMAT </w:instrText>
                    </w:r>
                    <w:r>
                      <w:fldChar w:fldCharType="separate"/>
                    </w:r>
                    <w:r w:rsidRPr="005929C2">
                      <w:rPr>
                        <w:b w:val="0"/>
                        <w:bCs w:val="0"/>
                        <w:noProof/>
                      </w:rPr>
                      <w:t>287</w:t>
                    </w:r>
                    <w:r>
                      <w:rPr>
                        <w:b w:val="0"/>
                        <w:bCs w:val="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1557D" w14:textId="77777777" w:rsidR="00350396" w:rsidRDefault="00350396"/>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D37A" w14:textId="08CE7A4C" w:rsidR="00350D42" w:rsidRDefault="00A74D21">
    <w:pPr>
      <w:rPr>
        <w:sz w:val="2"/>
        <w:szCs w:val="2"/>
      </w:rPr>
    </w:pPr>
    <w:r>
      <w:rPr>
        <w:noProof/>
        <w:lang w:bidi="ar-SA"/>
      </w:rPr>
      <mc:AlternateContent>
        <mc:Choice Requires="wps">
          <w:drawing>
            <wp:anchor distT="0" distB="0" distL="63500" distR="63500" simplePos="0" relativeHeight="314572493" behindDoc="1" locked="0" layoutInCell="1" allowOverlap="1" wp14:anchorId="747604C0" wp14:editId="6FB4DEA6">
              <wp:simplePos x="0" y="0"/>
              <wp:positionH relativeFrom="page">
                <wp:posOffset>715010</wp:posOffset>
              </wp:positionH>
              <wp:positionV relativeFrom="page">
                <wp:posOffset>8040370</wp:posOffset>
              </wp:positionV>
              <wp:extent cx="372110" cy="114935"/>
              <wp:effectExtent l="635" t="127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9972A" w14:textId="5DBBD7F2"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318</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7604C0" id="_x0000_t202" coordsize="21600,21600" o:spt="202" path="m,l,21600r21600,l21600,xe">
              <v:stroke joinstyle="miter"/>
              <v:path gradientshapeok="t" o:connecttype="rect"/>
            </v:shapetype>
            <v:shape id="_x0000_s1144" type="#_x0000_t202" style="position:absolute;left:0;text-align:left;margin-left:56.3pt;margin-top:633.1pt;width:29.3pt;height:9.0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CU296K&#10;2AEAAJYDAAAOAAAAAAAAAAAAAAAAAC4CAABkcnMvZTJvRG9jLnhtbFBLAQItABQABgAIAAAAIQBo&#10;IJNp3QAAAA0BAAAPAAAAAAAAAAAAAAAAADIEAABkcnMvZG93bnJldi54bWxQSwUGAAAAAAQABADz&#10;AAAAPAUAAAAA&#10;" filled="f" stroked="f">
              <v:textbox style="mso-fit-shape-to-text:t" inset="0,0,0,0">
                <w:txbxContent>
                  <w:p w14:paraId="1D99972A" w14:textId="5DBBD7F2"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318</w:t>
                    </w:r>
                    <w:r>
                      <w:rPr>
                        <w:rStyle w:val="ab"/>
                        <w:b/>
                        <w:bCs/>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F04E1" w14:textId="17D36903" w:rsidR="00350D42" w:rsidRDefault="00A74D21">
    <w:pPr>
      <w:rPr>
        <w:sz w:val="2"/>
        <w:szCs w:val="2"/>
      </w:rPr>
    </w:pPr>
    <w:r>
      <w:rPr>
        <w:noProof/>
        <w:lang w:bidi="ar-SA"/>
      </w:rPr>
      <mc:AlternateContent>
        <mc:Choice Requires="wps">
          <w:drawing>
            <wp:anchor distT="0" distB="0" distL="63500" distR="63500" simplePos="0" relativeHeight="314572494" behindDoc="1" locked="0" layoutInCell="1" allowOverlap="1" wp14:anchorId="6EA13EF8" wp14:editId="65415E81">
              <wp:simplePos x="0" y="0"/>
              <wp:positionH relativeFrom="page">
                <wp:posOffset>4766945</wp:posOffset>
              </wp:positionH>
              <wp:positionV relativeFrom="page">
                <wp:posOffset>7996555</wp:posOffset>
              </wp:positionV>
              <wp:extent cx="372110" cy="114935"/>
              <wp:effectExtent l="4445" t="0" r="4445" b="38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91AE" w14:textId="35B27C86"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317</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A13EF8" id="_x0000_t202" coordsize="21600,21600" o:spt="202" path="m,l,21600r21600,l21600,xe">
              <v:stroke joinstyle="miter"/>
              <v:path gradientshapeok="t" o:connecttype="rect"/>
            </v:shapetype>
            <v:shape id="_x0000_s1145" type="#_x0000_t202" style="position:absolute;left:0;text-align:left;margin-left:375.35pt;margin-top:629.65pt;width:29.3pt;height:9.0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" filled="f" stroked="f">
              <v:textbox style="mso-fit-shape-to-text:t" inset="0,0,0,0">
                <w:txbxContent>
                  <w:p w14:paraId="0DF291AE" w14:textId="35B27C86"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317</w:t>
                    </w:r>
                    <w:r>
                      <w:rPr>
                        <w:rStyle w:val="ab"/>
                        <w:b/>
                        <w:bCs/>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628B" w14:textId="77777777" w:rsidR="00350D42" w:rsidRDefault="00350D42"/>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DAD9" w14:textId="5F5F7A64" w:rsidR="00350D42" w:rsidRDefault="00A74D21">
    <w:pPr>
      <w:rPr>
        <w:sz w:val="2"/>
        <w:szCs w:val="2"/>
      </w:rPr>
    </w:pPr>
    <w:r>
      <w:rPr>
        <w:noProof/>
        <w:lang w:bidi="ar-SA"/>
      </w:rPr>
      <mc:AlternateContent>
        <mc:Choice Requires="wps">
          <w:drawing>
            <wp:anchor distT="0" distB="0" distL="63500" distR="63500" simplePos="0" relativeHeight="314572495" behindDoc="1" locked="0" layoutInCell="1" allowOverlap="1" wp14:anchorId="3AF9AECC" wp14:editId="24D01FC4">
              <wp:simplePos x="0" y="0"/>
              <wp:positionH relativeFrom="page">
                <wp:posOffset>715010</wp:posOffset>
              </wp:positionH>
              <wp:positionV relativeFrom="page">
                <wp:posOffset>8040370</wp:posOffset>
              </wp:positionV>
              <wp:extent cx="372110" cy="114935"/>
              <wp:effectExtent l="635" t="127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7E4C" w14:textId="7C448002"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320</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F9AECC" id="_x0000_t202" coordsize="21600,21600" o:spt="202" path="m,l,21600r21600,l21600,xe">
              <v:stroke joinstyle="miter"/>
              <v:path gradientshapeok="t" o:connecttype="rect"/>
            </v:shapetype>
            <v:shape id="Text Box 56" o:spid="_x0000_s1146" type="#_x0000_t202" style="position:absolute;left:0;text-align:left;margin-left:56.3pt;margin-top:633.1pt;width:29.3pt;height:9.0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CHKqDs&#10;2AEAAJYDAAAOAAAAAAAAAAAAAAAAAC4CAABkcnMvZTJvRG9jLnhtbFBLAQItABQABgAIAAAAIQBo&#10;IJNp3QAAAA0BAAAPAAAAAAAAAAAAAAAAADIEAABkcnMvZG93bnJldi54bWxQSwUGAAAAAAQABADz&#10;AAAAPAUAAAAA&#10;" filled="f" stroked="f">
              <v:textbox style="mso-fit-shape-to-text:t" inset="0,0,0,0">
                <w:txbxContent>
                  <w:p w14:paraId="70A37E4C" w14:textId="7C448002"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320</w:t>
                    </w:r>
                    <w:r>
                      <w:rPr>
                        <w:rStyle w:val="ab"/>
                        <w:b/>
                        <w:bCs/>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E7CD6" w14:textId="77777777" w:rsidR="00350396" w:rsidRDefault="00350396">
    <w:pPr>
      <w:rPr>
        <w:sz w:val="2"/>
        <w:szCs w:val="2"/>
      </w:rPr>
    </w:pPr>
    <w:r>
      <w:rPr>
        <w:noProof/>
        <w:lang w:bidi="ar-SA"/>
      </w:rPr>
      <mc:AlternateContent>
        <mc:Choice Requires="wps">
          <w:drawing>
            <wp:anchor distT="0" distB="0" distL="63500" distR="63500" simplePos="0" relativeHeight="314574598" behindDoc="1" locked="0" layoutInCell="1" allowOverlap="1" wp14:anchorId="73072913" wp14:editId="74BFB33D">
              <wp:simplePos x="0" y="0"/>
              <wp:positionH relativeFrom="page">
                <wp:posOffset>715010</wp:posOffset>
              </wp:positionH>
              <wp:positionV relativeFrom="page">
                <wp:posOffset>8040370</wp:posOffset>
              </wp:positionV>
              <wp:extent cx="170180" cy="114935"/>
              <wp:effectExtent l="635" t="1270" r="63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3A011" w14:textId="700588D3"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120</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072913" id="_x0000_t202" coordsize="21600,21600" o:spt="202" path="m,l,21600r21600,l21600,xe">
              <v:stroke joinstyle="miter"/>
              <v:path gradientshapeok="t" o:connecttype="rect"/>
            </v:shapetype>
            <v:shape id="Text Box 131" o:spid="_x0000_s1087" type="#_x0000_t202" style="position:absolute;left:0;text-align:left;margin-left:56.3pt;margin-top:633.1pt;width:13.4pt;height:9.05pt;z-index:-188741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" filled="f" stroked="f">
              <v:textbox style="mso-fit-shape-to-text:t" inset="0,0,0,0">
                <w:txbxContent>
                  <w:p w14:paraId="6563A011" w14:textId="700588D3"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120</w:t>
                    </w:r>
                    <w:r>
                      <w:rPr>
                        <w:b w:val="0"/>
                        <w:bCs w:val="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D887" w14:textId="22DEF39A" w:rsidR="00350D42" w:rsidRDefault="00A74D21">
    <w:pPr>
      <w:rPr>
        <w:sz w:val="2"/>
        <w:szCs w:val="2"/>
      </w:rPr>
    </w:pPr>
    <w:r>
      <w:rPr>
        <w:noProof/>
        <w:lang w:bidi="ar-SA"/>
      </w:rPr>
      <mc:AlternateContent>
        <mc:Choice Requires="wps">
          <w:drawing>
            <wp:anchor distT="0" distB="0" distL="63500" distR="63500" simplePos="0" relativeHeight="314572496" behindDoc="1" locked="0" layoutInCell="1" allowOverlap="1" wp14:anchorId="17B3A7F2" wp14:editId="3B0DFE3B">
              <wp:simplePos x="0" y="0"/>
              <wp:positionH relativeFrom="page">
                <wp:posOffset>4766945</wp:posOffset>
              </wp:positionH>
              <wp:positionV relativeFrom="page">
                <wp:posOffset>7996555</wp:posOffset>
              </wp:positionV>
              <wp:extent cx="372110" cy="114935"/>
              <wp:effectExtent l="4445" t="0" r="4445"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3531" w14:textId="77777777" w:rsidR="00350D42" w:rsidRDefault="00A74D21">
                          <w:pPr>
                            <w:pStyle w:val="aa"/>
                            <w:shd w:val="clear" w:color="auto" w:fill="auto"/>
                            <w:spacing w:line="240" w:lineRule="auto"/>
                          </w:pPr>
                          <w:r>
                            <w:fldChar w:fldCharType="begin"/>
                          </w:r>
                          <w:r>
                            <w:instrText xml:space="preserve"> PAGE \* MERGEFORMAT </w:instrText>
                          </w:r>
                          <w:r>
                            <w:fldChar w:fldCharType="separate"/>
                          </w:r>
                          <w:r w:rsidR="008E6F64">
                            <w:rPr>
                              <w:rStyle w:val="ab"/>
                              <w:b/>
                              <w:bCs/>
                            </w:rPr>
                            <w:t>#</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B3A7F2" id="_x0000_t202" coordsize="21600,21600" o:spt="202" path="m,l,21600r21600,l21600,xe">
              <v:stroke joinstyle="miter"/>
              <v:path gradientshapeok="t" o:connecttype="rect"/>
            </v:shapetype>
            <v:shape id="Text Box 55" o:spid="_x0000_s1147" type="#_x0000_t202" style="position:absolute;left:0;text-align:left;margin-left:375.35pt;margin-top:629.65pt;width:29.3pt;height:9.0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LtEn&#10;MtgBAACWAwAADgAAAAAAAAAAAAAAAAAuAgAAZHJzL2Uyb0RvYy54bWxQSwECLQAUAAYACAAAACEA&#10;wdEKed4AAAANAQAADwAAAAAAAAAAAAAAAAAyBAAAZHJzL2Rvd25yZXYueG1sUEsFBgAAAAAEAAQA&#10;8wAAAD0FAAAAAA==&#10;" filled="f" stroked="f">
              <v:textbox style="mso-fit-shape-to-text:t" inset="0,0,0,0">
                <w:txbxContent>
                  <w:p w14:paraId="367A3531" w14:textId="77777777" w:rsidR="00350D42" w:rsidRDefault="00A74D21">
                    <w:pPr>
                      <w:pStyle w:val="aa"/>
                      <w:shd w:val="clear" w:color="auto" w:fill="auto"/>
                      <w:spacing w:line="240" w:lineRule="auto"/>
                    </w:pPr>
                    <w:r>
                      <w:fldChar w:fldCharType="begin"/>
                    </w:r>
                    <w:r>
                      <w:instrText xml:space="preserve"> PAGE \* MERGEFORMAT </w:instrText>
                    </w:r>
                    <w:r>
                      <w:fldChar w:fldCharType="separate"/>
                    </w:r>
                    <w:r w:rsidR="008E6F64">
                      <w:rPr>
                        <w:rStyle w:val="ab"/>
                        <w:b/>
                        <w:bCs/>
                      </w:rPr>
                      <w:t>#</w:t>
                    </w:r>
                    <w:r>
                      <w:rPr>
                        <w:rStyle w:val="ab"/>
                        <w:b/>
                        <w:bCs/>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8D23" w14:textId="63469185" w:rsidR="00350D42" w:rsidRDefault="00A74D21">
    <w:pPr>
      <w:rPr>
        <w:sz w:val="2"/>
        <w:szCs w:val="2"/>
      </w:rPr>
    </w:pPr>
    <w:r>
      <w:rPr>
        <w:noProof/>
        <w:lang w:bidi="ar-SA"/>
      </w:rPr>
      <mc:AlternateContent>
        <mc:Choice Requires="wps">
          <w:drawing>
            <wp:anchor distT="0" distB="0" distL="63500" distR="63500" simplePos="0" relativeHeight="314572501" behindDoc="1" locked="0" layoutInCell="1" allowOverlap="1" wp14:anchorId="1FB63F7D" wp14:editId="20B53889">
              <wp:simplePos x="0" y="0"/>
              <wp:positionH relativeFrom="page">
                <wp:posOffset>715010</wp:posOffset>
              </wp:positionH>
              <wp:positionV relativeFrom="page">
                <wp:posOffset>8040370</wp:posOffset>
              </wp:positionV>
              <wp:extent cx="372110" cy="114935"/>
              <wp:effectExtent l="635" t="127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77E00" w14:textId="71093409"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346</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63F7D" id="_x0000_t202" coordsize="21600,21600" o:spt="202" path="m,l,21600r21600,l21600,xe">
              <v:stroke joinstyle="miter"/>
              <v:path gradientshapeok="t" o:connecttype="rect"/>
            </v:shapetype>
            <v:shape id="Text Box 50" o:spid="_x0000_s1148" type="#_x0000_t202" style="position:absolute;left:0;text-align:left;margin-left:56.3pt;margin-top:633.1pt;width:29.3pt;height:9.0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C/+6kE&#10;2AEAAJYDAAAOAAAAAAAAAAAAAAAAAC4CAABkcnMvZTJvRG9jLnhtbFBLAQItABQABgAIAAAAIQBo&#10;IJNp3QAAAA0BAAAPAAAAAAAAAAAAAAAAADIEAABkcnMvZG93bnJldi54bWxQSwUGAAAAAAQABADz&#10;AAAAPAUAAAAA&#10;" filled="f" stroked="f">
              <v:textbox style="mso-fit-shape-to-text:t" inset="0,0,0,0">
                <w:txbxContent>
                  <w:p w14:paraId="21377E00" w14:textId="71093409"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346</w:t>
                    </w:r>
                    <w:r>
                      <w:rPr>
                        <w:rStyle w:val="ab"/>
                        <w:b/>
                        <w:bCs/>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E7F1" w14:textId="6208851C" w:rsidR="00350D42" w:rsidRDefault="00A74D21">
    <w:pPr>
      <w:rPr>
        <w:sz w:val="2"/>
        <w:szCs w:val="2"/>
      </w:rPr>
    </w:pPr>
    <w:r>
      <w:rPr>
        <w:noProof/>
        <w:lang w:bidi="ar-SA"/>
      </w:rPr>
      <mc:AlternateContent>
        <mc:Choice Requires="wps">
          <w:drawing>
            <wp:anchor distT="0" distB="0" distL="63500" distR="63500" simplePos="0" relativeHeight="314572502" behindDoc="1" locked="0" layoutInCell="1" allowOverlap="1" wp14:anchorId="2DAE5556" wp14:editId="15185884">
              <wp:simplePos x="0" y="0"/>
              <wp:positionH relativeFrom="page">
                <wp:posOffset>4766945</wp:posOffset>
              </wp:positionH>
              <wp:positionV relativeFrom="page">
                <wp:posOffset>7996555</wp:posOffset>
              </wp:positionV>
              <wp:extent cx="372110" cy="114935"/>
              <wp:effectExtent l="4445" t="0" r="4445"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6F61" w14:textId="18837914"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345</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AE5556" id="_x0000_t202" coordsize="21600,21600" o:spt="202" path="m,l,21600r21600,l21600,xe">
              <v:stroke joinstyle="miter"/>
              <v:path gradientshapeok="t" o:connecttype="rect"/>
            </v:shapetype>
            <v:shape id="Text Box 49" o:spid="_x0000_s1149" type="#_x0000_t202" style="position:absolute;left:0;text-align:left;margin-left:375.35pt;margin-top:629.65pt;width:29.3pt;height:9.0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FgAu&#10;2tgBAACWAwAADgAAAAAAAAAAAAAAAAAuAgAAZHJzL2Uyb0RvYy54bWxQSwECLQAUAAYACAAAACEA&#10;wdEKed4AAAANAQAADwAAAAAAAAAAAAAAAAAyBAAAZHJzL2Rvd25yZXYueG1sUEsFBgAAAAAEAAQA&#10;8wAAAD0FAAAAAA==&#10;" filled="f" stroked="f">
              <v:textbox style="mso-fit-shape-to-text:t" inset="0,0,0,0">
                <w:txbxContent>
                  <w:p w14:paraId="5FDD6F61" w14:textId="18837914"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345</w:t>
                    </w:r>
                    <w:r>
                      <w:rPr>
                        <w:rStyle w:val="ab"/>
                        <w:b/>
                        <w:bCs/>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2C90A" w14:textId="3D65EB13" w:rsidR="00350D42" w:rsidRDefault="00A74D21">
    <w:pPr>
      <w:rPr>
        <w:sz w:val="2"/>
        <w:szCs w:val="2"/>
      </w:rPr>
    </w:pPr>
    <w:r>
      <w:rPr>
        <w:noProof/>
        <w:lang w:bidi="ar-SA"/>
      </w:rPr>
      <mc:AlternateContent>
        <mc:Choice Requires="wps">
          <w:drawing>
            <wp:anchor distT="0" distB="0" distL="63500" distR="63500" simplePos="0" relativeHeight="314572503" behindDoc="1" locked="0" layoutInCell="1" allowOverlap="1" wp14:anchorId="140C7D31" wp14:editId="2A52968A">
              <wp:simplePos x="0" y="0"/>
              <wp:positionH relativeFrom="page">
                <wp:posOffset>4698365</wp:posOffset>
              </wp:positionH>
              <wp:positionV relativeFrom="page">
                <wp:posOffset>8350250</wp:posOffset>
              </wp:positionV>
              <wp:extent cx="4218940" cy="562610"/>
              <wp:effectExtent l="2540" t="0" r="0"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FA61" w14:textId="77777777" w:rsidR="00350D42" w:rsidRDefault="008E6F64">
                          <w:pPr>
                            <w:pStyle w:val="2fb"/>
                            <w:shd w:val="clear" w:color="auto" w:fill="auto"/>
                            <w:spacing w:line="240" w:lineRule="auto"/>
                          </w:pPr>
                          <w:r>
                            <w:rPr>
                              <w:rStyle w:val="2fd"/>
                              <w:vertAlign w:val="superscript"/>
                            </w:rPr>
                            <w:t>1</w:t>
                          </w:r>
                          <w:r>
                            <w:rPr>
                              <w:rStyle w:val="2fd"/>
                            </w:rPr>
                            <w:t xml:space="preserve"> </w:t>
                          </w:r>
                          <w:r>
                            <w:rPr>
                              <w:rStyle w:val="2fe"/>
                            </w:rPr>
                            <w:t>Глаголев С. Н.</w:t>
                          </w:r>
                          <w:r>
                            <w:rPr>
                              <w:rStyle w:val="2fd"/>
                            </w:rPr>
                            <w:t xml:space="preserve"> Развитие организационно-экономического механизма управле-</w:t>
                          </w:r>
                        </w:p>
                        <w:p w14:paraId="7F2E0B30" w14:textId="77777777" w:rsidR="00350D42" w:rsidRDefault="008E6F64">
                          <w:pPr>
                            <w:pStyle w:val="2fb"/>
                            <w:shd w:val="clear" w:color="auto" w:fill="auto"/>
                            <w:spacing w:line="240" w:lineRule="auto"/>
                          </w:pPr>
                          <w:r>
                            <w:rPr>
                              <w:rStyle w:val="2fd"/>
                            </w:rPr>
                            <w:t>ния адаптацией промышленного предприятия: теория, оценка, практика : автореф.</w:t>
                          </w:r>
                        </w:p>
                        <w:p w14:paraId="24703A3C" w14:textId="77777777" w:rsidR="00350D42" w:rsidRDefault="008E6F64">
                          <w:pPr>
                            <w:pStyle w:val="2fb"/>
                            <w:shd w:val="clear" w:color="auto" w:fill="auto"/>
                            <w:spacing w:line="240" w:lineRule="auto"/>
                          </w:pPr>
                          <w:r>
                            <w:rPr>
                              <w:rStyle w:val="2fd"/>
                            </w:rPr>
                            <w:t xml:space="preserve">дис. </w:t>
                          </w:r>
                          <w:r>
                            <w:rPr>
                              <w:rStyle w:val="2ff0"/>
                            </w:rPr>
                            <w:t xml:space="preserve">... </w:t>
                          </w:r>
                          <w:r>
                            <w:rPr>
                              <w:rStyle w:val="2fd"/>
                            </w:rPr>
                            <w:t>д-ра экон. наук. Саратов, 2009.</w:t>
                          </w:r>
                        </w:p>
                        <w:p w14:paraId="0076C4C6" w14:textId="0E618385"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321</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0C7D31" id="_x0000_t202" coordsize="21600,21600" o:spt="202" path="m,l,21600r21600,l21600,xe">
              <v:stroke joinstyle="miter"/>
              <v:path gradientshapeok="t" o:connecttype="rect"/>
            </v:shapetype>
            <v:shape id="Text Box 48" o:spid="_x0000_s1150" type="#_x0000_t202" style="position:absolute;left:0;text-align:left;margin-left:369.95pt;margin-top:657.5pt;width:332.2pt;height:44.3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" filled="f" stroked="f">
              <v:textbox style="mso-fit-shape-to-text:t" inset="0,0,0,0">
                <w:txbxContent>
                  <w:p w14:paraId="174CFA61" w14:textId="77777777" w:rsidR="00350D42" w:rsidRDefault="008E6F64">
                    <w:pPr>
                      <w:pStyle w:val="2fb"/>
                      <w:shd w:val="clear" w:color="auto" w:fill="auto"/>
                      <w:spacing w:line="240" w:lineRule="auto"/>
                    </w:pPr>
                    <w:r>
                      <w:rPr>
                        <w:rStyle w:val="2fd"/>
                        <w:vertAlign w:val="superscript"/>
                      </w:rPr>
                      <w:t>1</w:t>
                    </w:r>
                    <w:r>
                      <w:rPr>
                        <w:rStyle w:val="2fd"/>
                      </w:rPr>
                      <w:t xml:space="preserve"> </w:t>
                    </w:r>
                    <w:r>
                      <w:rPr>
                        <w:rStyle w:val="2fe"/>
                      </w:rPr>
                      <w:t>Глаголев С. Н.</w:t>
                    </w:r>
                    <w:r>
                      <w:rPr>
                        <w:rStyle w:val="2fd"/>
                      </w:rPr>
                      <w:t xml:space="preserve"> Развитие организационно-экономического механизма управле-</w:t>
                    </w:r>
                  </w:p>
                  <w:p w14:paraId="7F2E0B30" w14:textId="77777777" w:rsidR="00350D42" w:rsidRDefault="008E6F64">
                    <w:pPr>
                      <w:pStyle w:val="2fb"/>
                      <w:shd w:val="clear" w:color="auto" w:fill="auto"/>
                      <w:spacing w:line="240" w:lineRule="auto"/>
                    </w:pPr>
                    <w:r>
                      <w:rPr>
                        <w:rStyle w:val="2fd"/>
                      </w:rPr>
                      <w:t>ния адаптацией промышленного предприятия: теория, оценка, практика : автореф.</w:t>
                    </w:r>
                  </w:p>
                  <w:p w14:paraId="24703A3C" w14:textId="77777777" w:rsidR="00350D42" w:rsidRDefault="008E6F64">
                    <w:pPr>
                      <w:pStyle w:val="2fb"/>
                      <w:shd w:val="clear" w:color="auto" w:fill="auto"/>
                      <w:spacing w:line="240" w:lineRule="auto"/>
                    </w:pPr>
                    <w:r>
                      <w:rPr>
                        <w:rStyle w:val="2fd"/>
                      </w:rPr>
                      <w:t xml:space="preserve">дис. </w:t>
                    </w:r>
                    <w:r>
                      <w:rPr>
                        <w:rStyle w:val="2ff0"/>
                      </w:rPr>
                      <w:t xml:space="preserve">... </w:t>
                    </w:r>
                    <w:r>
                      <w:rPr>
                        <w:rStyle w:val="2fd"/>
                      </w:rPr>
                      <w:t>д-ра экон. наук. Саратов, 2009.</w:t>
                    </w:r>
                  </w:p>
                  <w:p w14:paraId="0076C4C6" w14:textId="0E618385"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321</w:t>
                    </w:r>
                    <w:r>
                      <w:rPr>
                        <w:rStyle w:val="2MicrosoftSansSerif8pt"/>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621D" w14:textId="2247B7F9" w:rsidR="00350D42" w:rsidRDefault="00A74D21">
    <w:pPr>
      <w:rPr>
        <w:sz w:val="2"/>
        <w:szCs w:val="2"/>
      </w:rPr>
    </w:pPr>
    <w:r>
      <w:rPr>
        <w:noProof/>
        <w:lang w:bidi="ar-SA"/>
      </w:rPr>
      <mc:AlternateContent>
        <mc:Choice Requires="wps">
          <w:drawing>
            <wp:anchor distT="0" distB="0" distL="63500" distR="63500" simplePos="0" relativeHeight="314572504" behindDoc="1" locked="0" layoutInCell="1" allowOverlap="1" wp14:anchorId="3E2B7613" wp14:editId="033BA579">
              <wp:simplePos x="0" y="0"/>
              <wp:positionH relativeFrom="page">
                <wp:posOffset>715010</wp:posOffset>
              </wp:positionH>
              <wp:positionV relativeFrom="page">
                <wp:posOffset>8040370</wp:posOffset>
              </wp:positionV>
              <wp:extent cx="372110" cy="114935"/>
              <wp:effectExtent l="635" t="127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D2A7" w14:textId="366F7A38"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350</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2B7613" id="_x0000_t202" coordsize="21600,21600" o:spt="202" path="m,l,21600r21600,l21600,xe">
              <v:stroke joinstyle="miter"/>
              <v:path gradientshapeok="t" o:connecttype="rect"/>
            </v:shapetype>
            <v:shape id="Text Box 47" o:spid="_x0000_s1151" type="#_x0000_t202" style="position:absolute;left:0;text-align:left;margin-left:56.3pt;margin-top:633.1pt;width:29.3pt;height:9.0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" filled="f" stroked="f">
              <v:textbox style="mso-fit-shape-to-text:t" inset="0,0,0,0">
                <w:txbxContent>
                  <w:p w14:paraId="0DF8D2A7" w14:textId="366F7A38"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350</w:t>
                    </w:r>
                    <w:r>
                      <w:rPr>
                        <w:rStyle w:val="ab"/>
                        <w:b/>
                        <w:bCs/>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8C80" w14:textId="5ABAF4D9" w:rsidR="00350D42" w:rsidRDefault="00A74D21">
    <w:pPr>
      <w:rPr>
        <w:sz w:val="2"/>
        <w:szCs w:val="2"/>
      </w:rPr>
    </w:pPr>
    <w:r>
      <w:rPr>
        <w:noProof/>
        <w:lang w:bidi="ar-SA"/>
      </w:rPr>
      <mc:AlternateContent>
        <mc:Choice Requires="wps">
          <w:drawing>
            <wp:anchor distT="0" distB="0" distL="63500" distR="63500" simplePos="0" relativeHeight="314572505" behindDoc="1" locked="0" layoutInCell="1" allowOverlap="1" wp14:anchorId="245D965D" wp14:editId="02538FA9">
              <wp:simplePos x="0" y="0"/>
              <wp:positionH relativeFrom="page">
                <wp:posOffset>4766945</wp:posOffset>
              </wp:positionH>
              <wp:positionV relativeFrom="page">
                <wp:posOffset>7996555</wp:posOffset>
              </wp:positionV>
              <wp:extent cx="372110" cy="114935"/>
              <wp:effectExtent l="4445" t="0" r="4445"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8470" w14:textId="357770CF"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349</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5D965D" id="_x0000_t202" coordsize="21600,21600" o:spt="202" path="m,l,21600r21600,l21600,xe">
              <v:stroke joinstyle="miter"/>
              <v:path gradientshapeok="t" o:connecttype="rect"/>
            </v:shapetype>
            <v:shape id="Text Box 46" o:spid="_x0000_s1152" type="#_x0000_t202" style="position:absolute;left:0;text-align:left;margin-left:375.35pt;margin-top:629.65pt;width:29.3pt;height:9.0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FlSJ&#10;j9gBAACWAwAADgAAAAAAAAAAAAAAAAAuAgAAZHJzL2Uyb0RvYy54bWxQSwECLQAUAAYACAAAACEA&#10;wdEKed4AAAANAQAADwAAAAAAAAAAAAAAAAAyBAAAZHJzL2Rvd25yZXYueG1sUEsFBgAAAAAEAAQA&#10;8wAAAD0FAAAAAA==&#10;" filled="f" stroked="f">
              <v:textbox style="mso-fit-shape-to-text:t" inset="0,0,0,0">
                <w:txbxContent>
                  <w:p w14:paraId="6BE38470" w14:textId="357770CF"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349</w:t>
                    </w:r>
                    <w:r>
                      <w:rPr>
                        <w:rStyle w:val="ab"/>
                        <w:b/>
                        <w:bCs/>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592E" w14:textId="77777777" w:rsidR="00350D42" w:rsidRDefault="00350D42"/>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9FE7" w14:textId="7A2FD5BC" w:rsidR="00350D42" w:rsidRDefault="00A74D21">
    <w:pPr>
      <w:rPr>
        <w:sz w:val="2"/>
        <w:szCs w:val="2"/>
      </w:rPr>
    </w:pPr>
    <w:r>
      <w:rPr>
        <w:noProof/>
        <w:lang w:bidi="ar-SA"/>
      </w:rPr>
      <mc:AlternateContent>
        <mc:Choice Requires="wps">
          <w:drawing>
            <wp:anchor distT="0" distB="0" distL="63500" distR="63500" simplePos="0" relativeHeight="314572506" behindDoc="1" locked="0" layoutInCell="1" allowOverlap="1" wp14:anchorId="355E30FF" wp14:editId="574481AE">
              <wp:simplePos x="0" y="0"/>
              <wp:positionH relativeFrom="page">
                <wp:posOffset>715010</wp:posOffset>
              </wp:positionH>
              <wp:positionV relativeFrom="page">
                <wp:posOffset>8040370</wp:posOffset>
              </wp:positionV>
              <wp:extent cx="372110" cy="114935"/>
              <wp:effectExtent l="635"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DEC46" w14:textId="6D32E890"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354</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5E30FF" id="_x0000_t202" coordsize="21600,21600" o:spt="202" path="m,l,21600r21600,l21600,xe">
              <v:stroke joinstyle="miter"/>
              <v:path gradientshapeok="t" o:connecttype="rect"/>
            </v:shapetype>
            <v:shape id="Text Box 45" o:spid="_x0000_s1153" type="#_x0000_t202" style="position:absolute;left:0;text-align:left;margin-left:56.3pt;margin-top:633.1pt;width:29.3pt;height:9.0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C/rw5R&#10;2AEAAJYDAAAOAAAAAAAAAAAAAAAAAC4CAABkcnMvZTJvRG9jLnhtbFBLAQItABQABgAIAAAAIQBo&#10;IJNp3QAAAA0BAAAPAAAAAAAAAAAAAAAAADIEAABkcnMvZG93bnJldi54bWxQSwUGAAAAAAQABADz&#10;AAAAPAUAAAAA&#10;" filled="f" stroked="f">
              <v:textbox style="mso-fit-shape-to-text:t" inset="0,0,0,0">
                <w:txbxContent>
                  <w:p w14:paraId="07ADEC46" w14:textId="6D32E890"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354</w:t>
                    </w:r>
                    <w:r>
                      <w:rPr>
                        <w:rStyle w:val="ab"/>
                        <w:b/>
                        <w:bCs/>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BE1D" w14:textId="1F38E29F" w:rsidR="00350D42" w:rsidRDefault="00A74D21">
    <w:pPr>
      <w:rPr>
        <w:sz w:val="2"/>
        <w:szCs w:val="2"/>
      </w:rPr>
    </w:pPr>
    <w:r>
      <w:rPr>
        <w:noProof/>
        <w:lang w:bidi="ar-SA"/>
      </w:rPr>
      <mc:AlternateContent>
        <mc:Choice Requires="wps">
          <w:drawing>
            <wp:anchor distT="0" distB="0" distL="63500" distR="63500" simplePos="0" relativeHeight="314572507" behindDoc="1" locked="0" layoutInCell="1" allowOverlap="1" wp14:anchorId="798A7DDA" wp14:editId="71993FFE">
              <wp:simplePos x="0" y="0"/>
              <wp:positionH relativeFrom="page">
                <wp:posOffset>4766945</wp:posOffset>
              </wp:positionH>
              <wp:positionV relativeFrom="page">
                <wp:posOffset>7996555</wp:posOffset>
              </wp:positionV>
              <wp:extent cx="372110" cy="114935"/>
              <wp:effectExtent l="4445" t="0" r="4445" b="381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FDFA" w14:textId="092833A9"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361</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8A7DDA" id="_x0000_t202" coordsize="21600,21600" o:spt="202" path="m,l,21600r21600,l21600,xe">
              <v:stroke joinstyle="miter"/>
              <v:path gradientshapeok="t" o:connecttype="rect"/>
            </v:shapetype>
            <v:shape id="Text Box 44" o:spid="_x0000_s1154" type="#_x0000_t202" style="position:absolute;left:0;text-align:left;margin-left:375.35pt;margin-top:629.65pt;width:29.3pt;height:9.0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I0cK&#10;JdgBAACWAwAADgAAAAAAAAAAAAAAAAAuAgAAZHJzL2Uyb0RvYy54bWxQSwECLQAUAAYACAAAACEA&#10;wdEKed4AAAANAQAADwAAAAAAAAAAAAAAAAAyBAAAZHJzL2Rvd25yZXYueG1sUEsFBgAAAAAEAAQA&#10;8wAAAD0FAAAAAA==&#10;" filled="f" stroked="f">
              <v:textbox style="mso-fit-shape-to-text:t" inset="0,0,0,0">
                <w:txbxContent>
                  <w:p w14:paraId="657AFDFA" w14:textId="092833A9"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361</w:t>
                    </w:r>
                    <w:r>
                      <w:rPr>
                        <w:rStyle w:val="ab"/>
                        <w:b/>
                        <w:bCs/>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1084" w14:textId="3DE9E2DA" w:rsidR="00350D42" w:rsidRDefault="00A74D21">
    <w:pPr>
      <w:rPr>
        <w:sz w:val="2"/>
        <w:szCs w:val="2"/>
      </w:rPr>
    </w:pPr>
    <w:r>
      <w:rPr>
        <w:noProof/>
        <w:lang w:bidi="ar-SA"/>
      </w:rPr>
      <mc:AlternateContent>
        <mc:Choice Requires="wps">
          <w:drawing>
            <wp:anchor distT="0" distB="0" distL="63500" distR="63500" simplePos="0" relativeHeight="314572509" behindDoc="1" locked="0" layoutInCell="1" allowOverlap="1" wp14:anchorId="2DD30491" wp14:editId="5C157301">
              <wp:simplePos x="0" y="0"/>
              <wp:positionH relativeFrom="page">
                <wp:posOffset>715010</wp:posOffset>
              </wp:positionH>
              <wp:positionV relativeFrom="page">
                <wp:posOffset>8040370</wp:posOffset>
              </wp:positionV>
              <wp:extent cx="372110" cy="114935"/>
              <wp:effectExtent l="635"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597C" w14:textId="49462AC8"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364</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D30491" id="_x0000_t202" coordsize="21600,21600" o:spt="202" path="m,l,21600r21600,l21600,xe">
              <v:stroke joinstyle="miter"/>
              <v:path gradientshapeok="t" o:connecttype="rect"/>
            </v:shapetype>
            <v:shape id="Text Box 42" o:spid="_x0000_s1156" type="#_x0000_t202" style="position:absolute;left:0;text-align:left;margin-left:56.3pt;margin-top:633.1pt;width:29.3pt;height:9.0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AwtnRD&#10;2AEAAJYDAAAOAAAAAAAAAAAAAAAAAC4CAABkcnMvZTJvRG9jLnhtbFBLAQItABQABgAIAAAAIQBo&#10;IJNp3QAAAA0BAAAPAAAAAAAAAAAAAAAAADIEAABkcnMvZG93bnJldi54bWxQSwUGAAAAAAQABADz&#10;AAAAPAUAAAAA&#10;" filled="f" stroked="f">
              <v:textbox style="mso-fit-shape-to-text:t" inset="0,0,0,0">
                <w:txbxContent>
                  <w:p w14:paraId="7E04597C" w14:textId="49462AC8"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364</w:t>
                    </w:r>
                    <w:r>
                      <w:rPr>
                        <w:rStyle w:val="ab"/>
                        <w:b/>
                        <w:bCs/>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B32B" w14:textId="77777777" w:rsidR="00350396" w:rsidRDefault="00350396">
    <w:pPr>
      <w:rPr>
        <w:sz w:val="2"/>
        <w:szCs w:val="2"/>
      </w:rPr>
    </w:pPr>
    <w:r>
      <w:rPr>
        <w:noProof/>
        <w:lang w:bidi="ar-SA"/>
      </w:rPr>
      <mc:AlternateContent>
        <mc:Choice Requires="wps">
          <w:drawing>
            <wp:anchor distT="0" distB="0" distL="63500" distR="63500" simplePos="0" relativeHeight="314575622" behindDoc="1" locked="0" layoutInCell="1" allowOverlap="1" wp14:anchorId="794C1661" wp14:editId="770384BD">
              <wp:simplePos x="0" y="0"/>
              <wp:positionH relativeFrom="page">
                <wp:posOffset>4766945</wp:posOffset>
              </wp:positionH>
              <wp:positionV relativeFrom="page">
                <wp:posOffset>7996555</wp:posOffset>
              </wp:positionV>
              <wp:extent cx="170180" cy="114935"/>
              <wp:effectExtent l="4445" t="0" r="0" b="381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93F4" w14:textId="7309C346"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119</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4C1661" id="_x0000_t202" coordsize="21600,21600" o:spt="202" path="m,l,21600r21600,l21600,xe">
              <v:stroke joinstyle="miter"/>
              <v:path gradientshapeok="t" o:connecttype="rect"/>
            </v:shapetype>
            <v:shape id="Text Box 130" o:spid="_x0000_s1088" type="#_x0000_t202" style="position:absolute;left:0;text-align:left;margin-left:375.35pt;margin-top:629.65pt;width:13.4pt;height:9.05pt;z-index:-188740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" filled="f" stroked="f">
              <v:textbox style="mso-fit-shape-to-text:t" inset="0,0,0,0">
                <w:txbxContent>
                  <w:p w14:paraId="3A0093F4" w14:textId="7309C346"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119</w:t>
                    </w:r>
                    <w:r>
                      <w:rPr>
                        <w:b w:val="0"/>
                        <w:bCs w:val="0"/>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03F3" w14:textId="157737C9" w:rsidR="00350D42" w:rsidRDefault="00A74D21">
    <w:pPr>
      <w:rPr>
        <w:sz w:val="2"/>
        <w:szCs w:val="2"/>
      </w:rPr>
    </w:pPr>
    <w:r>
      <w:rPr>
        <w:noProof/>
        <w:lang w:bidi="ar-SA"/>
      </w:rPr>
      <mc:AlternateContent>
        <mc:Choice Requires="wps">
          <w:drawing>
            <wp:anchor distT="0" distB="0" distL="63500" distR="63500" simplePos="0" relativeHeight="314572510" behindDoc="1" locked="0" layoutInCell="1" allowOverlap="1" wp14:anchorId="1362F6C3" wp14:editId="0E595DFC">
              <wp:simplePos x="0" y="0"/>
              <wp:positionH relativeFrom="page">
                <wp:posOffset>4700905</wp:posOffset>
              </wp:positionH>
              <wp:positionV relativeFrom="page">
                <wp:posOffset>7823200</wp:posOffset>
              </wp:positionV>
              <wp:extent cx="372110" cy="114935"/>
              <wp:effectExtent l="0" t="3175" r="381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E6297" w14:textId="53953132"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363</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62F6C3" id="_x0000_t202" coordsize="21600,21600" o:spt="202" path="m,l,21600r21600,l21600,xe">
              <v:stroke joinstyle="miter"/>
              <v:path gradientshapeok="t" o:connecttype="rect"/>
            </v:shapetype>
            <v:shape id="Text Box 41" o:spid="_x0000_s1157" type="#_x0000_t202" style="position:absolute;left:0;text-align:left;margin-left:370.15pt;margin-top:616pt;width:29.3pt;height:9.0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" filled="f" stroked="f">
              <v:textbox style="mso-fit-shape-to-text:t" inset="0,0,0,0">
                <w:txbxContent>
                  <w:p w14:paraId="31BE6297" w14:textId="53953132"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363</w:t>
                    </w:r>
                    <w:r>
                      <w:rPr>
                        <w:rStyle w:val="2MicrosoftSansSerif8pt"/>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B6B4" w14:textId="684BB12C" w:rsidR="00350D42" w:rsidRDefault="00A74D21">
    <w:pPr>
      <w:rPr>
        <w:sz w:val="2"/>
        <w:szCs w:val="2"/>
      </w:rPr>
    </w:pPr>
    <w:r>
      <w:rPr>
        <w:noProof/>
        <w:lang w:bidi="ar-SA"/>
      </w:rPr>
      <mc:AlternateContent>
        <mc:Choice Requires="wps">
          <w:drawing>
            <wp:anchor distT="0" distB="0" distL="63500" distR="63500" simplePos="0" relativeHeight="314572511" behindDoc="1" locked="0" layoutInCell="1" allowOverlap="1" wp14:anchorId="56A14046" wp14:editId="27970947">
              <wp:simplePos x="0" y="0"/>
              <wp:positionH relativeFrom="page">
                <wp:posOffset>4766945</wp:posOffset>
              </wp:positionH>
              <wp:positionV relativeFrom="page">
                <wp:posOffset>7996555</wp:posOffset>
              </wp:positionV>
              <wp:extent cx="372110" cy="114935"/>
              <wp:effectExtent l="4445" t="0" r="4445"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379BE" w14:textId="00FA1BF3"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362</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A14046" id="_x0000_t202" coordsize="21600,21600" o:spt="202" path="m,l,21600r21600,l21600,xe">
              <v:stroke joinstyle="miter"/>
              <v:path gradientshapeok="t" o:connecttype="rect"/>
            </v:shapetype>
            <v:shape id="Text Box 40" o:spid="_x0000_s1158" type="#_x0000_t202" style="position:absolute;left:0;text-align:left;margin-left:375.35pt;margin-top:629.65pt;width:29.3pt;height:9.0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CGd9&#10;q9gBAACWAwAADgAAAAAAAAAAAAAAAAAuAgAAZHJzL2Uyb0RvYy54bWxQSwECLQAUAAYACAAAACEA&#10;wdEKed4AAAANAQAADwAAAAAAAAAAAAAAAAAyBAAAZHJzL2Rvd25yZXYueG1sUEsFBgAAAAAEAAQA&#10;8wAAAD0FAAAAAA==&#10;" filled="f" stroked="f">
              <v:textbox style="mso-fit-shape-to-text:t" inset="0,0,0,0">
                <w:txbxContent>
                  <w:p w14:paraId="73F379BE" w14:textId="00FA1BF3"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362</w:t>
                    </w:r>
                    <w:r>
                      <w:rPr>
                        <w:rStyle w:val="ab"/>
                        <w:b/>
                        <w:bCs/>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5C91" w14:textId="17AA4A45" w:rsidR="00350D42" w:rsidRDefault="00A74D21">
    <w:pPr>
      <w:rPr>
        <w:sz w:val="2"/>
        <w:szCs w:val="2"/>
      </w:rPr>
    </w:pPr>
    <w:r>
      <w:rPr>
        <w:noProof/>
        <w:lang w:bidi="ar-SA"/>
      </w:rPr>
      <mc:AlternateContent>
        <mc:Choice Requires="wps">
          <w:drawing>
            <wp:anchor distT="0" distB="0" distL="63500" distR="63500" simplePos="0" relativeHeight="314572513" behindDoc="1" locked="0" layoutInCell="1" allowOverlap="1" wp14:anchorId="3CE94620" wp14:editId="2073DB21">
              <wp:simplePos x="0" y="0"/>
              <wp:positionH relativeFrom="page">
                <wp:posOffset>707390</wp:posOffset>
              </wp:positionH>
              <wp:positionV relativeFrom="page">
                <wp:posOffset>7952105</wp:posOffset>
              </wp:positionV>
              <wp:extent cx="372110" cy="114935"/>
              <wp:effectExtent l="2540" t="0" r="0"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841D2" w14:textId="576706A5"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368</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E94620" id="_x0000_t202" coordsize="21600,21600" o:spt="202" path="m,l,21600r21600,l21600,xe">
              <v:stroke joinstyle="miter"/>
              <v:path gradientshapeok="t" o:connecttype="rect"/>
            </v:shapetype>
            <v:shape id="Text Box 38" o:spid="_x0000_s1160" type="#_x0000_t202" style="position:absolute;left:0;text-align:left;margin-left:55.7pt;margin-top:626.15pt;width:29.3pt;height:9.0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" filled="f" stroked="f">
              <v:textbox style="mso-fit-shape-to-text:t" inset="0,0,0,0">
                <w:txbxContent>
                  <w:p w14:paraId="58C841D2" w14:textId="576706A5"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368</w:t>
                    </w:r>
                    <w:r>
                      <w:rPr>
                        <w:rStyle w:val="2MicrosoftSansSerif8pt"/>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08A0" w14:textId="01504FA1" w:rsidR="00350D42" w:rsidRDefault="00A74D21">
    <w:pPr>
      <w:rPr>
        <w:sz w:val="2"/>
        <w:szCs w:val="2"/>
      </w:rPr>
    </w:pPr>
    <w:r>
      <w:rPr>
        <w:noProof/>
        <w:lang w:bidi="ar-SA"/>
      </w:rPr>
      <mc:AlternateContent>
        <mc:Choice Requires="wps">
          <w:drawing>
            <wp:anchor distT="0" distB="0" distL="63500" distR="63500" simplePos="0" relativeHeight="314572514" behindDoc="1" locked="0" layoutInCell="1" allowOverlap="1" wp14:anchorId="5C33FC03" wp14:editId="4A8C3EC1">
              <wp:simplePos x="0" y="0"/>
              <wp:positionH relativeFrom="page">
                <wp:posOffset>4766945</wp:posOffset>
              </wp:positionH>
              <wp:positionV relativeFrom="page">
                <wp:posOffset>7996555</wp:posOffset>
              </wp:positionV>
              <wp:extent cx="372110" cy="114935"/>
              <wp:effectExtent l="4445" t="0" r="4445"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3A534" w14:textId="61A497AF"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369</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3FC03" id="_x0000_t202" coordsize="21600,21600" o:spt="202" path="m,l,21600r21600,l21600,xe">
              <v:stroke joinstyle="miter"/>
              <v:path gradientshapeok="t" o:connecttype="rect"/>
            </v:shapetype>
            <v:shape id="Text Box 37" o:spid="_x0000_s1161" type="#_x0000_t202" style="position:absolute;left:0;text-align:left;margin-left:375.35pt;margin-top:629.65pt;width:29.3pt;height:9.0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" filled="f" stroked="f">
              <v:textbox style="mso-fit-shape-to-text:t" inset="0,0,0,0">
                <w:txbxContent>
                  <w:p w14:paraId="1C13A534" w14:textId="61A497AF"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369</w:t>
                    </w:r>
                    <w:r>
                      <w:rPr>
                        <w:rStyle w:val="ab"/>
                        <w:b/>
                        <w:bCs/>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02C7" w14:textId="77777777" w:rsidR="00350D42" w:rsidRDefault="00350D42"/>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F884" w14:textId="5349E4C9" w:rsidR="00350D42" w:rsidRDefault="00A74D21">
    <w:pPr>
      <w:rPr>
        <w:sz w:val="2"/>
        <w:szCs w:val="2"/>
      </w:rPr>
    </w:pPr>
    <w:r>
      <w:rPr>
        <w:noProof/>
        <w:lang w:bidi="ar-SA"/>
      </w:rPr>
      <mc:AlternateContent>
        <mc:Choice Requires="wps">
          <w:drawing>
            <wp:anchor distT="0" distB="0" distL="63500" distR="63500" simplePos="0" relativeHeight="314572515" behindDoc="1" locked="0" layoutInCell="1" allowOverlap="1" wp14:anchorId="5157ED62" wp14:editId="58A8802B">
              <wp:simplePos x="0" y="0"/>
              <wp:positionH relativeFrom="page">
                <wp:posOffset>715010</wp:posOffset>
              </wp:positionH>
              <wp:positionV relativeFrom="page">
                <wp:posOffset>8040370</wp:posOffset>
              </wp:positionV>
              <wp:extent cx="372110" cy="114935"/>
              <wp:effectExtent l="635" t="127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FA9F" w14:textId="5B8A1C37"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372</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57ED62" id="_x0000_t202" coordsize="21600,21600" o:spt="202" path="m,l,21600r21600,l21600,xe">
              <v:stroke joinstyle="miter"/>
              <v:path gradientshapeok="t" o:connecttype="rect"/>
            </v:shapetype>
            <v:shape id="Text Box 36" o:spid="_x0000_s1162" type="#_x0000_t202" style="position:absolute;left:0;text-align:left;margin-left:56.3pt;margin-top:633.1pt;width:29.3pt;height:9.0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DuebcI&#10;2AEAAJYDAAAOAAAAAAAAAAAAAAAAAC4CAABkcnMvZTJvRG9jLnhtbFBLAQItABQABgAIAAAAIQBo&#10;IJNp3QAAAA0BAAAPAAAAAAAAAAAAAAAAADIEAABkcnMvZG93bnJldi54bWxQSwUGAAAAAAQABADz&#10;AAAAPAUAAAAA&#10;" filled="f" stroked="f">
              <v:textbox style="mso-fit-shape-to-text:t" inset="0,0,0,0">
                <w:txbxContent>
                  <w:p w14:paraId="2649FA9F" w14:textId="5B8A1C37"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372</w:t>
                    </w:r>
                    <w:r>
                      <w:rPr>
                        <w:rStyle w:val="ab"/>
                        <w:b/>
                        <w:bCs/>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96A1" w14:textId="0A51C5F2" w:rsidR="00350D42" w:rsidRDefault="00A74D21">
    <w:pPr>
      <w:rPr>
        <w:sz w:val="2"/>
        <w:szCs w:val="2"/>
      </w:rPr>
    </w:pPr>
    <w:r>
      <w:rPr>
        <w:noProof/>
        <w:lang w:bidi="ar-SA"/>
      </w:rPr>
      <mc:AlternateContent>
        <mc:Choice Requires="wps">
          <w:drawing>
            <wp:anchor distT="0" distB="0" distL="63500" distR="63500" simplePos="0" relativeHeight="314572516" behindDoc="1" locked="0" layoutInCell="1" allowOverlap="1" wp14:anchorId="353AB0D4" wp14:editId="2E2CDE1D">
              <wp:simplePos x="0" y="0"/>
              <wp:positionH relativeFrom="page">
                <wp:posOffset>4766945</wp:posOffset>
              </wp:positionH>
              <wp:positionV relativeFrom="page">
                <wp:posOffset>7996555</wp:posOffset>
              </wp:positionV>
              <wp:extent cx="372110" cy="114935"/>
              <wp:effectExtent l="4445" t="0" r="4445"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DAED" w14:textId="2B3C6C28"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371</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3AB0D4" id="_x0000_t202" coordsize="21600,21600" o:spt="202" path="m,l,21600r21600,l21600,xe">
              <v:stroke joinstyle="miter"/>
              <v:path gradientshapeok="t" o:connecttype="rect"/>
            </v:shapetype>
            <v:shape id="Text Box 35" o:spid="_x0000_s1163" type="#_x0000_t202" style="position:absolute;left:0;text-align:left;margin-left:375.35pt;margin-top:629.65pt;width:29.3pt;height:9.0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R4Iw&#10;1tgBAACWAwAADgAAAAAAAAAAAAAAAAAuAgAAZHJzL2Uyb0RvYy54bWxQSwECLQAUAAYACAAAACEA&#10;wdEKed4AAAANAQAADwAAAAAAAAAAAAAAAAAyBAAAZHJzL2Rvd25yZXYueG1sUEsFBgAAAAAEAAQA&#10;8wAAAD0FAAAAAA==&#10;" filled="f" stroked="f">
              <v:textbox style="mso-fit-shape-to-text:t" inset="0,0,0,0">
                <w:txbxContent>
                  <w:p w14:paraId="186DDAED" w14:textId="2B3C6C28"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371</w:t>
                    </w:r>
                    <w:r>
                      <w:rPr>
                        <w:rStyle w:val="ab"/>
                        <w:b/>
                        <w:bCs/>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DC22" w14:textId="3E87F2E8" w:rsidR="00350D42" w:rsidRDefault="00A74D21">
    <w:pPr>
      <w:rPr>
        <w:sz w:val="2"/>
        <w:szCs w:val="2"/>
      </w:rPr>
    </w:pPr>
    <w:r>
      <w:rPr>
        <w:noProof/>
        <w:lang w:bidi="ar-SA"/>
      </w:rPr>
      <mc:AlternateContent>
        <mc:Choice Requires="wps">
          <w:drawing>
            <wp:anchor distT="0" distB="0" distL="63500" distR="63500" simplePos="0" relativeHeight="314572518" behindDoc="1" locked="0" layoutInCell="1" allowOverlap="1" wp14:anchorId="06E9EF9C" wp14:editId="42F14F9C">
              <wp:simplePos x="0" y="0"/>
              <wp:positionH relativeFrom="page">
                <wp:posOffset>707390</wp:posOffset>
              </wp:positionH>
              <wp:positionV relativeFrom="page">
                <wp:posOffset>7952105</wp:posOffset>
              </wp:positionV>
              <wp:extent cx="372110" cy="114935"/>
              <wp:effectExtent l="2540" t="0" r="0"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D42C" w14:textId="2EC83DBF"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370</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E9EF9C" id="_x0000_t202" coordsize="21600,21600" o:spt="202" path="m,l,21600r21600,l21600,xe">
              <v:stroke joinstyle="miter"/>
              <v:path gradientshapeok="t" o:connecttype="rect"/>
            </v:shapetype>
            <v:shape id="_x0000_s1165" type="#_x0000_t202" style="position:absolute;left:0;text-align:left;margin-left:55.7pt;margin-top:626.15pt;width:29.3pt;height:9.0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" filled="f" stroked="f">
              <v:textbox style="mso-fit-shape-to-text:t" inset="0,0,0,0">
                <w:txbxContent>
                  <w:p w14:paraId="40BBD42C" w14:textId="2EC83DBF"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370</w:t>
                    </w:r>
                    <w:r>
                      <w:rPr>
                        <w:rStyle w:val="2MicrosoftSansSerif8pt"/>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ED96" w14:textId="26140FDA" w:rsidR="00350D42" w:rsidRDefault="00A74D21">
    <w:pPr>
      <w:rPr>
        <w:sz w:val="2"/>
        <w:szCs w:val="2"/>
      </w:rPr>
    </w:pPr>
    <w:r>
      <w:rPr>
        <w:noProof/>
        <w:lang w:bidi="ar-SA"/>
      </w:rPr>
      <mc:AlternateContent>
        <mc:Choice Requires="wps">
          <w:drawing>
            <wp:anchor distT="0" distB="0" distL="63500" distR="63500" simplePos="0" relativeHeight="314572519" behindDoc="1" locked="0" layoutInCell="1" allowOverlap="1" wp14:anchorId="5799D6BD" wp14:editId="7431659C">
              <wp:simplePos x="0" y="0"/>
              <wp:positionH relativeFrom="page">
                <wp:posOffset>715010</wp:posOffset>
              </wp:positionH>
              <wp:positionV relativeFrom="page">
                <wp:posOffset>8040370</wp:posOffset>
              </wp:positionV>
              <wp:extent cx="372110" cy="114935"/>
              <wp:effectExtent l="635" t="127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FAADB" w14:textId="7719A45C"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374</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99D6BD" id="_x0000_t202" coordsize="21600,21600" o:spt="202" path="m,l,21600r21600,l21600,xe">
              <v:stroke joinstyle="miter"/>
              <v:path gradientshapeok="t" o:connecttype="rect"/>
            </v:shapetype>
            <v:shape id="_x0000_s1166" type="#_x0000_t202" style="position:absolute;left:0;text-align:left;margin-left:56.3pt;margin-top:633.1pt;width:29.3pt;height:9.0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DIm0rE&#10;2AEAAJYDAAAOAAAAAAAAAAAAAAAAAC4CAABkcnMvZTJvRG9jLnhtbFBLAQItABQABgAIAAAAIQBo&#10;IJNp3QAAAA0BAAAPAAAAAAAAAAAAAAAAADIEAABkcnMvZG93bnJldi54bWxQSwUGAAAAAAQABADz&#10;AAAAPAUAAAAA&#10;" filled="f" stroked="f">
              <v:textbox style="mso-fit-shape-to-text:t" inset="0,0,0,0">
                <w:txbxContent>
                  <w:p w14:paraId="7F8FAADB" w14:textId="7719A45C"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374</w:t>
                    </w:r>
                    <w:r>
                      <w:rPr>
                        <w:rStyle w:val="ab"/>
                        <w:b/>
                        <w:bCs/>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EFAE" w14:textId="279F72D8" w:rsidR="00350D42" w:rsidRDefault="00A74D21">
    <w:pPr>
      <w:rPr>
        <w:sz w:val="2"/>
        <w:szCs w:val="2"/>
      </w:rPr>
    </w:pPr>
    <w:r>
      <w:rPr>
        <w:noProof/>
        <w:lang w:bidi="ar-SA"/>
      </w:rPr>
      <mc:AlternateContent>
        <mc:Choice Requires="wps">
          <w:drawing>
            <wp:anchor distT="0" distB="0" distL="63500" distR="63500" simplePos="0" relativeHeight="314572520" behindDoc="1" locked="0" layoutInCell="1" allowOverlap="1" wp14:anchorId="43CFEACD" wp14:editId="676BA4D5">
              <wp:simplePos x="0" y="0"/>
              <wp:positionH relativeFrom="page">
                <wp:posOffset>4766945</wp:posOffset>
              </wp:positionH>
              <wp:positionV relativeFrom="page">
                <wp:posOffset>7996555</wp:posOffset>
              </wp:positionV>
              <wp:extent cx="372110" cy="114935"/>
              <wp:effectExtent l="4445" t="0" r="4445"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01679" w14:textId="36FAA231"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375</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FEACD" id="_x0000_t202" coordsize="21600,21600" o:spt="202" path="m,l,21600r21600,l21600,xe">
              <v:stroke joinstyle="miter"/>
              <v:path gradientshapeok="t" o:connecttype="rect"/>
            </v:shapetype>
            <v:shape id="_x0000_s1167" type="#_x0000_t202" style="position:absolute;left:0;text-align:left;margin-left:375.35pt;margin-top:629.65pt;width:29.3pt;height:9.0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YWDN&#10;GtgBAACWAwAADgAAAAAAAAAAAAAAAAAuAgAAZHJzL2Uyb0RvYy54bWxQSwECLQAUAAYACAAAACEA&#10;wdEKed4AAAANAQAADwAAAAAAAAAAAAAAAAAyBAAAZHJzL2Rvd25yZXYueG1sUEsFBgAAAAAEAAQA&#10;8wAAAD0FAAAAAA==&#10;" filled="f" stroked="f">
              <v:textbox style="mso-fit-shape-to-text:t" inset="0,0,0,0">
                <w:txbxContent>
                  <w:p w14:paraId="53F01679" w14:textId="36FAA231"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375</w:t>
                    </w:r>
                    <w:r>
                      <w:rPr>
                        <w:rStyle w:val="ab"/>
                        <w:b/>
                        <w:bCs/>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FCB8" w14:textId="77777777" w:rsidR="00350396" w:rsidRDefault="00350396">
    <w:pPr>
      <w:rPr>
        <w:sz w:val="2"/>
        <w:szCs w:val="2"/>
      </w:rPr>
    </w:pPr>
    <w:r>
      <w:rPr>
        <w:noProof/>
        <w:lang w:bidi="ar-SA"/>
      </w:rPr>
      <mc:AlternateContent>
        <mc:Choice Requires="wps">
          <w:drawing>
            <wp:anchor distT="0" distB="0" distL="63500" distR="63500" simplePos="0" relativeHeight="314576646" behindDoc="1" locked="0" layoutInCell="1" allowOverlap="1" wp14:anchorId="5D085074" wp14:editId="23034D7B">
              <wp:simplePos x="0" y="0"/>
              <wp:positionH relativeFrom="page">
                <wp:posOffset>715010</wp:posOffset>
              </wp:positionH>
              <wp:positionV relativeFrom="page">
                <wp:posOffset>8040370</wp:posOffset>
              </wp:positionV>
              <wp:extent cx="170180" cy="114935"/>
              <wp:effectExtent l="635" t="1270" r="63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8C112" w14:textId="787892FB"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124</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085074" id="_x0000_t202" coordsize="21600,21600" o:spt="202" path="m,l,21600r21600,l21600,xe">
              <v:stroke joinstyle="miter"/>
              <v:path gradientshapeok="t" o:connecttype="rect"/>
            </v:shapetype>
            <v:shape id="Text Box 129" o:spid="_x0000_s1089" type="#_x0000_t202" style="position:absolute;left:0;text-align:left;margin-left:56.3pt;margin-top:633.1pt;width:13.4pt;height:9.05pt;z-index:-188739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" filled="f" stroked="f">
              <v:textbox style="mso-fit-shape-to-text:t" inset="0,0,0,0">
                <w:txbxContent>
                  <w:p w14:paraId="4338C112" w14:textId="787892FB"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124</w:t>
                    </w:r>
                    <w:r>
                      <w:rPr>
                        <w:b w:val="0"/>
                        <w:bCs w:val="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805B" w14:textId="4DE20DA7" w:rsidR="00350D42" w:rsidRDefault="00A74D21">
    <w:pPr>
      <w:rPr>
        <w:sz w:val="2"/>
        <w:szCs w:val="2"/>
      </w:rPr>
    </w:pPr>
    <w:r>
      <w:rPr>
        <w:noProof/>
        <w:lang w:bidi="ar-SA"/>
      </w:rPr>
      <mc:AlternateContent>
        <mc:Choice Requires="wps">
          <w:drawing>
            <wp:anchor distT="0" distB="0" distL="63500" distR="63500" simplePos="0" relativeHeight="314572521" behindDoc="1" locked="0" layoutInCell="1" allowOverlap="1" wp14:anchorId="1A6F81A8" wp14:editId="7515516F">
              <wp:simplePos x="0" y="0"/>
              <wp:positionH relativeFrom="page">
                <wp:posOffset>4695825</wp:posOffset>
              </wp:positionH>
              <wp:positionV relativeFrom="page">
                <wp:posOffset>8251825</wp:posOffset>
              </wp:positionV>
              <wp:extent cx="4081780" cy="338455"/>
              <wp:effectExtent l="0" t="3175" r="4445"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2BB9" w14:textId="77777777" w:rsidR="00350D42" w:rsidRPr="000E0C7E" w:rsidRDefault="008E6F64">
                          <w:pPr>
                            <w:pStyle w:val="2fb"/>
                            <w:shd w:val="clear" w:color="auto" w:fill="auto"/>
                            <w:spacing w:line="240" w:lineRule="auto"/>
                            <w:rPr>
                              <w:lang w:val="en-US"/>
                            </w:rPr>
                          </w:pPr>
                          <w:r w:rsidRPr="000E0C7E">
                            <w:rPr>
                              <w:rStyle w:val="2fd"/>
                              <w:vertAlign w:val="superscript"/>
                              <w:lang w:val="en-US"/>
                            </w:rPr>
                            <w:t>1</w:t>
                          </w:r>
                          <w:r w:rsidRPr="000E0C7E">
                            <w:rPr>
                              <w:rStyle w:val="2fd"/>
                              <w:lang w:val="en-US"/>
                            </w:rPr>
                            <w:t xml:space="preserve"> </w:t>
                          </w:r>
                          <w:r>
                            <w:rPr>
                              <w:rStyle w:val="2fd"/>
                              <w:lang w:val="en-US" w:eastAsia="en-US" w:bidi="en-US"/>
                            </w:rPr>
                            <w:t>URL: http://www.flnec.ru/flles/doc/University/offlcial_documents/polozhenie_o.</w:t>
                          </w:r>
                        </w:p>
                        <w:p w14:paraId="32EA1101" w14:textId="77777777" w:rsidR="00350D42" w:rsidRDefault="008E6F64">
                          <w:pPr>
                            <w:pStyle w:val="2fb"/>
                            <w:shd w:val="clear" w:color="auto" w:fill="auto"/>
                            <w:spacing w:line="240" w:lineRule="auto"/>
                          </w:pPr>
                          <w:r>
                            <w:rPr>
                              <w:rStyle w:val="2fd"/>
                              <w:lang w:val="en-US" w:eastAsia="en-US" w:bidi="en-US"/>
                            </w:rPr>
                            <w:t>brs0409.pdf.</w:t>
                          </w:r>
                        </w:p>
                        <w:p w14:paraId="589B2110" w14:textId="34DEB6EC"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373</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6F81A8" id="_x0000_t202" coordsize="21600,21600" o:spt="202" path="m,l,21600r21600,l21600,xe">
              <v:stroke joinstyle="miter"/>
              <v:path gradientshapeok="t" o:connecttype="rect"/>
            </v:shapetype>
            <v:shape id="_x0000_s1168" type="#_x0000_t202" style="position:absolute;left:0;text-align:left;margin-left:369.75pt;margin-top:649.75pt;width:321.4pt;height:26.6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" filled="f" stroked="f">
              <v:textbox style="mso-fit-shape-to-text:t" inset="0,0,0,0">
                <w:txbxContent>
                  <w:p w14:paraId="21902BB9" w14:textId="77777777" w:rsidR="00350D42" w:rsidRPr="000E0C7E" w:rsidRDefault="008E6F64">
                    <w:pPr>
                      <w:pStyle w:val="2fb"/>
                      <w:shd w:val="clear" w:color="auto" w:fill="auto"/>
                      <w:spacing w:line="240" w:lineRule="auto"/>
                      <w:rPr>
                        <w:lang w:val="en-US"/>
                      </w:rPr>
                    </w:pPr>
                    <w:r w:rsidRPr="000E0C7E">
                      <w:rPr>
                        <w:rStyle w:val="2fd"/>
                        <w:vertAlign w:val="superscript"/>
                        <w:lang w:val="en-US"/>
                      </w:rPr>
                      <w:t>1</w:t>
                    </w:r>
                    <w:r w:rsidRPr="000E0C7E">
                      <w:rPr>
                        <w:rStyle w:val="2fd"/>
                        <w:lang w:val="en-US"/>
                      </w:rPr>
                      <w:t xml:space="preserve"> </w:t>
                    </w:r>
                    <w:r>
                      <w:rPr>
                        <w:rStyle w:val="2fd"/>
                        <w:lang w:val="en-US" w:eastAsia="en-US" w:bidi="en-US"/>
                      </w:rPr>
                      <w:t>URL: http://www.flnec.ru/flles/doc/University/offlcial_documents/polozhenie_o.</w:t>
                    </w:r>
                  </w:p>
                  <w:p w14:paraId="32EA1101" w14:textId="77777777" w:rsidR="00350D42" w:rsidRDefault="008E6F64">
                    <w:pPr>
                      <w:pStyle w:val="2fb"/>
                      <w:shd w:val="clear" w:color="auto" w:fill="auto"/>
                      <w:spacing w:line="240" w:lineRule="auto"/>
                    </w:pPr>
                    <w:r>
                      <w:rPr>
                        <w:rStyle w:val="2fd"/>
                        <w:lang w:val="en-US" w:eastAsia="en-US" w:bidi="en-US"/>
                      </w:rPr>
                      <w:t>brs0409.pdf.</w:t>
                    </w:r>
                  </w:p>
                  <w:p w14:paraId="589B2110" w14:textId="34DEB6EC"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373</w:t>
                    </w:r>
                    <w:r>
                      <w:rPr>
                        <w:rStyle w:val="2MicrosoftSansSerif8pt"/>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990D" w14:textId="77777777" w:rsidR="00350D42" w:rsidRDefault="00350D42"/>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13ED" w14:textId="647B1AC7" w:rsidR="00350D42" w:rsidRDefault="00A74D21">
    <w:pPr>
      <w:rPr>
        <w:sz w:val="2"/>
        <w:szCs w:val="2"/>
      </w:rPr>
    </w:pPr>
    <w:r>
      <w:rPr>
        <w:noProof/>
        <w:lang w:bidi="ar-SA"/>
      </w:rPr>
      <mc:AlternateContent>
        <mc:Choice Requires="wps">
          <w:drawing>
            <wp:anchor distT="0" distB="0" distL="63500" distR="63500" simplePos="0" relativeHeight="314572522" behindDoc="1" locked="0" layoutInCell="1" allowOverlap="1" wp14:anchorId="42CDD2F0" wp14:editId="546FEA44">
              <wp:simplePos x="0" y="0"/>
              <wp:positionH relativeFrom="page">
                <wp:posOffset>4766945</wp:posOffset>
              </wp:positionH>
              <wp:positionV relativeFrom="page">
                <wp:posOffset>7996555</wp:posOffset>
              </wp:positionV>
              <wp:extent cx="372110" cy="114935"/>
              <wp:effectExtent l="4445" t="0" r="4445"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76C69" w14:textId="1E834EE3"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377</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CDD2F0" id="_x0000_t202" coordsize="21600,21600" o:spt="202" path="m,l,21600r21600,l21600,xe">
              <v:stroke joinstyle="miter"/>
              <v:path gradientshapeok="t" o:connecttype="rect"/>
            </v:shapetype>
            <v:shape id="Text Box 29" o:spid="_x0000_s1169" type="#_x0000_t202" style="position:absolute;left:0;text-align:left;margin-left:375.35pt;margin-top:629.65pt;width:29.3pt;height:9.0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WbHE&#10;8tgBAACWAwAADgAAAAAAAAAAAAAAAAAuAgAAZHJzL2Uyb0RvYy54bWxQSwECLQAUAAYACAAAACEA&#10;wdEKed4AAAANAQAADwAAAAAAAAAAAAAAAAAyBAAAZHJzL2Rvd25yZXYueG1sUEsFBgAAAAAEAAQA&#10;8wAAAD0FAAAAAA==&#10;" filled="f" stroked="f">
              <v:textbox style="mso-fit-shape-to-text:t" inset="0,0,0,0">
                <w:txbxContent>
                  <w:p w14:paraId="6D476C69" w14:textId="1E834EE3"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377</w:t>
                    </w:r>
                    <w:r>
                      <w:rPr>
                        <w:rStyle w:val="ab"/>
                        <w:b/>
                        <w:bCs/>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98DB" w14:textId="097295B9" w:rsidR="00350D42" w:rsidRDefault="00A74D21">
    <w:pPr>
      <w:rPr>
        <w:sz w:val="2"/>
        <w:szCs w:val="2"/>
      </w:rPr>
    </w:pPr>
    <w:r>
      <w:rPr>
        <w:noProof/>
        <w:lang w:bidi="ar-SA"/>
      </w:rPr>
      <mc:AlternateContent>
        <mc:Choice Requires="wps">
          <w:drawing>
            <wp:anchor distT="0" distB="0" distL="63500" distR="63500" simplePos="0" relativeHeight="314572523" behindDoc="1" locked="0" layoutInCell="1" allowOverlap="1" wp14:anchorId="6D2210E9" wp14:editId="63E95519">
              <wp:simplePos x="0" y="0"/>
              <wp:positionH relativeFrom="page">
                <wp:posOffset>715010</wp:posOffset>
              </wp:positionH>
              <wp:positionV relativeFrom="page">
                <wp:posOffset>8040370</wp:posOffset>
              </wp:positionV>
              <wp:extent cx="372110" cy="114935"/>
              <wp:effectExtent l="635" t="127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D886" w14:textId="5D2731FB"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376</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2210E9" id="_x0000_t202" coordsize="21600,21600" o:spt="202" path="m,l,21600r21600,l21600,xe">
              <v:stroke joinstyle="miter"/>
              <v:path gradientshapeok="t" o:connecttype="rect"/>
            </v:shapetype>
            <v:shape id="Text Box 28" o:spid="_x0000_s1170" type="#_x0000_t202" style="position:absolute;left:0;text-align:left;margin-left:56.3pt;margin-top:633.1pt;width:29.3pt;height:9.0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" filled="f" stroked="f">
              <v:textbox style="mso-fit-shape-to-text:t" inset="0,0,0,0">
                <w:txbxContent>
                  <w:p w14:paraId="54EBD886" w14:textId="5D2731FB"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376</w:t>
                    </w:r>
                    <w:r>
                      <w:rPr>
                        <w:rStyle w:val="ab"/>
                        <w:b/>
                        <w:bCs/>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CA93" w14:textId="36D819B1" w:rsidR="00350D42" w:rsidRDefault="00A74D21">
    <w:pPr>
      <w:rPr>
        <w:sz w:val="2"/>
        <w:szCs w:val="2"/>
      </w:rPr>
    </w:pPr>
    <w:r>
      <w:rPr>
        <w:noProof/>
        <w:lang w:bidi="ar-SA"/>
      </w:rPr>
      <mc:AlternateContent>
        <mc:Choice Requires="wps">
          <w:drawing>
            <wp:anchor distT="0" distB="0" distL="63500" distR="63500" simplePos="0" relativeHeight="314572524" behindDoc="1" locked="0" layoutInCell="1" allowOverlap="1" wp14:anchorId="4EEF9EAC" wp14:editId="31EEF274">
              <wp:simplePos x="0" y="0"/>
              <wp:positionH relativeFrom="page">
                <wp:posOffset>715010</wp:posOffset>
              </wp:positionH>
              <wp:positionV relativeFrom="page">
                <wp:posOffset>8040370</wp:posOffset>
              </wp:positionV>
              <wp:extent cx="372110" cy="114935"/>
              <wp:effectExtent l="635" t="127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3ED15" w14:textId="45AEE19A"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380</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EF9EAC" id="_x0000_t202" coordsize="21600,21600" o:spt="202" path="m,l,21600r21600,l21600,xe">
              <v:stroke joinstyle="miter"/>
              <v:path gradientshapeok="t" o:connecttype="rect"/>
            </v:shapetype>
            <v:shape id="Text Box 27" o:spid="_x0000_s1171" type="#_x0000_t202" style="position:absolute;left:0;text-align:left;margin-left:56.3pt;margin-top:633.1pt;width:29.3pt;height:9.0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" filled="f" stroked="f">
              <v:textbox style="mso-fit-shape-to-text:t" inset="0,0,0,0">
                <w:txbxContent>
                  <w:p w14:paraId="4D23ED15" w14:textId="45AEE19A"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380</w:t>
                    </w:r>
                    <w:r>
                      <w:rPr>
                        <w:rStyle w:val="ab"/>
                        <w:b/>
                        <w:bCs/>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214B" w14:textId="5F370BC5" w:rsidR="00350D42" w:rsidRDefault="00A74D21">
    <w:pPr>
      <w:rPr>
        <w:sz w:val="2"/>
        <w:szCs w:val="2"/>
      </w:rPr>
    </w:pPr>
    <w:r>
      <w:rPr>
        <w:noProof/>
        <w:lang w:bidi="ar-SA"/>
      </w:rPr>
      <mc:AlternateContent>
        <mc:Choice Requires="wps">
          <w:drawing>
            <wp:anchor distT="0" distB="0" distL="63500" distR="63500" simplePos="0" relativeHeight="314572525" behindDoc="1" locked="0" layoutInCell="1" allowOverlap="1" wp14:anchorId="59A71934" wp14:editId="0F6CE26C">
              <wp:simplePos x="0" y="0"/>
              <wp:positionH relativeFrom="page">
                <wp:posOffset>4766945</wp:posOffset>
              </wp:positionH>
              <wp:positionV relativeFrom="page">
                <wp:posOffset>7996555</wp:posOffset>
              </wp:positionV>
              <wp:extent cx="372110" cy="114935"/>
              <wp:effectExtent l="4445" t="0" r="4445"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5357D" w14:textId="454B7F7D"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381</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A71934" id="_x0000_t202" coordsize="21600,21600" o:spt="202" path="m,l,21600r21600,l21600,xe">
              <v:stroke joinstyle="miter"/>
              <v:path gradientshapeok="t" o:connecttype="rect"/>
            </v:shapetype>
            <v:shape id="Text Box 26" o:spid="_x0000_s1172" type="#_x0000_t202" style="position:absolute;left:0;text-align:left;margin-left:375.35pt;margin-top:629.65pt;width:29.3pt;height:9.0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" filled="f" stroked="f">
              <v:textbox style="mso-fit-shape-to-text:t" inset="0,0,0,0">
                <w:txbxContent>
                  <w:p w14:paraId="3B55357D" w14:textId="454B7F7D"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381</w:t>
                    </w:r>
                    <w:r>
                      <w:rPr>
                        <w:rStyle w:val="ab"/>
                        <w:b/>
                        <w:bCs/>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40BF" w14:textId="07E3E2D3" w:rsidR="00350D42" w:rsidRDefault="00A74D21">
    <w:pPr>
      <w:rPr>
        <w:sz w:val="2"/>
        <w:szCs w:val="2"/>
      </w:rPr>
    </w:pPr>
    <w:r>
      <w:rPr>
        <w:noProof/>
        <w:lang w:bidi="ar-SA"/>
      </w:rPr>
      <mc:AlternateContent>
        <mc:Choice Requires="wps">
          <w:drawing>
            <wp:anchor distT="0" distB="0" distL="63500" distR="63500" simplePos="0" relativeHeight="314572527" behindDoc="1" locked="0" layoutInCell="1" allowOverlap="1" wp14:anchorId="6DE1077D" wp14:editId="56F1735F">
              <wp:simplePos x="0" y="0"/>
              <wp:positionH relativeFrom="page">
                <wp:posOffset>709295</wp:posOffset>
              </wp:positionH>
              <wp:positionV relativeFrom="page">
                <wp:posOffset>7806055</wp:posOffset>
              </wp:positionV>
              <wp:extent cx="372110" cy="114935"/>
              <wp:effectExtent l="4445" t="0" r="444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9EB0" w14:textId="5DEECFDB"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379</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E1077D" id="_x0000_t202" coordsize="21600,21600" o:spt="202" path="m,l,21600r21600,l21600,xe">
              <v:stroke joinstyle="miter"/>
              <v:path gradientshapeok="t" o:connecttype="rect"/>
            </v:shapetype>
            <v:shape id="Text Box 24" o:spid="_x0000_s1174" type="#_x0000_t202" style="position:absolute;left:0;text-align:left;margin-left:55.85pt;margin-top:614.65pt;width:29.3pt;height:9.0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" filled="f" stroked="f">
              <v:textbox style="mso-fit-shape-to-text:t" inset="0,0,0,0">
                <w:txbxContent>
                  <w:p w14:paraId="21259EB0" w14:textId="5DEECFDB"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379</w:t>
                    </w:r>
                    <w:r>
                      <w:rPr>
                        <w:rStyle w:val="2MicrosoftSansSerif8pt"/>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6CA7" w14:textId="0F23B268" w:rsidR="00350D42" w:rsidRDefault="00A74D21">
    <w:pPr>
      <w:rPr>
        <w:sz w:val="2"/>
        <w:szCs w:val="2"/>
      </w:rPr>
    </w:pPr>
    <w:r>
      <w:rPr>
        <w:noProof/>
        <w:lang w:bidi="ar-SA"/>
      </w:rPr>
      <mc:AlternateContent>
        <mc:Choice Requires="wps">
          <w:drawing>
            <wp:anchor distT="0" distB="0" distL="63500" distR="63500" simplePos="0" relativeHeight="314572529" behindDoc="1" locked="0" layoutInCell="1" allowOverlap="1" wp14:anchorId="4772BE64" wp14:editId="7C457197">
              <wp:simplePos x="0" y="0"/>
              <wp:positionH relativeFrom="page">
                <wp:posOffset>715010</wp:posOffset>
              </wp:positionH>
              <wp:positionV relativeFrom="page">
                <wp:posOffset>8040370</wp:posOffset>
              </wp:positionV>
              <wp:extent cx="372110" cy="114935"/>
              <wp:effectExtent l="635" t="127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F958" w14:textId="7D3B40AF"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384</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72BE64" id="_x0000_t202" coordsize="21600,21600" o:spt="202" path="m,l,21600r21600,l21600,xe">
              <v:stroke joinstyle="miter"/>
              <v:path gradientshapeok="t" o:connecttype="rect"/>
            </v:shapetype>
            <v:shape id="Text Box 22" o:spid="_x0000_s1176" type="#_x0000_t202" style="position:absolute;left:0;text-align:left;margin-left:56.3pt;margin-top:633.1pt;width:29.3pt;height:9.0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B/B55r&#10;2AEAAJYDAAAOAAAAAAAAAAAAAAAAAC4CAABkcnMvZTJvRG9jLnhtbFBLAQItABQABgAIAAAAIQBo&#10;IJNp3QAAAA0BAAAPAAAAAAAAAAAAAAAAADIEAABkcnMvZG93bnJldi54bWxQSwUGAAAAAAQABADz&#10;AAAAPAUAAAAA&#10;" filled="f" stroked="f">
              <v:textbox style="mso-fit-shape-to-text:t" inset="0,0,0,0">
                <w:txbxContent>
                  <w:p w14:paraId="3D37F958" w14:textId="7D3B40AF"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384</w:t>
                    </w:r>
                    <w:r>
                      <w:rPr>
                        <w:rStyle w:val="ab"/>
                        <w:b/>
                        <w:bCs/>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30D12" w14:textId="30DC35DE" w:rsidR="00350D42" w:rsidRDefault="00A74D21">
    <w:pPr>
      <w:rPr>
        <w:sz w:val="2"/>
        <w:szCs w:val="2"/>
      </w:rPr>
    </w:pPr>
    <w:r>
      <w:rPr>
        <w:noProof/>
        <w:lang w:bidi="ar-SA"/>
      </w:rPr>
      <mc:AlternateContent>
        <mc:Choice Requires="wps">
          <w:drawing>
            <wp:anchor distT="0" distB="0" distL="63500" distR="63500" simplePos="0" relativeHeight="314572530" behindDoc="1" locked="0" layoutInCell="1" allowOverlap="1" wp14:anchorId="17FEEA1B" wp14:editId="5D917902">
              <wp:simplePos x="0" y="0"/>
              <wp:positionH relativeFrom="page">
                <wp:posOffset>4699635</wp:posOffset>
              </wp:positionH>
              <wp:positionV relativeFrom="page">
                <wp:posOffset>7918450</wp:posOffset>
              </wp:positionV>
              <wp:extent cx="372110" cy="114935"/>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C6F4A" w14:textId="1BF920CD"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385</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FEEA1B" id="_x0000_t202" coordsize="21600,21600" o:spt="202" path="m,l,21600r21600,l21600,xe">
              <v:stroke joinstyle="miter"/>
              <v:path gradientshapeok="t" o:connecttype="rect"/>
            </v:shapetype>
            <v:shape id="Text Box 21" o:spid="_x0000_s1177" type="#_x0000_t202" style="position:absolute;left:0;text-align:left;margin-left:370.05pt;margin-top:623.5pt;width:29.3pt;height:9.0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" filled="f" stroked="f">
              <v:textbox style="mso-fit-shape-to-text:t" inset="0,0,0,0">
                <w:txbxContent>
                  <w:p w14:paraId="7CEC6F4A" w14:textId="1BF920CD"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385</w:t>
                    </w:r>
                    <w:r>
                      <w:rPr>
                        <w:rStyle w:val="2MicrosoftSansSerif8pt"/>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AC5B" w14:textId="0E14911F" w:rsidR="00350D42" w:rsidRDefault="00A74D21">
    <w:pPr>
      <w:rPr>
        <w:sz w:val="2"/>
        <w:szCs w:val="2"/>
      </w:rPr>
    </w:pPr>
    <w:r>
      <w:rPr>
        <w:noProof/>
        <w:lang w:bidi="ar-SA"/>
      </w:rPr>
      <mc:AlternateContent>
        <mc:Choice Requires="wps">
          <w:drawing>
            <wp:anchor distT="0" distB="0" distL="63500" distR="63500" simplePos="0" relativeHeight="314572531" behindDoc="1" locked="0" layoutInCell="1" allowOverlap="1" wp14:anchorId="2967D73D" wp14:editId="3AE8BFD8">
              <wp:simplePos x="0" y="0"/>
              <wp:positionH relativeFrom="page">
                <wp:posOffset>4700270</wp:posOffset>
              </wp:positionH>
              <wp:positionV relativeFrom="page">
                <wp:posOffset>8275955</wp:posOffset>
              </wp:positionV>
              <wp:extent cx="4218305" cy="561975"/>
              <wp:effectExtent l="4445" t="0"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0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5315" w14:textId="77777777" w:rsidR="00350D42" w:rsidRDefault="008E6F64">
                          <w:pPr>
                            <w:pStyle w:val="2fb"/>
                            <w:shd w:val="clear" w:color="auto" w:fill="auto"/>
                            <w:spacing w:line="240" w:lineRule="auto"/>
                          </w:pPr>
                          <w:r>
                            <w:rPr>
                              <w:rStyle w:val="2fd"/>
                              <w:vertAlign w:val="superscript"/>
                            </w:rPr>
                            <w:t>1</w:t>
                          </w:r>
                          <w:r>
                            <w:rPr>
                              <w:rStyle w:val="2fd"/>
                            </w:rPr>
                            <w:t xml:space="preserve"> Незначительным признается уровень потерь, снижающий планируемый фи-</w:t>
                          </w:r>
                        </w:p>
                        <w:p w14:paraId="0194342F" w14:textId="77777777" w:rsidR="00350D42" w:rsidRDefault="008E6F64">
                          <w:pPr>
                            <w:pStyle w:val="2fb"/>
                            <w:shd w:val="clear" w:color="auto" w:fill="auto"/>
                            <w:spacing w:line="240" w:lineRule="auto"/>
                          </w:pPr>
                          <w:r>
                            <w:rPr>
                              <w:rStyle w:val="2fd"/>
                            </w:rPr>
                            <w:t>нансовый результат (величину финансового потока) инициатора менее чем на 10 %,</w:t>
                          </w:r>
                        </w:p>
                        <w:p w14:paraId="2DA2A3C0" w14:textId="77777777" w:rsidR="00350D42" w:rsidRDefault="008E6F64">
                          <w:pPr>
                            <w:pStyle w:val="2fb"/>
                            <w:shd w:val="clear" w:color="auto" w:fill="auto"/>
                            <w:spacing w:line="240" w:lineRule="auto"/>
                          </w:pPr>
                          <w:r>
                            <w:rPr>
                              <w:rStyle w:val="2fd"/>
                            </w:rPr>
                            <w:t>значительным — от 10 до 50 %, высоким — свыше 50 %.</w:t>
                          </w:r>
                        </w:p>
                        <w:p w14:paraId="5370CAD3" w14:textId="0DE7C7B5"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382</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67D73D" id="_x0000_t202" coordsize="21600,21600" o:spt="202" path="m,l,21600r21600,l21600,xe">
              <v:stroke joinstyle="miter"/>
              <v:path gradientshapeok="t" o:connecttype="rect"/>
            </v:shapetype>
            <v:shape id="Text Box 20" o:spid="_x0000_s1178" type="#_x0000_t202" style="position:absolute;left:0;text-align:left;margin-left:370.1pt;margin-top:651.65pt;width:332.15pt;height:44.2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" filled="f" stroked="f">
              <v:textbox style="mso-fit-shape-to-text:t" inset="0,0,0,0">
                <w:txbxContent>
                  <w:p w14:paraId="79245315" w14:textId="77777777" w:rsidR="00350D42" w:rsidRDefault="008E6F64">
                    <w:pPr>
                      <w:pStyle w:val="2fb"/>
                      <w:shd w:val="clear" w:color="auto" w:fill="auto"/>
                      <w:spacing w:line="240" w:lineRule="auto"/>
                    </w:pPr>
                    <w:r>
                      <w:rPr>
                        <w:rStyle w:val="2fd"/>
                        <w:vertAlign w:val="superscript"/>
                      </w:rPr>
                      <w:t>1</w:t>
                    </w:r>
                    <w:r>
                      <w:rPr>
                        <w:rStyle w:val="2fd"/>
                      </w:rPr>
                      <w:t xml:space="preserve"> Незначительным признается уровень потерь, снижающий планируемый фи-</w:t>
                    </w:r>
                  </w:p>
                  <w:p w14:paraId="0194342F" w14:textId="77777777" w:rsidR="00350D42" w:rsidRDefault="008E6F64">
                    <w:pPr>
                      <w:pStyle w:val="2fb"/>
                      <w:shd w:val="clear" w:color="auto" w:fill="auto"/>
                      <w:spacing w:line="240" w:lineRule="auto"/>
                    </w:pPr>
                    <w:r>
                      <w:rPr>
                        <w:rStyle w:val="2fd"/>
                      </w:rPr>
                      <w:t>нансовый результат (величину финансового потока) инициатора менее чем на 10 %,</w:t>
                    </w:r>
                  </w:p>
                  <w:p w14:paraId="2DA2A3C0" w14:textId="77777777" w:rsidR="00350D42" w:rsidRDefault="008E6F64">
                    <w:pPr>
                      <w:pStyle w:val="2fb"/>
                      <w:shd w:val="clear" w:color="auto" w:fill="auto"/>
                      <w:spacing w:line="240" w:lineRule="auto"/>
                    </w:pPr>
                    <w:r>
                      <w:rPr>
                        <w:rStyle w:val="2fd"/>
                      </w:rPr>
                      <w:t>значительным — от 10 до 50 %, высоким — свыше 50 %.</w:t>
                    </w:r>
                  </w:p>
                  <w:p w14:paraId="5370CAD3" w14:textId="0DE7C7B5"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382</w:t>
                    </w:r>
                    <w:r>
                      <w:rPr>
                        <w:rStyle w:val="2MicrosoftSansSerif8pt"/>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A793C" w14:textId="77777777" w:rsidR="00350396" w:rsidRDefault="00350396">
    <w:pPr>
      <w:rPr>
        <w:sz w:val="2"/>
        <w:szCs w:val="2"/>
      </w:rPr>
    </w:pPr>
    <w:r>
      <w:rPr>
        <w:noProof/>
        <w:lang w:bidi="ar-SA"/>
      </w:rPr>
      <mc:AlternateContent>
        <mc:Choice Requires="wps">
          <w:drawing>
            <wp:anchor distT="0" distB="0" distL="63500" distR="63500" simplePos="0" relativeHeight="314577670" behindDoc="1" locked="0" layoutInCell="1" allowOverlap="1" wp14:anchorId="50C02B45" wp14:editId="7748C9C2">
              <wp:simplePos x="0" y="0"/>
              <wp:positionH relativeFrom="page">
                <wp:posOffset>890270</wp:posOffset>
              </wp:positionH>
              <wp:positionV relativeFrom="page">
                <wp:posOffset>7877810</wp:posOffset>
              </wp:positionV>
              <wp:extent cx="3034665" cy="226695"/>
              <wp:effectExtent l="4445" t="635" r="0" b="127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3A9AD" w14:textId="2A71D926"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123</w:t>
                          </w:r>
                          <w:r>
                            <w:rPr>
                              <w:b w:val="0"/>
                              <w:bCs w:val="0"/>
                            </w:rPr>
                            <w:fldChar w:fldCharType="end"/>
                          </w:r>
                        </w:p>
                        <w:p w14:paraId="6BA13F64" w14:textId="77777777" w:rsidR="00350396" w:rsidRDefault="00350396">
                          <w:pPr>
                            <w:pStyle w:val="aa"/>
                            <w:shd w:val="clear" w:color="auto" w:fill="auto"/>
                            <w:spacing w:line="240" w:lineRule="auto"/>
                          </w:pPr>
                          <w:r>
                            <w:rPr>
                              <w:rStyle w:val="BookmanOldStyle75pt"/>
                              <w:vertAlign w:val="superscript"/>
                            </w:rPr>
                            <w:t>1</w:t>
                          </w:r>
                          <w:r>
                            <w:rPr>
                              <w:rStyle w:val="BookmanOldStyle75pt"/>
                            </w:rPr>
                            <w:t xml:space="preserve"> </w:t>
                          </w:r>
                          <w:r>
                            <w:rPr>
                              <w:rStyle w:val="BookmanOldStyle75pt0"/>
                            </w:rPr>
                            <w:t>Привалов Н. Г.</w:t>
                          </w:r>
                          <w:r>
                            <w:rPr>
                              <w:rStyle w:val="BookmanOldStyle75pt"/>
                            </w:rPr>
                            <w:t xml:space="preserve"> Экономика некоммерческого сектора. С. 176.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C02B45" id="_x0000_t202" coordsize="21600,21600" o:spt="202" path="m,l,21600r21600,l21600,xe">
              <v:stroke joinstyle="miter"/>
              <v:path gradientshapeok="t" o:connecttype="rect"/>
            </v:shapetype>
            <v:shape id="Text Box 128" o:spid="_x0000_s1090" type="#_x0000_t202" style="position:absolute;left:0;text-align:left;margin-left:70.1pt;margin-top:620.3pt;width:238.95pt;height:17.85pt;z-index:-188738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" filled="f" stroked="f">
              <v:textbox style="mso-fit-shape-to-text:t" inset="0,0,0,0">
                <w:txbxContent>
                  <w:p w14:paraId="7353A9AD" w14:textId="2A71D926" w:rsidR="00350396" w:rsidRDefault="00350396">
                    <w:pPr>
                      <w:pStyle w:val="aa"/>
                      <w:shd w:val="clear" w:color="auto" w:fill="auto"/>
                      <w:spacing w:line="240" w:lineRule="auto"/>
                    </w:pPr>
                    <w:r>
                      <w:rPr>
                        <w:b w:val="0"/>
                        <w:bCs w:val="0"/>
                      </w:rPr>
                      <w:fldChar w:fldCharType="begin"/>
                    </w:r>
                    <w:r>
                      <w:rPr>
                        <w:b w:val="0"/>
                        <w:bCs w:val="0"/>
                      </w:rPr>
                      <w:instrText xml:space="preserve"> PAGE \* MERGEFORMAT </w:instrText>
                    </w:r>
                    <w:r>
                      <w:rPr>
                        <w:b w:val="0"/>
                        <w:bCs w:val="0"/>
                      </w:rPr>
                      <w:fldChar w:fldCharType="separate"/>
                    </w:r>
                    <w:r w:rsidR="00F03FA7">
                      <w:rPr>
                        <w:b w:val="0"/>
                        <w:bCs w:val="0"/>
                        <w:noProof/>
                      </w:rPr>
                      <w:t>123</w:t>
                    </w:r>
                    <w:r>
                      <w:rPr>
                        <w:b w:val="0"/>
                        <w:bCs w:val="0"/>
                      </w:rPr>
                      <w:fldChar w:fldCharType="end"/>
                    </w:r>
                  </w:p>
                  <w:p w14:paraId="6BA13F64" w14:textId="77777777" w:rsidR="00350396" w:rsidRDefault="00350396">
                    <w:pPr>
                      <w:pStyle w:val="aa"/>
                      <w:shd w:val="clear" w:color="auto" w:fill="auto"/>
                      <w:spacing w:line="240" w:lineRule="auto"/>
                    </w:pPr>
                    <w:r>
                      <w:rPr>
                        <w:rStyle w:val="BookmanOldStyle75pt"/>
                        <w:vertAlign w:val="superscript"/>
                      </w:rPr>
                      <w:t>1</w:t>
                    </w:r>
                    <w:r>
                      <w:rPr>
                        <w:rStyle w:val="BookmanOldStyle75pt"/>
                      </w:rPr>
                      <w:t xml:space="preserve"> </w:t>
                    </w:r>
                    <w:r>
                      <w:rPr>
                        <w:rStyle w:val="BookmanOldStyle75pt0"/>
                      </w:rPr>
                      <w:t>Привалов Н. Г.</w:t>
                    </w:r>
                    <w:r>
                      <w:rPr>
                        <w:rStyle w:val="BookmanOldStyle75pt"/>
                      </w:rPr>
                      <w:t xml:space="preserve"> Экономика некоммерческого сектора. С. 176.</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EF94" w14:textId="4CCE6052" w:rsidR="00350D42" w:rsidRDefault="00A74D21">
    <w:pPr>
      <w:rPr>
        <w:sz w:val="2"/>
        <w:szCs w:val="2"/>
      </w:rPr>
    </w:pPr>
    <w:r>
      <w:rPr>
        <w:noProof/>
        <w:lang w:bidi="ar-SA"/>
      </w:rPr>
      <mc:AlternateContent>
        <mc:Choice Requires="wps">
          <w:drawing>
            <wp:anchor distT="0" distB="0" distL="63500" distR="63500" simplePos="0" relativeHeight="314572533" behindDoc="1" locked="0" layoutInCell="1" allowOverlap="1" wp14:anchorId="4B0C6627" wp14:editId="55C04971">
              <wp:simplePos x="0" y="0"/>
              <wp:positionH relativeFrom="page">
                <wp:posOffset>715010</wp:posOffset>
              </wp:positionH>
              <wp:positionV relativeFrom="page">
                <wp:posOffset>8040370</wp:posOffset>
              </wp:positionV>
              <wp:extent cx="372110" cy="114935"/>
              <wp:effectExtent l="635" t="127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B781D" w14:textId="33055CB2"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390</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0C6627" id="_x0000_t202" coordsize="21600,21600" o:spt="202" path="m,l,21600r21600,l21600,xe">
              <v:stroke joinstyle="miter"/>
              <v:path gradientshapeok="t" o:connecttype="rect"/>
            </v:shapetype>
            <v:shape id="_x0000_s1180" type="#_x0000_t202" style="position:absolute;left:0;text-align:left;margin-left:56.3pt;margin-top:633.1pt;width:29.3pt;height:9.0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" filled="f" stroked="f">
              <v:textbox style="mso-fit-shape-to-text:t" inset="0,0,0,0">
                <w:txbxContent>
                  <w:p w14:paraId="4CEB781D" w14:textId="33055CB2"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390</w:t>
                    </w:r>
                    <w:r>
                      <w:rPr>
                        <w:rStyle w:val="ab"/>
                        <w:b/>
                        <w:bCs/>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2401" w14:textId="3E956737" w:rsidR="00350D42" w:rsidRDefault="00A74D21">
    <w:pPr>
      <w:rPr>
        <w:sz w:val="2"/>
        <w:szCs w:val="2"/>
      </w:rPr>
    </w:pPr>
    <w:r>
      <w:rPr>
        <w:noProof/>
        <w:lang w:bidi="ar-SA"/>
      </w:rPr>
      <mc:AlternateContent>
        <mc:Choice Requires="wps">
          <w:drawing>
            <wp:anchor distT="0" distB="0" distL="63500" distR="63500" simplePos="0" relativeHeight="314572534" behindDoc="1" locked="0" layoutInCell="1" allowOverlap="1" wp14:anchorId="35B7D570" wp14:editId="0CF8C475">
              <wp:simplePos x="0" y="0"/>
              <wp:positionH relativeFrom="page">
                <wp:posOffset>4694555</wp:posOffset>
              </wp:positionH>
              <wp:positionV relativeFrom="page">
                <wp:posOffset>7934325</wp:posOffset>
              </wp:positionV>
              <wp:extent cx="372110" cy="114935"/>
              <wp:effectExtent l="0" t="0" r="63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5E91" w14:textId="5527CC7F"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389</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B7D570" id="_x0000_t202" coordsize="21600,21600" o:spt="202" path="m,l,21600r21600,l21600,xe">
              <v:stroke joinstyle="miter"/>
              <v:path gradientshapeok="t" o:connecttype="rect"/>
            </v:shapetype>
            <v:shape id="Text Box 17" o:spid="_x0000_s1181" type="#_x0000_t202" style="position:absolute;left:0;text-align:left;margin-left:369.65pt;margin-top:624.75pt;width:29.3pt;height:9.0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" filled="f" stroked="f">
              <v:textbox style="mso-fit-shape-to-text:t" inset="0,0,0,0">
                <w:txbxContent>
                  <w:p w14:paraId="418D5E91" w14:textId="5527CC7F"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389</w:t>
                    </w:r>
                    <w:r>
                      <w:rPr>
                        <w:rStyle w:val="2MicrosoftSansSerif8pt"/>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5402" w14:textId="4A0DC931" w:rsidR="00350D42" w:rsidRDefault="00A74D21">
    <w:pPr>
      <w:rPr>
        <w:sz w:val="2"/>
        <w:szCs w:val="2"/>
      </w:rPr>
    </w:pPr>
    <w:r>
      <w:rPr>
        <w:noProof/>
        <w:lang w:bidi="ar-SA"/>
      </w:rPr>
      <mc:AlternateContent>
        <mc:Choice Requires="wps">
          <w:drawing>
            <wp:anchor distT="0" distB="0" distL="63500" distR="63500" simplePos="0" relativeHeight="314572536" behindDoc="1" locked="0" layoutInCell="1" allowOverlap="1" wp14:anchorId="2A04152D" wp14:editId="73E8EE60">
              <wp:simplePos x="0" y="0"/>
              <wp:positionH relativeFrom="page">
                <wp:posOffset>4702810</wp:posOffset>
              </wp:positionH>
              <wp:positionV relativeFrom="page">
                <wp:posOffset>7897495</wp:posOffset>
              </wp:positionV>
              <wp:extent cx="372110" cy="114935"/>
              <wp:effectExtent l="0" t="127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E4F4" w14:textId="329CB236"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386</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04152D" id="_x0000_t202" coordsize="21600,21600" o:spt="202" path="m,l,21600r21600,l21600,xe">
              <v:stroke joinstyle="miter"/>
              <v:path gradientshapeok="t" o:connecttype="rect"/>
            </v:shapetype>
            <v:shape id="Text Box 15" o:spid="_x0000_s1183" type="#_x0000_t202" style="position:absolute;left:0;text-align:left;margin-left:370.3pt;margin-top:621.85pt;width:29.3pt;height:9.0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" filled="f" stroked="f">
              <v:textbox style="mso-fit-shape-to-text:t" inset="0,0,0,0">
                <w:txbxContent>
                  <w:p w14:paraId="3655E4F4" w14:textId="329CB236"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386</w:t>
                    </w:r>
                    <w:r>
                      <w:rPr>
                        <w:rStyle w:val="2MicrosoftSansSerif8pt"/>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598E" w14:textId="1E3366F6" w:rsidR="00350D42" w:rsidRDefault="00A74D21">
    <w:pPr>
      <w:rPr>
        <w:sz w:val="2"/>
        <w:szCs w:val="2"/>
      </w:rPr>
    </w:pPr>
    <w:r>
      <w:rPr>
        <w:noProof/>
        <w:lang w:bidi="ar-SA"/>
      </w:rPr>
      <mc:AlternateContent>
        <mc:Choice Requires="wps">
          <w:drawing>
            <wp:anchor distT="0" distB="0" distL="63500" distR="63500" simplePos="0" relativeHeight="314572538" behindDoc="1" locked="0" layoutInCell="1" allowOverlap="1" wp14:anchorId="028979DE" wp14:editId="7A760F3C">
              <wp:simplePos x="0" y="0"/>
              <wp:positionH relativeFrom="page">
                <wp:posOffset>707390</wp:posOffset>
              </wp:positionH>
              <wp:positionV relativeFrom="page">
                <wp:posOffset>7952105</wp:posOffset>
              </wp:positionV>
              <wp:extent cx="372110" cy="114935"/>
              <wp:effectExtent l="254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77DC" w14:textId="4C292E49"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394</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8979DE" id="_x0000_t202" coordsize="21600,21600" o:spt="202" path="m,l,21600r21600,l21600,xe">
              <v:stroke joinstyle="miter"/>
              <v:path gradientshapeok="t" o:connecttype="rect"/>
            </v:shapetype>
            <v:shape id="Text Box 13" o:spid="_x0000_s1185" type="#_x0000_t202" style="position:absolute;left:0;text-align:left;margin-left:55.7pt;margin-top:626.15pt;width:29.3pt;height:9.0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" filled="f" stroked="f">
              <v:textbox style="mso-fit-shape-to-text:t" inset="0,0,0,0">
                <w:txbxContent>
                  <w:p w14:paraId="1D3477DC" w14:textId="4C292E49"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394</w:t>
                    </w:r>
                    <w:r>
                      <w:rPr>
                        <w:rStyle w:val="2MicrosoftSansSerif8pt"/>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E2F5" w14:textId="57995900" w:rsidR="00350D42" w:rsidRDefault="00A74D21">
    <w:pPr>
      <w:rPr>
        <w:sz w:val="2"/>
        <w:szCs w:val="2"/>
      </w:rPr>
    </w:pPr>
    <w:r>
      <w:rPr>
        <w:noProof/>
        <w:lang w:bidi="ar-SA"/>
      </w:rPr>
      <mc:AlternateContent>
        <mc:Choice Requires="wps">
          <w:drawing>
            <wp:anchor distT="0" distB="0" distL="63500" distR="63500" simplePos="0" relativeHeight="314572539" behindDoc="1" locked="0" layoutInCell="1" allowOverlap="1" wp14:anchorId="6F14EE2C" wp14:editId="13379D47">
              <wp:simplePos x="0" y="0"/>
              <wp:positionH relativeFrom="page">
                <wp:posOffset>4766945</wp:posOffset>
              </wp:positionH>
              <wp:positionV relativeFrom="page">
                <wp:posOffset>7996555</wp:posOffset>
              </wp:positionV>
              <wp:extent cx="372110" cy="114935"/>
              <wp:effectExtent l="4445" t="0" r="4445"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0C47" w14:textId="7FDAA99D"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393</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14EE2C" id="_x0000_t202" coordsize="21600,21600" o:spt="202" path="m,l,21600r21600,l21600,xe">
              <v:stroke joinstyle="miter"/>
              <v:path gradientshapeok="t" o:connecttype="rect"/>
            </v:shapetype>
            <v:shape id="_x0000_s1186" type="#_x0000_t202" style="position:absolute;left:0;text-align:left;margin-left:375.35pt;margin-top:629.65pt;width:29.3pt;height:9.0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" filled="f" stroked="f">
              <v:textbox style="mso-fit-shape-to-text:t" inset="0,0,0,0">
                <w:txbxContent>
                  <w:p w14:paraId="379A0C47" w14:textId="7FDAA99D"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393</w:t>
                    </w:r>
                    <w:r>
                      <w:rPr>
                        <w:rStyle w:val="ab"/>
                        <w:b/>
                        <w:bCs/>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F9B1" w14:textId="2DFFCE34" w:rsidR="00350D42" w:rsidRDefault="00A74D21">
    <w:pPr>
      <w:rPr>
        <w:sz w:val="2"/>
        <w:szCs w:val="2"/>
      </w:rPr>
    </w:pPr>
    <w:r>
      <w:rPr>
        <w:noProof/>
        <w:lang w:bidi="ar-SA"/>
      </w:rPr>
      <mc:AlternateContent>
        <mc:Choice Requires="wps">
          <w:drawing>
            <wp:anchor distT="0" distB="0" distL="63500" distR="63500" simplePos="0" relativeHeight="314572541" behindDoc="1" locked="0" layoutInCell="1" allowOverlap="1" wp14:anchorId="130D3C8D" wp14:editId="7950DB73">
              <wp:simplePos x="0" y="0"/>
              <wp:positionH relativeFrom="page">
                <wp:posOffset>712470</wp:posOffset>
              </wp:positionH>
              <wp:positionV relativeFrom="page">
                <wp:posOffset>7970520</wp:posOffset>
              </wp:positionV>
              <wp:extent cx="372110" cy="114935"/>
              <wp:effectExtent l="0" t="0" r="127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F21F" w14:textId="7E7E30A9"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391</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0D3C8D" id="_x0000_t202" coordsize="21600,21600" o:spt="202" path="m,l,21600r21600,l21600,xe">
              <v:stroke joinstyle="miter"/>
              <v:path gradientshapeok="t" o:connecttype="rect"/>
            </v:shapetype>
            <v:shape id="Text Box 10" o:spid="_x0000_s1188" type="#_x0000_t202" style="position:absolute;left:0;text-align:left;margin-left:56.1pt;margin-top:627.6pt;width:29.3pt;height:9.0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" filled="f" stroked="f">
              <v:textbox style="mso-fit-shape-to-text:t" inset="0,0,0,0">
                <w:txbxContent>
                  <w:p w14:paraId="639CF21F" w14:textId="7E7E30A9"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391</w:t>
                    </w:r>
                    <w:r>
                      <w:rPr>
                        <w:rStyle w:val="2MicrosoftSansSerif8pt"/>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8FDE" w14:textId="7EBA3A53" w:rsidR="00350D42" w:rsidRDefault="00A74D21">
    <w:pPr>
      <w:rPr>
        <w:sz w:val="2"/>
        <w:szCs w:val="2"/>
      </w:rPr>
    </w:pPr>
    <w:r>
      <w:rPr>
        <w:noProof/>
        <w:lang w:bidi="ar-SA"/>
      </w:rPr>
      <mc:AlternateContent>
        <mc:Choice Requires="wps">
          <w:drawing>
            <wp:anchor distT="0" distB="0" distL="63500" distR="63500" simplePos="0" relativeHeight="314572542" behindDoc="1" locked="0" layoutInCell="1" allowOverlap="1" wp14:anchorId="7DD8983A" wp14:editId="45B9A9F7">
              <wp:simplePos x="0" y="0"/>
              <wp:positionH relativeFrom="page">
                <wp:posOffset>715010</wp:posOffset>
              </wp:positionH>
              <wp:positionV relativeFrom="page">
                <wp:posOffset>8040370</wp:posOffset>
              </wp:positionV>
              <wp:extent cx="372110" cy="114935"/>
              <wp:effectExtent l="63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3E050" w14:textId="619A3490"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396</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8983A" id="_x0000_t202" coordsize="21600,21600" o:spt="202" path="m,l,21600r21600,l21600,xe">
              <v:stroke joinstyle="miter"/>
              <v:path gradientshapeok="t" o:connecttype="rect"/>
            </v:shapetype>
            <v:shape id="Text Box 9" o:spid="_x0000_s1189" type="#_x0000_t202" style="position:absolute;left:0;text-align:left;margin-left:56.3pt;margin-top:633.1pt;width:29.3pt;height:9.0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" filled="f" stroked="f">
              <v:textbox style="mso-fit-shape-to-text:t" inset="0,0,0,0">
                <w:txbxContent>
                  <w:p w14:paraId="2E93E050" w14:textId="619A3490"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396</w:t>
                    </w:r>
                    <w:r>
                      <w:rPr>
                        <w:rStyle w:val="ab"/>
                        <w:b/>
                        <w:bCs/>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F414" w14:textId="59B8F868" w:rsidR="00350D42" w:rsidRDefault="00A74D21">
    <w:pPr>
      <w:rPr>
        <w:sz w:val="2"/>
        <w:szCs w:val="2"/>
      </w:rPr>
    </w:pPr>
    <w:r>
      <w:rPr>
        <w:noProof/>
        <w:lang w:bidi="ar-SA"/>
      </w:rPr>
      <mc:AlternateContent>
        <mc:Choice Requires="wps">
          <w:drawing>
            <wp:anchor distT="0" distB="0" distL="63500" distR="63500" simplePos="0" relativeHeight="314572543" behindDoc="1" locked="0" layoutInCell="1" allowOverlap="1" wp14:anchorId="7954F34F" wp14:editId="783D10C3">
              <wp:simplePos x="0" y="0"/>
              <wp:positionH relativeFrom="page">
                <wp:posOffset>4766945</wp:posOffset>
              </wp:positionH>
              <wp:positionV relativeFrom="page">
                <wp:posOffset>7996555</wp:posOffset>
              </wp:positionV>
              <wp:extent cx="372110" cy="114935"/>
              <wp:effectExtent l="4445" t="0" r="444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5F4B5" w14:textId="5A034C78"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397</w:t>
                          </w:r>
                          <w:r>
                            <w:rPr>
                              <w:rStyle w:val="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54F34F" id="_x0000_t202" coordsize="21600,21600" o:spt="202" path="m,l,21600r21600,l21600,xe">
              <v:stroke joinstyle="miter"/>
              <v:path gradientshapeok="t" o:connecttype="rect"/>
            </v:shapetype>
            <v:shape id="Text Box 8" o:spid="_x0000_s1190" type="#_x0000_t202" style="position:absolute;left:0;text-align:left;margin-left:375.35pt;margin-top:629.65pt;width:29.3pt;height:9.0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" filled="f" stroked="f">
              <v:textbox style="mso-fit-shape-to-text:t" inset="0,0,0,0">
                <w:txbxContent>
                  <w:p w14:paraId="00D5F4B5" w14:textId="5A034C78" w:rsidR="00350D42" w:rsidRDefault="00A74D21">
                    <w:pPr>
                      <w:pStyle w:val="aa"/>
                      <w:shd w:val="clear" w:color="auto" w:fill="auto"/>
                      <w:spacing w:line="240" w:lineRule="auto"/>
                    </w:pPr>
                    <w:r>
                      <w:fldChar w:fldCharType="begin"/>
                    </w:r>
                    <w:r>
                      <w:instrText xml:space="preserve"> PAGE \* MERGEFORMAT </w:instrText>
                    </w:r>
                    <w:r>
                      <w:fldChar w:fldCharType="separate"/>
                    </w:r>
                    <w:r w:rsidR="00960409" w:rsidRPr="00960409">
                      <w:rPr>
                        <w:rStyle w:val="ab"/>
                        <w:b/>
                        <w:bCs/>
                        <w:noProof/>
                      </w:rPr>
                      <w:t>397</w:t>
                    </w:r>
                    <w:r>
                      <w:rPr>
                        <w:rStyle w:val="ab"/>
                        <w:b/>
                        <w:bCs/>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2B9BD" w14:textId="0FFA58C6" w:rsidR="00350D42" w:rsidRDefault="00A74D21">
    <w:pPr>
      <w:rPr>
        <w:sz w:val="2"/>
        <w:szCs w:val="2"/>
      </w:rPr>
    </w:pPr>
    <w:r>
      <w:rPr>
        <w:noProof/>
        <w:lang w:bidi="ar-SA"/>
      </w:rPr>
      <mc:AlternateContent>
        <mc:Choice Requires="wps">
          <w:drawing>
            <wp:anchor distT="0" distB="0" distL="63500" distR="63500" simplePos="0" relativeHeight="314572545" behindDoc="1" locked="0" layoutInCell="1" allowOverlap="1" wp14:anchorId="6BD0B020" wp14:editId="4B33741D">
              <wp:simplePos x="0" y="0"/>
              <wp:positionH relativeFrom="page">
                <wp:posOffset>707390</wp:posOffset>
              </wp:positionH>
              <wp:positionV relativeFrom="page">
                <wp:posOffset>7962900</wp:posOffset>
              </wp:positionV>
              <wp:extent cx="372110" cy="114935"/>
              <wp:effectExtent l="254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995B" w14:textId="00F4C75E"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395</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D0B020" id="_x0000_t202" coordsize="21600,21600" o:spt="202" path="m,l,21600r21600,l21600,xe">
              <v:stroke joinstyle="miter"/>
              <v:path gradientshapeok="t" o:connecttype="rect"/>
            </v:shapetype>
            <v:shape id="Text Box 6" o:spid="_x0000_s1192" type="#_x0000_t202" style="position:absolute;left:0;text-align:left;margin-left:55.7pt;margin-top:627pt;width:29.3pt;height:9.0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" filled="f" stroked="f">
              <v:textbox style="mso-fit-shape-to-text:t" inset="0,0,0,0">
                <w:txbxContent>
                  <w:p w14:paraId="72AC995B" w14:textId="00F4C75E"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395</w:t>
                    </w:r>
                    <w:r>
                      <w:rPr>
                        <w:rStyle w:val="2MicrosoftSansSerif8pt"/>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D87B" w14:textId="7A9D6FAC" w:rsidR="00350D42" w:rsidRDefault="00A74D21">
    <w:pPr>
      <w:rPr>
        <w:sz w:val="2"/>
        <w:szCs w:val="2"/>
      </w:rPr>
    </w:pPr>
    <w:r>
      <w:rPr>
        <w:noProof/>
        <w:lang w:bidi="ar-SA"/>
      </w:rPr>
      <mc:AlternateContent>
        <mc:Choice Requires="wps">
          <w:drawing>
            <wp:anchor distT="0" distB="0" distL="63500" distR="63500" simplePos="0" relativeHeight="314572547" behindDoc="1" locked="0" layoutInCell="1" allowOverlap="1" wp14:anchorId="1E056063" wp14:editId="3DE0F82B">
              <wp:simplePos x="0" y="0"/>
              <wp:positionH relativeFrom="page">
                <wp:posOffset>707390</wp:posOffset>
              </wp:positionH>
              <wp:positionV relativeFrom="page">
                <wp:posOffset>7962900</wp:posOffset>
              </wp:positionV>
              <wp:extent cx="372110" cy="114935"/>
              <wp:effectExtent l="254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C739" w14:textId="16FFB722"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400</w:t>
                          </w:r>
                          <w:r>
                            <w:rPr>
                              <w:rStyle w:val="2MicrosoftSansSerif8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056063" id="_x0000_t202" coordsize="21600,21600" o:spt="202" path="m,l,21600r21600,l21600,xe">
              <v:stroke joinstyle="miter"/>
              <v:path gradientshapeok="t" o:connecttype="rect"/>
            </v:shapetype>
            <v:shape id="Text Box 4" o:spid="_x0000_s1194" type="#_x0000_t202" style="position:absolute;left:0;text-align:left;margin-left:55.7pt;margin-top:627pt;width:29.3pt;height:9.0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" filled="f" stroked="f">
              <v:textbox style="mso-fit-shape-to-text:t" inset="0,0,0,0">
                <w:txbxContent>
                  <w:p w14:paraId="1EDDC739" w14:textId="16FFB722" w:rsidR="00350D42" w:rsidRDefault="00A74D21">
                    <w:pPr>
                      <w:pStyle w:val="2fb"/>
                      <w:shd w:val="clear" w:color="auto" w:fill="auto"/>
                      <w:spacing w:line="240" w:lineRule="auto"/>
                    </w:pPr>
                    <w:r>
                      <w:fldChar w:fldCharType="begin"/>
                    </w:r>
                    <w:r>
                      <w:instrText xml:space="preserve"> PAGE \* MERGEFORMAT </w:instrText>
                    </w:r>
                    <w:r>
                      <w:fldChar w:fldCharType="separate"/>
                    </w:r>
                    <w:r w:rsidR="00960409" w:rsidRPr="00960409">
                      <w:rPr>
                        <w:rStyle w:val="2MicrosoftSansSerif8pt"/>
                        <w:noProof/>
                      </w:rPr>
                      <w:t>400</w:t>
                    </w:r>
                    <w:r>
                      <w:rPr>
                        <w:rStyle w:val="2MicrosoftSansSerif8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6E487" w14:textId="77777777" w:rsidR="00B83D32" w:rsidRDefault="00B83D32">
      <w:r>
        <w:separator/>
      </w:r>
    </w:p>
  </w:footnote>
  <w:footnote w:type="continuationSeparator" w:id="0">
    <w:p w14:paraId="310A1F34" w14:textId="77777777" w:rsidR="00B83D32" w:rsidRDefault="00B83D32">
      <w:r>
        <w:continuationSeparator/>
      </w:r>
    </w:p>
  </w:footnote>
  <w:footnote w:id="1">
    <w:p w14:paraId="13AEB2CF" w14:textId="77777777" w:rsidR="00B01894" w:rsidRDefault="00B01894" w:rsidP="00B01894">
      <w:pPr>
        <w:pStyle w:val="a4"/>
        <w:shd w:val="clear" w:color="auto" w:fill="auto"/>
      </w:pPr>
      <w:r>
        <w:rPr>
          <w:vertAlign w:val="superscript"/>
        </w:rPr>
        <w:footnoteRef/>
      </w:r>
      <w:r>
        <w:t xml:space="preserve"> </w:t>
      </w:r>
      <w:r>
        <w:rPr>
          <w:rStyle w:val="a6"/>
          <w:lang w:val="en-US" w:eastAsia="en-US" w:bidi="en-US"/>
        </w:rPr>
        <w:t>Laissez</w:t>
      </w:r>
      <w:r w:rsidRPr="00CA1209">
        <w:rPr>
          <w:rStyle w:val="a6"/>
          <w:lang w:eastAsia="en-US" w:bidi="en-US"/>
        </w:rPr>
        <w:t xml:space="preserve"> </w:t>
      </w:r>
      <w:r>
        <w:rPr>
          <w:rStyle w:val="a6"/>
          <w:lang w:val="en-US" w:eastAsia="en-US" w:bidi="en-US"/>
        </w:rPr>
        <w:t>faire</w:t>
      </w:r>
      <w:r w:rsidRPr="00CA1209">
        <w:rPr>
          <w:lang w:eastAsia="en-US" w:bidi="en-US"/>
        </w:rPr>
        <w:t xml:space="preserve"> </w:t>
      </w:r>
      <w:r>
        <w:t xml:space="preserve">(фр. — позвольте делать), </w:t>
      </w:r>
      <w:r>
        <w:rPr>
          <w:rStyle w:val="a6"/>
          <w:lang w:val="en-US" w:eastAsia="en-US" w:bidi="en-US"/>
        </w:rPr>
        <w:t>laissez</w:t>
      </w:r>
      <w:r w:rsidRPr="00CA1209">
        <w:rPr>
          <w:rStyle w:val="a6"/>
          <w:lang w:eastAsia="en-US" w:bidi="en-US"/>
        </w:rPr>
        <w:t xml:space="preserve"> </w:t>
      </w:r>
      <w:r>
        <w:rPr>
          <w:rStyle w:val="a6"/>
          <w:lang w:val="en-US" w:eastAsia="en-US" w:bidi="en-US"/>
        </w:rPr>
        <w:t>passer</w:t>
      </w:r>
      <w:r w:rsidRPr="00CA1209">
        <w:rPr>
          <w:lang w:eastAsia="en-US" w:bidi="en-US"/>
        </w:rPr>
        <w:t xml:space="preserve"> </w:t>
      </w:r>
      <w:r>
        <w:t>(фр. — пропуск, охранная грамота). Данный принцип можно трактовать как позволение свободно вести биз</w:t>
      </w:r>
      <w:r>
        <w:softHyphen/>
        <w:t>нес при охране интересов частного собственника.</w:t>
      </w:r>
    </w:p>
  </w:footnote>
  <w:footnote w:id="2">
    <w:p w14:paraId="300E6479" w14:textId="77777777" w:rsidR="00B01894" w:rsidRDefault="00B01894" w:rsidP="00B01894">
      <w:pPr>
        <w:pStyle w:val="a4"/>
        <w:shd w:val="clear" w:color="auto" w:fill="auto"/>
        <w:ind w:firstLine="320"/>
      </w:pPr>
      <w:r>
        <w:rPr>
          <w:vertAlign w:val="superscript"/>
        </w:rPr>
        <w:footnoteRef/>
      </w:r>
      <w:r>
        <w:t xml:space="preserve"> Несмотря на то, что в ряде стран (США, Япония, Швейцария и др.) централь</w:t>
      </w:r>
      <w:r>
        <w:softHyphen/>
        <w:t>ные банки основаны на смешанном капитале, свою деятельность они строят исходя из государственных интересов и в соответствии с законом реализуют государствен</w:t>
      </w:r>
      <w:r>
        <w:softHyphen/>
        <w:t>ную политику, поэтому мы вправе относить их в полной мере к органам государ</w:t>
      </w:r>
      <w:r>
        <w:softHyphen/>
        <w:t>ственного управления.</w:t>
      </w:r>
    </w:p>
  </w:footnote>
  <w:footnote w:id="3">
    <w:p w14:paraId="3331556B" w14:textId="77777777" w:rsidR="00B01894" w:rsidRPr="00CA1209" w:rsidRDefault="00B01894" w:rsidP="00B01894">
      <w:pPr>
        <w:pStyle w:val="a4"/>
        <w:shd w:val="clear" w:color="auto" w:fill="auto"/>
        <w:ind w:firstLine="0"/>
        <w:jc w:val="right"/>
        <w:rPr>
          <w:lang w:val="en-US"/>
        </w:rPr>
      </w:pPr>
      <w:r>
        <w:rPr>
          <w:vertAlign w:val="superscript"/>
        </w:rPr>
        <w:footnoteRef/>
      </w:r>
      <w:r w:rsidRPr="00CA1209">
        <w:rPr>
          <w:lang w:val="en-US"/>
        </w:rPr>
        <w:t xml:space="preserve"> </w:t>
      </w:r>
      <w:r>
        <w:rPr>
          <w:lang w:val="en-US" w:eastAsia="en-US" w:bidi="en-US"/>
        </w:rPr>
        <w:t xml:space="preserve">URL: </w:t>
      </w:r>
      <w:hyperlink r:id="rId1" w:history="1">
        <w:r>
          <w:rPr>
            <w:lang w:val="en-US" w:eastAsia="en-US" w:bidi="en-US"/>
          </w:rPr>
          <w:t>http://www.spa.msu.ru/uploads/flles/h8dissertazionnii_sovet_d_501.001.2</w:t>
        </w:r>
      </w:hyperlink>
    </w:p>
    <w:p w14:paraId="06A6AD16" w14:textId="77777777" w:rsidR="00B01894" w:rsidRPr="00CA1209" w:rsidRDefault="00B01894" w:rsidP="00B01894">
      <w:pPr>
        <w:pStyle w:val="a4"/>
        <w:shd w:val="clear" w:color="auto" w:fill="auto"/>
        <w:tabs>
          <w:tab w:val="left" w:leader="underscore" w:pos="1464"/>
        </w:tabs>
        <w:ind w:firstLine="0"/>
        <w:rPr>
          <w:lang w:val="en-US"/>
        </w:rPr>
      </w:pPr>
      <w:r>
        <w:rPr>
          <w:lang w:val="en-US" w:eastAsia="en-US" w:bidi="en-US"/>
        </w:rPr>
        <w:t>7h8brh923.00.02</w:t>
      </w:r>
      <w:r w:rsidRPr="00CA1209">
        <w:rPr>
          <w:lang w:val="en-US"/>
        </w:rPr>
        <w:tab/>
      </w:r>
      <w:r>
        <w:rPr>
          <w:lang w:val="en-US" w:eastAsia="en-US" w:bidi="en-US"/>
        </w:rPr>
        <w:t>polititcheskie_instituti_prozessi_i_tehnologiih97popandopuloai.pdf;</w:t>
      </w:r>
    </w:p>
    <w:p w14:paraId="434AD5D8" w14:textId="77777777" w:rsidR="00B01894" w:rsidRPr="00CA1209" w:rsidRDefault="00000000" w:rsidP="00B01894">
      <w:pPr>
        <w:pStyle w:val="a4"/>
        <w:shd w:val="clear" w:color="auto" w:fill="auto"/>
        <w:ind w:firstLine="0"/>
        <w:rPr>
          <w:lang w:val="en-US"/>
        </w:rPr>
      </w:pPr>
      <w:hyperlink r:id="rId2" w:history="1">
        <w:r w:rsidR="00B01894">
          <w:rPr>
            <w:lang w:val="en-US" w:eastAsia="en-US" w:bidi="en-US"/>
          </w:rPr>
          <w:t>http://www.m-economy.ru/art.php?nArtId=945</w:t>
        </w:r>
      </w:hyperlink>
      <w:r w:rsidR="00B01894">
        <w:rPr>
          <w:lang w:val="en-US" w:eastAsia="en-US" w:bidi="en-US"/>
        </w:rPr>
        <w:t xml:space="preserve">; </w:t>
      </w:r>
      <w:hyperlink r:id="rId3" w:history="1">
        <w:r w:rsidR="00B01894">
          <w:rPr>
            <w:lang w:val="en-US" w:eastAsia="en-US" w:bidi="en-US"/>
          </w:rPr>
          <w:t>http://magazines.russ.ru/nz/2006/50/</w:t>
        </w:r>
      </w:hyperlink>
      <w:r w:rsidR="00B01894">
        <w:rPr>
          <w:lang w:val="en-US" w:eastAsia="en-US" w:bidi="en-US"/>
        </w:rPr>
        <w:t xml:space="preserve"> zu18.html; </w:t>
      </w:r>
      <w:hyperlink r:id="rId4" w:history="1">
        <w:r w:rsidR="00B01894">
          <w:rPr>
            <w:lang w:val="en-US" w:eastAsia="en-US" w:bidi="en-US"/>
          </w:rPr>
          <w:t>http://www.rusnauka.com/30_NNM_2010/Economics/73161.doc.htm</w:t>
        </w:r>
      </w:hyperlink>
      <w:r w:rsidR="00B01894">
        <w:rPr>
          <w:lang w:val="en-US" w:eastAsia="en-US" w:bidi="en-US"/>
        </w:rPr>
        <w:t>.</w:t>
      </w:r>
    </w:p>
  </w:footnote>
  <w:footnote w:id="4">
    <w:p w14:paraId="5C89CBAC" w14:textId="77777777" w:rsidR="00B01894" w:rsidRDefault="00B01894" w:rsidP="00B01894">
      <w:pPr>
        <w:pStyle w:val="a4"/>
        <w:shd w:val="clear" w:color="auto" w:fill="auto"/>
      </w:pPr>
      <w:r>
        <w:rPr>
          <w:rStyle w:val="9pt0"/>
          <w:vertAlign w:val="superscript"/>
        </w:rPr>
        <w:footnoteRef/>
      </w:r>
      <w:r>
        <w:rPr>
          <w:rStyle w:val="9pt0"/>
        </w:rPr>
        <w:t xml:space="preserve"> </w:t>
      </w:r>
      <w:r>
        <w:t>Институциональные аспекты зарождения российского протекционизма: при</w:t>
      </w:r>
      <w:r>
        <w:softHyphen/>
        <w:t>нятие торгового Устава 1653 года // Гуманитарные науки. Вестник финансового университета. 2014. № 2 (14). С. 19—32.</w:t>
      </w:r>
    </w:p>
  </w:footnote>
  <w:footnote w:id="5">
    <w:p w14:paraId="2D577A4D" w14:textId="77777777" w:rsidR="00B01894" w:rsidRDefault="00B01894" w:rsidP="00B01894">
      <w:pPr>
        <w:pStyle w:val="a4"/>
        <w:shd w:val="clear" w:color="auto" w:fill="auto"/>
        <w:spacing w:line="206" w:lineRule="exact"/>
        <w:jc w:val="left"/>
      </w:pPr>
      <w:r>
        <w:rPr>
          <w:rStyle w:val="9pt0"/>
          <w:vertAlign w:val="superscript"/>
        </w:rPr>
        <w:footnoteRef/>
      </w:r>
      <w:r>
        <w:rPr>
          <w:rStyle w:val="9pt0"/>
        </w:rPr>
        <w:t xml:space="preserve"> </w:t>
      </w:r>
      <w:r>
        <w:rPr>
          <w:rStyle w:val="a6"/>
        </w:rPr>
        <w:t>Струмилин С. Г.</w:t>
      </w:r>
      <w:r>
        <w:t xml:space="preserve"> Очерки экономической истории России и СССР. М. : Наука, 1966.</w:t>
      </w:r>
    </w:p>
  </w:footnote>
  <w:footnote w:id="6">
    <w:p w14:paraId="0FFB9645" w14:textId="77777777" w:rsidR="00B01894" w:rsidRDefault="00B01894" w:rsidP="00B01894">
      <w:pPr>
        <w:pStyle w:val="a4"/>
        <w:shd w:val="clear" w:color="auto" w:fill="auto"/>
        <w:spacing w:line="202" w:lineRule="exact"/>
      </w:pPr>
      <w:r>
        <w:rPr>
          <w:rStyle w:val="9pt0"/>
          <w:vertAlign w:val="superscript"/>
        </w:rPr>
        <w:footnoteRef/>
      </w:r>
      <w:r>
        <w:rPr>
          <w:rStyle w:val="9pt0"/>
        </w:rPr>
        <w:t xml:space="preserve"> </w:t>
      </w:r>
      <w:r>
        <w:rPr>
          <w:rStyle w:val="a6"/>
        </w:rPr>
        <w:t>Ерешко Е. В.</w:t>
      </w:r>
      <w:r>
        <w:t xml:space="preserve"> Протекционизм и фритрейдерство в таможенной политике Рос</w:t>
      </w:r>
      <w:r>
        <w:softHyphen/>
        <w:t>сийской империи // Историческая и социально-образовательная жизнь. 2009. № 1. С. 73—77.</w:t>
      </w:r>
    </w:p>
  </w:footnote>
  <w:footnote w:id="7">
    <w:p w14:paraId="41C094AE" w14:textId="77777777" w:rsidR="00B01894" w:rsidRDefault="00B01894" w:rsidP="00B01894">
      <w:pPr>
        <w:pStyle w:val="a4"/>
        <w:shd w:val="clear" w:color="auto" w:fill="auto"/>
        <w:spacing w:line="168" w:lineRule="exact"/>
        <w:ind w:right="180" w:firstLine="0"/>
        <w:jc w:val="right"/>
      </w:pPr>
      <w:r>
        <w:rPr>
          <w:vertAlign w:val="superscript"/>
        </w:rPr>
        <w:footnoteRef/>
      </w:r>
      <w:r>
        <w:t xml:space="preserve"> </w:t>
      </w:r>
      <w:r>
        <w:rPr>
          <w:rStyle w:val="a6"/>
        </w:rPr>
        <w:t>Катасонов В. Ю.</w:t>
      </w:r>
      <w:r>
        <w:t xml:space="preserve"> Экономическая война против России. М. : Алгоритм, 2014.</w:t>
      </w:r>
    </w:p>
  </w:footnote>
  <w:footnote w:id="8">
    <w:p w14:paraId="1414B938" w14:textId="77777777" w:rsidR="00B01894" w:rsidRDefault="00B01894" w:rsidP="00B01894">
      <w:pPr>
        <w:pStyle w:val="a4"/>
        <w:shd w:val="clear" w:color="auto" w:fill="auto"/>
      </w:pPr>
      <w:r>
        <w:rPr>
          <w:rStyle w:val="9pt0"/>
          <w:vertAlign w:val="superscript"/>
        </w:rPr>
        <w:footnoteRef/>
      </w:r>
      <w:r>
        <w:rPr>
          <w:rStyle w:val="9pt0"/>
        </w:rPr>
        <w:t xml:space="preserve"> </w:t>
      </w:r>
      <w:r>
        <w:t>Термины частно-государственное партнерство и государственно-частное пар</w:t>
      </w:r>
      <w:r>
        <w:softHyphen/>
        <w:t>тнерство используются автором в одном и том же значении, которое не противо</w:t>
      </w:r>
      <w:r>
        <w:softHyphen/>
        <w:t>речит действующему законодательству.</w:t>
      </w:r>
    </w:p>
  </w:footnote>
  <w:footnote w:id="9">
    <w:p w14:paraId="7A12634B" w14:textId="77777777" w:rsidR="00B01894" w:rsidRDefault="00B01894" w:rsidP="00B01894">
      <w:pPr>
        <w:pStyle w:val="a4"/>
        <w:shd w:val="clear" w:color="auto" w:fill="auto"/>
        <w:spacing w:line="202" w:lineRule="exact"/>
        <w:jc w:val="left"/>
      </w:pPr>
      <w:r>
        <w:rPr>
          <w:rStyle w:val="9pt0"/>
          <w:vertAlign w:val="superscript"/>
        </w:rPr>
        <w:footnoteRef/>
      </w:r>
      <w:r>
        <w:rPr>
          <w:rStyle w:val="9pt0"/>
        </w:rPr>
        <w:t xml:space="preserve"> </w:t>
      </w:r>
      <w:r>
        <w:t>Фидуциарный барьер означает препятствие для сотрудничества, вызванное взаимным недоверием.</w:t>
      </w:r>
    </w:p>
  </w:footnote>
  <w:footnote w:id="10">
    <w:p w14:paraId="2E783F2A" w14:textId="77777777" w:rsidR="00B01894" w:rsidRPr="00350396" w:rsidRDefault="00B01894" w:rsidP="00B01894">
      <w:pPr>
        <w:pStyle w:val="a4"/>
        <w:shd w:val="clear" w:color="auto" w:fill="auto"/>
        <w:spacing w:line="202" w:lineRule="exact"/>
        <w:rPr>
          <w:lang w:val="en-US"/>
        </w:rPr>
      </w:pPr>
      <w:r>
        <w:rPr>
          <w:rStyle w:val="9pt0"/>
          <w:vertAlign w:val="superscript"/>
        </w:rPr>
        <w:footnoteRef/>
      </w:r>
      <w:r>
        <w:rPr>
          <w:rStyle w:val="9pt0"/>
        </w:rPr>
        <w:t xml:space="preserve"> </w:t>
      </w:r>
      <w:r>
        <w:rPr>
          <w:rStyle w:val="a6"/>
        </w:rPr>
        <w:t>Татаркин А. И., Тарасов А. И.</w:t>
      </w:r>
      <w:r>
        <w:t xml:space="preserve"> Трансформация внешнеторговой деятельности регионов России в условиях членства в ВТО // Экономическое возрождение России. </w:t>
      </w:r>
      <w:r w:rsidRPr="00D802F6">
        <w:t xml:space="preserve">2014. № 1 (39). </w:t>
      </w:r>
      <w:r>
        <w:t>С</w:t>
      </w:r>
      <w:r w:rsidRPr="00350396">
        <w:rPr>
          <w:lang w:val="en-US"/>
        </w:rPr>
        <w:t>. 21—30.</w:t>
      </w:r>
    </w:p>
  </w:footnote>
  <w:footnote w:id="11">
    <w:p w14:paraId="561BFF1B" w14:textId="77777777" w:rsidR="00B01894" w:rsidRPr="00350396" w:rsidRDefault="00B01894" w:rsidP="00B01894">
      <w:pPr>
        <w:pStyle w:val="a4"/>
        <w:shd w:val="clear" w:color="auto" w:fill="auto"/>
        <w:spacing w:line="168" w:lineRule="exact"/>
        <w:ind w:left="320" w:firstLine="0"/>
        <w:jc w:val="left"/>
        <w:rPr>
          <w:lang w:val="en-US"/>
        </w:rPr>
      </w:pPr>
      <w:r>
        <w:rPr>
          <w:vertAlign w:val="superscript"/>
        </w:rPr>
        <w:footnoteRef/>
      </w:r>
      <w:r w:rsidRPr="00350396">
        <w:rPr>
          <w:lang w:val="en-US"/>
        </w:rPr>
        <w:t xml:space="preserve"> </w:t>
      </w:r>
      <w:r>
        <w:rPr>
          <w:lang w:val="en-US" w:eastAsia="en-US" w:bidi="en-US"/>
        </w:rPr>
        <w:t>URL</w:t>
      </w:r>
      <w:r w:rsidRPr="00350396">
        <w:rPr>
          <w:lang w:val="en-US" w:eastAsia="en-US" w:bidi="en-US"/>
        </w:rPr>
        <w:t xml:space="preserve">: </w:t>
      </w:r>
      <w:hyperlink r:id="rId5" w:history="1">
        <w:r>
          <w:rPr>
            <w:lang w:val="en-US" w:eastAsia="en-US" w:bidi="en-US"/>
          </w:rPr>
          <w:t>http</w:t>
        </w:r>
        <w:r w:rsidRPr="00350396">
          <w:rPr>
            <w:lang w:val="en-US" w:eastAsia="en-US" w:bidi="en-US"/>
          </w:rPr>
          <w:t>://</w:t>
        </w:r>
        <w:r>
          <w:rPr>
            <w:lang w:val="en-US" w:eastAsia="en-US" w:bidi="en-US"/>
          </w:rPr>
          <w:t>www</w:t>
        </w:r>
        <w:r w:rsidRPr="00350396">
          <w:rPr>
            <w:lang w:val="en-US" w:eastAsia="en-US" w:bidi="en-US"/>
          </w:rPr>
          <w:t>.</w:t>
        </w:r>
        <w:r>
          <w:rPr>
            <w:lang w:val="en-US" w:eastAsia="en-US" w:bidi="en-US"/>
          </w:rPr>
          <w:t>unctad</w:t>
        </w:r>
        <w:r w:rsidRPr="00350396">
          <w:rPr>
            <w:lang w:val="en-US" w:eastAsia="en-US" w:bidi="en-US"/>
          </w:rPr>
          <w:t>.</w:t>
        </w:r>
        <w:r>
          <w:rPr>
            <w:lang w:val="en-US" w:eastAsia="en-US" w:bidi="en-US"/>
          </w:rPr>
          <w:t>org</w:t>
        </w:r>
      </w:hyperlink>
      <w:r w:rsidRPr="00350396">
        <w:rPr>
          <w:lang w:val="en-US" w:eastAsia="en-US" w:bidi="en-US"/>
        </w:rPr>
        <w:t>.</w:t>
      </w:r>
    </w:p>
  </w:footnote>
  <w:footnote w:id="12">
    <w:p w14:paraId="0B168847" w14:textId="77777777" w:rsidR="00B01894" w:rsidRPr="00B6416C" w:rsidRDefault="00B01894" w:rsidP="00B01894">
      <w:pPr>
        <w:pStyle w:val="a4"/>
        <w:shd w:val="clear" w:color="auto" w:fill="auto"/>
        <w:spacing w:line="206" w:lineRule="exact"/>
        <w:jc w:val="left"/>
        <w:rPr>
          <w:lang w:val="en-US"/>
        </w:rPr>
      </w:pPr>
      <w:r>
        <w:rPr>
          <w:vertAlign w:val="superscript"/>
        </w:rPr>
        <w:footnoteRef/>
      </w:r>
      <w:r w:rsidRPr="00350396">
        <w:rPr>
          <w:lang w:val="en-US"/>
        </w:rPr>
        <w:t xml:space="preserve"> </w:t>
      </w:r>
      <w:r>
        <w:rPr>
          <w:rStyle w:val="a6"/>
          <w:lang w:val="en-US" w:eastAsia="en-US" w:bidi="en-US"/>
        </w:rPr>
        <w:t>Linder</w:t>
      </w:r>
      <w:r w:rsidRPr="00350396">
        <w:rPr>
          <w:rStyle w:val="a6"/>
          <w:lang w:val="en-US" w:eastAsia="en-US" w:bidi="en-US"/>
        </w:rPr>
        <w:t xml:space="preserve"> </w:t>
      </w:r>
      <w:r>
        <w:rPr>
          <w:rStyle w:val="a6"/>
          <w:lang w:val="en-US" w:eastAsia="en-US" w:bidi="en-US"/>
        </w:rPr>
        <w:t>Stefan</w:t>
      </w:r>
      <w:r w:rsidRPr="00350396">
        <w:rPr>
          <w:rStyle w:val="a6"/>
          <w:lang w:val="en-US" w:eastAsia="en-US" w:bidi="en-US"/>
        </w:rPr>
        <w:t>.</w:t>
      </w:r>
      <w:r w:rsidRPr="00350396">
        <w:rPr>
          <w:lang w:val="en-US" w:eastAsia="en-US" w:bidi="en-US"/>
        </w:rPr>
        <w:t xml:space="preserve"> </w:t>
      </w:r>
      <w:r>
        <w:rPr>
          <w:lang w:val="en-US" w:eastAsia="en-US" w:bidi="en-US"/>
        </w:rPr>
        <w:t>An Essay on Trade and Transformation. N. Y. : John Wiley &amp; Sons, 1961.</w:t>
      </w:r>
    </w:p>
  </w:footnote>
  <w:footnote w:id="13">
    <w:p w14:paraId="7A76BA9F" w14:textId="77777777" w:rsidR="00B01894" w:rsidRDefault="00B01894" w:rsidP="00B01894">
      <w:pPr>
        <w:pStyle w:val="a4"/>
        <w:shd w:val="clear" w:color="auto" w:fill="auto"/>
        <w:ind w:firstLine="320"/>
      </w:pPr>
      <w:r>
        <w:rPr>
          <w:vertAlign w:val="superscript"/>
        </w:rPr>
        <w:footnoteRef/>
      </w:r>
      <w:r>
        <w:t xml:space="preserve"> </w:t>
      </w:r>
      <w:r>
        <w:rPr>
          <w:rStyle w:val="a6"/>
        </w:rPr>
        <w:t>Медведь А. А., Плотников В. А.</w:t>
      </w:r>
      <w:r>
        <w:t xml:space="preserve"> Институциональные аспекты формирования инвестиционного климата в Российской Федерации // Научно-технические ведо</w:t>
      </w:r>
      <w:r>
        <w:softHyphen/>
        <w:t>мости Санкт-Петербургского государственного политехнического университета. Серия «Экономика». 2013. № 6—1 (185). С. 136—143.</w:t>
      </w:r>
    </w:p>
  </w:footnote>
  <w:footnote w:id="14">
    <w:p w14:paraId="37E253C2" w14:textId="77777777" w:rsidR="00B01894" w:rsidRDefault="00B01894" w:rsidP="00B01894">
      <w:pPr>
        <w:pStyle w:val="a4"/>
        <w:shd w:val="clear" w:color="auto" w:fill="auto"/>
        <w:ind w:firstLine="320"/>
      </w:pPr>
      <w:r>
        <w:rPr>
          <w:rStyle w:val="9pt0"/>
          <w:vertAlign w:val="superscript"/>
        </w:rPr>
        <w:footnoteRef/>
      </w:r>
      <w:r>
        <w:rPr>
          <w:rStyle w:val="9pt0"/>
        </w:rPr>
        <w:t xml:space="preserve"> </w:t>
      </w:r>
      <w:r>
        <w:t>Уголовный кодекс Российской Федерации: Федеральный закон от 13.06.1996 № 63-ФЗ. При самостоятельном изучении нормативных правовых актов, упомина</w:t>
      </w:r>
      <w:r>
        <w:softHyphen/>
        <w:t>емых в учебнике, необходимо учитывать изменения и дополнения, которые были внесены в них с момента вступления в действие. С официальными текстами доку</w:t>
      </w:r>
      <w:r>
        <w:softHyphen/>
        <w:t>ментов можно ознакомиться на Официальном интернет-портале правовой инфор</w:t>
      </w:r>
      <w:r>
        <w:softHyphen/>
        <w:t xml:space="preserve">мации </w:t>
      </w:r>
      <w:r w:rsidRPr="00B6416C">
        <w:rPr>
          <w:lang w:eastAsia="en-US" w:bidi="en-US"/>
        </w:rPr>
        <w:t>(</w:t>
      </w:r>
      <w:hyperlink r:id="rId6" w:history="1">
        <w:r>
          <w:rPr>
            <w:lang w:val="en-US" w:eastAsia="en-US" w:bidi="en-US"/>
          </w:rPr>
          <w:t>http</w:t>
        </w:r>
        <w:r w:rsidRPr="00B6416C">
          <w:rPr>
            <w:lang w:eastAsia="en-US" w:bidi="en-US"/>
          </w:rPr>
          <w:t>://</w:t>
        </w:r>
        <w:r>
          <w:rPr>
            <w:lang w:val="en-US" w:eastAsia="en-US" w:bidi="en-US"/>
          </w:rPr>
          <w:t>www</w:t>
        </w:r>
        <w:r w:rsidRPr="00B6416C">
          <w:rPr>
            <w:lang w:eastAsia="en-US" w:bidi="en-US"/>
          </w:rPr>
          <w:t>.</w:t>
        </w:r>
        <w:r>
          <w:rPr>
            <w:lang w:val="en-US" w:eastAsia="en-US" w:bidi="en-US"/>
          </w:rPr>
          <w:t>pravo</w:t>
        </w:r>
        <w:r w:rsidRPr="00B6416C">
          <w:rPr>
            <w:lang w:eastAsia="en-US" w:bidi="en-US"/>
          </w:rPr>
          <w:t>.</w:t>
        </w:r>
        <w:r>
          <w:rPr>
            <w:lang w:val="en-US" w:eastAsia="en-US" w:bidi="en-US"/>
          </w:rPr>
          <w:t>gov</w:t>
        </w:r>
        <w:r w:rsidRPr="00B6416C">
          <w:rPr>
            <w:lang w:eastAsia="en-US" w:bidi="en-US"/>
          </w:rPr>
          <w:t>.</w:t>
        </w:r>
        <w:r>
          <w:rPr>
            <w:lang w:val="en-US" w:eastAsia="en-US" w:bidi="en-US"/>
          </w:rPr>
          <w:t>ru</w:t>
        </w:r>
      </w:hyperlink>
      <w:r w:rsidRPr="00B6416C">
        <w:rPr>
          <w:lang w:eastAsia="en-US" w:bidi="en-US"/>
        </w:rPr>
        <w:t xml:space="preserve">). </w:t>
      </w:r>
      <w:r>
        <w:t>Кроме того, можно обращаться к таким справоч</w:t>
      </w:r>
      <w:r>
        <w:softHyphen/>
        <w:t>ным системам, как «КонсультантПлюс», «Гарант» и др.</w:t>
      </w:r>
    </w:p>
  </w:footnote>
  <w:footnote w:id="15">
    <w:p w14:paraId="00B405D5" w14:textId="77777777" w:rsidR="00B01894" w:rsidRDefault="00B01894" w:rsidP="00B01894">
      <w:pPr>
        <w:pStyle w:val="a4"/>
        <w:shd w:val="clear" w:color="auto" w:fill="auto"/>
        <w:spacing w:line="202" w:lineRule="exact"/>
        <w:ind w:left="340" w:firstLine="0"/>
        <w:jc w:val="left"/>
      </w:pPr>
      <w:r>
        <w:rPr>
          <w:rStyle w:val="9pt0"/>
          <w:vertAlign w:val="superscript"/>
        </w:rPr>
        <w:footnoteRef/>
      </w:r>
      <w:r>
        <w:rPr>
          <w:rStyle w:val="9pt0"/>
        </w:rPr>
        <w:t xml:space="preserve"> </w:t>
      </w:r>
      <w:r>
        <w:t>Проблема взаимного недоверия.</w:t>
      </w:r>
    </w:p>
  </w:footnote>
  <w:footnote w:id="16">
    <w:p w14:paraId="15507361" w14:textId="77777777" w:rsidR="00B01894" w:rsidRDefault="00B01894" w:rsidP="00B01894">
      <w:pPr>
        <w:pStyle w:val="a4"/>
        <w:shd w:val="clear" w:color="auto" w:fill="auto"/>
        <w:ind w:firstLine="320"/>
      </w:pPr>
      <w:r>
        <w:rPr>
          <w:rStyle w:val="9pt0"/>
          <w:vertAlign w:val="superscript"/>
        </w:rPr>
        <w:footnoteRef/>
      </w:r>
      <w:r>
        <w:rPr>
          <w:rStyle w:val="9pt0"/>
        </w:rPr>
        <w:t xml:space="preserve"> </w:t>
      </w:r>
      <w:r>
        <w:t>Частно-государственное партнерство при реализации стратегических планов: практика и рекомендации. СПб. : Международный центр социально-экономических исследований «Леонтьевский центр», 2008.</w:t>
      </w:r>
    </w:p>
  </w:footnote>
  <w:footnote w:id="17">
    <w:p w14:paraId="4A671027" w14:textId="77777777" w:rsidR="00B01894" w:rsidRDefault="00B01894" w:rsidP="00B01894">
      <w:pPr>
        <w:pStyle w:val="a4"/>
        <w:shd w:val="clear" w:color="auto" w:fill="auto"/>
        <w:ind w:firstLine="320"/>
      </w:pPr>
      <w:r>
        <w:rPr>
          <w:vertAlign w:val="superscript"/>
        </w:rPr>
        <w:footnoteRef/>
      </w:r>
      <w:r>
        <w:t xml:space="preserve"> Смешанные блага — блага, имеющие черты общественных и частных. К сме</w:t>
      </w:r>
      <w:r>
        <w:softHyphen/>
        <w:t>шанным благам относятся, например, перегружаемые, когда потребители готовы платить за доступ к ним.</w:t>
      </w:r>
    </w:p>
  </w:footnote>
  <w:footnote w:id="18">
    <w:p w14:paraId="6EE38B2F" w14:textId="77777777" w:rsidR="00B01894" w:rsidRDefault="00B01894" w:rsidP="00B01894">
      <w:pPr>
        <w:pStyle w:val="a4"/>
        <w:shd w:val="clear" w:color="auto" w:fill="auto"/>
        <w:spacing w:line="202" w:lineRule="exact"/>
        <w:jc w:val="left"/>
      </w:pPr>
      <w:r>
        <w:rPr>
          <w:rStyle w:val="9pt0"/>
          <w:vertAlign w:val="superscript"/>
        </w:rPr>
        <w:footnoteRef/>
      </w:r>
      <w:r>
        <w:rPr>
          <w:rStyle w:val="9pt0"/>
        </w:rPr>
        <w:t xml:space="preserve"> </w:t>
      </w:r>
      <w:r>
        <w:t xml:space="preserve">Подробнее см.: </w:t>
      </w:r>
      <w:r>
        <w:rPr>
          <w:rStyle w:val="a6"/>
        </w:rPr>
        <w:t>Хиллман А. Л.</w:t>
      </w:r>
      <w:r>
        <w:t xml:space="preserve"> Государство и экономическая политика. М. : Изд-во ГУ ВШЭ, 2009.</w:t>
      </w:r>
    </w:p>
  </w:footnote>
  <w:footnote w:id="19">
    <w:p w14:paraId="2A5F7885" w14:textId="77777777" w:rsidR="00B01894" w:rsidRDefault="00B01894" w:rsidP="00B01894">
      <w:pPr>
        <w:pStyle w:val="a4"/>
        <w:shd w:val="clear" w:color="auto" w:fill="auto"/>
      </w:pPr>
      <w:r>
        <w:rPr>
          <w:rStyle w:val="9pt0"/>
          <w:vertAlign w:val="superscript"/>
        </w:rPr>
        <w:footnoteRef/>
      </w:r>
      <w:r>
        <w:rPr>
          <w:rStyle w:val="9pt0"/>
        </w:rPr>
        <w:t xml:space="preserve"> </w:t>
      </w:r>
      <w:r>
        <w:t xml:space="preserve">Подробнее см.: </w:t>
      </w:r>
      <w:r>
        <w:rPr>
          <w:rStyle w:val="a6"/>
        </w:rPr>
        <w:t>Ильинский И. В.</w:t>
      </w:r>
      <w:r>
        <w:t xml:space="preserve"> Конкурентоспособность человеческого ка</w:t>
      </w:r>
      <w:r>
        <w:softHyphen/>
        <w:t>питала России: состояние, проблемы, перспективы : монография. СПб. : Изд- во СПГУТД, 2011.</w:t>
      </w:r>
    </w:p>
  </w:footnote>
  <w:footnote w:id="20">
    <w:p w14:paraId="2B9F5644" w14:textId="77777777" w:rsidR="00B01894" w:rsidRDefault="00B01894" w:rsidP="00B01894">
      <w:pPr>
        <w:pStyle w:val="a4"/>
        <w:shd w:val="clear" w:color="auto" w:fill="auto"/>
        <w:ind w:firstLine="320"/>
      </w:pPr>
      <w:r>
        <w:rPr>
          <w:rStyle w:val="9pt0"/>
          <w:vertAlign w:val="superscript"/>
        </w:rPr>
        <w:footnoteRef/>
      </w:r>
      <w:r>
        <w:rPr>
          <w:rStyle w:val="9pt0"/>
        </w:rPr>
        <w:t xml:space="preserve"> </w:t>
      </w:r>
      <w:r>
        <w:t>Конституция Российской Федерации, принята всенародным голосованием 12.12.1993 (с учетом поправок, внесенных Законами Российской Федерации о по</w:t>
      </w:r>
      <w:r>
        <w:softHyphen/>
        <w:t>правках к Конституции Российской Федерации от 30.12.2008 № 6-ФКЗ и № 7-ФКЗ, от 05.02.2014 № 2-ФКЗ, от 21.07.2014 № 11-ФКЗ).</w:t>
      </w:r>
    </w:p>
  </w:footnote>
  <w:footnote w:id="21">
    <w:p w14:paraId="27A2AFF8" w14:textId="77777777" w:rsidR="00350396" w:rsidRDefault="00350396" w:rsidP="00350396">
      <w:pPr>
        <w:pStyle w:val="a4"/>
        <w:shd w:val="clear" w:color="auto" w:fill="auto"/>
        <w:tabs>
          <w:tab w:val="left" w:pos="446"/>
        </w:tabs>
        <w:jc w:val="left"/>
      </w:pPr>
      <w:r>
        <w:rPr>
          <w:rStyle w:val="9pt0"/>
          <w:vertAlign w:val="superscript"/>
        </w:rPr>
        <w:footnoteRef/>
      </w:r>
      <w:r>
        <w:tab/>
        <w:t>Социальная работа: теория и практика : учеб. пособие. М. : ИНФРА-М, 2001. С. 105.</w:t>
      </w:r>
    </w:p>
  </w:footnote>
  <w:footnote w:id="22">
    <w:p w14:paraId="27457EBC" w14:textId="77777777" w:rsidR="00350396" w:rsidRPr="002741C7" w:rsidRDefault="00350396" w:rsidP="00350396">
      <w:pPr>
        <w:pStyle w:val="a4"/>
        <w:shd w:val="clear" w:color="auto" w:fill="auto"/>
        <w:tabs>
          <w:tab w:val="left" w:pos="437"/>
        </w:tabs>
        <w:ind w:firstLine="320"/>
        <w:jc w:val="left"/>
      </w:pPr>
      <w:r>
        <w:rPr>
          <w:rStyle w:val="9pt0"/>
          <w:vertAlign w:val="superscript"/>
        </w:rPr>
        <w:footnoteRef/>
      </w:r>
      <w:r>
        <w:tab/>
      </w:r>
      <w:r>
        <w:rPr>
          <w:rStyle w:val="a6"/>
        </w:rPr>
        <w:t>Привалов Н. Г.</w:t>
      </w:r>
      <w:r>
        <w:t xml:space="preserve"> Экономика некоммерческого сектора : учебник. 2-е изд., пере- раб. и доп. М. : ИНФРА-М, 2020. С</w:t>
      </w:r>
      <w:r w:rsidRPr="002741C7">
        <w:t>. 37.</w:t>
      </w:r>
    </w:p>
  </w:footnote>
  <w:footnote w:id="23">
    <w:p w14:paraId="301BAA45" w14:textId="77777777" w:rsidR="00350396" w:rsidRPr="002741C7" w:rsidRDefault="00350396" w:rsidP="00350396">
      <w:pPr>
        <w:pStyle w:val="a4"/>
        <w:shd w:val="clear" w:color="auto" w:fill="auto"/>
        <w:tabs>
          <w:tab w:val="left" w:pos="494"/>
        </w:tabs>
        <w:spacing w:line="202" w:lineRule="exact"/>
        <w:ind w:left="340" w:firstLine="0"/>
      </w:pPr>
      <w:r>
        <w:rPr>
          <w:rStyle w:val="9pt0"/>
          <w:vertAlign w:val="superscript"/>
        </w:rPr>
        <w:footnoteRef/>
      </w:r>
      <w:r w:rsidRPr="002741C7">
        <w:rPr>
          <w:rStyle w:val="9pt0"/>
        </w:rPr>
        <w:tab/>
      </w:r>
      <w:r>
        <w:rPr>
          <w:lang w:val="en-US" w:eastAsia="en-US" w:bidi="en-US"/>
        </w:rPr>
        <w:t>URL</w:t>
      </w:r>
      <w:r w:rsidRPr="002741C7">
        <w:rPr>
          <w:lang w:eastAsia="en-US" w:bidi="en-US"/>
        </w:rPr>
        <w:t xml:space="preserve">: </w:t>
      </w:r>
      <w:hyperlink r:id="rId7" w:history="1">
        <w:r>
          <w:rPr>
            <w:lang w:val="en-US" w:eastAsia="en-US" w:bidi="en-US"/>
          </w:rPr>
          <w:t>http</w:t>
        </w:r>
        <w:r w:rsidRPr="002741C7">
          <w:rPr>
            <w:lang w:eastAsia="en-US" w:bidi="en-US"/>
          </w:rPr>
          <w:t>://</w:t>
        </w:r>
        <w:r>
          <w:rPr>
            <w:lang w:val="en-US" w:eastAsia="en-US" w:bidi="en-US"/>
          </w:rPr>
          <w:t>www</w:t>
        </w:r>
        <w:r w:rsidRPr="002741C7">
          <w:rPr>
            <w:lang w:eastAsia="en-US" w:bidi="en-US"/>
          </w:rPr>
          <w:t>.</w:t>
        </w:r>
        <w:r>
          <w:rPr>
            <w:lang w:val="en-US" w:eastAsia="en-US" w:bidi="en-US"/>
          </w:rPr>
          <w:t>lib</w:t>
        </w:r>
        <w:r w:rsidRPr="002741C7">
          <w:rPr>
            <w:lang w:eastAsia="en-US" w:bidi="en-US"/>
          </w:rPr>
          <w:t>.</w:t>
        </w:r>
        <w:r>
          <w:rPr>
            <w:lang w:val="en-US" w:eastAsia="en-US" w:bidi="en-US"/>
          </w:rPr>
          <w:t>ru</w:t>
        </w:r>
        <w:r w:rsidRPr="002741C7">
          <w:rPr>
            <w:lang w:eastAsia="en-US" w:bidi="en-US"/>
          </w:rPr>
          <w:t>/</w:t>
        </w:r>
        <w:r>
          <w:rPr>
            <w:lang w:val="en-US" w:eastAsia="en-US" w:bidi="en-US"/>
          </w:rPr>
          <w:t>FILOSOF</w:t>
        </w:r>
        <w:r w:rsidRPr="002741C7">
          <w:rPr>
            <w:lang w:eastAsia="en-US" w:bidi="en-US"/>
          </w:rPr>
          <w:t>/</w:t>
        </w:r>
        <w:r>
          <w:rPr>
            <w:lang w:val="en-US" w:eastAsia="en-US" w:bidi="en-US"/>
          </w:rPr>
          <w:t>RUSSO</w:t>
        </w:r>
        <w:r w:rsidRPr="002741C7">
          <w:rPr>
            <w:lang w:eastAsia="en-US" w:bidi="en-US"/>
          </w:rPr>
          <w:t>/</w:t>
        </w:r>
        <w:r>
          <w:rPr>
            <w:lang w:val="en-US" w:eastAsia="en-US" w:bidi="en-US"/>
          </w:rPr>
          <w:t>prawo</w:t>
        </w:r>
        <w:r w:rsidRPr="002741C7">
          <w:rPr>
            <w:lang w:eastAsia="en-US" w:bidi="en-US"/>
          </w:rPr>
          <w:t>.</w:t>
        </w:r>
        <w:r>
          <w:rPr>
            <w:lang w:val="en-US" w:eastAsia="en-US" w:bidi="en-US"/>
          </w:rPr>
          <w:t>txt</w:t>
        </w:r>
      </w:hyperlink>
      <w:r w:rsidRPr="002741C7">
        <w:rPr>
          <w:lang w:eastAsia="en-US" w:bidi="en-US"/>
        </w:rPr>
        <w:t>.</w:t>
      </w:r>
    </w:p>
  </w:footnote>
  <w:footnote w:id="24">
    <w:p w14:paraId="305FE6D8" w14:textId="77777777" w:rsidR="00350396" w:rsidRDefault="00350396" w:rsidP="00350396">
      <w:pPr>
        <w:pStyle w:val="a4"/>
        <w:shd w:val="clear" w:color="auto" w:fill="auto"/>
        <w:tabs>
          <w:tab w:val="left" w:pos="484"/>
        </w:tabs>
        <w:spacing w:line="168" w:lineRule="exact"/>
        <w:ind w:left="340" w:firstLine="0"/>
      </w:pPr>
      <w:r>
        <w:rPr>
          <w:vertAlign w:val="superscript"/>
        </w:rPr>
        <w:footnoteRef/>
      </w:r>
      <w:r>
        <w:tab/>
      </w:r>
      <w:r>
        <w:rPr>
          <w:rStyle w:val="a6"/>
        </w:rPr>
        <w:t>Михеев В. А.</w:t>
      </w:r>
      <w:r>
        <w:t xml:space="preserve"> Основы социального партнерства. М. : Экзамен, 2001. С. 11—13.</w:t>
      </w:r>
    </w:p>
  </w:footnote>
  <w:footnote w:id="25">
    <w:p w14:paraId="6A27B4C6" w14:textId="77777777" w:rsidR="00350396" w:rsidRDefault="00350396" w:rsidP="00350396">
      <w:pPr>
        <w:pStyle w:val="a4"/>
        <w:shd w:val="clear" w:color="auto" w:fill="auto"/>
        <w:tabs>
          <w:tab w:val="left" w:pos="474"/>
        </w:tabs>
        <w:spacing w:line="168" w:lineRule="exact"/>
        <w:ind w:left="320" w:firstLine="0"/>
      </w:pPr>
      <w:r>
        <w:rPr>
          <w:vertAlign w:val="superscript"/>
        </w:rPr>
        <w:footnoteRef/>
      </w:r>
      <w:r>
        <w:tab/>
      </w:r>
      <w:r>
        <w:rPr>
          <w:rStyle w:val="a6"/>
        </w:rPr>
        <w:t>Милль Дж. Ст.</w:t>
      </w:r>
      <w:r>
        <w:t xml:space="preserve"> Основы политической экономии. Т. 1. М. : Прогресс, 1980.</w:t>
      </w:r>
    </w:p>
  </w:footnote>
  <w:footnote w:id="26">
    <w:p w14:paraId="104EF4A3" w14:textId="77777777" w:rsidR="00350396" w:rsidRDefault="00350396" w:rsidP="00350396">
      <w:pPr>
        <w:pStyle w:val="a4"/>
        <w:shd w:val="clear" w:color="auto" w:fill="auto"/>
        <w:tabs>
          <w:tab w:val="left" w:pos="484"/>
        </w:tabs>
        <w:ind w:left="340" w:firstLine="0"/>
      </w:pPr>
      <w:r>
        <w:rPr>
          <w:vertAlign w:val="superscript"/>
        </w:rPr>
        <w:footnoteRef/>
      </w:r>
      <w:r>
        <w:tab/>
      </w:r>
      <w:r>
        <w:rPr>
          <w:rStyle w:val="a6"/>
        </w:rPr>
        <w:t>Маршалл А.</w:t>
      </w:r>
      <w:r>
        <w:t xml:space="preserve"> Принципы политической экономии. Т. 1. М. : Прогресс, 1983.</w:t>
      </w:r>
    </w:p>
  </w:footnote>
  <w:footnote w:id="27">
    <w:p w14:paraId="400BC97C" w14:textId="77777777" w:rsidR="00350396" w:rsidRDefault="00350396" w:rsidP="00350396">
      <w:pPr>
        <w:pStyle w:val="a4"/>
        <w:shd w:val="clear" w:color="auto" w:fill="auto"/>
        <w:tabs>
          <w:tab w:val="left" w:pos="503"/>
        </w:tabs>
        <w:ind w:left="340" w:firstLine="0"/>
      </w:pPr>
      <w:r>
        <w:rPr>
          <w:vertAlign w:val="superscript"/>
        </w:rPr>
        <w:footnoteRef/>
      </w:r>
      <w:r>
        <w:tab/>
        <w:t>Там же. С. 61.</w:t>
      </w:r>
    </w:p>
  </w:footnote>
  <w:footnote w:id="28">
    <w:p w14:paraId="1F3D83B3" w14:textId="77777777" w:rsidR="00350396" w:rsidRDefault="00350396" w:rsidP="00350396">
      <w:pPr>
        <w:pStyle w:val="a4"/>
        <w:shd w:val="clear" w:color="auto" w:fill="auto"/>
        <w:tabs>
          <w:tab w:val="left" w:pos="498"/>
        </w:tabs>
        <w:ind w:left="340" w:firstLine="0"/>
      </w:pPr>
      <w:r>
        <w:rPr>
          <w:vertAlign w:val="superscript"/>
        </w:rPr>
        <w:footnoteRef/>
      </w:r>
      <w:r>
        <w:tab/>
        <w:t xml:space="preserve">См., например: </w:t>
      </w:r>
      <w:r>
        <w:rPr>
          <w:rStyle w:val="a6"/>
        </w:rPr>
        <w:t>Эрхард Л.</w:t>
      </w:r>
      <w:r>
        <w:t xml:space="preserve"> Благосостояние для всех. М. : Дело, 2001.</w:t>
      </w:r>
    </w:p>
  </w:footnote>
  <w:footnote w:id="29">
    <w:p w14:paraId="15F221DA" w14:textId="77777777" w:rsidR="00350396" w:rsidRDefault="00350396" w:rsidP="00350396">
      <w:pPr>
        <w:pStyle w:val="a4"/>
        <w:shd w:val="clear" w:color="auto" w:fill="auto"/>
        <w:tabs>
          <w:tab w:val="left" w:pos="464"/>
        </w:tabs>
        <w:spacing w:line="202" w:lineRule="exact"/>
        <w:ind w:left="320" w:firstLine="0"/>
      </w:pPr>
      <w:r>
        <w:rPr>
          <w:vertAlign w:val="superscript"/>
        </w:rPr>
        <w:footnoteRef/>
      </w:r>
      <w:r>
        <w:tab/>
      </w:r>
      <w:r>
        <w:rPr>
          <w:rStyle w:val="a6"/>
        </w:rPr>
        <w:t>Михеев В. А.</w:t>
      </w:r>
      <w:r>
        <w:t xml:space="preserve"> Указ. соч. С. 7.</w:t>
      </w:r>
    </w:p>
  </w:footnote>
  <w:footnote w:id="30">
    <w:p w14:paraId="0509680A" w14:textId="77777777" w:rsidR="00350396" w:rsidRDefault="00350396" w:rsidP="00350396">
      <w:pPr>
        <w:pStyle w:val="a4"/>
        <w:shd w:val="clear" w:color="auto" w:fill="auto"/>
        <w:tabs>
          <w:tab w:val="left" w:pos="442"/>
        </w:tabs>
        <w:spacing w:line="202" w:lineRule="exact"/>
        <w:ind w:firstLine="320"/>
        <w:jc w:val="left"/>
      </w:pPr>
      <w:r>
        <w:rPr>
          <w:vertAlign w:val="superscript"/>
        </w:rPr>
        <w:footnoteRef/>
      </w:r>
      <w:r>
        <w:tab/>
      </w:r>
      <w:r>
        <w:rPr>
          <w:rStyle w:val="a6"/>
        </w:rPr>
        <w:t>Кубицкий С. И.</w:t>
      </w:r>
      <w:r>
        <w:t xml:space="preserve"> Социальное партнерство в России: состояние и перспективы. М. : Изд-во АтиСО, 1999. С. 10.</w:t>
      </w:r>
    </w:p>
  </w:footnote>
  <w:footnote w:id="31">
    <w:p w14:paraId="54E8F1D1" w14:textId="77777777" w:rsidR="00350396" w:rsidRDefault="00350396" w:rsidP="00350396">
      <w:pPr>
        <w:pStyle w:val="a4"/>
        <w:shd w:val="clear" w:color="auto" w:fill="auto"/>
        <w:tabs>
          <w:tab w:val="left" w:pos="437"/>
        </w:tabs>
        <w:spacing w:line="202" w:lineRule="exact"/>
        <w:ind w:firstLine="320"/>
      </w:pPr>
      <w:r>
        <w:rPr>
          <w:vertAlign w:val="superscript"/>
        </w:rPr>
        <w:footnoteRef/>
      </w:r>
      <w:r>
        <w:tab/>
      </w:r>
      <w:r>
        <w:rPr>
          <w:rStyle w:val="a6"/>
        </w:rPr>
        <w:t>Привалов Н. Г. и др.</w:t>
      </w:r>
      <w:r>
        <w:t xml:space="preserve"> Социальное партнерство: от рынка труда к гражданскому обществу / под науч. ред. Н. Г. Привалова. Екатеринбург : Изд-во УралГСХА, 2003. С. 13.</w:t>
      </w:r>
    </w:p>
  </w:footnote>
  <w:footnote w:id="32">
    <w:p w14:paraId="0791C2E2" w14:textId="77777777" w:rsidR="00350396" w:rsidRDefault="00350396" w:rsidP="00350396">
      <w:pPr>
        <w:pStyle w:val="a4"/>
        <w:shd w:val="clear" w:color="auto" w:fill="auto"/>
        <w:tabs>
          <w:tab w:val="left" w:pos="437"/>
        </w:tabs>
      </w:pPr>
      <w:r>
        <w:rPr>
          <w:rStyle w:val="9pt0"/>
          <w:vertAlign w:val="superscript"/>
        </w:rPr>
        <w:footnoteRef/>
      </w:r>
      <w:r>
        <w:tab/>
      </w:r>
      <w:r>
        <w:rPr>
          <w:rStyle w:val="a6"/>
        </w:rPr>
        <w:t>Привалов Н. Г. и др.</w:t>
      </w:r>
      <w:r>
        <w:t xml:space="preserve"> Социальное партнерство: от рынка труда к гражданскому обществу / под науч. ред. Н. Г. Привалова. Екатеринбург : Изд-во УралГСХА, 2003. С. 11—12.</w:t>
      </w:r>
    </w:p>
  </w:footnote>
  <w:footnote w:id="33">
    <w:p w14:paraId="7DEE176A" w14:textId="77777777" w:rsidR="00350396" w:rsidRDefault="00350396" w:rsidP="00350396">
      <w:pPr>
        <w:pStyle w:val="a4"/>
        <w:shd w:val="clear" w:color="auto" w:fill="auto"/>
        <w:tabs>
          <w:tab w:val="left" w:pos="483"/>
        </w:tabs>
        <w:ind w:left="320" w:firstLine="0"/>
      </w:pPr>
      <w:r>
        <w:rPr>
          <w:rStyle w:val="9pt0"/>
          <w:vertAlign w:val="superscript"/>
        </w:rPr>
        <w:footnoteRef/>
      </w:r>
      <w:r>
        <w:rPr>
          <w:rStyle w:val="9pt0"/>
        </w:rPr>
        <w:tab/>
      </w:r>
      <w:r>
        <w:t>Там же. С. 187.</w:t>
      </w:r>
    </w:p>
  </w:footnote>
  <w:footnote w:id="34">
    <w:p w14:paraId="32052A01" w14:textId="77777777" w:rsidR="00350396" w:rsidRDefault="00350396" w:rsidP="00350396">
      <w:pPr>
        <w:pStyle w:val="22"/>
        <w:shd w:val="clear" w:color="auto" w:fill="auto"/>
        <w:ind w:left="340"/>
      </w:pPr>
      <w:r>
        <w:rPr>
          <w:rStyle w:val="29pt"/>
          <w:vertAlign w:val="superscript"/>
        </w:rPr>
        <w:footnoteRef/>
      </w:r>
      <w:r>
        <w:rPr>
          <w:rStyle w:val="29pt"/>
        </w:rPr>
        <w:t xml:space="preserve"> </w:t>
      </w:r>
      <w:r>
        <w:rPr>
          <w:i w:val="0"/>
          <w:iCs w:val="0"/>
        </w:rPr>
        <w:t>Привалов Н. Г. и др.</w:t>
      </w:r>
      <w:r>
        <w:rPr>
          <w:rStyle w:val="25"/>
        </w:rPr>
        <w:t xml:space="preserve"> Указ. соч. С. 129.</w:t>
      </w:r>
    </w:p>
  </w:footnote>
  <w:footnote w:id="35">
    <w:p w14:paraId="0B2942CE" w14:textId="77777777" w:rsidR="00350396" w:rsidRDefault="00350396" w:rsidP="00350396">
      <w:pPr>
        <w:pStyle w:val="a4"/>
        <w:shd w:val="clear" w:color="auto" w:fill="auto"/>
        <w:spacing w:line="202" w:lineRule="exact"/>
        <w:ind w:left="340" w:firstLine="0"/>
        <w:jc w:val="left"/>
      </w:pPr>
      <w:r>
        <w:rPr>
          <w:rStyle w:val="9pt0"/>
          <w:vertAlign w:val="superscript"/>
        </w:rPr>
        <w:footnoteRef/>
      </w:r>
      <w:r>
        <w:rPr>
          <w:rStyle w:val="9pt0"/>
        </w:rPr>
        <w:t xml:space="preserve"> </w:t>
      </w:r>
      <w:r>
        <w:t>Утверждены постановлением Правительства РФ от 30.09.2011 № 999.</w:t>
      </w:r>
    </w:p>
  </w:footnote>
  <w:footnote w:id="36">
    <w:p w14:paraId="48F49587" w14:textId="77777777" w:rsidR="00350396" w:rsidRPr="00C104E4" w:rsidRDefault="00350396" w:rsidP="00350396">
      <w:pPr>
        <w:pStyle w:val="af6"/>
        <w:rPr>
          <w:rFonts w:ascii="Bookman Old Style" w:hAnsi="Bookman Old Style"/>
          <w:sz w:val="15"/>
          <w:szCs w:val="15"/>
        </w:rPr>
      </w:pPr>
      <w:r w:rsidRPr="00C104E4">
        <w:rPr>
          <w:rStyle w:val="af8"/>
          <w:rFonts w:ascii="Bookman Old Style" w:eastAsia="Bookman Old Style" w:hAnsi="Bookman Old Style"/>
          <w:sz w:val="15"/>
          <w:szCs w:val="15"/>
        </w:rPr>
        <w:footnoteRef/>
      </w:r>
      <w:r w:rsidRPr="00C104E4">
        <w:rPr>
          <w:rFonts w:ascii="Bookman Old Style" w:hAnsi="Bookman Old Style"/>
          <w:sz w:val="15"/>
          <w:szCs w:val="15"/>
        </w:rPr>
        <w:t xml:space="preserve"> </w:t>
      </w:r>
      <w:hyperlink r:id="rId8" w:anchor="ixzz53WL05kgd" w:history="1">
        <w:r w:rsidRPr="00C104E4">
          <w:rPr>
            <w:rStyle w:val="af9"/>
            <w:rFonts w:ascii="Bookman Old Style" w:eastAsia="Bookman Old Style" w:hAnsi="Bookman Old Style"/>
            <w:sz w:val="15"/>
            <w:szCs w:val="15"/>
            <w:bdr w:val="none" w:sz="0" w:space="0" w:color="auto" w:frame="1"/>
            <w:lang w:val="en-US"/>
          </w:rPr>
          <w:t>http</w:t>
        </w:r>
        <w:r w:rsidRPr="00C104E4">
          <w:rPr>
            <w:rStyle w:val="af9"/>
            <w:rFonts w:ascii="Bookman Old Style" w:eastAsia="Bookman Old Style" w:hAnsi="Bookman Old Style"/>
            <w:sz w:val="15"/>
            <w:szCs w:val="15"/>
            <w:bdr w:val="none" w:sz="0" w:space="0" w:color="auto" w:frame="1"/>
          </w:rPr>
          <w:t>://</w:t>
        </w:r>
        <w:r w:rsidRPr="00C104E4">
          <w:rPr>
            <w:rStyle w:val="af9"/>
            <w:rFonts w:ascii="Bookman Old Style" w:eastAsia="Bookman Old Style" w:hAnsi="Bookman Old Style"/>
            <w:sz w:val="15"/>
            <w:szCs w:val="15"/>
            <w:bdr w:val="none" w:sz="0" w:space="0" w:color="auto" w:frame="1"/>
            <w:lang w:val="en-US"/>
          </w:rPr>
          <w:t>www</w:t>
        </w:r>
        <w:r w:rsidRPr="00C104E4">
          <w:rPr>
            <w:rStyle w:val="af9"/>
            <w:rFonts w:ascii="Bookman Old Style" w:eastAsia="Bookman Old Style" w:hAnsi="Bookman Old Style"/>
            <w:sz w:val="15"/>
            <w:szCs w:val="15"/>
            <w:bdr w:val="none" w:sz="0" w:space="0" w:color="auto" w:frame="1"/>
          </w:rPr>
          <w:t>.</w:t>
        </w:r>
        <w:r w:rsidRPr="00C104E4">
          <w:rPr>
            <w:rStyle w:val="af9"/>
            <w:rFonts w:ascii="Bookman Old Style" w:eastAsia="Bookman Old Style" w:hAnsi="Bookman Old Style"/>
            <w:sz w:val="15"/>
            <w:szCs w:val="15"/>
            <w:bdr w:val="none" w:sz="0" w:space="0" w:color="auto" w:frame="1"/>
            <w:lang w:val="en-US"/>
          </w:rPr>
          <w:t>garant</w:t>
        </w:r>
        <w:r w:rsidRPr="00C104E4">
          <w:rPr>
            <w:rStyle w:val="af9"/>
            <w:rFonts w:ascii="Bookman Old Style" w:eastAsia="Bookman Old Style" w:hAnsi="Bookman Old Style"/>
            <w:sz w:val="15"/>
            <w:szCs w:val="15"/>
            <w:bdr w:val="none" w:sz="0" w:space="0" w:color="auto" w:frame="1"/>
          </w:rPr>
          <w:t>.</w:t>
        </w:r>
        <w:r w:rsidRPr="00C104E4">
          <w:rPr>
            <w:rStyle w:val="af9"/>
            <w:rFonts w:ascii="Bookman Old Style" w:eastAsia="Bookman Old Style" w:hAnsi="Bookman Old Style"/>
            <w:sz w:val="15"/>
            <w:szCs w:val="15"/>
            <w:bdr w:val="none" w:sz="0" w:space="0" w:color="auto" w:frame="1"/>
            <w:lang w:val="en-US"/>
          </w:rPr>
          <w:t>ru</w:t>
        </w:r>
        <w:r w:rsidRPr="00C104E4">
          <w:rPr>
            <w:rStyle w:val="af9"/>
            <w:rFonts w:ascii="Bookman Old Style" w:eastAsia="Bookman Old Style" w:hAnsi="Bookman Old Style"/>
            <w:sz w:val="15"/>
            <w:szCs w:val="15"/>
            <w:bdr w:val="none" w:sz="0" w:space="0" w:color="auto" w:frame="1"/>
          </w:rPr>
          <w:t>/</w:t>
        </w:r>
        <w:r w:rsidRPr="00C104E4">
          <w:rPr>
            <w:rStyle w:val="af9"/>
            <w:rFonts w:ascii="Bookman Old Style" w:eastAsia="Bookman Old Style" w:hAnsi="Bookman Old Style"/>
            <w:sz w:val="15"/>
            <w:szCs w:val="15"/>
            <w:bdr w:val="none" w:sz="0" w:space="0" w:color="auto" w:frame="1"/>
            <w:lang w:val="en-US"/>
          </w:rPr>
          <w:t>hotlaw</w:t>
        </w:r>
        <w:r w:rsidRPr="00C104E4">
          <w:rPr>
            <w:rStyle w:val="af9"/>
            <w:rFonts w:ascii="Bookman Old Style" w:eastAsia="Bookman Old Style" w:hAnsi="Bookman Old Style"/>
            <w:sz w:val="15"/>
            <w:szCs w:val="15"/>
            <w:bdr w:val="none" w:sz="0" w:space="0" w:color="auto" w:frame="1"/>
          </w:rPr>
          <w:t>/</w:t>
        </w:r>
        <w:r w:rsidRPr="00C104E4">
          <w:rPr>
            <w:rStyle w:val="af9"/>
            <w:rFonts w:ascii="Bookman Old Style" w:eastAsia="Bookman Old Style" w:hAnsi="Bookman Old Style"/>
            <w:sz w:val="15"/>
            <w:szCs w:val="15"/>
            <w:bdr w:val="none" w:sz="0" w:space="0" w:color="auto" w:frame="1"/>
            <w:lang w:val="en-US"/>
          </w:rPr>
          <w:t>federal</w:t>
        </w:r>
        <w:r w:rsidRPr="00C104E4">
          <w:rPr>
            <w:rStyle w:val="af9"/>
            <w:rFonts w:ascii="Bookman Old Style" w:eastAsia="Bookman Old Style" w:hAnsi="Bookman Old Style"/>
            <w:sz w:val="15"/>
            <w:szCs w:val="15"/>
            <w:bdr w:val="none" w:sz="0" w:space="0" w:color="auto" w:frame="1"/>
          </w:rPr>
          <w:t>/831860/#</w:t>
        </w:r>
        <w:r w:rsidRPr="00C104E4">
          <w:rPr>
            <w:rStyle w:val="af9"/>
            <w:rFonts w:ascii="Bookman Old Style" w:eastAsia="Bookman Old Style" w:hAnsi="Bookman Old Style"/>
            <w:sz w:val="15"/>
            <w:szCs w:val="15"/>
            <w:bdr w:val="none" w:sz="0" w:space="0" w:color="auto" w:frame="1"/>
            <w:lang w:val="en-US"/>
          </w:rPr>
          <w:t>ixzz</w:t>
        </w:r>
        <w:r w:rsidRPr="00C104E4">
          <w:rPr>
            <w:rStyle w:val="af9"/>
            <w:rFonts w:ascii="Bookman Old Style" w:eastAsia="Bookman Old Style" w:hAnsi="Bookman Old Style"/>
            <w:sz w:val="15"/>
            <w:szCs w:val="15"/>
            <w:bdr w:val="none" w:sz="0" w:space="0" w:color="auto" w:frame="1"/>
          </w:rPr>
          <w:t>53</w:t>
        </w:r>
        <w:r w:rsidRPr="00C104E4">
          <w:rPr>
            <w:rStyle w:val="af9"/>
            <w:rFonts w:ascii="Bookman Old Style" w:eastAsia="Bookman Old Style" w:hAnsi="Bookman Old Style"/>
            <w:sz w:val="15"/>
            <w:szCs w:val="15"/>
            <w:bdr w:val="none" w:sz="0" w:space="0" w:color="auto" w:frame="1"/>
            <w:lang w:val="en-US"/>
          </w:rPr>
          <w:t>WL</w:t>
        </w:r>
        <w:r w:rsidRPr="00C104E4">
          <w:rPr>
            <w:rStyle w:val="af9"/>
            <w:rFonts w:ascii="Bookman Old Style" w:eastAsia="Bookman Old Style" w:hAnsi="Bookman Old Style"/>
            <w:sz w:val="15"/>
            <w:szCs w:val="15"/>
            <w:bdr w:val="none" w:sz="0" w:space="0" w:color="auto" w:frame="1"/>
          </w:rPr>
          <w:t>05</w:t>
        </w:r>
        <w:r w:rsidRPr="00C104E4">
          <w:rPr>
            <w:rStyle w:val="af9"/>
            <w:rFonts w:ascii="Bookman Old Style" w:eastAsia="Bookman Old Style" w:hAnsi="Bookman Old Style"/>
            <w:sz w:val="15"/>
            <w:szCs w:val="15"/>
            <w:bdr w:val="none" w:sz="0" w:space="0" w:color="auto" w:frame="1"/>
            <w:lang w:val="en-US"/>
          </w:rPr>
          <w:t>kgd</w:t>
        </w:r>
      </w:hyperlink>
    </w:p>
  </w:footnote>
  <w:footnote w:id="37">
    <w:p w14:paraId="6A193AD3" w14:textId="77777777" w:rsidR="00350396" w:rsidRPr="00C104E4" w:rsidRDefault="00350396" w:rsidP="00350396">
      <w:pPr>
        <w:pStyle w:val="af6"/>
        <w:rPr>
          <w:rFonts w:ascii="Bookman Old Style" w:hAnsi="Bookman Old Style"/>
          <w:sz w:val="15"/>
          <w:szCs w:val="15"/>
        </w:rPr>
      </w:pPr>
      <w:r w:rsidRPr="00C104E4">
        <w:rPr>
          <w:rStyle w:val="af8"/>
          <w:rFonts w:ascii="Bookman Old Style" w:eastAsia="Bookman Old Style" w:hAnsi="Bookman Old Style"/>
          <w:sz w:val="15"/>
          <w:szCs w:val="15"/>
        </w:rPr>
        <w:footnoteRef/>
      </w:r>
      <w:r w:rsidRPr="00C104E4">
        <w:rPr>
          <w:rFonts w:ascii="Bookman Old Style" w:hAnsi="Bookman Old Style"/>
          <w:sz w:val="15"/>
          <w:szCs w:val="15"/>
        </w:rPr>
        <w:t xml:space="preserve"> http://government.ru/docs/25126/</w:t>
      </w:r>
    </w:p>
  </w:footnote>
  <w:footnote w:id="38">
    <w:p w14:paraId="64F2A83C" w14:textId="77777777" w:rsidR="00350396" w:rsidRDefault="00350396" w:rsidP="00350396">
      <w:pPr>
        <w:pStyle w:val="a4"/>
        <w:shd w:val="clear" w:color="auto" w:fill="auto"/>
      </w:pPr>
      <w:r w:rsidRPr="00C104E4">
        <w:rPr>
          <w:rStyle w:val="9pt0"/>
          <w:sz w:val="15"/>
          <w:szCs w:val="15"/>
          <w:vertAlign w:val="superscript"/>
        </w:rPr>
        <w:footnoteRef/>
      </w:r>
      <w:r w:rsidRPr="00C104E4">
        <w:rPr>
          <w:rStyle w:val="9pt0"/>
          <w:sz w:val="15"/>
          <w:szCs w:val="15"/>
        </w:rPr>
        <w:t xml:space="preserve"> </w:t>
      </w:r>
      <w:r w:rsidRPr="00C104E4">
        <w:rPr>
          <w:rStyle w:val="a6"/>
        </w:rPr>
        <w:t>Якимец В. Н.</w:t>
      </w:r>
      <w:r w:rsidRPr="00C104E4">
        <w:t xml:space="preserve"> Социальное партнерство в России: исследования, механизмы, опыт // Всероссийская конференция «Социальное партнерство. Российский опыт». СПб., 2000.</w:t>
      </w:r>
    </w:p>
  </w:footnote>
  <w:footnote w:id="39">
    <w:p w14:paraId="4C2D021A" w14:textId="77777777" w:rsidR="00350396" w:rsidRDefault="00350396" w:rsidP="00350396">
      <w:pPr>
        <w:pStyle w:val="a4"/>
        <w:shd w:val="clear" w:color="auto" w:fill="auto"/>
        <w:tabs>
          <w:tab w:val="left" w:pos="484"/>
        </w:tabs>
        <w:spacing w:line="202" w:lineRule="exact"/>
        <w:ind w:left="340" w:firstLine="0"/>
      </w:pPr>
      <w:r>
        <w:rPr>
          <w:rStyle w:val="9pt0"/>
          <w:vertAlign w:val="superscript"/>
        </w:rPr>
        <w:footnoteRef/>
      </w:r>
      <w:r>
        <w:tab/>
      </w:r>
      <w:r>
        <w:rPr>
          <w:rStyle w:val="a6"/>
        </w:rPr>
        <w:t>Привалов Н. Г. и др.</w:t>
      </w:r>
      <w:r>
        <w:t xml:space="preserve"> Указ. соч. С. 77—78.</w:t>
      </w:r>
    </w:p>
  </w:footnote>
  <w:footnote w:id="40">
    <w:p w14:paraId="75B68665" w14:textId="77777777" w:rsidR="00350396" w:rsidRDefault="00350396" w:rsidP="00350396">
      <w:pPr>
        <w:pStyle w:val="a4"/>
        <w:shd w:val="clear" w:color="auto" w:fill="auto"/>
        <w:tabs>
          <w:tab w:val="left" w:pos="483"/>
        </w:tabs>
        <w:spacing w:line="202" w:lineRule="exact"/>
        <w:ind w:left="320" w:firstLine="0"/>
      </w:pPr>
      <w:r>
        <w:rPr>
          <w:rStyle w:val="9pt0"/>
          <w:vertAlign w:val="superscript"/>
        </w:rPr>
        <w:footnoteRef/>
      </w:r>
      <w:r>
        <w:tab/>
        <w:t>Там же. С. 86.</w:t>
      </w:r>
    </w:p>
  </w:footnote>
  <w:footnote w:id="41">
    <w:p w14:paraId="764EC08E" w14:textId="77777777" w:rsidR="00350396" w:rsidRDefault="00350396" w:rsidP="00350396">
      <w:pPr>
        <w:pStyle w:val="a4"/>
        <w:shd w:val="clear" w:color="auto" w:fill="auto"/>
        <w:spacing w:line="202" w:lineRule="exact"/>
        <w:ind w:left="340" w:firstLine="0"/>
        <w:jc w:val="left"/>
      </w:pPr>
      <w:r>
        <w:rPr>
          <w:rStyle w:val="9pt0"/>
          <w:vertAlign w:val="superscript"/>
        </w:rPr>
        <w:footnoteRef/>
      </w:r>
      <w:r>
        <w:rPr>
          <w:rStyle w:val="9pt0"/>
        </w:rPr>
        <w:t xml:space="preserve"> </w:t>
      </w:r>
      <w:r>
        <w:rPr>
          <w:rStyle w:val="a6"/>
        </w:rPr>
        <w:t>Привалов Н. Г. и др.</w:t>
      </w:r>
      <w:r>
        <w:t xml:space="preserve"> Указ. соч. С. 87—88.</w:t>
      </w:r>
    </w:p>
  </w:footnote>
  <w:footnote w:id="42">
    <w:p w14:paraId="463E0F22" w14:textId="77777777" w:rsidR="00350396" w:rsidRDefault="00350396" w:rsidP="00350396">
      <w:pPr>
        <w:pStyle w:val="a4"/>
        <w:shd w:val="clear" w:color="auto" w:fill="auto"/>
        <w:spacing w:line="202" w:lineRule="exact"/>
        <w:ind w:left="340" w:firstLine="0"/>
        <w:jc w:val="left"/>
      </w:pPr>
      <w:r>
        <w:rPr>
          <w:rStyle w:val="9pt0"/>
          <w:vertAlign w:val="superscript"/>
        </w:rPr>
        <w:footnoteRef/>
      </w:r>
      <w:r>
        <w:rPr>
          <w:rStyle w:val="9pt0"/>
        </w:rPr>
        <w:t xml:space="preserve"> </w:t>
      </w:r>
      <w:r>
        <w:rPr>
          <w:rStyle w:val="a6"/>
        </w:rPr>
        <w:t>Привалов Н. Г. и др.</w:t>
      </w:r>
      <w:r>
        <w:t xml:space="preserve"> Указ. соч. С. 92—94.</w:t>
      </w:r>
    </w:p>
  </w:footnote>
  <w:footnote w:id="43">
    <w:p w14:paraId="55D75574" w14:textId="77777777" w:rsidR="00350396" w:rsidRDefault="00350396" w:rsidP="00350396">
      <w:pPr>
        <w:pStyle w:val="a4"/>
        <w:shd w:val="clear" w:color="auto" w:fill="auto"/>
        <w:tabs>
          <w:tab w:val="left" w:pos="484"/>
        </w:tabs>
        <w:spacing w:line="168" w:lineRule="exact"/>
        <w:ind w:left="340" w:firstLine="0"/>
      </w:pPr>
      <w:r>
        <w:rPr>
          <w:vertAlign w:val="superscript"/>
        </w:rPr>
        <w:footnoteRef/>
      </w:r>
      <w:r>
        <w:tab/>
      </w:r>
      <w:r>
        <w:rPr>
          <w:rStyle w:val="a6"/>
        </w:rPr>
        <w:t>Привалов Н. Г. и др.</w:t>
      </w:r>
      <w:r>
        <w:t xml:space="preserve"> Указ. соч. С. 94—96.</w:t>
      </w:r>
    </w:p>
  </w:footnote>
  <w:footnote w:id="44">
    <w:p w14:paraId="40F635A2" w14:textId="77777777" w:rsidR="00350396" w:rsidRDefault="00350396" w:rsidP="00350396">
      <w:pPr>
        <w:pStyle w:val="a4"/>
        <w:shd w:val="clear" w:color="auto" w:fill="auto"/>
        <w:tabs>
          <w:tab w:val="left" w:pos="464"/>
        </w:tabs>
        <w:spacing w:line="168" w:lineRule="exact"/>
        <w:ind w:left="320" w:firstLine="0"/>
      </w:pPr>
      <w:r>
        <w:rPr>
          <w:vertAlign w:val="superscript"/>
        </w:rPr>
        <w:footnoteRef/>
      </w:r>
      <w:r w:rsidRPr="002741C7">
        <w:tab/>
      </w:r>
      <w:r>
        <w:rPr>
          <w:rStyle w:val="a6"/>
          <w:lang w:val="en-US" w:eastAsia="en-US" w:bidi="en-US"/>
        </w:rPr>
        <w:t>Aziz</w:t>
      </w:r>
      <w:r w:rsidRPr="002741C7">
        <w:rPr>
          <w:rStyle w:val="a6"/>
          <w:lang w:eastAsia="en-US" w:bidi="en-US"/>
        </w:rPr>
        <w:t xml:space="preserve"> </w:t>
      </w:r>
      <w:r>
        <w:rPr>
          <w:rStyle w:val="a6"/>
          <w:lang w:val="en-US" w:eastAsia="en-US" w:bidi="en-US"/>
        </w:rPr>
        <w:t>Abdul</w:t>
      </w:r>
      <w:r w:rsidRPr="002741C7">
        <w:rPr>
          <w:rStyle w:val="a6"/>
          <w:lang w:eastAsia="en-US" w:bidi="en-US"/>
        </w:rPr>
        <w:t>.</w:t>
      </w:r>
      <w:r w:rsidRPr="002741C7">
        <w:rPr>
          <w:lang w:eastAsia="en-US" w:bidi="en-US"/>
        </w:rPr>
        <w:t xml:space="preserve"> </w:t>
      </w:r>
      <w:r>
        <w:rPr>
          <w:lang w:val="en-US" w:eastAsia="en-US" w:bidi="en-US"/>
        </w:rPr>
        <w:t>Labour problem of a developing economy. New</w:t>
      </w:r>
      <w:r w:rsidRPr="00E64B91">
        <w:rPr>
          <w:lang w:eastAsia="en-US" w:bidi="en-US"/>
        </w:rPr>
        <w:t xml:space="preserve"> </w:t>
      </w:r>
      <w:r>
        <w:rPr>
          <w:lang w:val="en-US" w:eastAsia="en-US" w:bidi="en-US"/>
        </w:rPr>
        <w:t>Delhi</w:t>
      </w:r>
      <w:r w:rsidRPr="00E64B91">
        <w:rPr>
          <w:lang w:eastAsia="en-US" w:bidi="en-US"/>
        </w:rPr>
        <w:t xml:space="preserve">, 1984. </w:t>
      </w:r>
      <w:r>
        <w:t xml:space="preserve">Р. </w:t>
      </w:r>
      <w:r w:rsidRPr="00E64B91">
        <w:rPr>
          <w:lang w:eastAsia="en-US" w:bidi="en-US"/>
        </w:rPr>
        <w:t>59.</w:t>
      </w:r>
    </w:p>
  </w:footnote>
  <w:footnote w:id="45">
    <w:p w14:paraId="4074504F" w14:textId="77777777" w:rsidR="00350396" w:rsidRDefault="00350396" w:rsidP="00350396">
      <w:pPr>
        <w:pStyle w:val="a4"/>
        <w:shd w:val="clear" w:color="auto" w:fill="auto"/>
        <w:tabs>
          <w:tab w:val="left" w:pos="484"/>
        </w:tabs>
        <w:spacing w:line="202" w:lineRule="exact"/>
        <w:ind w:left="340" w:firstLine="0"/>
      </w:pPr>
      <w:r>
        <w:rPr>
          <w:rStyle w:val="9pt0"/>
          <w:vertAlign w:val="superscript"/>
        </w:rPr>
        <w:footnoteRef/>
      </w:r>
      <w:r>
        <w:tab/>
      </w:r>
      <w:r>
        <w:rPr>
          <w:rStyle w:val="a6"/>
        </w:rPr>
        <w:t>Привалов Н. Г. и др.</w:t>
      </w:r>
      <w:r>
        <w:t xml:space="preserve"> Указ. соч. С. 99—100.</w:t>
      </w:r>
    </w:p>
  </w:footnote>
  <w:footnote w:id="46">
    <w:p w14:paraId="4939B2FA" w14:textId="77777777" w:rsidR="00350396" w:rsidRDefault="00350396" w:rsidP="00350396">
      <w:pPr>
        <w:pStyle w:val="a4"/>
        <w:shd w:val="clear" w:color="auto" w:fill="auto"/>
        <w:tabs>
          <w:tab w:val="left" w:pos="483"/>
        </w:tabs>
        <w:spacing w:line="202" w:lineRule="exact"/>
        <w:ind w:left="320" w:firstLine="0"/>
      </w:pPr>
      <w:r>
        <w:rPr>
          <w:rStyle w:val="9pt0"/>
          <w:vertAlign w:val="superscript"/>
        </w:rPr>
        <w:footnoteRef/>
      </w:r>
      <w:r>
        <w:tab/>
        <w:t>Там же. С. 184.</w:t>
      </w:r>
    </w:p>
  </w:footnote>
  <w:footnote w:id="47">
    <w:p w14:paraId="4593F736" w14:textId="77777777" w:rsidR="00350396" w:rsidRDefault="00350396" w:rsidP="00350396">
      <w:pPr>
        <w:pStyle w:val="a4"/>
        <w:shd w:val="clear" w:color="auto" w:fill="auto"/>
        <w:tabs>
          <w:tab w:val="left" w:pos="446"/>
        </w:tabs>
        <w:ind w:firstLine="320"/>
        <w:jc w:val="left"/>
      </w:pPr>
      <w:r>
        <w:rPr>
          <w:vertAlign w:val="superscript"/>
        </w:rPr>
        <w:footnoteRef/>
      </w:r>
      <w:r>
        <w:tab/>
        <w:t>Национальное счетоводство : учебник / под ред. Б. И. Башкатова. М. : Финан</w:t>
      </w:r>
      <w:r>
        <w:softHyphen/>
        <w:t>сы и статистика, 2002. С. 364.</w:t>
      </w:r>
    </w:p>
  </w:footnote>
  <w:footnote w:id="48">
    <w:p w14:paraId="587FBD04" w14:textId="77777777" w:rsidR="00350396" w:rsidRDefault="00350396" w:rsidP="00350396">
      <w:pPr>
        <w:pStyle w:val="a4"/>
        <w:shd w:val="clear" w:color="auto" w:fill="auto"/>
        <w:tabs>
          <w:tab w:val="left" w:pos="474"/>
        </w:tabs>
        <w:ind w:left="320" w:firstLine="0"/>
      </w:pPr>
      <w:r>
        <w:rPr>
          <w:vertAlign w:val="superscript"/>
        </w:rPr>
        <w:footnoteRef/>
      </w:r>
      <w:r>
        <w:tab/>
      </w:r>
      <w:r>
        <w:rPr>
          <w:rStyle w:val="a6"/>
        </w:rPr>
        <w:t>Привалов Н. Г.</w:t>
      </w:r>
      <w:r>
        <w:t xml:space="preserve"> Экономика некоммерческого сектора. С. 109—110.</w:t>
      </w:r>
    </w:p>
  </w:footnote>
  <w:footnote w:id="49">
    <w:p w14:paraId="37831998" w14:textId="77777777" w:rsidR="00350396" w:rsidRDefault="00350396" w:rsidP="00350396">
      <w:pPr>
        <w:pStyle w:val="a4"/>
        <w:shd w:val="clear" w:color="auto" w:fill="auto"/>
        <w:tabs>
          <w:tab w:val="left" w:pos="484"/>
        </w:tabs>
        <w:spacing w:line="202" w:lineRule="exact"/>
        <w:ind w:left="340" w:firstLine="0"/>
      </w:pPr>
      <w:r>
        <w:rPr>
          <w:rStyle w:val="9pt0"/>
          <w:vertAlign w:val="superscript"/>
        </w:rPr>
        <w:footnoteRef/>
      </w:r>
      <w:r>
        <w:tab/>
      </w:r>
      <w:r>
        <w:rPr>
          <w:rStyle w:val="a6"/>
        </w:rPr>
        <w:t>Привалов Н. Г.</w:t>
      </w:r>
      <w:r>
        <w:t xml:space="preserve"> Экономика некоммерческого сектора. С. 110.</w:t>
      </w:r>
    </w:p>
  </w:footnote>
  <w:footnote w:id="50">
    <w:p w14:paraId="3B79BF93" w14:textId="77777777" w:rsidR="00350396" w:rsidRDefault="00350396" w:rsidP="00350396">
      <w:pPr>
        <w:pStyle w:val="a4"/>
        <w:shd w:val="clear" w:color="auto" w:fill="auto"/>
        <w:tabs>
          <w:tab w:val="left" w:pos="483"/>
        </w:tabs>
        <w:spacing w:line="202" w:lineRule="exact"/>
        <w:ind w:left="320" w:firstLine="0"/>
      </w:pPr>
      <w:r>
        <w:rPr>
          <w:rStyle w:val="9pt0"/>
          <w:vertAlign w:val="superscript"/>
        </w:rPr>
        <w:footnoteRef/>
      </w:r>
      <w:r>
        <w:tab/>
        <w:t>Там же. С. 111.</w:t>
      </w:r>
    </w:p>
  </w:footnote>
  <w:footnote w:id="51">
    <w:p w14:paraId="48B73EB2" w14:textId="77777777" w:rsidR="00350396" w:rsidRDefault="00350396" w:rsidP="00350396">
      <w:pPr>
        <w:pStyle w:val="a4"/>
        <w:shd w:val="clear" w:color="auto" w:fill="auto"/>
        <w:tabs>
          <w:tab w:val="left" w:pos="446"/>
        </w:tabs>
        <w:spacing w:line="202" w:lineRule="exact"/>
        <w:jc w:val="left"/>
      </w:pPr>
      <w:r>
        <w:rPr>
          <w:vertAlign w:val="superscript"/>
        </w:rPr>
        <w:footnoteRef/>
      </w:r>
      <w:r>
        <w:tab/>
        <w:t>Гражданское общество. Мировой опыт и проблемы России / отв. ред. В. Г. Хо- рос. М. : ИМЭМО РАН, Эдиториал УРСС, 1998. С. 301.</w:t>
      </w:r>
    </w:p>
  </w:footnote>
  <w:footnote w:id="52">
    <w:p w14:paraId="38ED19C4" w14:textId="77777777" w:rsidR="00350396" w:rsidRDefault="00350396" w:rsidP="00350396">
      <w:pPr>
        <w:pStyle w:val="a4"/>
        <w:shd w:val="clear" w:color="auto" w:fill="auto"/>
        <w:tabs>
          <w:tab w:val="left" w:pos="442"/>
        </w:tabs>
        <w:spacing w:line="202" w:lineRule="exact"/>
        <w:ind w:firstLine="320"/>
      </w:pPr>
      <w:r>
        <w:rPr>
          <w:vertAlign w:val="superscript"/>
        </w:rPr>
        <w:footnoteRef/>
      </w:r>
      <w:r>
        <w:tab/>
      </w:r>
      <w:r>
        <w:rPr>
          <w:rStyle w:val="a6"/>
        </w:rPr>
        <w:t>Либоракина М., Флямер М., Якимец В.</w:t>
      </w:r>
      <w:r>
        <w:t xml:space="preserve"> Социальное партнерство: заметки о формировании гражданского общества в России. М. : Школа культурной полити</w:t>
      </w:r>
      <w:r>
        <w:softHyphen/>
        <w:t>ки, 1996. С. 77.</w:t>
      </w:r>
    </w:p>
  </w:footnote>
  <w:footnote w:id="53">
    <w:p w14:paraId="7B024BA4" w14:textId="77777777" w:rsidR="00350396" w:rsidRDefault="00350396" w:rsidP="00350396">
      <w:pPr>
        <w:pStyle w:val="a4"/>
        <w:shd w:val="clear" w:color="auto" w:fill="auto"/>
        <w:tabs>
          <w:tab w:val="left" w:pos="446"/>
        </w:tabs>
        <w:jc w:val="left"/>
      </w:pPr>
      <w:r>
        <w:rPr>
          <w:rStyle w:val="9pt0"/>
          <w:vertAlign w:val="superscript"/>
        </w:rPr>
        <w:footnoteRef/>
      </w:r>
      <w:r>
        <w:tab/>
        <w:t>Налоговый кодекс Российской Федерации. Часть вторая: Федеральный закон от 05.08.2000 № 117-ФЗ.</w:t>
      </w:r>
    </w:p>
  </w:footnote>
  <w:footnote w:id="54">
    <w:p w14:paraId="221CD1CF" w14:textId="77777777" w:rsidR="00350396" w:rsidRPr="00C03756" w:rsidRDefault="00350396" w:rsidP="00350396">
      <w:pPr>
        <w:pStyle w:val="a4"/>
        <w:shd w:val="clear" w:color="auto" w:fill="auto"/>
        <w:tabs>
          <w:tab w:val="left" w:pos="432"/>
        </w:tabs>
        <w:ind w:firstLine="320"/>
        <w:jc w:val="left"/>
        <w:rPr>
          <w:lang w:val="en-US"/>
        </w:rPr>
      </w:pPr>
      <w:r>
        <w:rPr>
          <w:rStyle w:val="9pt0"/>
          <w:vertAlign w:val="superscript"/>
        </w:rPr>
        <w:footnoteRef/>
      </w:r>
      <w:r>
        <w:tab/>
      </w:r>
      <w:r>
        <w:rPr>
          <w:rStyle w:val="a6"/>
        </w:rPr>
        <w:t>Макаренко О. В. и др.</w:t>
      </w:r>
      <w:r>
        <w:t xml:space="preserve"> Государство и негосударственные некоммерческие орга</w:t>
      </w:r>
      <w:r>
        <w:softHyphen/>
        <w:t>низации: формы поддержки и сотрудничества. М</w:t>
      </w:r>
      <w:r w:rsidRPr="002741C7">
        <w:t xml:space="preserve">. : </w:t>
      </w:r>
      <w:r>
        <w:t>Сигналъ</w:t>
      </w:r>
      <w:r w:rsidRPr="002741C7">
        <w:t xml:space="preserve">, 1997. </w:t>
      </w:r>
      <w:r>
        <w:t>С</w:t>
      </w:r>
      <w:r w:rsidRPr="00C03756">
        <w:rPr>
          <w:lang w:val="en-US"/>
        </w:rPr>
        <w:t>. 26—27.</w:t>
      </w:r>
    </w:p>
  </w:footnote>
  <w:footnote w:id="55">
    <w:p w14:paraId="46A9B629" w14:textId="77777777" w:rsidR="00350396" w:rsidRDefault="00350396" w:rsidP="00350396">
      <w:pPr>
        <w:pStyle w:val="af6"/>
        <w:rPr>
          <w:lang w:val="en-US"/>
        </w:rPr>
      </w:pPr>
      <w:r>
        <w:rPr>
          <w:rStyle w:val="af8"/>
          <w:rFonts w:eastAsia="Bookman Old Style"/>
        </w:rPr>
        <w:footnoteRef/>
      </w:r>
      <w:r>
        <w:rPr>
          <w:lang w:val="en-US"/>
        </w:rPr>
        <w:t xml:space="preserve"> </w:t>
      </w:r>
      <w:r w:rsidRPr="00531989">
        <w:rPr>
          <w:highlight w:val="green"/>
          <w:lang w:val="en-US"/>
        </w:rPr>
        <w:t>Nonprofit Almanac. 2000 – 2001. P. 149-151.</w:t>
      </w:r>
    </w:p>
  </w:footnote>
  <w:footnote w:id="56">
    <w:p w14:paraId="77BE1311" w14:textId="77777777" w:rsidR="00350396" w:rsidRDefault="00350396" w:rsidP="00350396">
      <w:pPr>
        <w:pStyle w:val="af6"/>
        <w:rPr>
          <w:lang w:val="en-US"/>
        </w:rPr>
      </w:pPr>
      <w:r w:rsidRPr="00531989">
        <w:rPr>
          <w:rStyle w:val="af8"/>
          <w:rFonts w:eastAsia="Bookman Old Style"/>
          <w:highlight w:val="green"/>
        </w:rPr>
        <w:footnoteRef/>
      </w:r>
      <w:r w:rsidRPr="00531989">
        <w:rPr>
          <w:highlight w:val="green"/>
          <w:lang w:val="en-US"/>
        </w:rPr>
        <w:t xml:space="preserve"> Statistical Abstract of US. 1982-83. p. 348; Statistical Abstract of US. 2001. p.389.</w:t>
      </w:r>
    </w:p>
  </w:footnote>
  <w:footnote w:id="57">
    <w:p w14:paraId="51EE5AA7" w14:textId="77777777" w:rsidR="00350396" w:rsidRDefault="00350396" w:rsidP="00350396">
      <w:pPr>
        <w:pStyle w:val="a4"/>
        <w:shd w:val="clear" w:color="auto" w:fill="auto"/>
        <w:spacing w:line="202" w:lineRule="exact"/>
        <w:jc w:val="left"/>
      </w:pPr>
      <w:r>
        <w:rPr>
          <w:rStyle w:val="9pt0"/>
          <w:vertAlign w:val="superscript"/>
        </w:rPr>
        <w:footnoteRef/>
      </w:r>
      <w:r>
        <w:rPr>
          <w:rStyle w:val="9pt0"/>
        </w:rPr>
        <w:t xml:space="preserve"> </w:t>
      </w:r>
      <w:r>
        <w:t>Грани глобализации: Трудные вопросы современного развития. М. : Альпина Паблишер, 2003. С. 65.</w:t>
      </w:r>
    </w:p>
  </w:footnote>
  <w:footnote w:id="58">
    <w:p w14:paraId="40188CAA" w14:textId="77777777" w:rsidR="00350396" w:rsidRDefault="00350396" w:rsidP="00350396">
      <w:pPr>
        <w:pStyle w:val="a4"/>
        <w:shd w:val="clear" w:color="auto" w:fill="auto"/>
        <w:spacing w:line="202" w:lineRule="exact"/>
        <w:ind w:firstLine="320"/>
        <w:jc w:val="left"/>
      </w:pPr>
      <w:r>
        <w:rPr>
          <w:vertAlign w:val="superscript"/>
        </w:rPr>
        <w:footnoteRef/>
      </w:r>
      <w:r>
        <w:t xml:space="preserve"> </w:t>
      </w:r>
      <w:r>
        <w:rPr>
          <w:rStyle w:val="a6"/>
        </w:rPr>
        <w:t>Жильцов Е. Н.</w:t>
      </w:r>
      <w:r>
        <w:t xml:space="preserve"> Экономика общественного сектора и некоммерческих органи</w:t>
      </w:r>
      <w:r>
        <w:softHyphen/>
        <w:t>заций. М. : Изд-во МГУ, 1995. С. 40—41.</w:t>
      </w:r>
    </w:p>
  </w:footnote>
  <w:footnote w:id="59">
    <w:p w14:paraId="08D920FD" w14:textId="77777777" w:rsidR="00350396" w:rsidRDefault="00350396" w:rsidP="00350396">
      <w:pPr>
        <w:pStyle w:val="a4"/>
        <w:shd w:val="clear" w:color="auto" w:fill="auto"/>
        <w:tabs>
          <w:tab w:val="left" w:pos="484"/>
        </w:tabs>
        <w:ind w:left="340" w:firstLine="0"/>
      </w:pPr>
      <w:r>
        <w:rPr>
          <w:rStyle w:val="9pt0"/>
          <w:vertAlign w:val="superscript"/>
        </w:rPr>
        <w:footnoteRef/>
      </w:r>
      <w:r>
        <w:tab/>
      </w:r>
      <w:r>
        <w:rPr>
          <w:rStyle w:val="a6"/>
        </w:rPr>
        <w:t>Привалов Н. Г.</w:t>
      </w:r>
      <w:r>
        <w:t xml:space="preserve"> Экономика некоммерческого сектора. С. 198—199.</w:t>
      </w:r>
    </w:p>
  </w:footnote>
  <w:footnote w:id="60">
    <w:p w14:paraId="0CD34B7A" w14:textId="77777777" w:rsidR="00350396" w:rsidRDefault="00350396" w:rsidP="00350396">
      <w:pPr>
        <w:pStyle w:val="a4"/>
        <w:shd w:val="clear" w:color="auto" w:fill="auto"/>
        <w:tabs>
          <w:tab w:val="left" w:pos="442"/>
        </w:tabs>
        <w:ind w:firstLine="320"/>
        <w:jc w:val="left"/>
      </w:pPr>
      <w:r>
        <w:rPr>
          <w:rStyle w:val="9pt0"/>
          <w:vertAlign w:val="superscript"/>
        </w:rPr>
        <w:footnoteRef/>
      </w:r>
      <w:r>
        <w:tab/>
      </w:r>
      <w:r>
        <w:rPr>
          <w:rStyle w:val="a6"/>
        </w:rPr>
        <w:t>Беккер Г. С.</w:t>
      </w:r>
      <w:r>
        <w:t xml:space="preserve"> Человеческое поведение: экономический подход. Избранные тру</w:t>
      </w:r>
      <w:r>
        <w:softHyphen/>
        <w:t>ды по экономической теории. М. : Изд-во ГУ ВШЭ, 2003. С. 16.</w:t>
      </w:r>
    </w:p>
  </w:footnote>
  <w:footnote w:id="61">
    <w:p w14:paraId="21033853" w14:textId="77777777" w:rsidR="00350396" w:rsidRDefault="00350396" w:rsidP="00350396">
      <w:pPr>
        <w:pStyle w:val="a4"/>
        <w:shd w:val="clear" w:color="auto" w:fill="auto"/>
        <w:tabs>
          <w:tab w:val="left" w:pos="464"/>
        </w:tabs>
        <w:spacing w:line="202" w:lineRule="exact"/>
        <w:ind w:left="320" w:firstLine="0"/>
      </w:pPr>
      <w:r>
        <w:rPr>
          <w:rStyle w:val="9pt0"/>
          <w:vertAlign w:val="superscript"/>
        </w:rPr>
        <w:footnoteRef/>
      </w:r>
      <w:r>
        <w:tab/>
      </w:r>
      <w:r>
        <w:rPr>
          <w:rStyle w:val="a6"/>
        </w:rPr>
        <w:t>Привалов Н. Г.</w:t>
      </w:r>
      <w:r>
        <w:t xml:space="preserve"> Экономика некоммерческого сектора. С. 201.</w:t>
      </w:r>
    </w:p>
  </w:footnote>
  <w:footnote w:id="62">
    <w:p w14:paraId="13949A0D" w14:textId="77777777" w:rsidR="00350396" w:rsidRDefault="00350396" w:rsidP="00350396">
      <w:pPr>
        <w:pStyle w:val="a4"/>
        <w:shd w:val="clear" w:color="auto" w:fill="auto"/>
        <w:tabs>
          <w:tab w:val="left" w:pos="483"/>
        </w:tabs>
        <w:spacing w:line="202" w:lineRule="exact"/>
        <w:ind w:left="320" w:firstLine="0"/>
      </w:pPr>
      <w:r>
        <w:rPr>
          <w:rStyle w:val="9pt0"/>
          <w:vertAlign w:val="superscript"/>
        </w:rPr>
        <w:footnoteRef/>
      </w:r>
      <w:r>
        <w:tab/>
        <w:t>Там же. С. 202.</w:t>
      </w:r>
    </w:p>
  </w:footnote>
  <w:footnote w:id="63">
    <w:p w14:paraId="46E6ACA7" w14:textId="77777777" w:rsidR="00350396" w:rsidRDefault="00350396" w:rsidP="00350396">
      <w:pPr>
        <w:pStyle w:val="a4"/>
        <w:shd w:val="clear" w:color="auto" w:fill="auto"/>
        <w:tabs>
          <w:tab w:val="left" w:pos="437"/>
        </w:tabs>
        <w:ind w:firstLine="320"/>
      </w:pPr>
      <w:r>
        <w:rPr>
          <w:vertAlign w:val="superscript"/>
        </w:rPr>
        <w:footnoteRef/>
      </w:r>
      <w:r>
        <w:tab/>
      </w:r>
      <w:r>
        <w:rPr>
          <w:rStyle w:val="a6"/>
        </w:rPr>
        <w:t>Рождественская Н., Богуславская С.</w:t>
      </w:r>
      <w:r>
        <w:t xml:space="preserve"> Измерение социального эффекта экологи</w:t>
      </w:r>
      <w:r>
        <w:softHyphen/>
        <w:t>ческих инициатив // Научный журнал НИУ ИТМО. Серия «Экономика и экологиче</w:t>
      </w:r>
      <w:r>
        <w:softHyphen/>
        <w:t>ский менеджмент». 2015. № 1 (20).</w:t>
      </w:r>
    </w:p>
  </w:footnote>
  <w:footnote w:id="64">
    <w:p w14:paraId="1A7A6AE5" w14:textId="77777777" w:rsidR="00350396" w:rsidRPr="00E64B91" w:rsidRDefault="00350396" w:rsidP="00350396">
      <w:pPr>
        <w:pStyle w:val="a4"/>
        <w:shd w:val="clear" w:color="auto" w:fill="auto"/>
        <w:tabs>
          <w:tab w:val="left" w:pos="456"/>
        </w:tabs>
        <w:ind w:firstLine="320"/>
        <w:jc w:val="left"/>
        <w:rPr>
          <w:lang w:val="en-US"/>
        </w:rPr>
      </w:pPr>
      <w:r>
        <w:rPr>
          <w:vertAlign w:val="superscript"/>
        </w:rPr>
        <w:footnoteRef/>
      </w:r>
      <w:r>
        <w:tab/>
        <w:t xml:space="preserve">Социально-ориентированные НКО: лучшие практики. </w:t>
      </w:r>
      <w:r>
        <w:rPr>
          <w:lang w:val="en-US" w:eastAsia="en-US" w:bidi="en-US"/>
        </w:rPr>
        <w:t xml:space="preserve">URL: </w:t>
      </w:r>
      <w:hyperlink r:id="rId9" w:history="1">
        <w:r>
          <w:rPr>
            <w:lang w:val="en-US" w:eastAsia="en-US" w:bidi="en-US"/>
          </w:rPr>
          <w:t>http://www</w:t>
        </w:r>
      </w:hyperlink>
      <w:r>
        <w:rPr>
          <w:lang w:val="en-US" w:eastAsia="en-US" w:bidi="en-US"/>
        </w:rPr>
        <w:t>. cftyumen.ru/upload/docs/sotsialno-orientirovannyie-nko-luchshie-praktiki.pdf.</w:t>
      </w:r>
    </w:p>
  </w:footnote>
  <w:footnote w:id="65">
    <w:p w14:paraId="038194A3" w14:textId="70E1B189" w:rsidR="001C3DE9" w:rsidRDefault="001C3DE9">
      <w:pPr>
        <w:pStyle w:val="af6"/>
      </w:pPr>
      <w:r>
        <w:rPr>
          <w:rStyle w:val="af8"/>
        </w:rPr>
        <w:footnoteRef/>
      </w:r>
      <w:r>
        <w:t xml:space="preserve"> </w:t>
      </w:r>
      <w:r w:rsidRPr="001C3DE9">
        <w:rPr>
          <w:rFonts w:ascii="Bookman Old Style" w:hAnsi="Bookman Old Style"/>
          <w:sz w:val="16"/>
          <w:szCs w:val="16"/>
        </w:rPr>
        <w:t>Автор выражает благодарность за участие в главе</w:t>
      </w:r>
      <w:r w:rsidRPr="001C3DE9">
        <w:rPr>
          <w:sz w:val="16"/>
          <w:szCs w:val="16"/>
        </w:rPr>
        <w:t xml:space="preserve"> </w:t>
      </w:r>
      <w:r w:rsidRPr="001C3DE9">
        <w:rPr>
          <w:rFonts w:ascii="Bookman Old Style" w:hAnsi="Bookman Old Style"/>
          <w:color w:val="231F20"/>
          <w:sz w:val="16"/>
          <w:szCs w:val="16"/>
          <w:shd w:val="clear" w:color="auto" w:fill="FFFFFF"/>
        </w:rPr>
        <w:t>Кляровской Дарье Германовне, директору юридического департамента ООО "Проектное управление строительными контрактами</w:t>
      </w:r>
      <w:r>
        <w:rPr>
          <w:rFonts w:ascii="Bookman Old Style" w:hAnsi="Bookman Old Style"/>
          <w:b/>
          <w:bCs/>
          <w:color w:val="231F20"/>
          <w:sz w:val="18"/>
          <w:szCs w:val="18"/>
          <w:shd w:val="clear" w:color="auto" w:fill="FFFFFF"/>
        </w:rPr>
        <w:t>"</w:t>
      </w:r>
      <w:r>
        <w:rPr>
          <w:rFonts w:ascii="Bookman Old Style" w:hAnsi="Bookman Old Style"/>
          <w:color w:val="231F20"/>
          <w:sz w:val="18"/>
          <w:szCs w:val="18"/>
          <w:shd w:val="clear" w:color="auto" w:fill="FFFFFF"/>
        </w:rPr>
        <w:t> </w:t>
      </w:r>
    </w:p>
  </w:footnote>
  <w:footnote w:id="66">
    <w:p w14:paraId="30D728AE" w14:textId="77777777" w:rsidR="00350396" w:rsidRPr="00787383" w:rsidRDefault="00350396" w:rsidP="00350396">
      <w:pPr>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rPr>
        <w:t xml:space="preserve"> </w:t>
      </w:r>
      <w:r w:rsidRPr="00787383">
        <w:rPr>
          <w:rStyle w:val="a6"/>
          <w:rFonts w:cs="Times New Roman"/>
          <w:sz w:val="16"/>
          <w:szCs w:val="16"/>
        </w:rPr>
        <w:t>Варнавский В. Г.</w:t>
      </w:r>
      <w:r w:rsidRPr="00787383">
        <w:rPr>
          <w:rFonts w:ascii="Bookman Old Style" w:hAnsi="Bookman Old Style" w:cs="Times New Roman"/>
          <w:sz w:val="16"/>
          <w:szCs w:val="16"/>
        </w:rPr>
        <w:t xml:space="preserve"> Партнерство государства и частного сектора: формы, проек</w:t>
      </w:r>
      <w:r w:rsidRPr="00787383">
        <w:rPr>
          <w:rFonts w:ascii="Bookman Old Style" w:hAnsi="Bookman Old Style" w:cs="Times New Roman"/>
          <w:sz w:val="16"/>
          <w:szCs w:val="16"/>
        </w:rPr>
        <w:softHyphen/>
        <w:t>ты, риски. М. : Наука, 2010.</w:t>
      </w:r>
    </w:p>
  </w:footnote>
  <w:footnote w:id="67">
    <w:p w14:paraId="49405E46" w14:textId="77777777" w:rsidR="00350396" w:rsidRPr="00787383" w:rsidRDefault="00350396" w:rsidP="00350396">
      <w:pPr>
        <w:rPr>
          <w:rFonts w:ascii="Bookman Old Style" w:hAnsi="Bookman Old Style" w:cs="Times New Roman"/>
          <w:sz w:val="16"/>
          <w:szCs w:val="16"/>
        </w:rPr>
      </w:pPr>
      <w:r w:rsidRPr="00787383">
        <w:rPr>
          <w:rFonts w:ascii="Bookman Old Style" w:hAnsi="Bookman Old Style" w:cs="Times New Roman"/>
          <w:sz w:val="16"/>
          <w:szCs w:val="16"/>
          <w:vertAlign w:val="superscript"/>
        </w:rPr>
        <w:footnoteRef/>
      </w:r>
      <w:r w:rsidRPr="00787383">
        <w:rPr>
          <w:rFonts w:ascii="Bookman Old Style" w:hAnsi="Bookman Old Style" w:cs="Times New Roman"/>
          <w:sz w:val="16"/>
          <w:szCs w:val="16"/>
        </w:rPr>
        <w:t xml:space="preserve"> </w:t>
      </w:r>
      <w:r w:rsidRPr="00787383">
        <w:rPr>
          <w:rStyle w:val="a6"/>
          <w:rFonts w:cs="Times New Roman"/>
          <w:sz w:val="16"/>
          <w:szCs w:val="16"/>
        </w:rPr>
        <w:t>Бабкин И. А., Жеребов Е. Д.</w:t>
      </w:r>
      <w:r w:rsidRPr="00787383">
        <w:rPr>
          <w:rFonts w:ascii="Bookman Old Style" w:hAnsi="Bookman Old Style" w:cs="Times New Roman"/>
          <w:sz w:val="16"/>
          <w:szCs w:val="16"/>
        </w:rPr>
        <w:t xml:space="preserve"> Механизм взаимодействия государства и бизнеса на основе государственно-частного партнерства // Научно-технические ведомости СПБГПУ. Экономические науки. 2015. № 4. С. 103.</w:t>
      </w:r>
    </w:p>
  </w:footnote>
  <w:footnote w:id="68">
    <w:p w14:paraId="456D6CB6" w14:textId="77777777" w:rsidR="00350396" w:rsidRDefault="00350396" w:rsidP="00350396">
      <w:r w:rsidRPr="00332F79">
        <w:rPr>
          <w:rStyle w:val="af8"/>
          <w:highlight w:val="green"/>
        </w:rPr>
        <w:footnoteRef/>
      </w:r>
      <w:r w:rsidRPr="00332F79">
        <w:rPr>
          <w:rStyle w:val="a6"/>
          <w:rFonts w:ascii="Times New Roman" w:hAnsi="Times New Roman" w:cs="Times New Roman"/>
          <w:i w:val="0"/>
          <w:sz w:val="18"/>
          <w:szCs w:val="18"/>
          <w:highlight w:val="green"/>
        </w:rPr>
        <w:t>Бедняков А.С.,</w:t>
      </w:r>
      <w:r w:rsidRPr="00332F79">
        <w:rPr>
          <w:rStyle w:val="a6"/>
          <w:rFonts w:ascii="Times New Roman" w:hAnsi="Times New Roman" w:cs="Times New Roman"/>
          <w:sz w:val="18"/>
          <w:szCs w:val="18"/>
          <w:highlight w:val="green"/>
        </w:rPr>
        <w:t xml:space="preserve"> 2022, с. 171.</w:t>
      </w:r>
    </w:p>
  </w:footnote>
  <w:footnote w:id="69">
    <w:p w14:paraId="11F04E53" w14:textId="77777777" w:rsidR="00350396" w:rsidRDefault="00350396" w:rsidP="00350396">
      <w:pPr>
        <w:pStyle w:val="af6"/>
      </w:pPr>
      <w:r>
        <w:rPr>
          <w:rStyle w:val="af8"/>
        </w:rPr>
        <w:footnoteRef/>
      </w:r>
      <w:r w:rsidRPr="00332F79">
        <w:rPr>
          <w:rStyle w:val="a6"/>
          <w:rFonts w:ascii="Times New Roman" w:hAnsi="Times New Roman" w:cs="Times New Roman"/>
          <w:i w:val="0"/>
          <w:sz w:val="18"/>
          <w:szCs w:val="18"/>
          <w:highlight w:val="green"/>
        </w:rPr>
        <w:t>Бедняков А.С.,</w:t>
      </w:r>
      <w:r w:rsidRPr="00332F79">
        <w:rPr>
          <w:rStyle w:val="a6"/>
          <w:rFonts w:ascii="Times New Roman" w:hAnsi="Times New Roman" w:cs="Times New Roman"/>
          <w:sz w:val="18"/>
          <w:szCs w:val="18"/>
          <w:highlight w:val="green"/>
        </w:rPr>
        <w:t xml:space="preserve"> 2022, с. 1</w:t>
      </w:r>
      <w:r>
        <w:rPr>
          <w:rStyle w:val="a6"/>
          <w:rFonts w:ascii="Times New Roman" w:hAnsi="Times New Roman" w:cs="Times New Roman"/>
          <w:sz w:val="18"/>
          <w:szCs w:val="18"/>
          <w:highlight w:val="green"/>
        </w:rPr>
        <w:t>55-156</w:t>
      </w:r>
      <w:r w:rsidRPr="00332F79">
        <w:rPr>
          <w:rStyle w:val="a6"/>
          <w:rFonts w:ascii="Times New Roman" w:hAnsi="Times New Roman" w:cs="Times New Roman"/>
          <w:sz w:val="18"/>
          <w:szCs w:val="18"/>
          <w:highlight w:val="green"/>
        </w:rPr>
        <w:t>.</w:t>
      </w:r>
    </w:p>
  </w:footnote>
  <w:footnote w:id="70">
    <w:p w14:paraId="4AF96F36" w14:textId="77777777" w:rsidR="00350396" w:rsidRPr="00C22850" w:rsidRDefault="00350396" w:rsidP="00350396">
      <w:pPr>
        <w:rPr>
          <w:rFonts w:ascii="Times New Roman" w:hAnsi="Times New Roman" w:cs="Times New Roman"/>
          <w:sz w:val="18"/>
          <w:szCs w:val="18"/>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rPr>
        <w:t xml:space="preserve"> </w:t>
      </w:r>
      <w:r w:rsidRPr="00C22850">
        <w:rPr>
          <w:rStyle w:val="a6"/>
          <w:rFonts w:ascii="Times New Roman" w:hAnsi="Times New Roman" w:cs="Times New Roman"/>
          <w:sz w:val="18"/>
          <w:szCs w:val="18"/>
        </w:rPr>
        <w:t>Сухих В. А., Руденко М. Н., Оборина Е. Д.</w:t>
      </w:r>
      <w:r w:rsidRPr="00C22850">
        <w:rPr>
          <w:rFonts w:ascii="Times New Roman" w:hAnsi="Times New Roman" w:cs="Times New Roman"/>
        </w:rPr>
        <w:t xml:space="preserve"> К вопросу о понятии и сущности госу</w:t>
      </w:r>
      <w:r w:rsidRPr="00C22850">
        <w:rPr>
          <w:rFonts w:ascii="Times New Roman" w:hAnsi="Times New Roman" w:cs="Times New Roman"/>
        </w:rPr>
        <w:softHyphen/>
        <w:t>дарственно-частного партнерства // Научно-технические ведомости СПБГПУ. 2013. № 2. С. 97.</w:t>
      </w:r>
    </w:p>
  </w:footnote>
  <w:footnote w:id="71">
    <w:p w14:paraId="5E2C5923" w14:textId="77777777" w:rsidR="00350396" w:rsidRPr="004E0FC4" w:rsidRDefault="00350396" w:rsidP="00350396">
      <w:pPr>
        <w:rPr>
          <w:rFonts w:ascii="Bookman Old Style" w:hAnsi="Bookman Old Style" w:cs="Times New Roman"/>
          <w:sz w:val="16"/>
          <w:szCs w:val="16"/>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rPr>
        <w:t xml:space="preserve"> </w:t>
      </w:r>
      <w:r w:rsidRPr="004E0FC4">
        <w:rPr>
          <w:rFonts w:ascii="Bookman Old Style" w:hAnsi="Bookman Old Style" w:cs="Times New Roman"/>
          <w:sz w:val="16"/>
          <w:szCs w:val="16"/>
        </w:rPr>
        <w:t>Практика применения концессионных соглашений для развития региональ</w:t>
      </w:r>
      <w:r w:rsidRPr="004E0FC4">
        <w:rPr>
          <w:rFonts w:ascii="Bookman Old Style" w:hAnsi="Bookman Old Style" w:cs="Times New Roman"/>
          <w:sz w:val="16"/>
          <w:szCs w:val="16"/>
        </w:rPr>
        <w:softHyphen/>
        <w:t>ной инфраструктуры в России // Министерство экономического развития Рос</w:t>
      </w:r>
      <w:r w:rsidRPr="004E0FC4">
        <w:rPr>
          <w:rFonts w:ascii="Bookman Old Style" w:hAnsi="Bookman Old Style" w:cs="Times New Roman"/>
          <w:sz w:val="16"/>
          <w:szCs w:val="16"/>
        </w:rPr>
        <w:softHyphen/>
        <w:t xml:space="preserve">сийской Федерации. М., 2014. </w:t>
      </w:r>
      <w:r w:rsidRPr="004E0FC4">
        <w:rPr>
          <w:rFonts w:ascii="Bookman Old Style" w:hAnsi="Bookman Old Style" w:cs="Times New Roman"/>
          <w:sz w:val="16"/>
          <w:szCs w:val="16"/>
          <w:lang w:val="en-US" w:eastAsia="en-US" w:bidi="en-US"/>
        </w:rPr>
        <w:t>URL</w:t>
      </w:r>
      <w:r w:rsidRPr="004E0FC4">
        <w:rPr>
          <w:rFonts w:ascii="Bookman Old Style" w:hAnsi="Bookman Old Style" w:cs="Times New Roman"/>
          <w:sz w:val="16"/>
          <w:szCs w:val="16"/>
          <w:lang w:eastAsia="en-US" w:bidi="en-US"/>
        </w:rPr>
        <w:t xml:space="preserve">: </w:t>
      </w:r>
      <w:hyperlink r:id="rId10" w:history="1">
        <w:r w:rsidRPr="004E0FC4">
          <w:rPr>
            <w:rFonts w:ascii="Bookman Old Style" w:hAnsi="Bookman Old Style" w:cs="Times New Roman"/>
            <w:sz w:val="16"/>
            <w:szCs w:val="16"/>
            <w:lang w:val="en-US" w:eastAsia="en-US" w:bidi="en-US"/>
          </w:rPr>
          <w:t>http</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economy</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gov</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ru</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minec</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activity</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sections</w:t>
        </w:r>
        <w:r w:rsidRPr="004E0FC4">
          <w:rPr>
            <w:rFonts w:ascii="Bookman Old Style" w:hAnsi="Bookman Old Style" w:cs="Times New Roman"/>
            <w:sz w:val="16"/>
            <w:szCs w:val="16"/>
            <w:lang w:eastAsia="en-US" w:bidi="en-US"/>
          </w:rPr>
          <w:t>/</w:t>
        </w:r>
      </w:hyperlink>
      <w:r w:rsidRPr="004E0FC4">
        <w:rPr>
          <w:rFonts w:ascii="Bookman Old Style" w:hAnsi="Bookman Old Style" w:cs="Times New Roman"/>
          <w:sz w:val="16"/>
          <w:szCs w:val="16"/>
          <w:lang w:eastAsia="en-US" w:bidi="en-US"/>
        </w:rPr>
        <w:t xml:space="preserve"> </w:t>
      </w:r>
      <w:r w:rsidRPr="004E0FC4">
        <w:rPr>
          <w:rFonts w:ascii="Bookman Old Style" w:hAnsi="Bookman Old Style" w:cs="Times New Roman"/>
          <w:sz w:val="16"/>
          <w:szCs w:val="16"/>
          <w:lang w:val="en-US" w:eastAsia="en-US" w:bidi="en-US"/>
        </w:rPr>
        <w:t>privgovpartnerdev</w:t>
      </w:r>
      <w:r w:rsidRPr="004E0FC4">
        <w:rPr>
          <w:rFonts w:ascii="Bookman Old Style" w:hAnsi="Bookman Old Style" w:cs="Times New Roman"/>
          <w:sz w:val="16"/>
          <w:szCs w:val="16"/>
          <w:lang w:eastAsia="en-US" w:bidi="en-US"/>
        </w:rPr>
        <w:t xml:space="preserve">/2014112710 </w:t>
      </w:r>
      <w:r w:rsidRPr="004E0FC4">
        <w:rPr>
          <w:rFonts w:ascii="Bookman Old Style" w:hAnsi="Bookman Old Style" w:cs="Times New Roman"/>
          <w:sz w:val="16"/>
          <w:szCs w:val="16"/>
        </w:rPr>
        <w:t>(дата обращения: 21.01.2016).</w:t>
      </w:r>
    </w:p>
  </w:footnote>
  <w:footnote w:id="72">
    <w:p w14:paraId="66646A7B" w14:textId="77777777" w:rsidR="00350396" w:rsidRPr="004E0FC4" w:rsidRDefault="00350396" w:rsidP="00350396">
      <w:pPr>
        <w:rPr>
          <w:rFonts w:ascii="Bookman Old Style" w:hAnsi="Bookman Old Style" w:cs="Times New Roman"/>
          <w:sz w:val="16"/>
          <w:szCs w:val="16"/>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rPr>
        <w:t xml:space="preserve"> </w:t>
      </w:r>
      <w:r w:rsidRPr="004E0FC4">
        <w:rPr>
          <w:rFonts w:ascii="Bookman Old Style" w:hAnsi="Bookman Old Style" w:cs="Times New Roman"/>
          <w:sz w:val="16"/>
          <w:szCs w:val="16"/>
        </w:rPr>
        <w:t>Практика применения концессионных соглашений для развития региональ</w:t>
      </w:r>
      <w:r w:rsidRPr="004E0FC4">
        <w:rPr>
          <w:rFonts w:ascii="Bookman Old Style" w:hAnsi="Bookman Old Style" w:cs="Times New Roman"/>
          <w:sz w:val="16"/>
          <w:szCs w:val="16"/>
        </w:rPr>
        <w:softHyphen/>
        <w:t>ной инфраструктуры в России // Министерство экономического развития Рос</w:t>
      </w:r>
      <w:r w:rsidRPr="004E0FC4">
        <w:rPr>
          <w:rFonts w:ascii="Bookman Old Style" w:hAnsi="Bookman Old Style" w:cs="Times New Roman"/>
          <w:sz w:val="16"/>
          <w:szCs w:val="16"/>
        </w:rPr>
        <w:softHyphen/>
        <w:t xml:space="preserve">сийской Федерации. М., 2014. </w:t>
      </w:r>
      <w:r w:rsidRPr="004E0FC4">
        <w:rPr>
          <w:rFonts w:ascii="Bookman Old Style" w:hAnsi="Bookman Old Style" w:cs="Times New Roman"/>
          <w:sz w:val="16"/>
          <w:szCs w:val="16"/>
          <w:lang w:val="en-US" w:eastAsia="en-US" w:bidi="en-US"/>
        </w:rPr>
        <w:t>URL</w:t>
      </w:r>
      <w:r w:rsidRPr="004E0FC4">
        <w:rPr>
          <w:rFonts w:ascii="Bookman Old Style" w:hAnsi="Bookman Old Style" w:cs="Times New Roman"/>
          <w:sz w:val="16"/>
          <w:szCs w:val="16"/>
          <w:lang w:eastAsia="en-US" w:bidi="en-US"/>
        </w:rPr>
        <w:t xml:space="preserve">: </w:t>
      </w:r>
      <w:hyperlink r:id="rId11" w:history="1">
        <w:r w:rsidRPr="004E0FC4">
          <w:rPr>
            <w:rFonts w:ascii="Bookman Old Style" w:hAnsi="Bookman Old Style" w:cs="Times New Roman"/>
            <w:sz w:val="16"/>
            <w:szCs w:val="16"/>
            <w:lang w:val="en-US" w:eastAsia="en-US" w:bidi="en-US"/>
          </w:rPr>
          <w:t>http</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economy</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gov</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ru</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minec</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activity</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sections</w:t>
        </w:r>
        <w:r w:rsidRPr="004E0FC4">
          <w:rPr>
            <w:rFonts w:ascii="Bookman Old Style" w:hAnsi="Bookman Old Style" w:cs="Times New Roman"/>
            <w:sz w:val="16"/>
            <w:szCs w:val="16"/>
            <w:lang w:eastAsia="en-US" w:bidi="en-US"/>
          </w:rPr>
          <w:t>/</w:t>
        </w:r>
      </w:hyperlink>
      <w:r w:rsidRPr="004E0FC4">
        <w:rPr>
          <w:rFonts w:ascii="Bookman Old Style" w:hAnsi="Bookman Old Style" w:cs="Times New Roman"/>
          <w:sz w:val="16"/>
          <w:szCs w:val="16"/>
          <w:lang w:eastAsia="en-US" w:bidi="en-US"/>
        </w:rPr>
        <w:t xml:space="preserve"> </w:t>
      </w:r>
      <w:r w:rsidRPr="004E0FC4">
        <w:rPr>
          <w:rFonts w:ascii="Bookman Old Style" w:hAnsi="Bookman Old Style" w:cs="Times New Roman"/>
          <w:sz w:val="16"/>
          <w:szCs w:val="16"/>
          <w:lang w:val="en-US" w:eastAsia="en-US" w:bidi="en-US"/>
        </w:rPr>
        <w:t>privgovpartnerdev</w:t>
      </w:r>
      <w:r w:rsidRPr="004E0FC4">
        <w:rPr>
          <w:rFonts w:ascii="Bookman Old Style" w:hAnsi="Bookman Old Style" w:cs="Times New Roman"/>
          <w:sz w:val="16"/>
          <w:szCs w:val="16"/>
          <w:lang w:eastAsia="en-US" w:bidi="en-US"/>
        </w:rPr>
        <w:t xml:space="preserve">/2014112710 </w:t>
      </w:r>
      <w:r w:rsidRPr="004E0FC4">
        <w:rPr>
          <w:rFonts w:ascii="Bookman Old Style" w:hAnsi="Bookman Old Style" w:cs="Times New Roman"/>
          <w:sz w:val="16"/>
          <w:szCs w:val="16"/>
        </w:rPr>
        <w:t>(дата обращения: 21.01.2016).</w:t>
      </w:r>
    </w:p>
  </w:footnote>
  <w:footnote w:id="73">
    <w:p w14:paraId="3555D790" w14:textId="77777777" w:rsidR="00350396" w:rsidRPr="00C22850" w:rsidRDefault="00350396" w:rsidP="00350396">
      <w:pPr>
        <w:rPr>
          <w:rFonts w:ascii="Times New Roman" w:hAnsi="Times New Roman" w:cs="Times New Roman"/>
          <w:sz w:val="18"/>
          <w:szCs w:val="18"/>
        </w:rPr>
      </w:pPr>
      <w:r w:rsidRPr="00C22850">
        <w:rPr>
          <w:rFonts w:ascii="Times New Roman" w:hAnsi="Times New Roman" w:cs="Times New Roman"/>
          <w:vertAlign w:val="superscript"/>
        </w:rPr>
        <w:footnoteRef/>
      </w:r>
      <w:r w:rsidRPr="00C22850">
        <w:rPr>
          <w:rFonts w:ascii="Times New Roman" w:hAnsi="Times New Roman" w:cs="Times New Roman"/>
        </w:rPr>
        <w:t xml:space="preserve"> </w:t>
      </w:r>
      <w:r w:rsidRPr="00C22850">
        <w:rPr>
          <w:rStyle w:val="a6"/>
          <w:rFonts w:ascii="Times New Roman" w:hAnsi="Times New Roman" w:cs="Times New Roman"/>
          <w:sz w:val="18"/>
          <w:szCs w:val="18"/>
        </w:rPr>
        <w:t>Радушинский Д.</w:t>
      </w:r>
      <w:r w:rsidRPr="00C22850">
        <w:rPr>
          <w:rFonts w:ascii="Times New Roman" w:hAnsi="Times New Roman" w:cs="Times New Roman"/>
        </w:rPr>
        <w:t xml:space="preserve"> А. Роль государственно-частного партнерства в реализа</w:t>
      </w:r>
      <w:r w:rsidRPr="00C22850">
        <w:rPr>
          <w:rFonts w:ascii="Times New Roman" w:hAnsi="Times New Roman" w:cs="Times New Roman"/>
        </w:rPr>
        <w:softHyphen/>
        <w:t>ции инновационных проектов новой индустриальной экономики // Форсайт «Россия»: новое индустриальное общество. Перезагрузка : Сборник материалов Санкт-Петербургского международного экономического конгресса (СПЭК-2017) / под общ. ред. С. Д. Бодрунова. СПб. : Институт нового индустриального развития им. С. Ю. Витте, 2018. С. 845—854.</w:t>
      </w:r>
    </w:p>
  </w:footnote>
  <w:footnote w:id="74">
    <w:p w14:paraId="393B71D9" w14:textId="77777777" w:rsidR="00350396" w:rsidRPr="00C22850" w:rsidRDefault="00350396" w:rsidP="00350396">
      <w:pPr>
        <w:rPr>
          <w:rFonts w:ascii="Times New Roman" w:hAnsi="Times New Roman" w:cs="Times New Roman"/>
          <w:sz w:val="18"/>
          <w:szCs w:val="18"/>
        </w:rPr>
      </w:pPr>
      <w:r w:rsidRPr="00C22850">
        <w:rPr>
          <w:rFonts w:ascii="Times New Roman" w:hAnsi="Times New Roman" w:cs="Times New Roman"/>
          <w:vertAlign w:val="superscript"/>
        </w:rPr>
        <w:footnoteRef/>
      </w:r>
      <w:r w:rsidRPr="00C22850">
        <w:rPr>
          <w:rFonts w:ascii="Times New Roman" w:hAnsi="Times New Roman" w:cs="Times New Roman"/>
        </w:rPr>
        <w:t xml:space="preserve"> </w:t>
      </w:r>
      <w:r w:rsidRPr="00C22850">
        <w:rPr>
          <w:rStyle w:val="a6"/>
          <w:rFonts w:ascii="Times New Roman" w:hAnsi="Times New Roman" w:cs="Times New Roman"/>
          <w:sz w:val="18"/>
          <w:szCs w:val="18"/>
        </w:rPr>
        <w:t>Гэлбрейт Дж. К.</w:t>
      </w:r>
      <w:r w:rsidRPr="00C22850">
        <w:rPr>
          <w:rFonts w:ascii="Times New Roman" w:hAnsi="Times New Roman" w:cs="Times New Roman"/>
        </w:rPr>
        <w:t xml:space="preserve"> Новое индустриальное общество. М. : АСТ, 2004; </w:t>
      </w:r>
      <w:r w:rsidRPr="00C22850">
        <w:rPr>
          <w:rStyle w:val="a6"/>
          <w:rFonts w:ascii="Times New Roman" w:hAnsi="Times New Roman" w:cs="Times New Roman"/>
          <w:sz w:val="18"/>
          <w:szCs w:val="18"/>
        </w:rPr>
        <w:t>Бодру- нов С. Д.</w:t>
      </w:r>
      <w:r w:rsidRPr="00C22850">
        <w:rPr>
          <w:rFonts w:ascii="Times New Roman" w:hAnsi="Times New Roman" w:cs="Times New Roman"/>
        </w:rPr>
        <w:t xml:space="preserve"> Грядущее. Новое индустриальное общество: перезагрузка. СПб. : Институт нового индустриального развития им. С. Ю. Витте, 2016. 224 с.</w:t>
      </w:r>
    </w:p>
  </w:footnote>
  <w:footnote w:id="75">
    <w:p w14:paraId="388B7710" w14:textId="77777777" w:rsidR="00350396" w:rsidRPr="00C757DD" w:rsidRDefault="00350396" w:rsidP="00350396">
      <w:pPr>
        <w:rPr>
          <w:rFonts w:ascii="Times New Roman" w:hAnsi="Times New Roman" w:cs="Times New Roman"/>
          <w:sz w:val="18"/>
          <w:szCs w:val="18"/>
          <w:lang w:val="en-US"/>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rPr>
        <w:t xml:space="preserve"> </w:t>
      </w:r>
      <w:r w:rsidRPr="00C22850">
        <w:rPr>
          <w:rStyle w:val="a6"/>
          <w:rFonts w:ascii="Times New Roman" w:hAnsi="Times New Roman" w:cs="Times New Roman"/>
          <w:sz w:val="18"/>
          <w:szCs w:val="18"/>
        </w:rPr>
        <w:t>Варнавский В. Г., Клименко А. В., Королев В. А.</w:t>
      </w:r>
      <w:r w:rsidRPr="00C22850">
        <w:rPr>
          <w:rFonts w:ascii="Times New Roman" w:hAnsi="Times New Roman" w:cs="Times New Roman"/>
        </w:rPr>
        <w:t xml:space="preserve"> Государственно-частное пар</w:t>
      </w:r>
      <w:r w:rsidRPr="00C22850">
        <w:rPr>
          <w:rFonts w:ascii="Times New Roman" w:hAnsi="Times New Roman" w:cs="Times New Roman"/>
        </w:rPr>
        <w:softHyphen/>
        <w:t>тнерство: теория и практика. М</w:t>
      </w:r>
      <w:r w:rsidRPr="00C757DD">
        <w:rPr>
          <w:rFonts w:ascii="Times New Roman" w:hAnsi="Times New Roman" w:cs="Times New Roman"/>
          <w:lang w:val="en-US"/>
        </w:rPr>
        <w:t xml:space="preserve">. : </w:t>
      </w:r>
      <w:r w:rsidRPr="00C22850">
        <w:rPr>
          <w:rFonts w:ascii="Times New Roman" w:hAnsi="Times New Roman" w:cs="Times New Roman"/>
        </w:rPr>
        <w:t>Издательский</w:t>
      </w:r>
      <w:r w:rsidRPr="00C757DD">
        <w:rPr>
          <w:rFonts w:ascii="Times New Roman" w:hAnsi="Times New Roman" w:cs="Times New Roman"/>
          <w:lang w:val="en-US"/>
        </w:rPr>
        <w:t xml:space="preserve"> </w:t>
      </w:r>
      <w:r w:rsidRPr="00C22850">
        <w:rPr>
          <w:rFonts w:ascii="Times New Roman" w:hAnsi="Times New Roman" w:cs="Times New Roman"/>
        </w:rPr>
        <w:t>дом</w:t>
      </w:r>
      <w:r w:rsidRPr="00C757DD">
        <w:rPr>
          <w:rFonts w:ascii="Times New Roman" w:hAnsi="Times New Roman" w:cs="Times New Roman"/>
          <w:lang w:val="en-US"/>
        </w:rPr>
        <w:t xml:space="preserve"> </w:t>
      </w:r>
      <w:r w:rsidRPr="00C22850">
        <w:rPr>
          <w:rFonts w:ascii="Times New Roman" w:hAnsi="Times New Roman" w:cs="Times New Roman"/>
        </w:rPr>
        <w:t>Государственного</w:t>
      </w:r>
      <w:r w:rsidRPr="00C757DD">
        <w:rPr>
          <w:rFonts w:ascii="Times New Roman" w:hAnsi="Times New Roman" w:cs="Times New Roman"/>
          <w:lang w:val="en-US"/>
        </w:rPr>
        <w:t xml:space="preserve"> </w:t>
      </w:r>
      <w:r w:rsidRPr="00C22850">
        <w:rPr>
          <w:rFonts w:ascii="Times New Roman" w:hAnsi="Times New Roman" w:cs="Times New Roman"/>
        </w:rPr>
        <w:t>университе</w:t>
      </w:r>
      <w:r w:rsidRPr="00C757DD">
        <w:rPr>
          <w:rFonts w:ascii="Times New Roman" w:hAnsi="Times New Roman" w:cs="Times New Roman"/>
          <w:lang w:val="en-US"/>
        </w:rPr>
        <w:softHyphen/>
      </w:r>
      <w:r w:rsidRPr="00C22850">
        <w:rPr>
          <w:rFonts w:ascii="Times New Roman" w:hAnsi="Times New Roman" w:cs="Times New Roman"/>
        </w:rPr>
        <w:t>та</w:t>
      </w:r>
      <w:r w:rsidRPr="00C757DD">
        <w:rPr>
          <w:rFonts w:ascii="Times New Roman" w:hAnsi="Times New Roman" w:cs="Times New Roman"/>
          <w:lang w:val="en-US"/>
        </w:rPr>
        <w:t xml:space="preserve"> — </w:t>
      </w:r>
      <w:r w:rsidRPr="00C22850">
        <w:rPr>
          <w:rFonts w:ascii="Times New Roman" w:hAnsi="Times New Roman" w:cs="Times New Roman"/>
        </w:rPr>
        <w:t>Высшей</w:t>
      </w:r>
      <w:r w:rsidRPr="00C757DD">
        <w:rPr>
          <w:rFonts w:ascii="Times New Roman" w:hAnsi="Times New Roman" w:cs="Times New Roman"/>
          <w:lang w:val="en-US"/>
        </w:rPr>
        <w:t xml:space="preserve"> </w:t>
      </w:r>
      <w:r w:rsidRPr="00C22850">
        <w:rPr>
          <w:rFonts w:ascii="Times New Roman" w:hAnsi="Times New Roman" w:cs="Times New Roman"/>
        </w:rPr>
        <w:t>школы</w:t>
      </w:r>
      <w:r w:rsidRPr="00C757DD">
        <w:rPr>
          <w:rFonts w:ascii="Times New Roman" w:hAnsi="Times New Roman" w:cs="Times New Roman"/>
          <w:lang w:val="en-US"/>
        </w:rPr>
        <w:t xml:space="preserve"> </w:t>
      </w:r>
      <w:r w:rsidRPr="00C22850">
        <w:rPr>
          <w:rFonts w:ascii="Times New Roman" w:hAnsi="Times New Roman" w:cs="Times New Roman"/>
        </w:rPr>
        <w:t>экономики</w:t>
      </w:r>
      <w:r w:rsidRPr="00C757DD">
        <w:rPr>
          <w:rFonts w:ascii="Times New Roman" w:hAnsi="Times New Roman" w:cs="Times New Roman"/>
          <w:lang w:val="en-US"/>
        </w:rPr>
        <w:t xml:space="preserve">, 2010. </w:t>
      </w:r>
      <w:r w:rsidRPr="00C22850">
        <w:rPr>
          <w:rFonts w:ascii="Times New Roman" w:hAnsi="Times New Roman" w:cs="Times New Roman"/>
        </w:rPr>
        <w:t>С</w:t>
      </w:r>
      <w:r w:rsidRPr="00C757DD">
        <w:rPr>
          <w:rFonts w:ascii="Times New Roman" w:hAnsi="Times New Roman" w:cs="Times New Roman"/>
          <w:lang w:val="en-US"/>
        </w:rPr>
        <w:t>. 28.</w:t>
      </w:r>
    </w:p>
  </w:footnote>
  <w:footnote w:id="76">
    <w:p w14:paraId="5963637F" w14:textId="77777777" w:rsidR="00350396" w:rsidRPr="00C22850" w:rsidRDefault="00350396" w:rsidP="00350396">
      <w:pPr>
        <w:rPr>
          <w:rFonts w:ascii="Times New Roman" w:hAnsi="Times New Roman" w:cs="Times New Roman"/>
          <w:sz w:val="18"/>
          <w:szCs w:val="18"/>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lang w:val="en-US"/>
        </w:rPr>
        <w:t xml:space="preserve"> </w:t>
      </w:r>
      <w:r w:rsidRPr="00C22850">
        <w:rPr>
          <w:rStyle w:val="a6"/>
          <w:rFonts w:ascii="Times New Roman" w:hAnsi="Times New Roman" w:cs="Times New Roman"/>
          <w:sz w:val="18"/>
          <w:szCs w:val="18"/>
          <w:lang w:val="en-US" w:eastAsia="en-US" w:bidi="en-US"/>
        </w:rPr>
        <w:t>Delmon J.</w:t>
      </w:r>
      <w:r w:rsidRPr="00C22850">
        <w:rPr>
          <w:rFonts w:ascii="Times New Roman" w:hAnsi="Times New Roman" w:cs="Times New Roman"/>
          <w:lang w:val="en-US" w:eastAsia="en-US" w:bidi="en-US"/>
        </w:rPr>
        <w:t xml:space="preserve"> Private Sector Investment in Infrastructure: Project Finance, PPP Projects and Risk. The</w:t>
      </w:r>
      <w:r w:rsidRPr="00C22850">
        <w:rPr>
          <w:rFonts w:ascii="Times New Roman" w:hAnsi="Times New Roman" w:cs="Times New Roman"/>
          <w:lang w:eastAsia="en-US" w:bidi="en-US"/>
        </w:rPr>
        <w:t xml:space="preserve"> </w:t>
      </w:r>
      <w:r w:rsidRPr="00C22850">
        <w:rPr>
          <w:rFonts w:ascii="Times New Roman" w:hAnsi="Times New Roman" w:cs="Times New Roman"/>
          <w:lang w:val="en-US" w:eastAsia="en-US" w:bidi="en-US"/>
        </w:rPr>
        <w:t>World</w:t>
      </w:r>
      <w:r w:rsidRPr="00C22850">
        <w:rPr>
          <w:rFonts w:ascii="Times New Roman" w:hAnsi="Times New Roman" w:cs="Times New Roman"/>
          <w:lang w:eastAsia="en-US" w:bidi="en-US"/>
        </w:rPr>
        <w:t xml:space="preserve"> </w:t>
      </w:r>
      <w:r w:rsidRPr="00C22850">
        <w:rPr>
          <w:rFonts w:ascii="Times New Roman" w:hAnsi="Times New Roman" w:cs="Times New Roman"/>
          <w:lang w:val="en-US" w:eastAsia="en-US" w:bidi="en-US"/>
        </w:rPr>
        <w:t>Bank</w:t>
      </w:r>
      <w:r w:rsidRPr="00C22850">
        <w:rPr>
          <w:rFonts w:ascii="Times New Roman" w:hAnsi="Times New Roman" w:cs="Times New Roman"/>
          <w:lang w:eastAsia="en-US" w:bidi="en-US"/>
        </w:rPr>
        <w:t xml:space="preserve"> </w:t>
      </w:r>
      <w:r w:rsidRPr="00C22850">
        <w:rPr>
          <w:rFonts w:ascii="Times New Roman" w:hAnsi="Times New Roman" w:cs="Times New Roman"/>
          <w:lang w:val="en-US" w:eastAsia="en-US" w:bidi="en-US"/>
        </w:rPr>
        <w:t>and</w:t>
      </w:r>
      <w:r w:rsidRPr="00C22850">
        <w:rPr>
          <w:rFonts w:ascii="Times New Roman" w:hAnsi="Times New Roman" w:cs="Times New Roman"/>
          <w:lang w:eastAsia="en-US" w:bidi="en-US"/>
        </w:rPr>
        <w:t xml:space="preserve"> </w:t>
      </w:r>
      <w:r w:rsidRPr="00C22850">
        <w:rPr>
          <w:rFonts w:ascii="Times New Roman" w:hAnsi="Times New Roman" w:cs="Times New Roman"/>
          <w:lang w:val="en-US" w:eastAsia="en-US" w:bidi="en-US"/>
        </w:rPr>
        <w:t>Kluwer</w:t>
      </w:r>
      <w:r w:rsidRPr="00C22850">
        <w:rPr>
          <w:rFonts w:ascii="Times New Roman" w:hAnsi="Times New Roman" w:cs="Times New Roman"/>
          <w:lang w:eastAsia="en-US" w:bidi="en-US"/>
        </w:rPr>
        <w:t xml:space="preserve"> </w:t>
      </w:r>
      <w:r w:rsidRPr="00C22850">
        <w:rPr>
          <w:rFonts w:ascii="Times New Roman" w:hAnsi="Times New Roman" w:cs="Times New Roman"/>
          <w:lang w:val="en-US" w:eastAsia="en-US" w:bidi="en-US"/>
        </w:rPr>
        <w:t>Law</w:t>
      </w:r>
      <w:r w:rsidRPr="00C22850">
        <w:rPr>
          <w:rFonts w:ascii="Times New Roman" w:hAnsi="Times New Roman" w:cs="Times New Roman"/>
          <w:lang w:eastAsia="en-US" w:bidi="en-US"/>
        </w:rPr>
        <w:t xml:space="preserve"> </w:t>
      </w:r>
      <w:r w:rsidRPr="00C22850">
        <w:rPr>
          <w:rFonts w:ascii="Times New Roman" w:hAnsi="Times New Roman" w:cs="Times New Roman"/>
          <w:lang w:val="en-US" w:eastAsia="en-US" w:bidi="en-US"/>
        </w:rPr>
        <w:t>lnternational</w:t>
      </w:r>
      <w:r w:rsidRPr="00C22850">
        <w:rPr>
          <w:rFonts w:ascii="Times New Roman" w:hAnsi="Times New Roman" w:cs="Times New Roman"/>
          <w:lang w:eastAsia="en-US" w:bidi="en-US"/>
        </w:rPr>
        <w:t xml:space="preserve">, 2009. </w:t>
      </w:r>
      <w:r w:rsidRPr="00C22850">
        <w:rPr>
          <w:rFonts w:ascii="Times New Roman" w:hAnsi="Times New Roman" w:cs="Times New Roman"/>
        </w:rPr>
        <w:t xml:space="preserve">Р. </w:t>
      </w:r>
      <w:r w:rsidRPr="00C22850">
        <w:rPr>
          <w:rFonts w:ascii="Times New Roman" w:hAnsi="Times New Roman" w:cs="Times New Roman"/>
          <w:lang w:eastAsia="en-US" w:bidi="en-US"/>
        </w:rPr>
        <w:t>9.</w:t>
      </w:r>
    </w:p>
  </w:footnote>
  <w:footnote w:id="77">
    <w:p w14:paraId="54ECF24D" w14:textId="77777777" w:rsidR="00350396" w:rsidRPr="00C22850" w:rsidRDefault="00350396" w:rsidP="00350396">
      <w:pPr>
        <w:rPr>
          <w:rFonts w:ascii="Times New Roman" w:hAnsi="Times New Roman" w:cs="Times New Roman"/>
          <w:sz w:val="18"/>
          <w:szCs w:val="18"/>
          <w:lang w:val="en-US"/>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rPr>
        <w:t xml:space="preserve"> </w:t>
      </w:r>
      <w:r w:rsidRPr="00C22850">
        <w:rPr>
          <w:rStyle w:val="a6"/>
          <w:rFonts w:ascii="Times New Roman" w:hAnsi="Times New Roman" w:cs="Times New Roman"/>
          <w:sz w:val="18"/>
          <w:szCs w:val="18"/>
        </w:rPr>
        <w:t>Дерябина М.</w:t>
      </w:r>
      <w:r w:rsidRPr="00C22850">
        <w:rPr>
          <w:rFonts w:ascii="Times New Roman" w:hAnsi="Times New Roman" w:cs="Times New Roman"/>
        </w:rPr>
        <w:t xml:space="preserve"> Экономический анализ: Государственно-частное партнер</w:t>
      </w:r>
      <w:r w:rsidRPr="00C22850">
        <w:rPr>
          <w:rFonts w:ascii="Times New Roman" w:hAnsi="Times New Roman" w:cs="Times New Roman"/>
        </w:rPr>
        <w:softHyphen/>
        <w:t>ство: теория и практика. Экономический</w:t>
      </w:r>
      <w:r w:rsidRPr="00C22850">
        <w:rPr>
          <w:rFonts w:ascii="Times New Roman" w:hAnsi="Times New Roman" w:cs="Times New Roman"/>
          <w:lang w:val="en-US"/>
        </w:rPr>
        <w:t xml:space="preserve"> </w:t>
      </w:r>
      <w:r w:rsidRPr="00C22850">
        <w:rPr>
          <w:rFonts w:ascii="Times New Roman" w:hAnsi="Times New Roman" w:cs="Times New Roman"/>
        </w:rPr>
        <w:t>портал</w:t>
      </w:r>
      <w:r w:rsidRPr="00C22850">
        <w:rPr>
          <w:rFonts w:ascii="Times New Roman" w:hAnsi="Times New Roman" w:cs="Times New Roman"/>
          <w:lang w:val="en-US"/>
        </w:rPr>
        <w:t xml:space="preserve">. </w:t>
      </w:r>
      <w:r w:rsidRPr="00C22850">
        <w:rPr>
          <w:rFonts w:ascii="Times New Roman" w:hAnsi="Times New Roman" w:cs="Times New Roman"/>
          <w:lang w:val="en-US" w:eastAsia="en-US" w:bidi="en-US"/>
        </w:rPr>
        <w:t xml:space="preserve">URL: </w:t>
      </w:r>
      <w:hyperlink r:id="rId12" w:history="1">
        <w:r w:rsidRPr="00C22850">
          <w:rPr>
            <w:rFonts w:ascii="Times New Roman" w:hAnsi="Times New Roman" w:cs="Times New Roman"/>
            <w:lang w:val="en-US" w:eastAsia="en-US" w:bidi="en-US"/>
          </w:rPr>
          <w:t>http://institutiones.com/</w:t>
        </w:r>
      </w:hyperlink>
      <w:r w:rsidRPr="00C22850">
        <w:rPr>
          <w:rFonts w:ascii="Times New Roman" w:hAnsi="Times New Roman" w:cs="Times New Roman"/>
          <w:lang w:val="en-US" w:eastAsia="en-US" w:bidi="en-US"/>
        </w:rPr>
        <w:t xml:space="preserve"> general/1079-gosudarstvenno-chastnoe-partnerstvo.html.</w:t>
      </w:r>
    </w:p>
  </w:footnote>
  <w:footnote w:id="78">
    <w:p w14:paraId="211854C8" w14:textId="77777777" w:rsidR="00350396" w:rsidRPr="00C22850" w:rsidRDefault="00350396" w:rsidP="00350396">
      <w:pPr>
        <w:rPr>
          <w:rFonts w:ascii="Times New Roman" w:hAnsi="Times New Roman" w:cs="Times New Roman"/>
          <w:sz w:val="18"/>
          <w:szCs w:val="18"/>
        </w:rPr>
      </w:pPr>
      <w:r w:rsidRPr="00C22850">
        <w:rPr>
          <w:rFonts w:ascii="Times New Roman" w:hAnsi="Times New Roman" w:cs="Times New Roman"/>
          <w:vertAlign w:val="superscript"/>
        </w:rPr>
        <w:footnoteRef/>
      </w:r>
      <w:r w:rsidRPr="00C22850">
        <w:rPr>
          <w:rFonts w:ascii="Times New Roman" w:hAnsi="Times New Roman" w:cs="Times New Roman"/>
        </w:rPr>
        <w:t xml:space="preserve"> Стратегия развития лесного комплекса Российской Федерации до 2030 года (утв. распоряжением Правительства РФ от 20.09.2018 № 1989-р).</w:t>
      </w:r>
    </w:p>
  </w:footnote>
  <w:footnote w:id="79">
    <w:p w14:paraId="3D794A35" w14:textId="77777777" w:rsidR="00350396" w:rsidRPr="00C22850" w:rsidRDefault="00350396" w:rsidP="00350396">
      <w:pPr>
        <w:tabs>
          <w:tab w:val="left" w:pos="451"/>
        </w:tabs>
        <w:rPr>
          <w:rFonts w:ascii="Times New Roman" w:hAnsi="Times New Roman" w:cs="Times New Roman"/>
          <w:sz w:val="18"/>
          <w:szCs w:val="18"/>
        </w:rPr>
      </w:pPr>
      <w:r w:rsidRPr="00C22850">
        <w:rPr>
          <w:rFonts w:ascii="Times New Roman" w:hAnsi="Times New Roman" w:cs="Times New Roman"/>
          <w:vertAlign w:val="superscript"/>
        </w:rPr>
        <w:footnoteRef/>
      </w:r>
      <w:r w:rsidRPr="00C22850">
        <w:rPr>
          <w:rFonts w:ascii="Times New Roman" w:hAnsi="Times New Roman" w:cs="Times New Roman"/>
        </w:rPr>
        <w:tab/>
        <w:t>Проект национального доклада о привлечении частных инвестиций в разви</w:t>
      </w:r>
      <w:r w:rsidRPr="00C22850">
        <w:rPr>
          <w:rFonts w:ascii="Times New Roman" w:hAnsi="Times New Roman" w:cs="Times New Roman"/>
        </w:rPr>
        <w:softHyphen/>
        <w:t>тие инфраструктуры и применении механизмов государственно-частного партнер</w:t>
      </w:r>
      <w:r w:rsidRPr="00C22850">
        <w:rPr>
          <w:rFonts w:ascii="Times New Roman" w:hAnsi="Times New Roman" w:cs="Times New Roman"/>
        </w:rPr>
        <w:softHyphen/>
        <w:t>ства в Российской Федерации + Рейтинг регионов России по уровню развития госу</w:t>
      </w:r>
      <w:r w:rsidRPr="00C22850">
        <w:rPr>
          <w:rFonts w:ascii="Times New Roman" w:hAnsi="Times New Roman" w:cs="Times New Roman"/>
        </w:rPr>
        <w:softHyphen/>
        <w:t>дарственно-частного партнерства 2017—2018. М. : Центр развития ГЧП, 2019. С. 26.</w:t>
      </w:r>
    </w:p>
  </w:footnote>
  <w:footnote w:id="80">
    <w:p w14:paraId="7120AD04" w14:textId="77777777" w:rsidR="00350396" w:rsidRPr="00C22850" w:rsidRDefault="00350396" w:rsidP="00350396">
      <w:pPr>
        <w:tabs>
          <w:tab w:val="left" w:pos="483"/>
        </w:tabs>
        <w:rPr>
          <w:rFonts w:ascii="Times New Roman" w:hAnsi="Times New Roman" w:cs="Times New Roman"/>
          <w:sz w:val="18"/>
          <w:szCs w:val="18"/>
        </w:rPr>
      </w:pPr>
      <w:r w:rsidRPr="00C22850">
        <w:rPr>
          <w:rFonts w:ascii="Times New Roman" w:hAnsi="Times New Roman" w:cs="Times New Roman"/>
          <w:vertAlign w:val="superscript"/>
        </w:rPr>
        <w:footnoteRef/>
      </w:r>
      <w:r w:rsidRPr="00C22850">
        <w:rPr>
          <w:rFonts w:ascii="Times New Roman" w:hAnsi="Times New Roman" w:cs="Times New Roman"/>
        </w:rPr>
        <w:tab/>
        <w:t>Там же.</w:t>
      </w:r>
    </w:p>
  </w:footnote>
  <w:footnote w:id="81">
    <w:p w14:paraId="0D9A6386" w14:textId="77777777" w:rsidR="00350396" w:rsidRPr="00C22850" w:rsidRDefault="00350396" w:rsidP="00350396">
      <w:pPr>
        <w:rPr>
          <w:rFonts w:ascii="Times New Roman" w:hAnsi="Times New Roman" w:cs="Times New Roman"/>
          <w:sz w:val="18"/>
          <w:szCs w:val="18"/>
        </w:rPr>
      </w:pPr>
      <w:r w:rsidRPr="00C22850">
        <w:rPr>
          <w:rFonts w:ascii="Times New Roman" w:hAnsi="Times New Roman" w:cs="Times New Roman"/>
          <w:sz w:val="18"/>
          <w:szCs w:val="18"/>
          <w:vertAlign w:val="superscript"/>
        </w:rPr>
        <w:footnoteRef/>
      </w:r>
      <w:r w:rsidRPr="00C22850">
        <w:rPr>
          <w:rFonts w:ascii="Times New Roman" w:hAnsi="Times New Roman" w:cs="Times New Roman"/>
          <w:sz w:val="18"/>
          <w:szCs w:val="18"/>
        </w:rPr>
        <w:t xml:space="preserve"> Проект национального доклада о привлечении частных инвестиций в развитие инфраструктуры и применении механизмов государственно-частного партнерства в Российской Федерации + Рейтинг регионов России по уровню развития государ</w:t>
      </w:r>
      <w:r w:rsidRPr="00C22850">
        <w:rPr>
          <w:rFonts w:ascii="Times New Roman" w:hAnsi="Times New Roman" w:cs="Times New Roman"/>
          <w:sz w:val="18"/>
          <w:szCs w:val="18"/>
        </w:rPr>
        <w:softHyphen/>
        <w:t>ственно-частного партнерства 2017—2018. М. : Центр развития ГЧП, 2019. С. 27.</w:t>
      </w:r>
    </w:p>
  </w:footnote>
  <w:footnote w:id="82">
    <w:p w14:paraId="76E8C2E6" w14:textId="77777777" w:rsidR="00350396" w:rsidRPr="00C22850" w:rsidRDefault="00350396" w:rsidP="00350396">
      <w:pPr>
        <w:rPr>
          <w:rFonts w:ascii="Times New Roman" w:hAnsi="Times New Roman" w:cs="Times New Roman"/>
          <w:sz w:val="18"/>
          <w:szCs w:val="18"/>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rPr>
        <w:t xml:space="preserve"> </w:t>
      </w:r>
      <w:r w:rsidRPr="00C22850">
        <w:rPr>
          <w:rFonts w:ascii="Times New Roman" w:hAnsi="Times New Roman" w:cs="Times New Roman"/>
        </w:rPr>
        <w:t>Постановление Правительства РФ от 16.07.2015 № 708 «О специальных инве</w:t>
      </w:r>
      <w:r w:rsidRPr="00C22850">
        <w:rPr>
          <w:rFonts w:ascii="Times New Roman" w:hAnsi="Times New Roman" w:cs="Times New Roman"/>
        </w:rPr>
        <w:softHyphen/>
        <w:t>стиционных контрактах для отдельных отраслей промышленности».</w:t>
      </w:r>
    </w:p>
  </w:footnote>
  <w:footnote w:id="83">
    <w:p w14:paraId="5A89ECBC" w14:textId="77777777" w:rsidR="00350396" w:rsidRPr="00C22850" w:rsidRDefault="00350396" w:rsidP="00350396">
      <w:pPr>
        <w:rPr>
          <w:rFonts w:ascii="Times New Roman" w:hAnsi="Times New Roman" w:cs="Times New Roman"/>
          <w:sz w:val="18"/>
          <w:szCs w:val="18"/>
        </w:rPr>
      </w:pPr>
      <w:r w:rsidRPr="00C22850">
        <w:rPr>
          <w:rFonts w:ascii="Times New Roman" w:hAnsi="Times New Roman" w:cs="Times New Roman"/>
          <w:vertAlign w:val="superscript"/>
        </w:rPr>
        <w:footnoteRef/>
      </w:r>
      <w:r w:rsidRPr="00C22850">
        <w:rPr>
          <w:rFonts w:ascii="Times New Roman" w:hAnsi="Times New Roman" w:cs="Times New Roman"/>
        </w:rPr>
        <w:t xml:space="preserve"> Федеральный закон от 31.12.2014 № 488-ФЗ «О промышленной политике в Российской Федерации».</w:t>
      </w:r>
    </w:p>
  </w:footnote>
  <w:footnote w:id="84">
    <w:p w14:paraId="784BD9CF" w14:textId="77777777" w:rsidR="00350396" w:rsidRPr="003E3F60" w:rsidRDefault="00350396" w:rsidP="00350396">
      <w:pPr>
        <w:tabs>
          <w:tab w:val="left" w:pos="437"/>
        </w:tabs>
        <w:rPr>
          <w:rFonts w:ascii="Times New Roman" w:hAnsi="Times New Roman" w:cs="Times New Roman"/>
          <w:sz w:val="18"/>
          <w:szCs w:val="18"/>
          <w:highlight w:val="red"/>
        </w:rPr>
      </w:pPr>
      <w:r w:rsidRPr="00C22850">
        <w:rPr>
          <w:rStyle w:val="9pt0"/>
          <w:rFonts w:ascii="Times New Roman" w:hAnsi="Times New Roman" w:cs="Times New Roman"/>
          <w:vertAlign w:val="superscript"/>
        </w:rPr>
        <w:footnoteRef/>
      </w:r>
      <w:r w:rsidRPr="00C22850">
        <w:rPr>
          <w:rFonts w:ascii="Times New Roman" w:hAnsi="Times New Roman" w:cs="Times New Roman"/>
        </w:rPr>
        <w:tab/>
      </w:r>
      <w:r w:rsidRPr="003E3F60">
        <w:rPr>
          <w:rStyle w:val="a6"/>
          <w:rFonts w:ascii="Times New Roman" w:hAnsi="Times New Roman" w:cs="Times New Roman"/>
          <w:sz w:val="18"/>
          <w:szCs w:val="18"/>
          <w:highlight w:val="red"/>
        </w:rPr>
        <w:t>Дерябина М.</w:t>
      </w:r>
      <w:r w:rsidRPr="003E3F60">
        <w:rPr>
          <w:rFonts w:ascii="Times New Roman" w:hAnsi="Times New Roman" w:cs="Times New Roman"/>
          <w:highlight w:val="red"/>
        </w:rPr>
        <w:t xml:space="preserve"> Экономический анализ: Государственно-частное партнерство: теория и практика.</w:t>
      </w:r>
    </w:p>
  </w:footnote>
  <w:footnote w:id="85">
    <w:p w14:paraId="10EFE186" w14:textId="77777777" w:rsidR="00350396" w:rsidRPr="003E3F60" w:rsidRDefault="00350396" w:rsidP="00350396">
      <w:pPr>
        <w:tabs>
          <w:tab w:val="left" w:pos="437"/>
        </w:tabs>
        <w:rPr>
          <w:rFonts w:ascii="Times New Roman" w:hAnsi="Times New Roman" w:cs="Times New Roman"/>
          <w:sz w:val="18"/>
          <w:szCs w:val="18"/>
          <w:highlight w:val="red"/>
        </w:rPr>
      </w:pPr>
      <w:r w:rsidRPr="003E3F60">
        <w:rPr>
          <w:rStyle w:val="9pt0"/>
          <w:rFonts w:ascii="Times New Roman" w:hAnsi="Times New Roman" w:cs="Times New Roman"/>
          <w:highlight w:val="red"/>
          <w:vertAlign w:val="superscript"/>
        </w:rPr>
        <w:footnoteRef/>
      </w:r>
      <w:r w:rsidRPr="003E3F60">
        <w:rPr>
          <w:rFonts w:ascii="Times New Roman" w:hAnsi="Times New Roman" w:cs="Times New Roman"/>
          <w:highlight w:val="red"/>
        </w:rPr>
        <w:tab/>
      </w:r>
      <w:r w:rsidRPr="003E3F60">
        <w:rPr>
          <w:rStyle w:val="a6"/>
          <w:rFonts w:ascii="Times New Roman" w:hAnsi="Times New Roman" w:cs="Times New Roman"/>
          <w:sz w:val="18"/>
          <w:szCs w:val="18"/>
          <w:highlight w:val="red"/>
        </w:rPr>
        <w:t>Айрапетян М. С.</w:t>
      </w:r>
      <w:r w:rsidRPr="003E3F60">
        <w:rPr>
          <w:rFonts w:ascii="Times New Roman" w:hAnsi="Times New Roman" w:cs="Times New Roman"/>
          <w:highlight w:val="red"/>
        </w:rPr>
        <w:t xml:space="preserve"> Зарубежный опыт использования государственно-частного партнерства. </w:t>
      </w:r>
      <w:r w:rsidRPr="003E3F60">
        <w:rPr>
          <w:rFonts w:ascii="Times New Roman" w:hAnsi="Times New Roman" w:cs="Times New Roman"/>
          <w:highlight w:val="red"/>
          <w:lang w:val="en-US" w:eastAsia="en-US" w:bidi="en-US"/>
        </w:rPr>
        <w:t>URL</w:t>
      </w:r>
      <w:r w:rsidRPr="003E3F60">
        <w:rPr>
          <w:rFonts w:ascii="Times New Roman" w:hAnsi="Times New Roman" w:cs="Times New Roman"/>
          <w:highlight w:val="red"/>
          <w:lang w:eastAsia="en-US" w:bidi="en-US"/>
        </w:rPr>
        <w:t xml:space="preserve">: </w:t>
      </w:r>
      <w:hyperlink r:id="rId13" w:history="1">
        <w:r w:rsidRPr="003E3F60">
          <w:rPr>
            <w:rFonts w:ascii="Times New Roman" w:hAnsi="Times New Roman" w:cs="Times New Roman"/>
            <w:highlight w:val="red"/>
            <w:lang w:val="en-US" w:eastAsia="en-US" w:bidi="en-US"/>
          </w:rPr>
          <w:t>http</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iam</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duma</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gov</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ru</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node</w:t>
        </w:r>
        <w:r w:rsidRPr="003E3F60">
          <w:rPr>
            <w:rFonts w:ascii="Times New Roman" w:hAnsi="Times New Roman" w:cs="Times New Roman"/>
            <w:highlight w:val="red"/>
            <w:lang w:eastAsia="en-US" w:bidi="en-US"/>
          </w:rPr>
          <w:t>/8/4669/16628</w:t>
        </w:r>
      </w:hyperlink>
      <w:r w:rsidRPr="003E3F60">
        <w:rPr>
          <w:rFonts w:ascii="Times New Roman" w:hAnsi="Times New Roman" w:cs="Times New Roman"/>
          <w:highlight w:val="red"/>
          <w:lang w:eastAsia="en-US" w:bidi="en-US"/>
        </w:rPr>
        <w:t xml:space="preserve"> </w:t>
      </w:r>
      <w:r w:rsidRPr="003E3F60">
        <w:rPr>
          <w:rFonts w:ascii="Times New Roman" w:hAnsi="Times New Roman" w:cs="Times New Roman"/>
          <w:highlight w:val="red"/>
        </w:rPr>
        <w:t>(дата публикации: декабрь 2008 г.).</w:t>
      </w:r>
    </w:p>
  </w:footnote>
  <w:footnote w:id="86">
    <w:p w14:paraId="5DAB86F4" w14:textId="77777777" w:rsidR="00350396" w:rsidRPr="00C22850" w:rsidRDefault="00350396" w:rsidP="00350396">
      <w:pPr>
        <w:tabs>
          <w:tab w:val="left" w:pos="432"/>
        </w:tabs>
        <w:rPr>
          <w:rFonts w:ascii="Times New Roman" w:hAnsi="Times New Roman" w:cs="Times New Roman"/>
          <w:sz w:val="18"/>
          <w:szCs w:val="18"/>
        </w:rPr>
      </w:pPr>
      <w:r w:rsidRPr="003E3F60">
        <w:rPr>
          <w:rStyle w:val="9pt0"/>
          <w:rFonts w:ascii="Times New Roman" w:hAnsi="Times New Roman" w:cs="Times New Roman"/>
          <w:highlight w:val="red"/>
          <w:vertAlign w:val="superscript"/>
        </w:rPr>
        <w:footnoteRef/>
      </w:r>
      <w:r w:rsidRPr="003E3F60">
        <w:rPr>
          <w:rFonts w:ascii="Times New Roman" w:hAnsi="Times New Roman" w:cs="Times New Roman"/>
          <w:highlight w:val="red"/>
        </w:rPr>
        <w:tab/>
      </w:r>
      <w:r w:rsidRPr="003E3F60">
        <w:rPr>
          <w:rStyle w:val="a6"/>
          <w:rFonts w:ascii="Times New Roman" w:hAnsi="Times New Roman" w:cs="Times New Roman"/>
          <w:sz w:val="18"/>
          <w:szCs w:val="18"/>
          <w:highlight w:val="red"/>
        </w:rPr>
        <w:t>Панкратов А. А.</w:t>
      </w:r>
      <w:r w:rsidRPr="003E3F60">
        <w:rPr>
          <w:rFonts w:ascii="Times New Roman" w:hAnsi="Times New Roman" w:cs="Times New Roman"/>
          <w:highlight w:val="red"/>
        </w:rPr>
        <w:t xml:space="preserve"> Государственно-частное партнерство в современной практи</w:t>
      </w:r>
      <w:r w:rsidRPr="003E3F60">
        <w:rPr>
          <w:rFonts w:ascii="Times New Roman" w:hAnsi="Times New Roman" w:cs="Times New Roman"/>
          <w:highlight w:val="red"/>
        </w:rPr>
        <w:softHyphen/>
        <w:t>ке: основные теоретические и практические проблемы. М. : Анкил, 2010.</w:t>
      </w:r>
    </w:p>
  </w:footnote>
  <w:footnote w:id="87">
    <w:p w14:paraId="18651E1A" w14:textId="77777777" w:rsidR="00350396" w:rsidRPr="00787383" w:rsidRDefault="00350396" w:rsidP="00350396">
      <w:pPr>
        <w:rPr>
          <w:rFonts w:ascii="Bookman Old Style" w:hAnsi="Bookman Old Style" w:cs="Times New Roman"/>
          <w:sz w:val="16"/>
          <w:szCs w:val="16"/>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rPr>
        <w:t xml:space="preserve"> </w:t>
      </w:r>
      <w:r w:rsidRPr="00787383">
        <w:rPr>
          <w:rFonts w:ascii="Bookman Old Style" w:hAnsi="Bookman Old Style" w:cs="Times New Roman"/>
          <w:sz w:val="16"/>
          <w:szCs w:val="16"/>
        </w:rPr>
        <w:t>Постановление Правительства от 03.12.2015 № 1309 «Об утверждении Пра</w:t>
      </w:r>
      <w:r w:rsidRPr="00787383">
        <w:rPr>
          <w:rFonts w:ascii="Bookman Old Style" w:hAnsi="Bookman Old Style" w:cs="Times New Roman"/>
          <w:sz w:val="16"/>
          <w:szCs w:val="16"/>
        </w:rPr>
        <w:softHyphen/>
        <w:t>вил проведения уполномоченным органом переговоров, связанных с рассмотрени</w:t>
      </w:r>
      <w:r w:rsidRPr="00787383">
        <w:rPr>
          <w:rFonts w:ascii="Bookman Old Style" w:hAnsi="Bookman Old Style" w:cs="Times New Roman"/>
          <w:sz w:val="16"/>
          <w:szCs w:val="16"/>
        </w:rPr>
        <w:softHyphen/>
        <w:t>ем предложения о реализации проекта государственно-частного партнерства...»; Постановление Правительства от 19.12.2015 № 1388 «Об утверждении Правил рассмотрения публичным партнером предложения о реализации проекта государ</w:t>
      </w:r>
      <w:r w:rsidRPr="00787383">
        <w:rPr>
          <w:rFonts w:ascii="Bookman Old Style" w:hAnsi="Bookman Old Style" w:cs="Times New Roman"/>
          <w:sz w:val="16"/>
          <w:szCs w:val="16"/>
        </w:rPr>
        <w:softHyphen/>
        <w:t>ственно-частного партнерства или проекта муниципально-частного партнерства»; Постановление Правительства от 30.12.2015 № 1490 «Об осуществлении публич</w:t>
      </w:r>
      <w:r w:rsidRPr="00787383">
        <w:rPr>
          <w:rFonts w:ascii="Bookman Old Style" w:hAnsi="Bookman Old Style" w:cs="Times New Roman"/>
          <w:sz w:val="16"/>
          <w:szCs w:val="16"/>
        </w:rPr>
        <w:softHyphen/>
        <w:t>ным партнером контроля за исполнением соглашения о государственно-частном партнерстве и соглашения о муниципально-частном партнерстве».</w:t>
      </w:r>
    </w:p>
  </w:footnote>
  <w:footnote w:id="88">
    <w:p w14:paraId="7A408EA7" w14:textId="77777777" w:rsidR="00350396" w:rsidRPr="00C22850" w:rsidRDefault="00350396" w:rsidP="00350396">
      <w:pPr>
        <w:rPr>
          <w:rFonts w:ascii="Times New Roman" w:hAnsi="Times New Roman" w:cs="Times New Roman"/>
          <w:sz w:val="18"/>
          <w:szCs w:val="18"/>
        </w:rPr>
      </w:pPr>
      <w:r w:rsidRPr="00C22850">
        <w:rPr>
          <w:rFonts w:ascii="Times New Roman" w:hAnsi="Times New Roman" w:cs="Times New Roman"/>
          <w:vertAlign w:val="superscript"/>
        </w:rPr>
        <w:footnoteRef/>
      </w:r>
      <w:r w:rsidRPr="00C22850">
        <w:rPr>
          <w:rFonts w:ascii="Times New Roman" w:hAnsi="Times New Roman" w:cs="Times New Roman"/>
        </w:rPr>
        <w:t xml:space="preserve"> Рекомендации по реализации проектов государственно-частного партнерства. Лучшие практики // Министерство экономического развития Российской Федера</w:t>
      </w:r>
      <w:r w:rsidRPr="00C22850">
        <w:rPr>
          <w:rFonts w:ascii="Times New Roman" w:hAnsi="Times New Roman" w:cs="Times New Roman"/>
        </w:rPr>
        <w:softHyphen/>
        <w:t>ции. М., 2016. С. 11.</w:t>
      </w:r>
    </w:p>
  </w:footnote>
  <w:footnote w:id="89">
    <w:p w14:paraId="19AD9A40" w14:textId="77777777" w:rsidR="00350396" w:rsidRPr="00C22850" w:rsidRDefault="00350396" w:rsidP="00350396">
      <w:pPr>
        <w:rPr>
          <w:rFonts w:ascii="Times New Roman" w:hAnsi="Times New Roman" w:cs="Times New Roman"/>
          <w:sz w:val="18"/>
          <w:szCs w:val="18"/>
        </w:rPr>
      </w:pPr>
      <w:r w:rsidRPr="003E3F60">
        <w:rPr>
          <w:rFonts w:ascii="Times New Roman" w:hAnsi="Times New Roman" w:cs="Times New Roman"/>
          <w:highlight w:val="red"/>
          <w:vertAlign w:val="superscript"/>
        </w:rPr>
        <w:footnoteRef/>
      </w:r>
      <w:r w:rsidRPr="003E3F60">
        <w:rPr>
          <w:rFonts w:ascii="Times New Roman" w:hAnsi="Times New Roman" w:cs="Times New Roman"/>
          <w:highlight w:val="red"/>
        </w:rPr>
        <w:t xml:space="preserve"> Законы о концессиях и ГЧП решили поправить. Законопроект разработан с учетом судебной практики. </w:t>
      </w:r>
      <w:r w:rsidRPr="003E3F60">
        <w:rPr>
          <w:rFonts w:ascii="Times New Roman" w:hAnsi="Times New Roman" w:cs="Times New Roman"/>
          <w:highlight w:val="red"/>
          <w:lang w:val="en-US" w:eastAsia="en-US" w:bidi="en-US"/>
        </w:rPr>
        <w:t>URL</w:t>
      </w:r>
      <w:r w:rsidRPr="003E3F60">
        <w:rPr>
          <w:rFonts w:ascii="Times New Roman" w:hAnsi="Times New Roman" w:cs="Times New Roman"/>
          <w:highlight w:val="red"/>
          <w:lang w:eastAsia="en-US" w:bidi="en-US"/>
        </w:rPr>
        <w:t xml:space="preserve">: </w:t>
      </w:r>
      <w:hyperlink r:id="rId14" w:history="1">
        <w:r w:rsidRPr="003E3F60">
          <w:rPr>
            <w:rFonts w:ascii="Times New Roman" w:hAnsi="Times New Roman" w:cs="Times New Roman"/>
            <w:highlight w:val="red"/>
            <w:lang w:val="en-US" w:eastAsia="en-US" w:bidi="en-US"/>
          </w:rPr>
          <w:t>https</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www</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eg</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online</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ru</w:t>
        </w:r>
        <w:r w:rsidRPr="003E3F60">
          <w:rPr>
            <w:rFonts w:ascii="Times New Roman" w:hAnsi="Times New Roman" w:cs="Times New Roman"/>
            <w:highlight w:val="red"/>
            <w:lang w:eastAsia="en-US" w:bidi="en-US"/>
          </w:rPr>
          <w:t>/</w:t>
        </w:r>
        <w:r w:rsidRPr="003E3F60">
          <w:rPr>
            <w:rFonts w:ascii="Times New Roman" w:hAnsi="Times New Roman" w:cs="Times New Roman"/>
            <w:highlight w:val="red"/>
            <w:lang w:val="en-US" w:eastAsia="en-US" w:bidi="en-US"/>
          </w:rPr>
          <w:t>artide</w:t>
        </w:r>
        <w:r w:rsidRPr="003E3F60">
          <w:rPr>
            <w:rFonts w:ascii="Times New Roman" w:hAnsi="Times New Roman" w:cs="Times New Roman"/>
            <w:highlight w:val="red"/>
            <w:lang w:eastAsia="en-US" w:bidi="en-US"/>
          </w:rPr>
          <w:t>/367312/</w:t>
        </w:r>
      </w:hyperlink>
      <w:r w:rsidRPr="003E3F60">
        <w:rPr>
          <w:rFonts w:ascii="Times New Roman" w:hAnsi="Times New Roman" w:cs="Times New Roman"/>
          <w:highlight w:val="red"/>
          <w:lang w:eastAsia="en-US" w:bidi="en-US"/>
        </w:rPr>
        <w:t xml:space="preserve"> </w:t>
      </w:r>
      <w:r w:rsidRPr="003E3F60">
        <w:rPr>
          <w:rFonts w:ascii="Times New Roman" w:hAnsi="Times New Roman" w:cs="Times New Roman"/>
          <w:highlight w:val="red"/>
        </w:rPr>
        <w:t>(дата обращения: 26.04.2018).</w:t>
      </w:r>
    </w:p>
  </w:footnote>
  <w:footnote w:id="90">
    <w:p w14:paraId="34034D36" w14:textId="77777777" w:rsidR="00350396" w:rsidRPr="00C22850" w:rsidRDefault="00350396" w:rsidP="00350396">
      <w:pPr>
        <w:rPr>
          <w:rFonts w:ascii="Times New Roman" w:hAnsi="Times New Roman" w:cs="Times New Roman"/>
          <w:sz w:val="18"/>
          <w:szCs w:val="18"/>
          <w:lang w:val="en-US"/>
        </w:rPr>
      </w:pPr>
      <w:r w:rsidRPr="003E3F60">
        <w:rPr>
          <w:rFonts w:ascii="Times New Roman" w:hAnsi="Times New Roman" w:cs="Times New Roman"/>
          <w:highlight w:val="red"/>
          <w:vertAlign w:val="superscript"/>
        </w:rPr>
        <w:footnoteRef/>
      </w:r>
      <w:r w:rsidRPr="003E3F60">
        <w:rPr>
          <w:rFonts w:ascii="Times New Roman" w:hAnsi="Times New Roman" w:cs="Times New Roman"/>
          <w:highlight w:val="red"/>
        </w:rPr>
        <w:t xml:space="preserve"> </w:t>
      </w:r>
      <w:r w:rsidRPr="003E3F60">
        <w:rPr>
          <w:rStyle w:val="a6"/>
          <w:rFonts w:ascii="Times New Roman" w:hAnsi="Times New Roman" w:cs="Times New Roman"/>
          <w:sz w:val="18"/>
          <w:szCs w:val="18"/>
          <w:highlight w:val="red"/>
        </w:rPr>
        <w:t>Килинкаров В. П.</w:t>
      </w:r>
      <w:r w:rsidRPr="003E3F60">
        <w:rPr>
          <w:rFonts w:ascii="Times New Roman" w:hAnsi="Times New Roman" w:cs="Times New Roman"/>
          <w:highlight w:val="red"/>
        </w:rPr>
        <w:t xml:space="preserve"> Указ. соч.; </w:t>
      </w:r>
      <w:r w:rsidRPr="003E3F60">
        <w:rPr>
          <w:rStyle w:val="a6"/>
          <w:rFonts w:ascii="Times New Roman" w:hAnsi="Times New Roman" w:cs="Times New Roman"/>
          <w:sz w:val="18"/>
          <w:szCs w:val="18"/>
          <w:highlight w:val="red"/>
        </w:rPr>
        <w:t>Кожевников С. А.</w:t>
      </w:r>
      <w:r w:rsidRPr="003E3F60">
        <w:rPr>
          <w:rFonts w:ascii="Times New Roman" w:hAnsi="Times New Roman" w:cs="Times New Roman"/>
          <w:highlight w:val="red"/>
        </w:rPr>
        <w:t xml:space="preserve"> Указ. соч.; От концессии до ГЧП // </w:t>
      </w:r>
      <w:r w:rsidRPr="003E3F60">
        <w:rPr>
          <w:rFonts w:ascii="Times New Roman" w:hAnsi="Times New Roman" w:cs="Times New Roman"/>
          <w:highlight w:val="red"/>
          <w:lang w:val="en-US" w:eastAsia="en-US" w:bidi="en-US"/>
        </w:rPr>
        <w:t>VegasLex</w:t>
      </w:r>
      <w:r w:rsidRPr="003E3F60">
        <w:rPr>
          <w:rFonts w:ascii="Times New Roman" w:hAnsi="Times New Roman" w:cs="Times New Roman"/>
          <w:highlight w:val="red"/>
          <w:lang w:eastAsia="en-US" w:bidi="en-US"/>
        </w:rPr>
        <w:t xml:space="preserve">. </w:t>
      </w:r>
      <w:r w:rsidRPr="003E3F60">
        <w:rPr>
          <w:rFonts w:ascii="Times New Roman" w:hAnsi="Times New Roman" w:cs="Times New Roman"/>
          <w:highlight w:val="red"/>
          <w:lang w:val="en-US" w:eastAsia="en-US" w:bidi="en-US"/>
        </w:rPr>
        <w:t xml:space="preserve">URL: </w:t>
      </w:r>
      <w:hyperlink r:id="rId15" w:history="1">
        <w:r w:rsidRPr="003E3F60">
          <w:rPr>
            <w:rFonts w:ascii="Times New Roman" w:hAnsi="Times New Roman" w:cs="Times New Roman"/>
            <w:highlight w:val="red"/>
            <w:lang w:val="en-US" w:eastAsia="en-US" w:bidi="en-US"/>
          </w:rPr>
          <w:t>http://www.vegaslex.ru/analytics/publications/from_</w:t>
        </w:r>
      </w:hyperlink>
      <w:r w:rsidRPr="003E3F60">
        <w:rPr>
          <w:rFonts w:ascii="Times New Roman" w:hAnsi="Times New Roman" w:cs="Times New Roman"/>
          <w:highlight w:val="red"/>
          <w:lang w:val="en-US" w:eastAsia="en-US" w:bidi="en-US"/>
        </w:rPr>
        <w:t xml:space="preserve"> concessions_to_ppp </w:t>
      </w:r>
      <w:r w:rsidRPr="003E3F60">
        <w:rPr>
          <w:rFonts w:ascii="Times New Roman" w:hAnsi="Times New Roman" w:cs="Times New Roman"/>
          <w:highlight w:val="red"/>
          <w:lang w:val="en-US"/>
        </w:rPr>
        <w:t>(</w:t>
      </w:r>
      <w:r w:rsidRPr="003E3F60">
        <w:rPr>
          <w:rFonts w:ascii="Times New Roman" w:hAnsi="Times New Roman" w:cs="Times New Roman"/>
          <w:highlight w:val="red"/>
        </w:rPr>
        <w:t>дата</w:t>
      </w:r>
      <w:r w:rsidRPr="003E3F60">
        <w:rPr>
          <w:rFonts w:ascii="Times New Roman" w:hAnsi="Times New Roman" w:cs="Times New Roman"/>
          <w:highlight w:val="red"/>
          <w:lang w:val="en-US"/>
        </w:rPr>
        <w:t xml:space="preserve"> </w:t>
      </w:r>
      <w:r w:rsidRPr="003E3F60">
        <w:rPr>
          <w:rFonts w:ascii="Times New Roman" w:hAnsi="Times New Roman" w:cs="Times New Roman"/>
          <w:highlight w:val="red"/>
        </w:rPr>
        <w:t>публикации</w:t>
      </w:r>
      <w:r w:rsidRPr="003E3F60">
        <w:rPr>
          <w:rFonts w:ascii="Times New Roman" w:hAnsi="Times New Roman" w:cs="Times New Roman"/>
          <w:highlight w:val="red"/>
          <w:lang w:val="en-US"/>
        </w:rPr>
        <w:t>: 06.10.2015).</w:t>
      </w:r>
    </w:p>
  </w:footnote>
  <w:footnote w:id="91">
    <w:p w14:paraId="7DB5E0C9" w14:textId="77777777" w:rsidR="00350396" w:rsidRPr="00C22850" w:rsidRDefault="00350396" w:rsidP="00350396">
      <w:pPr>
        <w:rPr>
          <w:rFonts w:ascii="Times New Roman" w:hAnsi="Times New Roman" w:cs="Times New Roman"/>
          <w:sz w:val="18"/>
          <w:szCs w:val="18"/>
        </w:rPr>
      </w:pPr>
      <w:r w:rsidRPr="00F20648">
        <w:rPr>
          <w:rStyle w:val="9pt0"/>
          <w:rFonts w:ascii="Times New Roman" w:hAnsi="Times New Roman" w:cs="Times New Roman"/>
          <w:highlight w:val="red"/>
          <w:vertAlign w:val="superscript"/>
        </w:rPr>
        <w:footnoteRef/>
      </w:r>
      <w:r w:rsidRPr="00F20648">
        <w:rPr>
          <w:rStyle w:val="9pt0"/>
          <w:rFonts w:ascii="Times New Roman" w:hAnsi="Times New Roman" w:cs="Times New Roman"/>
          <w:highlight w:val="red"/>
        </w:rPr>
        <w:t xml:space="preserve"> </w:t>
      </w:r>
      <w:r w:rsidRPr="00F20648">
        <w:rPr>
          <w:rStyle w:val="a6"/>
          <w:rFonts w:ascii="Times New Roman" w:hAnsi="Times New Roman" w:cs="Times New Roman"/>
          <w:sz w:val="18"/>
          <w:szCs w:val="18"/>
          <w:highlight w:val="red"/>
        </w:rPr>
        <w:t>Колмаков В. В.</w:t>
      </w:r>
      <w:r w:rsidRPr="00F20648">
        <w:rPr>
          <w:rFonts w:ascii="Times New Roman" w:hAnsi="Times New Roman" w:cs="Times New Roman"/>
          <w:highlight w:val="red"/>
        </w:rPr>
        <w:t xml:space="preserve"> К вопросу о совершенствовании нормативно-правовой базы государственно-частного партнерства в Российской Федерации // Современные на</w:t>
      </w:r>
      <w:r w:rsidRPr="00F20648">
        <w:rPr>
          <w:rFonts w:ascii="Times New Roman" w:hAnsi="Times New Roman" w:cs="Times New Roman"/>
          <w:highlight w:val="red"/>
        </w:rPr>
        <w:softHyphen/>
        <w:t>учные исследования и инновации. 2015. № 9-1 (53). С. 196.</w:t>
      </w:r>
    </w:p>
  </w:footnote>
  <w:footnote w:id="92">
    <w:p w14:paraId="457D8CDC" w14:textId="77777777" w:rsidR="00350396" w:rsidRPr="00787383" w:rsidRDefault="00350396" w:rsidP="00350396">
      <w:pPr>
        <w:rPr>
          <w:rFonts w:ascii="Bookman Old Style" w:hAnsi="Bookman Old Style" w:cs="Times New Roman"/>
          <w:sz w:val="16"/>
          <w:szCs w:val="16"/>
        </w:rPr>
      </w:pPr>
      <w:r w:rsidRPr="00F20648">
        <w:rPr>
          <w:rFonts w:ascii="Times New Roman" w:hAnsi="Times New Roman" w:cs="Times New Roman"/>
          <w:highlight w:val="red"/>
          <w:vertAlign w:val="superscript"/>
        </w:rPr>
        <w:footnoteRef/>
      </w:r>
      <w:r w:rsidRPr="00F20648">
        <w:rPr>
          <w:rFonts w:ascii="Times New Roman" w:hAnsi="Times New Roman" w:cs="Times New Roman"/>
          <w:highlight w:val="red"/>
        </w:rPr>
        <w:t xml:space="preserve"> </w:t>
      </w:r>
      <w:r w:rsidRPr="00787383">
        <w:rPr>
          <w:rFonts w:ascii="Bookman Old Style" w:hAnsi="Bookman Old Style" w:cs="Times New Roman"/>
          <w:sz w:val="16"/>
          <w:szCs w:val="16"/>
          <w:highlight w:val="red"/>
        </w:rPr>
        <w:t xml:space="preserve">Итоги 2018 ГЧП-года: проекты, события и инициативы. </w:t>
      </w:r>
      <w:r w:rsidRPr="00787383">
        <w:rPr>
          <w:rFonts w:ascii="Bookman Old Style" w:hAnsi="Bookman Old Style" w:cs="Times New Roman"/>
          <w:sz w:val="16"/>
          <w:szCs w:val="16"/>
          <w:highlight w:val="red"/>
          <w:lang w:val="en-US" w:eastAsia="en-US" w:bidi="en-US"/>
        </w:rPr>
        <w:t>URL</w:t>
      </w:r>
      <w:r w:rsidRPr="00787383">
        <w:rPr>
          <w:rFonts w:ascii="Bookman Old Style" w:hAnsi="Bookman Old Style" w:cs="Times New Roman"/>
          <w:sz w:val="16"/>
          <w:szCs w:val="16"/>
          <w:highlight w:val="red"/>
          <w:lang w:eastAsia="en-US" w:bidi="en-US"/>
        </w:rPr>
        <w:t xml:space="preserve">: </w:t>
      </w:r>
      <w:hyperlink r:id="rId16" w:history="1">
        <w:r w:rsidRPr="00787383">
          <w:rPr>
            <w:rFonts w:ascii="Bookman Old Style" w:hAnsi="Bookman Old Style" w:cs="Times New Roman"/>
            <w:sz w:val="16"/>
            <w:szCs w:val="16"/>
            <w:highlight w:val="red"/>
            <w:lang w:val="en-US" w:eastAsia="en-US" w:bidi="en-US"/>
          </w:rPr>
          <w:t>http</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www</w:t>
        </w:r>
      </w:hyperlink>
      <w:r w:rsidRPr="00787383">
        <w:rPr>
          <w:rFonts w:ascii="Bookman Old Style" w:hAnsi="Bookman Old Style" w:cs="Times New Roman"/>
          <w:sz w:val="16"/>
          <w:szCs w:val="16"/>
          <w:highlight w:val="red"/>
          <w:lang w:eastAsia="en-US" w:bidi="en-US"/>
        </w:rPr>
        <w:t xml:space="preserve">. </w:t>
      </w:r>
      <w:r w:rsidRPr="00787383">
        <w:rPr>
          <w:rFonts w:ascii="Bookman Old Style" w:hAnsi="Bookman Old Style" w:cs="Times New Roman"/>
          <w:sz w:val="16"/>
          <w:szCs w:val="16"/>
          <w:highlight w:val="red"/>
          <w:lang w:val="en-US" w:eastAsia="en-US" w:bidi="en-US"/>
        </w:rPr>
        <w:t>pppi</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ru</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news</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itogi</w:t>
      </w:r>
      <w:r w:rsidRPr="00787383">
        <w:rPr>
          <w:rFonts w:ascii="Bookman Old Style" w:hAnsi="Bookman Old Style" w:cs="Times New Roman"/>
          <w:sz w:val="16"/>
          <w:szCs w:val="16"/>
          <w:highlight w:val="red"/>
          <w:lang w:eastAsia="en-US" w:bidi="en-US"/>
        </w:rPr>
        <w:t>-2018-</w:t>
      </w:r>
      <w:r w:rsidRPr="00787383">
        <w:rPr>
          <w:rFonts w:ascii="Bookman Old Style" w:hAnsi="Bookman Old Style" w:cs="Times New Roman"/>
          <w:sz w:val="16"/>
          <w:szCs w:val="16"/>
          <w:highlight w:val="red"/>
          <w:lang w:val="en-US" w:eastAsia="en-US" w:bidi="en-US"/>
        </w:rPr>
        <w:t>gchp</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goda</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proekty</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sobytiya</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i</w:t>
      </w:r>
      <w:r w:rsidRPr="00787383">
        <w:rPr>
          <w:rFonts w:ascii="Bookman Old Style" w:hAnsi="Bookman Old Style" w:cs="Times New Roman"/>
          <w:sz w:val="16"/>
          <w:szCs w:val="16"/>
          <w:highlight w:val="red"/>
          <w:lang w:eastAsia="en-US" w:bidi="en-US"/>
        </w:rPr>
        <w:t>-</w:t>
      </w:r>
      <w:r w:rsidRPr="00787383">
        <w:rPr>
          <w:rFonts w:ascii="Bookman Old Style" w:hAnsi="Bookman Old Style" w:cs="Times New Roman"/>
          <w:sz w:val="16"/>
          <w:szCs w:val="16"/>
          <w:highlight w:val="red"/>
          <w:lang w:val="en-US" w:eastAsia="en-US" w:bidi="en-US"/>
        </w:rPr>
        <w:t>iniciativy</w:t>
      </w:r>
      <w:r w:rsidRPr="00787383">
        <w:rPr>
          <w:rFonts w:ascii="Bookman Old Style" w:hAnsi="Bookman Old Style" w:cs="Times New Roman"/>
          <w:sz w:val="16"/>
          <w:szCs w:val="16"/>
          <w:highlight w:val="red"/>
          <w:lang w:eastAsia="en-US" w:bidi="en-US"/>
        </w:rPr>
        <w:t xml:space="preserve"> </w:t>
      </w:r>
      <w:r w:rsidRPr="00787383">
        <w:rPr>
          <w:rFonts w:ascii="Bookman Old Style" w:hAnsi="Bookman Old Style" w:cs="Times New Roman"/>
          <w:sz w:val="16"/>
          <w:szCs w:val="16"/>
          <w:highlight w:val="red"/>
        </w:rPr>
        <w:t>(дата обращения: 31.10.2019).</w:t>
      </w:r>
    </w:p>
  </w:footnote>
  <w:footnote w:id="93">
    <w:p w14:paraId="7C91A7EA" w14:textId="77777777" w:rsidR="00350396" w:rsidRPr="004E0FC4" w:rsidRDefault="00350396" w:rsidP="00350396">
      <w:pPr>
        <w:pStyle w:val="af6"/>
        <w:rPr>
          <w:rFonts w:ascii="Bookman Old Style" w:hAnsi="Bookman Old Style" w:cs="Times New Roman"/>
          <w:sz w:val="16"/>
          <w:szCs w:val="16"/>
          <w:lang w:eastAsia="en-US" w:bidi="en-US"/>
        </w:rPr>
      </w:pPr>
      <w:r w:rsidRPr="004E0FC4">
        <w:rPr>
          <w:rStyle w:val="af8"/>
          <w:rFonts w:ascii="Bookman Old Style" w:hAnsi="Bookman Old Style" w:cs="Times New Roman"/>
          <w:sz w:val="16"/>
          <w:szCs w:val="16"/>
          <w:highlight w:val="green"/>
        </w:rPr>
        <w:footnoteRef/>
      </w:r>
      <w:r w:rsidRPr="004E0FC4">
        <w:rPr>
          <w:rFonts w:ascii="Bookman Old Style" w:hAnsi="Bookman Old Style" w:cs="Times New Roman"/>
          <w:sz w:val="16"/>
          <w:szCs w:val="16"/>
          <w:highlight w:val="green"/>
          <w:lang w:eastAsia="en-US" w:bidi="en-US"/>
        </w:rPr>
        <w:t xml:space="preserve">Приказ МЭР РФ от 30.11.2015 №894 «Об утверждении </w:t>
      </w:r>
      <w:hyperlink r:id="rId17" w:anchor="6560IO" w:history="1">
        <w:r w:rsidRPr="004E0FC4">
          <w:rPr>
            <w:rFonts w:ascii="Bookman Old Style" w:hAnsi="Bookman Old Style" w:cs="Times New Roman"/>
            <w:sz w:val="16"/>
            <w:szCs w:val="16"/>
            <w:highlight w:val="green"/>
            <w:lang w:eastAsia="en-US" w:bidi="en-US"/>
          </w:rPr>
          <w:t>Методики оценки эффективности проекта государственно-частного партнерства, проекта муниципально-частного партнерства и определения их сравнительного преимущества</w:t>
        </w:r>
      </w:hyperlink>
      <w:r w:rsidRPr="004E0FC4">
        <w:rPr>
          <w:rFonts w:ascii="Bookman Old Style" w:hAnsi="Bookman Old Style" w:cs="Times New Roman"/>
          <w:sz w:val="16"/>
          <w:szCs w:val="16"/>
          <w:highlight w:val="green"/>
          <w:lang w:eastAsia="en-US" w:bidi="en-US"/>
        </w:rPr>
        <w:t>».</w:t>
      </w:r>
    </w:p>
  </w:footnote>
  <w:footnote w:id="94">
    <w:p w14:paraId="7AE3AD99" w14:textId="77777777" w:rsidR="00350396" w:rsidRPr="004E0FC4" w:rsidRDefault="00350396" w:rsidP="00350396">
      <w:pPr>
        <w:rPr>
          <w:rFonts w:ascii="Bookman Old Style" w:hAnsi="Bookman Old Style" w:cs="Times New Roman"/>
          <w:sz w:val="16"/>
          <w:szCs w:val="16"/>
        </w:rPr>
      </w:pPr>
      <w:r w:rsidRPr="004E0FC4">
        <w:rPr>
          <w:rFonts w:ascii="Bookman Old Style" w:hAnsi="Bookman Old Style" w:cs="Times New Roman"/>
          <w:sz w:val="16"/>
          <w:szCs w:val="16"/>
          <w:highlight w:val="red"/>
          <w:vertAlign w:val="superscript"/>
        </w:rPr>
        <w:footnoteRef/>
      </w:r>
      <w:r w:rsidRPr="004E0FC4">
        <w:rPr>
          <w:rFonts w:ascii="Bookman Old Style" w:hAnsi="Bookman Old Style" w:cs="Times New Roman"/>
          <w:sz w:val="16"/>
          <w:szCs w:val="16"/>
          <w:highlight w:val="red"/>
        </w:rPr>
        <w:t xml:space="preserve"> </w:t>
      </w:r>
      <w:r w:rsidRPr="004E0FC4">
        <w:rPr>
          <w:rStyle w:val="a6"/>
          <w:rFonts w:cs="Times New Roman"/>
          <w:sz w:val="16"/>
          <w:szCs w:val="16"/>
          <w:highlight w:val="red"/>
        </w:rPr>
        <w:t>Габдуллина Э. И.</w:t>
      </w:r>
      <w:r w:rsidRPr="004E0FC4">
        <w:rPr>
          <w:rFonts w:ascii="Bookman Old Style" w:hAnsi="Bookman Old Style" w:cs="Times New Roman"/>
          <w:sz w:val="16"/>
          <w:szCs w:val="16"/>
          <w:highlight w:val="red"/>
        </w:rPr>
        <w:t xml:space="preserve"> Оценка эффективности проектов ГЧП как механизма взаи</w:t>
      </w:r>
      <w:r w:rsidRPr="004E0FC4">
        <w:rPr>
          <w:rFonts w:ascii="Bookman Old Style" w:hAnsi="Bookman Old Style" w:cs="Times New Roman"/>
          <w:sz w:val="16"/>
          <w:szCs w:val="16"/>
          <w:highlight w:val="red"/>
        </w:rPr>
        <w:softHyphen/>
        <w:t>модействия власти и бизнеса в регионе // Современные проблемы науки и образо</w:t>
      </w:r>
      <w:r w:rsidRPr="004E0FC4">
        <w:rPr>
          <w:rFonts w:ascii="Bookman Old Style" w:hAnsi="Bookman Old Style" w:cs="Times New Roman"/>
          <w:sz w:val="16"/>
          <w:szCs w:val="16"/>
          <w:highlight w:val="red"/>
        </w:rPr>
        <w:softHyphen/>
        <w:t>вания. 2012. № 2.</w:t>
      </w:r>
    </w:p>
  </w:footnote>
  <w:footnote w:id="95">
    <w:p w14:paraId="0B87AE83" w14:textId="77777777" w:rsidR="00350396" w:rsidRPr="004E0FC4" w:rsidRDefault="00350396" w:rsidP="00350396">
      <w:pPr>
        <w:rPr>
          <w:rFonts w:ascii="Bookman Old Style" w:hAnsi="Bookman Old Style" w:cs="Times New Roman"/>
          <w:sz w:val="16"/>
          <w:szCs w:val="16"/>
          <w:lang w:val="en-US"/>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 xml:space="preserve"> </w:t>
      </w:r>
      <w:r w:rsidRPr="004E0FC4">
        <w:rPr>
          <w:rStyle w:val="a6"/>
          <w:rFonts w:cs="Times New Roman"/>
          <w:sz w:val="16"/>
          <w:szCs w:val="16"/>
        </w:rPr>
        <w:t>Колмаков В. В.</w:t>
      </w:r>
      <w:r w:rsidRPr="004E0FC4">
        <w:rPr>
          <w:rFonts w:ascii="Bookman Old Style" w:hAnsi="Bookman Old Style" w:cs="Times New Roman"/>
          <w:sz w:val="16"/>
          <w:szCs w:val="16"/>
        </w:rPr>
        <w:t xml:space="preserve"> К вопросу о совершенствовании нормативно-правовой базы государственно-частного партнерства в Российской Федерации // Современные на</w:t>
      </w:r>
      <w:r w:rsidRPr="004E0FC4">
        <w:rPr>
          <w:rFonts w:ascii="Bookman Old Style" w:hAnsi="Bookman Old Style" w:cs="Times New Roman"/>
          <w:sz w:val="16"/>
          <w:szCs w:val="16"/>
        </w:rPr>
        <w:softHyphen/>
        <w:t xml:space="preserve">учные исследования и инновации. </w:t>
      </w:r>
      <w:r w:rsidRPr="004E0FC4">
        <w:rPr>
          <w:rFonts w:ascii="Bookman Old Style" w:hAnsi="Bookman Old Style" w:cs="Times New Roman"/>
          <w:sz w:val="16"/>
          <w:szCs w:val="16"/>
          <w:lang w:val="en-US"/>
        </w:rPr>
        <w:t xml:space="preserve">2015. № 9-1 (53). </w:t>
      </w:r>
      <w:r w:rsidRPr="004E0FC4">
        <w:rPr>
          <w:rFonts w:ascii="Bookman Old Style" w:hAnsi="Bookman Old Style" w:cs="Times New Roman"/>
          <w:sz w:val="16"/>
          <w:szCs w:val="16"/>
        </w:rPr>
        <w:t>С</w:t>
      </w:r>
      <w:r w:rsidRPr="004E0FC4">
        <w:rPr>
          <w:rFonts w:ascii="Bookman Old Style" w:hAnsi="Bookman Old Style" w:cs="Times New Roman"/>
          <w:sz w:val="16"/>
          <w:szCs w:val="16"/>
          <w:lang w:val="en-US"/>
        </w:rPr>
        <w:t>. 196.</w:t>
      </w:r>
    </w:p>
  </w:footnote>
  <w:footnote w:id="96">
    <w:p w14:paraId="6F3E88AA" w14:textId="77777777" w:rsidR="00350396" w:rsidRPr="004E0FC4" w:rsidRDefault="00350396" w:rsidP="00350396">
      <w:pPr>
        <w:rPr>
          <w:rFonts w:ascii="Bookman Old Style" w:hAnsi="Bookman Old Style" w:cs="Times New Roman"/>
          <w:sz w:val="16"/>
          <w:szCs w:val="16"/>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lang w:val="en-US"/>
        </w:rPr>
        <w:t xml:space="preserve"> </w:t>
      </w:r>
      <w:r w:rsidRPr="004E0FC4">
        <w:rPr>
          <w:rStyle w:val="a6"/>
          <w:rFonts w:cs="Times New Roman"/>
          <w:sz w:val="16"/>
          <w:szCs w:val="16"/>
          <w:lang w:val="en-US" w:eastAsia="en-US" w:bidi="en-US"/>
        </w:rPr>
        <w:t>Elizaveta Markovskaya, Victoria Holodkova, Dmitry Radushinsky.</w:t>
      </w:r>
      <w:r w:rsidRPr="004E0FC4">
        <w:rPr>
          <w:rFonts w:ascii="Bookman Old Style" w:hAnsi="Bookman Old Style" w:cs="Times New Roman"/>
          <w:sz w:val="16"/>
          <w:szCs w:val="16"/>
          <w:lang w:val="en-US" w:eastAsia="en-US" w:bidi="en-US"/>
        </w:rPr>
        <w:t xml:space="preserve"> Public-Private Partnerships: Does Russian Practice Follow International Experience? </w:t>
      </w:r>
      <w:r w:rsidRPr="004E0FC4">
        <w:rPr>
          <w:rFonts w:ascii="Bookman Old Style" w:hAnsi="Bookman Old Style" w:cs="Times New Roman"/>
          <w:sz w:val="16"/>
          <w:szCs w:val="16"/>
          <w:lang w:val="en-US"/>
        </w:rPr>
        <w:t xml:space="preserve">// </w:t>
      </w:r>
      <w:r w:rsidRPr="004E0FC4">
        <w:rPr>
          <w:rFonts w:ascii="Bookman Old Style" w:hAnsi="Bookman Old Style" w:cs="Times New Roman"/>
          <w:sz w:val="16"/>
          <w:szCs w:val="16"/>
          <w:lang w:val="en-US" w:eastAsia="en-US" w:bidi="en-US"/>
        </w:rPr>
        <w:t xml:space="preserve">Journal of Corporate Finance Research. </w:t>
      </w:r>
      <w:r w:rsidRPr="004E0FC4">
        <w:rPr>
          <w:rFonts w:ascii="Bookman Old Style" w:hAnsi="Bookman Old Style" w:cs="Times New Roman"/>
          <w:sz w:val="16"/>
          <w:szCs w:val="16"/>
          <w:lang w:eastAsia="en-US" w:bidi="en-US"/>
        </w:rPr>
        <w:t xml:space="preserve">2019. </w:t>
      </w:r>
      <w:r w:rsidRPr="004E0FC4">
        <w:rPr>
          <w:rFonts w:ascii="Bookman Old Style" w:hAnsi="Bookman Old Style" w:cs="Times New Roman"/>
          <w:sz w:val="16"/>
          <w:szCs w:val="16"/>
          <w:lang w:val="en-US" w:eastAsia="en-US" w:bidi="en-US"/>
        </w:rPr>
        <w:t>Vol</w:t>
      </w:r>
      <w:r w:rsidRPr="004E0FC4">
        <w:rPr>
          <w:rFonts w:ascii="Bookman Old Style" w:hAnsi="Bookman Old Style" w:cs="Times New Roman"/>
          <w:sz w:val="16"/>
          <w:szCs w:val="16"/>
          <w:lang w:eastAsia="en-US" w:bidi="en-US"/>
        </w:rPr>
        <w:t xml:space="preserve">. 13. </w:t>
      </w:r>
      <w:r w:rsidRPr="004E0FC4">
        <w:rPr>
          <w:rFonts w:ascii="Bookman Old Style" w:hAnsi="Bookman Old Style" w:cs="Times New Roman"/>
          <w:sz w:val="16"/>
          <w:szCs w:val="16"/>
          <w:lang w:val="en-US" w:eastAsia="en-US" w:bidi="en-US"/>
        </w:rPr>
        <w:t>No</w:t>
      </w:r>
      <w:r w:rsidRPr="004E0FC4">
        <w:rPr>
          <w:rFonts w:ascii="Bookman Old Style" w:hAnsi="Bookman Old Style" w:cs="Times New Roman"/>
          <w:sz w:val="16"/>
          <w:szCs w:val="16"/>
          <w:lang w:eastAsia="en-US" w:bidi="en-US"/>
        </w:rPr>
        <w:t xml:space="preserve">. 2. </w:t>
      </w:r>
      <w:r w:rsidRPr="004E0FC4">
        <w:rPr>
          <w:rFonts w:ascii="Bookman Old Style" w:hAnsi="Bookman Old Style" w:cs="Times New Roman"/>
          <w:sz w:val="16"/>
          <w:szCs w:val="16"/>
        </w:rPr>
        <w:t xml:space="preserve">Р. </w:t>
      </w:r>
      <w:r w:rsidRPr="004E0FC4">
        <w:rPr>
          <w:rFonts w:ascii="Bookman Old Style" w:hAnsi="Bookman Old Style" w:cs="Times New Roman"/>
          <w:sz w:val="16"/>
          <w:szCs w:val="16"/>
          <w:lang w:eastAsia="en-US" w:bidi="en-US"/>
        </w:rPr>
        <w:t>104—113.</w:t>
      </w:r>
    </w:p>
  </w:footnote>
  <w:footnote w:id="97">
    <w:p w14:paraId="4D0DE0FC" w14:textId="77777777" w:rsidR="00350396" w:rsidRPr="00C22850" w:rsidRDefault="00350396" w:rsidP="00350396">
      <w:pPr>
        <w:rPr>
          <w:rFonts w:ascii="Times New Roman" w:hAnsi="Times New Roman" w:cs="Times New Roman"/>
          <w:sz w:val="18"/>
          <w:szCs w:val="18"/>
        </w:rPr>
      </w:pPr>
      <w:r w:rsidRPr="00E630A1">
        <w:rPr>
          <w:rStyle w:val="25"/>
          <w:rFonts w:ascii="Times New Roman" w:hAnsi="Times New Roman" w:cs="Times New Roman"/>
          <w:sz w:val="18"/>
          <w:szCs w:val="18"/>
          <w:highlight w:val="red"/>
          <w:vertAlign w:val="superscript"/>
        </w:rPr>
        <w:footnoteRef/>
      </w:r>
      <w:r w:rsidRPr="00E630A1">
        <w:rPr>
          <w:rStyle w:val="25"/>
          <w:rFonts w:ascii="Times New Roman" w:hAnsi="Times New Roman" w:cs="Times New Roman"/>
          <w:sz w:val="18"/>
          <w:szCs w:val="18"/>
          <w:highlight w:val="red"/>
        </w:rPr>
        <w:t xml:space="preserve"> </w:t>
      </w:r>
      <w:r w:rsidRPr="00E630A1">
        <w:rPr>
          <w:rFonts w:ascii="Times New Roman" w:hAnsi="Times New Roman" w:cs="Times New Roman"/>
          <w:sz w:val="18"/>
          <w:szCs w:val="18"/>
          <w:highlight w:val="red"/>
        </w:rPr>
        <w:t>Айрапетян М. С.</w:t>
      </w:r>
      <w:r w:rsidRPr="00E630A1">
        <w:rPr>
          <w:rStyle w:val="25"/>
          <w:rFonts w:ascii="Times New Roman" w:hAnsi="Times New Roman" w:cs="Times New Roman"/>
          <w:sz w:val="18"/>
          <w:szCs w:val="18"/>
          <w:highlight w:val="red"/>
        </w:rPr>
        <w:t xml:space="preserve"> Указ. соч.</w:t>
      </w:r>
    </w:p>
  </w:footnote>
  <w:footnote w:id="98">
    <w:p w14:paraId="287D0DDF" w14:textId="77777777" w:rsidR="00350396" w:rsidRPr="004E0FC4" w:rsidRDefault="00350396" w:rsidP="00350396">
      <w:pPr>
        <w:tabs>
          <w:tab w:val="left" w:pos="464"/>
        </w:tabs>
        <w:rPr>
          <w:rFonts w:ascii="Bookman Old Style" w:hAnsi="Bookman Old Style" w:cs="Times New Roman"/>
          <w:sz w:val="16"/>
          <w:szCs w:val="16"/>
          <w:highlight w:val="red"/>
        </w:rPr>
      </w:pPr>
      <w:r w:rsidRPr="00C22850">
        <w:rPr>
          <w:rStyle w:val="29pt"/>
          <w:rFonts w:ascii="Times New Roman" w:hAnsi="Times New Roman" w:cs="Times New Roman"/>
          <w:vertAlign w:val="superscript"/>
        </w:rPr>
        <w:footnoteRef/>
      </w:r>
      <w:r w:rsidRPr="00C22850">
        <w:rPr>
          <w:rStyle w:val="25"/>
          <w:rFonts w:ascii="Times New Roman" w:hAnsi="Times New Roman" w:cs="Times New Roman"/>
          <w:sz w:val="18"/>
          <w:szCs w:val="18"/>
        </w:rPr>
        <w:tab/>
      </w:r>
      <w:r w:rsidRPr="004E0FC4">
        <w:rPr>
          <w:rFonts w:ascii="Bookman Old Style" w:hAnsi="Bookman Old Style" w:cs="Times New Roman"/>
          <w:sz w:val="16"/>
          <w:szCs w:val="16"/>
          <w:highlight w:val="red"/>
        </w:rPr>
        <w:t>Варнавский В. Г., Клименко А. В., Королев В. А.</w:t>
      </w:r>
      <w:r w:rsidRPr="004E0FC4">
        <w:rPr>
          <w:rStyle w:val="25"/>
          <w:rFonts w:cs="Times New Roman"/>
          <w:sz w:val="16"/>
          <w:szCs w:val="16"/>
          <w:highlight w:val="red"/>
        </w:rPr>
        <w:t xml:space="preserve"> Указ. соч. С. 106.</w:t>
      </w:r>
    </w:p>
  </w:footnote>
  <w:footnote w:id="99">
    <w:p w14:paraId="6089F42F" w14:textId="77777777" w:rsidR="00350396" w:rsidRPr="004E0FC4" w:rsidRDefault="00350396" w:rsidP="00350396">
      <w:pPr>
        <w:tabs>
          <w:tab w:val="left" w:pos="464"/>
        </w:tabs>
        <w:rPr>
          <w:rFonts w:ascii="Bookman Old Style" w:hAnsi="Bookman Old Style" w:cs="Times New Roman"/>
          <w:sz w:val="16"/>
          <w:szCs w:val="16"/>
          <w:highlight w:val="red"/>
        </w:rPr>
      </w:pPr>
      <w:r w:rsidRPr="004E0FC4">
        <w:rPr>
          <w:rStyle w:val="29pt"/>
          <w:rFonts w:cs="Times New Roman"/>
          <w:sz w:val="16"/>
          <w:szCs w:val="16"/>
          <w:highlight w:val="red"/>
          <w:vertAlign w:val="superscript"/>
        </w:rPr>
        <w:footnoteRef/>
      </w:r>
      <w:r w:rsidRPr="004E0FC4">
        <w:rPr>
          <w:rStyle w:val="25"/>
          <w:rFonts w:cs="Times New Roman"/>
          <w:sz w:val="16"/>
          <w:szCs w:val="16"/>
          <w:highlight w:val="red"/>
        </w:rPr>
        <w:tab/>
      </w:r>
      <w:r w:rsidRPr="004E0FC4">
        <w:rPr>
          <w:rFonts w:ascii="Bookman Old Style" w:hAnsi="Bookman Old Style" w:cs="Times New Roman"/>
          <w:sz w:val="16"/>
          <w:szCs w:val="16"/>
          <w:highlight w:val="red"/>
        </w:rPr>
        <w:t>Айрапетян М. С.</w:t>
      </w:r>
      <w:r w:rsidRPr="004E0FC4">
        <w:rPr>
          <w:rStyle w:val="25"/>
          <w:rFonts w:cs="Times New Roman"/>
          <w:sz w:val="16"/>
          <w:szCs w:val="16"/>
          <w:highlight w:val="red"/>
        </w:rPr>
        <w:t xml:space="preserve"> Указ. соч.</w:t>
      </w:r>
    </w:p>
  </w:footnote>
  <w:footnote w:id="100">
    <w:p w14:paraId="2769968D" w14:textId="77777777" w:rsidR="00350396" w:rsidRPr="004E0FC4" w:rsidRDefault="00350396" w:rsidP="00350396">
      <w:pPr>
        <w:tabs>
          <w:tab w:val="left" w:pos="451"/>
        </w:tabs>
        <w:rPr>
          <w:rFonts w:ascii="Bookman Old Style" w:hAnsi="Bookman Old Style" w:cs="Times New Roman"/>
          <w:sz w:val="16"/>
          <w:szCs w:val="16"/>
        </w:rPr>
      </w:pPr>
      <w:r w:rsidRPr="004E0FC4">
        <w:rPr>
          <w:rStyle w:val="9pt0"/>
          <w:rFonts w:cs="Times New Roman"/>
          <w:sz w:val="16"/>
          <w:szCs w:val="16"/>
          <w:highlight w:val="red"/>
          <w:vertAlign w:val="superscript"/>
        </w:rPr>
        <w:footnoteRef/>
      </w:r>
      <w:r w:rsidRPr="004E0FC4">
        <w:rPr>
          <w:rFonts w:ascii="Bookman Old Style" w:hAnsi="Bookman Old Style" w:cs="Times New Roman"/>
          <w:sz w:val="16"/>
          <w:szCs w:val="16"/>
          <w:highlight w:val="red"/>
        </w:rPr>
        <w:tab/>
        <w:t xml:space="preserve">Итоги 2018 ГЧП-года : проекты, события и инициативы. </w:t>
      </w:r>
      <w:r w:rsidRPr="004E0FC4">
        <w:rPr>
          <w:rFonts w:ascii="Bookman Old Style" w:hAnsi="Bookman Old Style" w:cs="Times New Roman"/>
          <w:sz w:val="16"/>
          <w:szCs w:val="16"/>
          <w:highlight w:val="red"/>
          <w:lang w:val="en-US" w:eastAsia="en-US" w:bidi="en-US"/>
        </w:rPr>
        <w:t>URL</w:t>
      </w:r>
      <w:r w:rsidRPr="004E0FC4">
        <w:rPr>
          <w:rFonts w:ascii="Bookman Old Style" w:hAnsi="Bookman Old Style" w:cs="Times New Roman"/>
          <w:sz w:val="16"/>
          <w:szCs w:val="16"/>
          <w:highlight w:val="red"/>
          <w:lang w:eastAsia="en-US" w:bidi="en-US"/>
        </w:rPr>
        <w:t xml:space="preserve">: </w:t>
      </w:r>
      <w:hyperlink r:id="rId18" w:history="1">
        <w:r w:rsidRPr="004E0FC4">
          <w:rPr>
            <w:rFonts w:ascii="Bookman Old Style" w:hAnsi="Bookman Old Style" w:cs="Times New Roman"/>
            <w:sz w:val="16"/>
            <w:szCs w:val="16"/>
            <w:highlight w:val="red"/>
            <w:lang w:val="en-US" w:eastAsia="en-US" w:bidi="en-US"/>
          </w:rPr>
          <w:t>http</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www</w:t>
        </w:r>
      </w:hyperlink>
      <w:r w:rsidRPr="004E0FC4">
        <w:rPr>
          <w:rFonts w:ascii="Bookman Old Style" w:hAnsi="Bookman Old Style" w:cs="Times New Roman"/>
          <w:sz w:val="16"/>
          <w:szCs w:val="16"/>
          <w:highlight w:val="red"/>
          <w:lang w:eastAsia="en-US" w:bidi="en-US"/>
        </w:rPr>
        <w:t xml:space="preserve">. </w:t>
      </w:r>
      <w:r w:rsidRPr="004E0FC4">
        <w:rPr>
          <w:rFonts w:ascii="Bookman Old Style" w:hAnsi="Bookman Old Style" w:cs="Times New Roman"/>
          <w:sz w:val="16"/>
          <w:szCs w:val="16"/>
          <w:highlight w:val="red"/>
          <w:lang w:val="en-US" w:eastAsia="en-US" w:bidi="en-US"/>
        </w:rPr>
        <w:t>pppi</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ru</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news</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itogi</w:t>
      </w:r>
      <w:r w:rsidRPr="004E0FC4">
        <w:rPr>
          <w:rFonts w:ascii="Bookman Old Style" w:hAnsi="Bookman Old Style" w:cs="Times New Roman"/>
          <w:sz w:val="16"/>
          <w:szCs w:val="16"/>
          <w:highlight w:val="red"/>
          <w:lang w:eastAsia="en-US" w:bidi="en-US"/>
        </w:rPr>
        <w:t>-2018-</w:t>
      </w:r>
      <w:r w:rsidRPr="004E0FC4">
        <w:rPr>
          <w:rFonts w:ascii="Bookman Old Style" w:hAnsi="Bookman Old Style" w:cs="Times New Roman"/>
          <w:sz w:val="16"/>
          <w:szCs w:val="16"/>
          <w:highlight w:val="red"/>
          <w:lang w:val="en-US" w:eastAsia="en-US" w:bidi="en-US"/>
        </w:rPr>
        <w:t>gchp</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goda</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proekty</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sobytiya</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i</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iniciativy</w:t>
      </w:r>
      <w:r w:rsidRPr="004E0FC4">
        <w:rPr>
          <w:rFonts w:ascii="Bookman Old Style" w:hAnsi="Bookman Old Style" w:cs="Times New Roman"/>
          <w:sz w:val="16"/>
          <w:szCs w:val="16"/>
          <w:highlight w:val="red"/>
          <w:lang w:eastAsia="en-US" w:bidi="en-US"/>
        </w:rPr>
        <w:t xml:space="preserve"> </w:t>
      </w:r>
      <w:r w:rsidRPr="004E0FC4">
        <w:rPr>
          <w:rFonts w:ascii="Bookman Old Style" w:hAnsi="Bookman Old Style" w:cs="Times New Roman"/>
          <w:sz w:val="16"/>
          <w:szCs w:val="16"/>
          <w:highlight w:val="red"/>
        </w:rPr>
        <w:t>(дата обращения: 31.01.2019).</w:t>
      </w:r>
    </w:p>
  </w:footnote>
  <w:footnote w:id="101">
    <w:p w14:paraId="18C17325" w14:textId="77777777" w:rsidR="00350396" w:rsidRPr="004E0FC4" w:rsidRDefault="00350396" w:rsidP="00350396">
      <w:pPr>
        <w:rPr>
          <w:rFonts w:ascii="Bookman Old Style" w:hAnsi="Bookman Old Style" w:cs="Times New Roman"/>
          <w:sz w:val="16"/>
          <w:szCs w:val="16"/>
          <w:lang w:val="en-US"/>
        </w:rPr>
      </w:pPr>
      <w:r w:rsidRPr="00C22850">
        <w:rPr>
          <w:rStyle w:val="9pt0"/>
          <w:rFonts w:ascii="Times New Roman" w:hAnsi="Times New Roman" w:cs="Times New Roman"/>
          <w:vertAlign w:val="superscript"/>
        </w:rPr>
        <w:footnoteRef/>
      </w:r>
      <w:r w:rsidRPr="00C22850">
        <w:rPr>
          <w:rStyle w:val="9pt0"/>
          <w:rFonts w:ascii="Times New Roman" w:hAnsi="Times New Roman" w:cs="Times New Roman"/>
        </w:rPr>
        <w:t xml:space="preserve"> </w:t>
      </w:r>
      <w:r w:rsidRPr="004E0FC4">
        <w:rPr>
          <w:rStyle w:val="a6"/>
          <w:rFonts w:cs="Times New Roman"/>
          <w:sz w:val="16"/>
          <w:szCs w:val="16"/>
        </w:rPr>
        <w:t>Шаманина Э. А.</w:t>
      </w:r>
      <w:r w:rsidRPr="004E0FC4">
        <w:rPr>
          <w:rFonts w:ascii="Bookman Old Style" w:hAnsi="Bookman Old Style" w:cs="Times New Roman"/>
          <w:sz w:val="16"/>
          <w:szCs w:val="16"/>
        </w:rPr>
        <w:t xml:space="preserve"> Сферы применения государственно-частного партнерства в США // Государственно-частное партнерство. </w:t>
      </w:r>
      <w:r w:rsidRPr="004E0FC4">
        <w:rPr>
          <w:rFonts w:ascii="Bookman Old Style" w:hAnsi="Bookman Old Style" w:cs="Times New Roman"/>
          <w:sz w:val="16"/>
          <w:szCs w:val="16"/>
          <w:lang w:val="en-US"/>
        </w:rPr>
        <w:t xml:space="preserve">2016. </w:t>
      </w:r>
      <w:r w:rsidRPr="004E0FC4">
        <w:rPr>
          <w:rFonts w:ascii="Bookman Old Style" w:hAnsi="Bookman Old Style" w:cs="Times New Roman"/>
          <w:sz w:val="16"/>
          <w:szCs w:val="16"/>
        </w:rPr>
        <w:t>Т</w:t>
      </w:r>
      <w:r w:rsidRPr="004E0FC4">
        <w:rPr>
          <w:rFonts w:ascii="Bookman Old Style" w:hAnsi="Bookman Old Style" w:cs="Times New Roman"/>
          <w:sz w:val="16"/>
          <w:szCs w:val="16"/>
          <w:lang w:val="en-US"/>
        </w:rPr>
        <w:t xml:space="preserve">. 3. № 2. </w:t>
      </w:r>
      <w:r w:rsidRPr="004E0FC4">
        <w:rPr>
          <w:rFonts w:ascii="Bookman Old Style" w:hAnsi="Bookman Old Style" w:cs="Times New Roman"/>
          <w:sz w:val="16"/>
          <w:szCs w:val="16"/>
        </w:rPr>
        <w:t>С</w:t>
      </w:r>
      <w:r w:rsidRPr="004E0FC4">
        <w:rPr>
          <w:rFonts w:ascii="Bookman Old Style" w:hAnsi="Bookman Old Style" w:cs="Times New Roman"/>
          <w:sz w:val="16"/>
          <w:szCs w:val="16"/>
          <w:lang w:val="en-US"/>
        </w:rPr>
        <w:t>. 139.</w:t>
      </w:r>
    </w:p>
  </w:footnote>
  <w:footnote w:id="102">
    <w:p w14:paraId="506B16B3" w14:textId="77777777" w:rsidR="00350396" w:rsidRPr="004E0FC4" w:rsidRDefault="00350396" w:rsidP="00350396">
      <w:pPr>
        <w:tabs>
          <w:tab w:val="left" w:pos="461"/>
        </w:tabs>
        <w:rPr>
          <w:rFonts w:ascii="Bookman Old Style" w:hAnsi="Bookman Old Style" w:cs="Times New Roman"/>
          <w:sz w:val="16"/>
          <w:szCs w:val="16"/>
          <w:lang w:val="en-US"/>
        </w:rPr>
      </w:pPr>
      <w:r w:rsidRPr="00C22850">
        <w:rPr>
          <w:rStyle w:val="9pt0"/>
          <w:rFonts w:ascii="Times New Roman" w:hAnsi="Times New Roman" w:cs="Times New Roman"/>
          <w:vertAlign w:val="superscript"/>
        </w:rPr>
        <w:footnoteRef/>
      </w:r>
      <w:r w:rsidRPr="00C22850">
        <w:rPr>
          <w:rFonts w:ascii="Times New Roman" w:hAnsi="Times New Roman" w:cs="Times New Roman"/>
          <w:lang w:val="en-US"/>
        </w:rPr>
        <w:tab/>
      </w:r>
      <w:r w:rsidRPr="004E0FC4">
        <w:rPr>
          <w:rStyle w:val="a6"/>
          <w:rFonts w:cs="Times New Roman"/>
          <w:sz w:val="16"/>
          <w:szCs w:val="16"/>
          <w:highlight w:val="red"/>
          <w:lang w:val="en-US" w:eastAsia="en-US" w:bidi="en-US"/>
        </w:rPr>
        <w:t>Gabriel D. B., Delvin R. N.</w:t>
      </w:r>
      <w:r w:rsidRPr="004E0FC4">
        <w:rPr>
          <w:rFonts w:ascii="Bookman Old Style" w:hAnsi="Bookman Old Style" w:cs="Times New Roman"/>
          <w:sz w:val="16"/>
          <w:szCs w:val="16"/>
          <w:highlight w:val="red"/>
          <w:lang w:val="en-US" w:eastAsia="en-US" w:bidi="en-US"/>
        </w:rPr>
        <w:t xml:space="preserve"> Market Update: A Review of the US Public Private Partnership (P3) Sector in 2014 </w:t>
      </w:r>
      <w:r w:rsidRPr="004E0FC4">
        <w:rPr>
          <w:rFonts w:ascii="Bookman Old Style" w:hAnsi="Bookman Old Style" w:cs="Times New Roman"/>
          <w:sz w:val="16"/>
          <w:szCs w:val="16"/>
          <w:highlight w:val="red"/>
          <w:lang w:val="en-US"/>
        </w:rPr>
        <w:t xml:space="preserve">// </w:t>
      </w:r>
      <w:r w:rsidRPr="004E0FC4">
        <w:rPr>
          <w:rFonts w:ascii="Bookman Old Style" w:hAnsi="Bookman Old Style" w:cs="Times New Roman"/>
          <w:sz w:val="16"/>
          <w:szCs w:val="16"/>
          <w:highlight w:val="red"/>
          <w:lang w:val="en-US" w:eastAsia="en-US" w:bidi="en-US"/>
        </w:rPr>
        <w:t>Practical Law. 2015.</w:t>
      </w:r>
    </w:p>
  </w:footnote>
  <w:footnote w:id="103">
    <w:p w14:paraId="3752BD13" w14:textId="77777777" w:rsidR="00350396" w:rsidRPr="004E0FC4" w:rsidRDefault="00350396" w:rsidP="00350396">
      <w:pPr>
        <w:tabs>
          <w:tab w:val="left" w:pos="446"/>
        </w:tabs>
        <w:rPr>
          <w:rFonts w:ascii="Bookman Old Style" w:hAnsi="Bookman Old Style" w:cs="Times New Roman"/>
          <w:sz w:val="16"/>
          <w:szCs w:val="16"/>
          <w:lang w:val="en-US"/>
        </w:rPr>
      </w:pPr>
      <w:r w:rsidRPr="004E0FC4">
        <w:rPr>
          <w:rStyle w:val="9pt0"/>
          <w:rFonts w:cs="Times New Roman"/>
          <w:sz w:val="16"/>
          <w:szCs w:val="16"/>
          <w:vertAlign w:val="superscript"/>
          <w:lang w:val="en-US" w:eastAsia="en-US" w:bidi="en-US"/>
        </w:rPr>
        <w:footnoteRef/>
      </w:r>
      <w:r w:rsidRPr="004E0FC4">
        <w:rPr>
          <w:rFonts w:ascii="Bookman Old Style" w:hAnsi="Bookman Old Style" w:cs="Times New Roman"/>
          <w:sz w:val="16"/>
          <w:szCs w:val="16"/>
          <w:lang w:val="en-US" w:eastAsia="en-US" w:bidi="en-US"/>
        </w:rPr>
        <w:tab/>
        <w:t xml:space="preserve">Fostering Investment in Infrastructure. OECD 2015. URL: </w:t>
      </w:r>
      <w:hyperlink r:id="rId19" w:history="1">
        <w:r w:rsidRPr="004E0FC4">
          <w:rPr>
            <w:rFonts w:ascii="Bookman Old Style" w:hAnsi="Bookman Old Style" w:cs="Times New Roman"/>
            <w:sz w:val="16"/>
            <w:szCs w:val="16"/>
            <w:lang w:val="en-US" w:eastAsia="en-US" w:bidi="en-US"/>
          </w:rPr>
          <w:t>https://www.oecd.org/</w:t>
        </w:r>
      </w:hyperlink>
      <w:r w:rsidRPr="004E0FC4">
        <w:rPr>
          <w:rFonts w:ascii="Bookman Old Style" w:hAnsi="Bookman Old Style" w:cs="Times New Roman"/>
          <w:sz w:val="16"/>
          <w:szCs w:val="16"/>
          <w:lang w:val="en-US" w:eastAsia="en-US" w:bidi="en-US"/>
        </w:rPr>
        <w:t xml:space="preserve"> daf/inv/investment-policy/Fostering-Investment-in-Infrastructure.pdf (date of access: 19.01.2016).</w:t>
      </w:r>
    </w:p>
  </w:footnote>
  <w:footnote w:id="104">
    <w:p w14:paraId="7C2C58E4" w14:textId="77777777" w:rsidR="00350396" w:rsidRPr="004E0FC4" w:rsidRDefault="00350396" w:rsidP="00350396">
      <w:pPr>
        <w:tabs>
          <w:tab w:val="left" w:pos="464"/>
        </w:tabs>
        <w:rPr>
          <w:rFonts w:ascii="Bookman Old Style" w:hAnsi="Bookman Old Style" w:cs="Times New Roman"/>
          <w:sz w:val="16"/>
          <w:szCs w:val="16"/>
        </w:rPr>
      </w:pPr>
      <w:r w:rsidRPr="00C22850">
        <w:rPr>
          <w:rStyle w:val="29pt"/>
          <w:rFonts w:ascii="Times New Roman" w:hAnsi="Times New Roman" w:cs="Times New Roman"/>
          <w:vertAlign w:val="superscript"/>
        </w:rPr>
        <w:footnoteRef/>
      </w:r>
      <w:r w:rsidRPr="00C22850">
        <w:rPr>
          <w:rStyle w:val="25"/>
          <w:rFonts w:ascii="Times New Roman" w:hAnsi="Times New Roman" w:cs="Times New Roman"/>
          <w:sz w:val="18"/>
          <w:szCs w:val="18"/>
        </w:rPr>
        <w:tab/>
      </w:r>
      <w:r w:rsidRPr="004E0FC4">
        <w:rPr>
          <w:rFonts w:ascii="Bookman Old Style" w:hAnsi="Bookman Old Style" w:cs="Times New Roman"/>
          <w:sz w:val="16"/>
          <w:szCs w:val="16"/>
        </w:rPr>
        <w:t>Варнавский В. Г., Клименко А. В., Королев В. А.</w:t>
      </w:r>
      <w:r w:rsidRPr="004E0FC4">
        <w:rPr>
          <w:rStyle w:val="25"/>
          <w:rFonts w:cs="Times New Roman"/>
          <w:sz w:val="16"/>
          <w:szCs w:val="16"/>
        </w:rPr>
        <w:t xml:space="preserve"> Указ. соч. С. 24.</w:t>
      </w:r>
    </w:p>
  </w:footnote>
  <w:footnote w:id="105">
    <w:p w14:paraId="4C5B1E9C" w14:textId="77777777" w:rsidR="00350396" w:rsidRPr="004E0FC4" w:rsidRDefault="00350396" w:rsidP="00350396">
      <w:pPr>
        <w:tabs>
          <w:tab w:val="left" w:pos="437"/>
        </w:tabs>
        <w:rPr>
          <w:rFonts w:ascii="Bookman Old Style" w:hAnsi="Bookman Old Style" w:cs="Times New Roman"/>
          <w:color w:val="000000" w:themeColor="text1"/>
          <w:sz w:val="16"/>
          <w:szCs w:val="16"/>
        </w:rPr>
      </w:pPr>
      <w:r w:rsidRPr="004E0FC4">
        <w:rPr>
          <w:rStyle w:val="9pt0"/>
          <w:rFonts w:cs="Times New Roman"/>
          <w:sz w:val="16"/>
          <w:szCs w:val="16"/>
          <w:vertAlign w:val="superscript"/>
        </w:rPr>
        <w:footnoteRef/>
      </w:r>
      <w:r w:rsidRPr="004E0FC4">
        <w:rPr>
          <w:rFonts w:ascii="Bookman Old Style" w:hAnsi="Bookman Old Style" w:cs="Times New Roman"/>
          <w:sz w:val="16"/>
          <w:szCs w:val="16"/>
        </w:rPr>
        <w:tab/>
      </w:r>
      <w:r w:rsidRPr="004E0FC4">
        <w:rPr>
          <w:rStyle w:val="a6"/>
          <w:rFonts w:cs="Times New Roman"/>
          <w:color w:val="000000" w:themeColor="text1"/>
          <w:sz w:val="16"/>
          <w:szCs w:val="16"/>
          <w:highlight w:val="red"/>
        </w:rPr>
        <w:t>Игнатюк М. А.</w:t>
      </w:r>
      <w:r w:rsidRPr="004E0FC4">
        <w:rPr>
          <w:rFonts w:ascii="Bookman Old Style" w:hAnsi="Bookman Old Style" w:cs="Times New Roman"/>
          <w:color w:val="000000" w:themeColor="text1"/>
          <w:sz w:val="16"/>
          <w:szCs w:val="16"/>
          <w:highlight w:val="red"/>
        </w:rPr>
        <w:t xml:space="preserve"> Государственно-частное партнерство : учебник для вузов. М. : Юстицинформ, 2012.</w:t>
      </w:r>
    </w:p>
  </w:footnote>
  <w:footnote w:id="106">
    <w:p w14:paraId="5EB22335" w14:textId="77777777" w:rsidR="00350396" w:rsidRPr="004E0FC4" w:rsidRDefault="00350396" w:rsidP="00350396">
      <w:pPr>
        <w:rPr>
          <w:rFonts w:ascii="Bookman Old Style" w:hAnsi="Bookman Old Style" w:cs="Times New Roman"/>
          <w:sz w:val="16"/>
          <w:szCs w:val="16"/>
        </w:rPr>
      </w:pPr>
      <w:r w:rsidRPr="00072411">
        <w:rPr>
          <w:rFonts w:ascii="Times New Roman" w:hAnsi="Times New Roman" w:cs="Times New Roman"/>
          <w:highlight w:val="red"/>
          <w:vertAlign w:val="superscript"/>
        </w:rPr>
        <w:footnoteRef/>
      </w:r>
      <w:r w:rsidRPr="00072411">
        <w:rPr>
          <w:rFonts w:ascii="Times New Roman" w:hAnsi="Times New Roman" w:cs="Times New Roman"/>
          <w:highlight w:val="red"/>
        </w:rPr>
        <w:t xml:space="preserve"> </w:t>
      </w:r>
      <w:r w:rsidRPr="004E0FC4">
        <w:rPr>
          <w:rFonts w:ascii="Bookman Old Style" w:hAnsi="Bookman Old Style" w:cs="Times New Roman"/>
          <w:sz w:val="16"/>
          <w:szCs w:val="16"/>
          <w:highlight w:val="red"/>
        </w:rPr>
        <w:t xml:space="preserve">Итоги 2018 ГЧП-года: проекты, события и инициативы. </w:t>
      </w:r>
      <w:r w:rsidRPr="004E0FC4">
        <w:rPr>
          <w:rFonts w:ascii="Bookman Old Style" w:hAnsi="Bookman Old Style" w:cs="Times New Roman"/>
          <w:sz w:val="16"/>
          <w:szCs w:val="16"/>
          <w:highlight w:val="red"/>
          <w:lang w:val="en-US" w:eastAsia="en-US" w:bidi="en-US"/>
        </w:rPr>
        <w:t>URL</w:t>
      </w:r>
      <w:r w:rsidRPr="004E0FC4">
        <w:rPr>
          <w:rFonts w:ascii="Bookman Old Style" w:hAnsi="Bookman Old Style" w:cs="Times New Roman"/>
          <w:sz w:val="16"/>
          <w:szCs w:val="16"/>
          <w:highlight w:val="red"/>
          <w:lang w:eastAsia="en-US" w:bidi="en-US"/>
        </w:rPr>
        <w:t xml:space="preserve">: </w:t>
      </w:r>
      <w:hyperlink r:id="rId20" w:history="1">
        <w:r w:rsidRPr="004E0FC4">
          <w:rPr>
            <w:rFonts w:ascii="Bookman Old Style" w:hAnsi="Bookman Old Style" w:cs="Times New Roman"/>
            <w:sz w:val="16"/>
            <w:szCs w:val="16"/>
            <w:highlight w:val="red"/>
            <w:lang w:val="en-US" w:eastAsia="en-US" w:bidi="en-US"/>
          </w:rPr>
          <w:t>http</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www</w:t>
        </w:r>
      </w:hyperlink>
      <w:r w:rsidRPr="004E0FC4">
        <w:rPr>
          <w:rFonts w:ascii="Bookman Old Style" w:hAnsi="Bookman Old Style" w:cs="Times New Roman"/>
          <w:sz w:val="16"/>
          <w:szCs w:val="16"/>
          <w:highlight w:val="red"/>
          <w:lang w:eastAsia="en-US" w:bidi="en-US"/>
        </w:rPr>
        <w:t xml:space="preserve">. </w:t>
      </w:r>
      <w:r w:rsidRPr="004E0FC4">
        <w:rPr>
          <w:rFonts w:ascii="Bookman Old Style" w:hAnsi="Bookman Old Style" w:cs="Times New Roman"/>
          <w:sz w:val="16"/>
          <w:szCs w:val="16"/>
          <w:highlight w:val="red"/>
          <w:lang w:val="en-US" w:eastAsia="en-US" w:bidi="en-US"/>
        </w:rPr>
        <w:t>pppi</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ru</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news</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itogi</w:t>
      </w:r>
      <w:r w:rsidRPr="004E0FC4">
        <w:rPr>
          <w:rFonts w:ascii="Bookman Old Style" w:hAnsi="Bookman Old Style" w:cs="Times New Roman"/>
          <w:sz w:val="16"/>
          <w:szCs w:val="16"/>
          <w:highlight w:val="red"/>
          <w:lang w:eastAsia="en-US" w:bidi="en-US"/>
        </w:rPr>
        <w:t>-2018-</w:t>
      </w:r>
      <w:r w:rsidRPr="004E0FC4">
        <w:rPr>
          <w:rFonts w:ascii="Bookman Old Style" w:hAnsi="Bookman Old Style" w:cs="Times New Roman"/>
          <w:sz w:val="16"/>
          <w:szCs w:val="16"/>
          <w:highlight w:val="red"/>
          <w:lang w:val="en-US" w:eastAsia="en-US" w:bidi="en-US"/>
        </w:rPr>
        <w:t>gchp</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goda</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proekty</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sobytiya</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i</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iniciativy</w:t>
      </w:r>
      <w:r w:rsidRPr="004E0FC4">
        <w:rPr>
          <w:rFonts w:ascii="Bookman Old Style" w:hAnsi="Bookman Old Style" w:cs="Times New Roman"/>
          <w:sz w:val="16"/>
          <w:szCs w:val="16"/>
          <w:highlight w:val="red"/>
          <w:lang w:eastAsia="en-US" w:bidi="en-US"/>
        </w:rPr>
        <w:t xml:space="preserve"> </w:t>
      </w:r>
      <w:r w:rsidRPr="004E0FC4">
        <w:rPr>
          <w:rFonts w:ascii="Bookman Old Style" w:hAnsi="Bookman Old Style" w:cs="Times New Roman"/>
          <w:sz w:val="16"/>
          <w:szCs w:val="16"/>
          <w:highlight w:val="red"/>
        </w:rPr>
        <w:t>(дата обращения: 31.10.2019).</w:t>
      </w:r>
    </w:p>
  </w:footnote>
  <w:footnote w:id="107">
    <w:p w14:paraId="72FD8E9A" w14:textId="77777777" w:rsidR="00350396" w:rsidRPr="00C22850" w:rsidRDefault="00350396" w:rsidP="00350396">
      <w:pPr>
        <w:tabs>
          <w:tab w:val="left" w:pos="464"/>
        </w:tabs>
        <w:rPr>
          <w:rFonts w:ascii="Times New Roman" w:hAnsi="Times New Roman" w:cs="Times New Roman"/>
          <w:sz w:val="18"/>
          <w:szCs w:val="18"/>
        </w:rPr>
      </w:pPr>
      <w:r w:rsidRPr="00E630A1">
        <w:rPr>
          <w:rStyle w:val="25"/>
          <w:rFonts w:ascii="Times New Roman" w:hAnsi="Times New Roman" w:cs="Times New Roman"/>
          <w:sz w:val="18"/>
          <w:szCs w:val="18"/>
          <w:highlight w:val="red"/>
          <w:vertAlign w:val="superscript"/>
        </w:rPr>
        <w:footnoteRef/>
      </w:r>
      <w:r w:rsidRPr="00E630A1">
        <w:rPr>
          <w:rStyle w:val="25"/>
          <w:rFonts w:ascii="Times New Roman" w:hAnsi="Times New Roman" w:cs="Times New Roman"/>
          <w:sz w:val="18"/>
          <w:szCs w:val="18"/>
          <w:highlight w:val="red"/>
        </w:rPr>
        <w:tab/>
      </w:r>
      <w:r w:rsidRPr="00E630A1">
        <w:rPr>
          <w:rFonts w:ascii="Times New Roman" w:hAnsi="Times New Roman" w:cs="Times New Roman"/>
          <w:sz w:val="18"/>
          <w:szCs w:val="18"/>
          <w:highlight w:val="red"/>
        </w:rPr>
        <w:t>Игнатюк М. А.</w:t>
      </w:r>
      <w:r w:rsidRPr="00E630A1">
        <w:rPr>
          <w:rStyle w:val="25"/>
          <w:rFonts w:ascii="Times New Roman" w:hAnsi="Times New Roman" w:cs="Times New Roman"/>
          <w:sz w:val="18"/>
          <w:szCs w:val="18"/>
          <w:highlight w:val="red"/>
        </w:rPr>
        <w:t xml:space="preserve"> Указ. соч.</w:t>
      </w:r>
    </w:p>
  </w:footnote>
  <w:footnote w:id="108">
    <w:p w14:paraId="0454AECC" w14:textId="77777777" w:rsidR="00350396" w:rsidRPr="001E52BF" w:rsidRDefault="00350396" w:rsidP="00350396">
      <w:pPr>
        <w:pStyle w:val="af6"/>
        <w:rPr>
          <w:sz w:val="16"/>
          <w:szCs w:val="16"/>
          <w:lang w:val="en-US"/>
        </w:rPr>
      </w:pPr>
      <w:r w:rsidRPr="001E52BF">
        <w:rPr>
          <w:rStyle w:val="af8"/>
          <w:sz w:val="16"/>
          <w:szCs w:val="16"/>
          <w:highlight w:val="green"/>
        </w:rPr>
        <w:footnoteRef/>
      </w:r>
      <w:r w:rsidRPr="001E52BF">
        <w:rPr>
          <w:sz w:val="16"/>
          <w:szCs w:val="16"/>
          <w:highlight w:val="green"/>
          <w:lang w:val="en-US"/>
        </w:rPr>
        <w:t xml:space="preserve"> Infracompass. URL: https://infracompass.gihub.org/ind_country_profile/rus/ </w:t>
      </w:r>
    </w:p>
  </w:footnote>
  <w:footnote w:id="109">
    <w:p w14:paraId="3FC27D89" w14:textId="77777777" w:rsidR="00350396" w:rsidRPr="004E0FC4" w:rsidRDefault="00350396" w:rsidP="00350396">
      <w:pPr>
        <w:tabs>
          <w:tab w:val="left" w:pos="446"/>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sz w:val="18"/>
          <w:szCs w:val="18"/>
        </w:rPr>
        <w:tab/>
      </w:r>
      <w:r w:rsidRPr="004E0FC4">
        <w:rPr>
          <w:rFonts w:ascii="Bookman Old Style" w:hAnsi="Bookman Old Style" w:cs="Times New Roman"/>
          <w:sz w:val="16"/>
          <w:szCs w:val="16"/>
          <w:highlight w:val="red"/>
        </w:rPr>
        <w:t>Правила формирования и использования бюджетных ассигнований Инвести</w:t>
      </w:r>
      <w:r w:rsidRPr="004E0FC4">
        <w:rPr>
          <w:rFonts w:ascii="Bookman Old Style" w:hAnsi="Bookman Old Style" w:cs="Times New Roman"/>
          <w:sz w:val="16"/>
          <w:szCs w:val="16"/>
          <w:highlight w:val="red"/>
        </w:rPr>
        <w:softHyphen/>
        <w:t>ционного фонда Российской Федерации. Утверждены постановлением Правитель</w:t>
      </w:r>
      <w:r w:rsidRPr="004E0FC4">
        <w:rPr>
          <w:rFonts w:ascii="Bookman Old Style" w:hAnsi="Bookman Old Style" w:cs="Times New Roman"/>
          <w:sz w:val="16"/>
          <w:szCs w:val="16"/>
          <w:highlight w:val="red"/>
        </w:rPr>
        <w:softHyphen/>
        <w:t>ства РФ от 01.03.2008 № 134 (утратило силу с 03.01.2018 на основании постановле</w:t>
      </w:r>
      <w:r w:rsidRPr="004E0FC4">
        <w:rPr>
          <w:rFonts w:ascii="Bookman Old Style" w:hAnsi="Bookman Old Style" w:cs="Times New Roman"/>
          <w:sz w:val="16"/>
          <w:szCs w:val="16"/>
          <w:highlight w:val="red"/>
        </w:rPr>
        <w:softHyphen/>
        <w:t>ния Правительства РФ от 23.12.2017 № 1623).</w:t>
      </w:r>
    </w:p>
  </w:footnote>
  <w:footnote w:id="110">
    <w:p w14:paraId="2356B7CE" w14:textId="77777777" w:rsidR="00350396" w:rsidRPr="004E0FC4" w:rsidRDefault="00350396" w:rsidP="00350396">
      <w:pPr>
        <w:tabs>
          <w:tab w:val="left" w:pos="442"/>
        </w:tabs>
        <w:rPr>
          <w:rFonts w:ascii="Bookman Old Style" w:hAnsi="Bookman Old Style" w:cs="Arial"/>
          <w:sz w:val="16"/>
          <w:szCs w:val="16"/>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Fonts w:ascii="Bookman Old Style" w:hAnsi="Bookman Old Style" w:cs="Arial"/>
          <w:sz w:val="16"/>
          <w:szCs w:val="16"/>
          <w:highlight w:val="red"/>
        </w:rPr>
        <w:t>Справочные материалы по проектам, реализуемым с привлечением средств Ин</w:t>
      </w:r>
      <w:r w:rsidRPr="004E0FC4">
        <w:rPr>
          <w:rFonts w:ascii="Bookman Old Style" w:hAnsi="Bookman Old Style" w:cs="Arial"/>
          <w:sz w:val="16"/>
          <w:szCs w:val="16"/>
          <w:highlight w:val="red"/>
        </w:rPr>
        <w:softHyphen/>
        <w:t xml:space="preserve">вестиционного фонда Российской Федерации (на май 2015 г.) // Минэкономразвития РФ. </w:t>
      </w:r>
      <w:r w:rsidRPr="004E0FC4">
        <w:rPr>
          <w:rFonts w:ascii="Bookman Old Style" w:hAnsi="Bookman Old Style" w:cs="Arial"/>
          <w:sz w:val="16"/>
          <w:szCs w:val="16"/>
          <w:highlight w:val="red"/>
          <w:lang w:val="en-US" w:eastAsia="en-US" w:bidi="en-US"/>
        </w:rPr>
        <w:t>URL</w:t>
      </w:r>
      <w:r w:rsidRPr="004E0FC4">
        <w:rPr>
          <w:rFonts w:ascii="Bookman Old Style" w:hAnsi="Bookman Old Style" w:cs="Arial"/>
          <w:sz w:val="16"/>
          <w:szCs w:val="16"/>
          <w:highlight w:val="red"/>
          <w:lang w:eastAsia="en-US" w:bidi="en-US"/>
        </w:rPr>
        <w:t xml:space="preserve">: </w:t>
      </w:r>
      <w:hyperlink r:id="rId21" w:history="1">
        <w:r w:rsidRPr="004E0FC4">
          <w:rPr>
            <w:rFonts w:ascii="Bookman Old Style" w:hAnsi="Bookman Old Style" w:cs="Arial"/>
            <w:sz w:val="16"/>
            <w:szCs w:val="16"/>
            <w:highlight w:val="red"/>
            <w:lang w:val="en-US" w:eastAsia="en-US" w:bidi="en-US"/>
          </w:rPr>
          <w:t>http</w:t>
        </w:r>
        <w:r w:rsidRPr="004E0FC4">
          <w:rPr>
            <w:rFonts w:ascii="Bookman Old Style" w:hAnsi="Bookman Old Style" w:cs="Arial"/>
            <w:sz w:val="16"/>
            <w:szCs w:val="16"/>
            <w:highlight w:val="red"/>
            <w:lang w:eastAsia="en-US" w:bidi="en-US"/>
          </w:rPr>
          <w:t>://</w:t>
        </w:r>
        <w:r w:rsidRPr="004E0FC4">
          <w:rPr>
            <w:rFonts w:ascii="Bookman Old Style" w:hAnsi="Bookman Old Style" w:cs="Arial"/>
            <w:sz w:val="16"/>
            <w:szCs w:val="16"/>
            <w:highlight w:val="red"/>
            <w:lang w:val="en-US" w:eastAsia="en-US" w:bidi="en-US"/>
          </w:rPr>
          <w:t>economy</w:t>
        </w:r>
        <w:r w:rsidRPr="004E0FC4">
          <w:rPr>
            <w:rFonts w:ascii="Bookman Old Style" w:hAnsi="Bookman Old Style" w:cs="Arial"/>
            <w:sz w:val="16"/>
            <w:szCs w:val="16"/>
            <w:highlight w:val="red"/>
            <w:lang w:eastAsia="en-US" w:bidi="en-US"/>
          </w:rPr>
          <w:t>.</w:t>
        </w:r>
        <w:r w:rsidRPr="004E0FC4">
          <w:rPr>
            <w:rFonts w:ascii="Bookman Old Style" w:hAnsi="Bookman Old Style" w:cs="Arial"/>
            <w:sz w:val="16"/>
            <w:szCs w:val="16"/>
            <w:highlight w:val="red"/>
            <w:lang w:val="en-US" w:eastAsia="en-US" w:bidi="en-US"/>
          </w:rPr>
          <w:t>gov</w:t>
        </w:r>
        <w:r w:rsidRPr="004E0FC4">
          <w:rPr>
            <w:rFonts w:ascii="Bookman Old Style" w:hAnsi="Bookman Old Style" w:cs="Arial"/>
            <w:sz w:val="16"/>
            <w:szCs w:val="16"/>
            <w:highlight w:val="red"/>
            <w:lang w:eastAsia="en-US" w:bidi="en-US"/>
          </w:rPr>
          <w:t>.</w:t>
        </w:r>
        <w:r w:rsidRPr="004E0FC4">
          <w:rPr>
            <w:rFonts w:ascii="Bookman Old Style" w:hAnsi="Bookman Old Style" w:cs="Arial"/>
            <w:sz w:val="16"/>
            <w:szCs w:val="16"/>
            <w:highlight w:val="red"/>
            <w:lang w:val="en-US" w:eastAsia="en-US" w:bidi="en-US"/>
          </w:rPr>
          <w:t>ru</w:t>
        </w:r>
        <w:r w:rsidRPr="004E0FC4">
          <w:rPr>
            <w:rFonts w:ascii="Bookman Old Style" w:hAnsi="Bookman Old Style" w:cs="Arial"/>
            <w:sz w:val="16"/>
            <w:szCs w:val="16"/>
            <w:highlight w:val="red"/>
            <w:lang w:eastAsia="en-US" w:bidi="en-US"/>
          </w:rPr>
          <w:t>/</w:t>
        </w:r>
        <w:r w:rsidRPr="004E0FC4">
          <w:rPr>
            <w:rFonts w:ascii="Bookman Old Style" w:hAnsi="Bookman Old Style" w:cs="Arial"/>
            <w:sz w:val="16"/>
            <w:szCs w:val="16"/>
            <w:highlight w:val="red"/>
            <w:lang w:val="en-US" w:eastAsia="en-US" w:bidi="en-US"/>
          </w:rPr>
          <w:t>minec</w:t>
        </w:r>
        <w:r w:rsidRPr="004E0FC4">
          <w:rPr>
            <w:rFonts w:ascii="Bookman Old Style" w:hAnsi="Bookman Old Style" w:cs="Arial"/>
            <w:sz w:val="16"/>
            <w:szCs w:val="16"/>
            <w:highlight w:val="red"/>
            <w:lang w:eastAsia="en-US" w:bidi="en-US"/>
          </w:rPr>
          <w:t>/</w:t>
        </w:r>
        <w:r w:rsidRPr="004E0FC4">
          <w:rPr>
            <w:rFonts w:ascii="Bookman Old Style" w:hAnsi="Bookman Old Style" w:cs="Arial"/>
            <w:sz w:val="16"/>
            <w:szCs w:val="16"/>
            <w:highlight w:val="red"/>
            <w:lang w:val="en-US" w:eastAsia="en-US" w:bidi="en-US"/>
          </w:rPr>
          <w:t>activity</w:t>
        </w:r>
        <w:r w:rsidRPr="004E0FC4">
          <w:rPr>
            <w:rFonts w:ascii="Bookman Old Style" w:hAnsi="Bookman Old Style" w:cs="Arial"/>
            <w:sz w:val="16"/>
            <w:szCs w:val="16"/>
            <w:highlight w:val="red"/>
            <w:lang w:eastAsia="en-US" w:bidi="en-US"/>
          </w:rPr>
          <w:t>/</w:t>
        </w:r>
        <w:r w:rsidRPr="004E0FC4">
          <w:rPr>
            <w:rFonts w:ascii="Bookman Old Style" w:hAnsi="Bookman Old Style" w:cs="Arial"/>
            <w:sz w:val="16"/>
            <w:szCs w:val="16"/>
            <w:highlight w:val="red"/>
            <w:lang w:val="en-US" w:eastAsia="en-US" w:bidi="en-US"/>
          </w:rPr>
          <w:t>sections</w:t>
        </w:r>
        <w:r w:rsidRPr="004E0FC4">
          <w:rPr>
            <w:rFonts w:ascii="Bookman Old Style" w:hAnsi="Bookman Old Style" w:cs="Arial"/>
            <w:sz w:val="16"/>
            <w:szCs w:val="16"/>
            <w:highlight w:val="red"/>
            <w:lang w:eastAsia="en-US" w:bidi="en-US"/>
          </w:rPr>
          <w:t>/</w:t>
        </w:r>
        <w:r w:rsidRPr="004E0FC4">
          <w:rPr>
            <w:rFonts w:ascii="Bookman Old Style" w:hAnsi="Bookman Old Style" w:cs="Arial"/>
            <w:sz w:val="16"/>
            <w:szCs w:val="16"/>
            <w:highlight w:val="red"/>
            <w:lang w:val="en-US" w:eastAsia="en-US" w:bidi="en-US"/>
          </w:rPr>
          <w:t>privgovpartnerdev</w:t>
        </w:r>
        <w:r w:rsidRPr="004E0FC4">
          <w:rPr>
            <w:rFonts w:ascii="Bookman Old Style" w:hAnsi="Bookman Old Style" w:cs="Arial"/>
            <w:sz w:val="16"/>
            <w:szCs w:val="16"/>
            <w:highlight w:val="red"/>
            <w:lang w:eastAsia="en-US" w:bidi="en-US"/>
          </w:rPr>
          <w:t>/201505222</w:t>
        </w:r>
      </w:hyperlink>
      <w:r w:rsidRPr="004E0FC4">
        <w:rPr>
          <w:rFonts w:ascii="Bookman Old Style" w:hAnsi="Bookman Old Style" w:cs="Arial"/>
          <w:sz w:val="16"/>
          <w:szCs w:val="16"/>
          <w:highlight w:val="red"/>
          <w:lang w:eastAsia="en-US" w:bidi="en-US"/>
        </w:rPr>
        <w:t xml:space="preserve"> </w:t>
      </w:r>
      <w:r w:rsidRPr="004E0FC4">
        <w:rPr>
          <w:rFonts w:ascii="Bookman Old Style" w:hAnsi="Bookman Old Style" w:cs="Arial"/>
          <w:sz w:val="16"/>
          <w:szCs w:val="16"/>
          <w:highlight w:val="red"/>
        </w:rPr>
        <w:t>(дата обращения: 30.10.2022).</w:t>
      </w:r>
    </w:p>
  </w:footnote>
  <w:footnote w:id="111">
    <w:p w14:paraId="50D614CE" w14:textId="77777777" w:rsidR="00350396" w:rsidRPr="004E0FC4" w:rsidRDefault="00350396" w:rsidP="00350396">
      <w:pPr>
        <w:tabs>
          <w:tab w:val="left" w:pos="451"/>
        </w:tabs>
        <w:rPr>
          <w:rFonts w:ascii="Bookman Old Style" w:hAnsi="Bookman Old Style" w:cs="Arial"/>
          <w:sz w:val="16"/>
          <w:szCs w:val="16"/>
        </w:rPr>
      </w:pPr>
      <w:r w:rsidRPr="004E0FC4">
        <w:rPr>
          <w:rFonts w:ascii="Bookman Old Style" w:hAnsi="Bookman Old Style" w:cs="Arial"/>
          <w:sz w:val="16"/>
          <w:szCs w:val="16"/>
          <w:vertAlign w:val="superscript"/>
        </w:rPr>
        <w:footnoteRef/>
      </w:r>
      <w:r w:rsidRPr="004E0FC4">
        <w:rPr>
          <w:rFonts w:ascii="Bookman Old Style" w:hAnsi="Bookman Old Style" w:cs="Arial"/>
          <w:sz w:val="16"/>
          <w:szCs w:val="16"/>
        </w:rPr>
        <w:tab/>
        <w:t>Проект национального доклада о привлечении частных инвестиций в разви</w:t>
      </w:r>
      <w:r w:rsidRPr="004E0FC4">
        <w:rPr>
          <w:rFonts w:ascii="Bookman Old Style" w:hAnsi="Bookman Old Style" w:cs="Arial"/>
          <w:sz w:val="16"/>
          <w:szCs w:val="16"/>
        </w:rPr>
        <w:softHyphen/>
        <w:t>тие инфраструктуры и применении механизмов государственно-частного партнер</w:t>
      </w:r>
      <w:r w:rsidRPr="004E0FC4">
        <w:rPr>
          <w:rFonts w:ascii="Bookman Old Style" w:hAnsi="Bookman Old Style" w:cs="Arial"/>
          <w:sz w:val="16"/>
          <w:szCs w:val="16"/>
        </w:rPr>
        <w:softHyphen/>
        <w:t>ства в Российской Федерации + Рейтинг регионов России по уровню развития госу</w:t>
      </w:r>
      <w:r w:rsidRPr="004E0FC4">
        <w:rPr>
          <w:rFonts w:ascii="Bookman Old Style" w:hAnsi="Bookman Old Style" w:cs="Arial"/>
          <w:sz w:val="16"/>
          <w:szCs w:val="16"/>
        </w:rPr>
        <w:softHyphen/>
        <w:t xml:space="preserve">дарственно-частного партнерства 2017—2018. М. : Национальный Центр ГЧП, 2018, </w:t>
      </w:r>
      <w:r w:rsidRPr="004E0FC4">
        <w:rPr>
          <w:rFonts w:ascii="Bookman Old Style" w:hAnsi="Bookman Old Style" w:cs="Arial"/>
          <w:sz w:val="16"/>
          <w:szCs w:val="16"/>
          <w:highlight w:val="green"/>
        </w:rPr>
        <w:t>88 с.</w:t>
      </w:r>
    </w:p>
  </w:footnote>
  <w:footnote w:id="112">
    <w:p w14:paraId="3FE8FACD" w14:textId="77777777" w:rsidR="00350396" w:rsidRPr="004E0FC4" w:rsidRDefault="00350396" w:rsidP="00350396">
      <w:pPr>
        <w:tabs>
          <w:tab w:val="left" w:pos="469"/>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Fonts w:ascii="Bookman Old Style" w:hAnsi="Bookman Old Style" w:cs="Times New Roman"/>
          <w:sz w:val="16"/>
          <w:szCs w:val="16"/>
        </w:rPr>
        <w:t>Доклад. С. 24.</w:t>
      </w:r>
    </w:p>
  </w:footnote>
  <w:footnote w:id="113">
    <w:p w14:paraId="67EA6DC0" w14:textId="77777777" w:rsidR="00350396" w:rsidRPr="004E0FC4" w:rsidRDefault="00350396" w:rsidP="00350396">
      <w:pPr>
        <w:tabs>
          <w:tab w:val="left" w:pos="451"/>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r>
      <w:r w:rsidRPr="004E0FC4">
        <w:rPr>
          <w:rFonts w:ascii="Bookman Old Style" w:hAnsi="Bookman Old Style" w:cs="Times New Roman"/>
          <w:sz w:val="16"/>
          <w:szCs w:val="16"/>
          <w:highlight w:val="red"/>
        </w:rPr>
        <w:t xml:space="preserve">В 2017 г. ожидается пять основных трендов ГЧП // Портал «Центр развития ГЧП. Раздел «Новости». </w:t>
      </w:r>
      <w:r w:rsidRPr="004E0FC4">
        <w:rPr>
          <w:rFonts w:ascii="Bookman Old Style" w:hAnsi="Bookman Old Style" w:cs="Times New Roman"/>
          <w:sz w:val="16"/>
          <w:szCs w:val="16"/>
          <w:highlight w:val="red"/>
          <w:lang w:val="en-US" w:eastAsia="en-US" w:bidi="en-US"/>
        </w:rPr>
        <w:t>URL</w:t>
      </w:r>
      <w:r w:rsidRPr="004E0FC4">
        <w:rPr>
          <w:rFonts w:ascii="Bookman Old Style" w:hAnsi="Bookman Old Style" w:cs="Times New Roman"/>
          <w:sz w:val="16"/>
          <w:szCs w:val="16"/>
          <w:highlight w:val="red"/>
          <w:lang w:eastAsia="en-US" w:bidi="en-US"/>
        </w:rPr>
        <w:t xml:space="preserve">: </w:t>
      </w:r>
      <w:hyperlink r:id="rId22" w:history="1">
        <w:r w:rsidRPr="004E0FC4">
          <w:rPr>
            <w:rFonts w:ascii="Bookman Old Style" w:hAnsi="Bookman Old Style" w:cs="Times New Roman"/>
            <w:sz w:val="16"/>
            <w:szCs w:val="16"/>
            <w:highlight w:val="red"/>
            <w:lang w:val="en-US" w:eastAsia="en-US" w:bidi="en-US"/>
          </w:rPr>
          <w:t>http</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pppcenter</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ru</w:t>
        </w:r>
        <w:r w:rsidRPr="004E0FC4">
          <w:rPr>
            <w:rFonts w:ascii="Bookman Old Style" w:hAnsi="Bookman Old Style" w:cs="Times New Roman"/>
            <w:sz w:val="16"/>
            <w:szCs w:val="16"/>
            <w:highlight w:val="red"/>
            <w:lang w:eastAsia="en-US" w:bidi="en-US"/>
          </w:rPr>
          <w:t>/29/</w:t>
        </w:r>
        <w:r w:rsidRPr="004E0FC4">
          <w:rPr>
            <w:rFonts w:ascii="Bookman Old Style" w:hAnsi="Bookman Old Style" w:cs="Times New Roman"/>
            <w:sz w:val="16"/>
            <w:szCs w:val="16"/>
            <w:highlight w:val="red"/>
            <w:lang w:val="en-US" w:eastAsia="en-US" w:bidi="en-US"/>
          </w:rPr>
          <w:t>novosti</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pppcenter</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news</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v</w:t>
        </w:r>
        <w:r w:rsidRPr="004E0FC4">
          <w:rPr>
            <w:rFonts w:ascii="Bookman Old Style" w:hAnsi="Bookman Old Style" w:cs="Times New Roman"/>
            <w:sz w:val="16"/>
            <w:szCs w:val="16"/>
            <w:highlight w:val="red"/>
            <w:lang w:eastAsia="en-US" w:bidi="en-US"/>
          </w:rPr>
          <w:t>-2017-</w:t>
        </w:r>
      </w:hyperlink>
      <w:r w:rsidRPr="004E0FC4">
        <w:rPr>
          <w:rFonts w:ascii="Bookman Old Style" w:hAnsi="Bookman Old Style" w:cs="Times New Roman"/>
          <w:sz w:val="16"/>
          <w:szCs w:val="16"/>
          <w:highlight w:val="red"/>
          <w:lang w:eastAsia="en-US" w:bidi="en-US"/>
        </w:rPr>
        <w:t xml:space="preserve"> </w:t>
      </w:r>
      <w:hyperlink r:id="rId23" w:history="1">
        <w:r w:rsidRPr="004E0FC4">
          <w:rPr>
            <w:rFonts w:ascii="Bookman Old Style" w:hAnsi="Bookman Old Style" w:cs="Times New Roman"/>
            <w:sz w:val="16"/>
            <w:szCs w:val="16"/>
            <w:highlight w:val="red"/>
            <w:lang w:val="en-US" w:eastAsia="en-US" w:bidi="en-US"/>
          </w:rPr>
          <w:t>godu</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ozhidaetsya</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pyat</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osnovnyix</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trendov</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gchp</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html</w:t>
        </w:r>
      </w:hyperlink>
      <w:r w:rsidRPr="004E0FC4">
        <w:rPr>
          <w:rFonts w:ascii="Bookman Old Style" w:hAnsi="Bookman Old Style" w:cs="Times New Roman"/>
          <w:sz w:val="16"/>
          <w:szCs w:val="16"/>
          <w:highlight w:val="red"/>
          <w:lang w:eastAsia="en-US" w:bidi="en-US"/>
        </w:rPr>
        <w:t xml:space="preserve"> </w:t>
      </w:r>
      <w:r w:rsidRPr="004E0FC4">
        <w:rPr>
          <w:rFonts w:ascii="Bookman Old Style" w:hAnsi="Bookman Old Style" w:cs="Times New Roman"/>
          <w:sz w:val="16"/>
          <w:szCs w:val="16"/>
          <w:highlight w:val="red"/>
        </w:rPr>
        <w:t>(дата обращения: 26.10.2019).</w:t>
      </w:r>
      <w:r w:rsidRPr="004E0FC4">
        <w:rPr>
          <w:rFonts w:ascii="Bookman Old Style" w:hAnsi="Bookman Old Style" w:cs="Times New Roman"/>
          <w:sz w:val="16"/>
          <w:szCs w:val="16"/>
        </w:rPr>
        <w:t xml:space="preserve"> </w:t>
      </w:r>
    </w:p>
  </w:footnote>
  <w:footnote w:id="114">
    <w:p w14:paraId="27815271" w14:textId="77777777" w:rsidR="00350396" w:rsidRPr="004E0FC4" w:rsidRDefault="00350396" w:rsidP="00350396">
      <w:pPr>
        <w:tabs>
          <w:tab w:val="left" w:pos="509"/>
        </w:tabs>
        <w:rPr>
          <w:rFonts w:ascii="Bookman Old Style" w:hAnsi="Bookman Old Style" w:cs="Times New Roman"/>
          <w:sz w:val="16"/>
          <w:szCs w:val="16"/>
          <w:highlight w:val="red"/>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Fonts w:ascii="Bookman Old Style" w:hAnsi="Bookman Old Style" w:cs="Times New Roman"/>
          <w:sz w:val="16"/>
          <w:szCs w:val="16"/>
          <w:highlight w:val="red"/>
        </w:rPr>
        <w:t>Доклад. С. 25.</w:t>
      </w:r>
    </w:p>
  </w:footnote>
  <w:footnote w:id="115">
    <w:p w14:paraId="27447DE9" w14:textId="77777777" w:rsidR="00350396" w:rsidRPr="004E0FC4" w:rsidRDefault="00350396" w:rsidP="00350396">
      <w:pPr>
        <w:tabs>
          <w:tab w:val="left" w:pos="523"/>
        </w:tabs>
        <w:rPr>
          <w:rFonts w:ascii="Bookman Old Style" w:hAnsi="Bookman Old Style" w:cs="Times New Roman"/>
          <w:sz w:val="16"/>
          <w:szCs w:val="16"/>
          <w:highlight w:val="red"/>
        </w:rPr>
      </w:pPr>
      <w:r w:rsidRPr="004E0FC4">
        <w:rPr>
          <w:rFonts w:ascii="Bookman Old Style" w:hAnsi="Bookman Old Style" w:cs="Times New Roman"/>
          <w:sz w:val="16"/>
          <w:szCs w:val="16"/>
          <w:highlight w:val="red"/>
          <w:vertAlign w:val="superscript"/>
        </w:rPr>
        <w:footnoteRef/>
      </w:r>
      <w:r w:rsidRPr="004E0FC4">
        <w:rPr>
          <w:rFonts w:ascii="Bookman Old Style" w:hAnsi="Bookman Old Style" w:cs="Times New Roman"/>
          <w:sz w:val="16"/>
          <w:szCs w:val="16"/>
          <w:highlight w:val="red"/>
        </w:rPr>
        <w:tab/>
        <w:t>Там же.</w:t>
      </w:r>
    </w:p>
  </w:footnote>
  <w:footnote w:id="116">
    <w:p w14:paraId="099F2AB7" w14:textId="77777777" w:rsidR="00350396" w:rsidRPr="004E0FC4" w:rsidRDefault="00350396" w:rsidP="00350396">
      <w:pPr>
        <w:tabs>
          <w:tab w:val="left" w:pos="514"/>
        </w:tabs>
        <w:rPr>
          <w:rFonts w:ascii="Bookman Old Style" w:hAnsi="Bookman Old Style" w:cs="Times New Roman"/>
          <w:sz w:val="16"/>
          <w:szCs w:val="16"/>
        </w:rPr>
      </w:pPr>
      <w:r w:rsidRPr="004E0FC4">
        <w:rPr>
          <w:rFonts w:ascii="Bookman Old Style" w:hAnsi="Bookman Old Style" w:cs="Times New Roman"/>
          <w:sz w:val="16"/>
          <w:szCs w:val="16"/>
          <w:highlight w:val="red"/>
          <w:vertAlign w:val="superscript"/>
        </w:rPr>
        <w:footnoteRef/>
      </w:r>
      <w:r w:rsidRPr="004E0FC4">
        <w:rPr>
          <w:rFonts w:ascii="Bookman Old Style" w:hAnsi="Bookman Old Style" w:cs="Times New Roman"/>
          <w:sz w:val="16"/>
          <w:szCs w:val="16"/>
          <w:highlight w:val="red"/>
        </w:rPr>
        <w:tab/>
      </w:r>
      <w:r w:rsidRPr="004E0FC4">
        <w:rPr>
          <w:rFonts w:ascii="Bookman Old Style" w:hAnsi="Bookman Old Style" w:cs="Times New Roman"/>
          <w:sz w:val="16"/>
          <w:szCs w:val="16"/>
          <w:highlight w:val="red"/>
          <w:lang w:val="en-US" w:eastAsia="en-US" w:bidi="en-US"/>
        </w:rPr>
        <w:t>URL</w:t>
      </w:r>
      <w:r w:rsidRPr="004E0FC4">
        <w:rPr>
          <w:rFonts w:ascii="Bookman Old Style" w:hAnsi="Bookman Old Style" w:cs="Times New Roman"/>
          <w:sz w:val="16"/>
          <w:szCs w:val="16"/>
          <w:highlight w:val="red"/>
          <w:lang w:eastAsia="en-US" w:bidi="en-US"/>
        </w:rPr>
        <w:t xml:space="preserve">: </w:t>
      </w:r>
      <w:hyperlink r:id="rId24" w:history="1">
        <w:r w:rsidRPr="004E0FC4">
          <w:rPr>
            <w:rFonts w:ascii="Bookman Old Style" w:hAnsi="Bookman Old Style" w:cs="Times New Roman"/>
            <w:sz w:val="16"/>
            <w:szCs w:val="16"/>
            <w:highlight w:val="red"/>
            <w:lang w:val="en-US" w:eastAsia="en-US" w:bidi="en-US"/>
          </w:rPr>
          <w:t>http</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www</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pppi</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ru</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projects</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page</w:t>
        </w:r>
        <w:r w:rsidRPr="004E0FC4">
          <w:rPr>
            <w:rFonts w:ascii="Bookman Old Style" w:hAnsi="Bookman Old Style" w:cs="Times New Roman"/>
            <w:sz w:val="16"/>
            <w:szCs w:val="16"/>
            <w:highlight w:val="red"/>
            <w:lang w:eastAsia="en-US" w:bidi="en-US"/>
          </w:rPr>
          <w:t>=3&amp;</w:t>
        </w:r>
        <w:r w:rsidRPr="004E0FC4">
          <w:rPr>
            <w:rFonts w:ascii="Bookman Old Style" w:hAnsi="Bookman Old Style" w:cs="Times New Roman"/>
            <w:sz w:val="16"/>
            <w:szCs w:val="16"/>
            <w:highlight w:val="red"/>
            <w:lang w:val="en-US" w:eastAsia="en-US" w:bidi="en-US"/>
          </w:rPr>
          <w:t>form</w:t>
        </w:r>
        <w:r w:rsidRPr="004E0FC4">
          <w:rPr>
            <w:rFonts w:ascii="Bookman Old Style" w:hAnsi="Bookman Old Style" w:cs="Times New Roman"/>
            <w:sz w:val="16"/>
            <w:szCs w:val="16"/>
            <w:highlight w:val="red"/>
            <w:lang w:eastAsia="en-US" w:bidi="en-US"/>
          </w:rPr>
          <w:t xml:space="preserve">=11 </w:t>
        </w:r>
      </w:hyperlink>
      <w:r w:rsidRPr="004E0FC4">
        <w:rPr>
          <w:rFonts w:ascii="Bookman Old Style" w:hAnsi="Bookman Old Style" w:cs="Times New Roman"/>
          <w:sz w:val="16"/>
          <w:szCs w:val="16"/>
          <w:highlight w:val="red"/>
        </w:rPr>
        <w:t>(дата обращения: 26.10.2019).</w:t>
      </w:r>
    </w:p>
  </w:footnote>
  <w:footnote w:id="117">
    <w:p w14:paraId="3A366481" w14:textId="77777777" w:rsidR="00350396" w:rsidRPr="004E0FC4" w:rsidRDefault="00350396" w:rsidP="00350396">
      <w:pPr>
        <w:pStyle w:val="afa"/>
        <w:shd w:val="clear" w:color="auto" w:fill="FFFFFF"/>
        <w:spacing w:before="0" w:beforeAutospacing="0" w:after="0" w:afterAutospacing="0"/>
        <w:jc w:val="both"/>
        <w:rPr>
          <w:rFonts w:ascii="Bookman Old Style" w:eastAsia="Bookman Old Style" w:hAnsi="Bookman Old Style"/>
          <w:sz w:val="16"/>
          <w:szCs w:val="16"/>
        </w:rPr>
      </w:pPr>
      <w:r w:rsidRPr="004E0FC4">
        <w:rPr>
          <w:rStyle w:val="af8"/>
          <w:rFonts w:ascii="Bookman Old Style" w:eastAsia="Arial Narrow" w:hAnsi="Bookman Old Style"/>
          <w:sz w:val="16"/>
          <w:szCs w:val="16"/>
          <w:highlight w:val="green"/>
        </w:rPr>
        <w:footnoteRef/>
      </w:r>
      <w:r w:rsidRPr="004E0FC4">
        <w:rPr>
          <w:rFonts w:ascii="Bookman Old Style" w:hAnsi="Bookman Old Style"/>
          <w:sz w:val="16"/>
          <w:szCs w:val="16"/>
          <w:highlight w:val="green"/>
        </w:rPr>
        <w:t xml:space="preserve"> </w:t>
      </w:r>
      <w:r w:rsidRPr="004E0FC4">
        <w:rPr>
          <w:rFonts w:ascii="Bookman Old Style" w:eastAsia="Bookman Old Style" w:hAnsi="Bookman Old Style"/>
          <w:sz w:val="16"/>
          <w:szCs w:val="16"/>
          <w:highlight w:val="green"/>
        </w:rPr>
        <w:t>Северный широтный ход (СШХ) имеет стратегическое значение для развития Арктической зоны Российской Федерации. Он позволит организовать прямое сообщение между Северной и Свердловской железными дорогами по маршруту «Обская — Салехард — Надым — Пангоды — Новый Уренгой — Коротчаево» в Ямало-Ненецком автономном округе (ЯНАО). Общая протяженность СШХ — около 700 км. Для выполнения строительно-монтажных работ на участке «Надым — Пангоды» (протяженность — 109 км), находящемся в зоне ответственности «Газпрома», в октябре 2022 года заключен договор генерального подряда. Проект будет реализовываться вне рамок концессии</w:t>
      </w:r>
      <w:r w:rsidRPr="004E0FC4">
        <w:rPr>
          <w:rFonts w:ascii="Bookman Old Style" w:eastAsia="Bookman Old Style" w:hAnsi="Bookman Old Style"/>
          <w:sz w:val="16"/>
          <w:szCs w:val="16"/>
        </w:rPr>
        <w:t xml:space="preserve">. </w:t>
      </w:r>
    </w:p>
  </w:footnote>
  <w:footnote w:id="118">
    <w:p w14:paraId="53BA8147" w14:textId="77777777" w:rsidR="00350396" w:rsidRPr="004E0FC4" w:rsidRDefault="00350396" w:rsidP="00350396">
      <w:pPr>
        <w:tabs>
          <w:tab w:val="left" w:pos="446"/>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t>Федеральный закон от 18.07.2011 № 223-ФЗ «О закупках товаров, работ, услуг отдельными видами юридических лиц».</w:t>
      </w:r>
    </w:p>
  </w:footnote>
  <w:footnote w:id="119">
    <w:p w14:paraId="34FE6785" w14:textId="77777777" w:rsidR="00350396" w:rsidRPr="004E0FC4" w:rsidRDefault="00350396" w:rsidP="00350396">
      <w:pPr>
        <w:tabs>
          <w:tab w:val="left" w:pos="437"/>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r>
      <w:hyperlink r:id="rId25" w:history="1">
        <w:r w:rsidRPr="004E0FC4">
          <w:rPr>
            <w:rFonts w:ascii="Bookman Old Style" w:hAnsi="Bookman Old Style" w:cs="Times New Roman"/>
            <w:sz w:val="16"/>
            <w:szCs w:val="16"/>
          </w:rPr>
          <w:t xml:space="preserve">Федеральный закон </w:t>
        </w:r>
      </w:hyperlink>
      <w:r w:rsidRPr="004E0FC4">
        <w:rPr>
          <w:rFonts w:ascii="Bookman Old Style" w:hAnsi="Bookman Old Style" w:cs="Times New Roman"/>
          <w:sz w:val="16"/>
          <w:szCs w:val="16"/>
        </w:rPr>
        <w:t>от 05.04.2013 № 44-ФЗ «О контрактной системе в сфере заку</w:t>
      </w:r>
      <w:r w:rsidRPr="004E0FC4">
        <w:rPr>
          <w:rFonts w:ascii="Bookman Old Style" w:hAnsi="Bookman Old Style" w:cs="Times New Roman"/>
          <w:sz w:val="16"/>
          <w:szCs w:val="16"/>
        </w:rPr>
        <w:softHyphen/>
        <w:t>пок товаров, работ, услуг для обеспечения государственных и муниципальных нужд».</w:t>
      </w:r>
    </w:p>
  </w:footnote>
  <w:footnote w:id="120">
    <w:p w14:paraId="1ED63448" w14:textId="77777777" w:rsidR="00350396" w:rsidRPr="004E0FC4" w:rsidRDefault="00350396" w:rsidP="00350396">
      <w:pPr>
        <w:tabs>
          <w:tab w:val="left" w:pos="478"/>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t>Федеральный закон от 26.07.2006 № 135-ФЗ «О защите конкуренции».</w:t>
      </w:r>
    </w:p>
  </w:footnote>
  <w:footnote w:id="121">
    <w:p w14:paraId="1AA07544" w14:textId="77777777" w:rsidR="00350396" w:rsidRPr="004E0FC4" w:rsidRDefault="00350396" w:rsidP="00350396">
      <w:pPr>
        <w:tabs>
          <w:tab w:val="left" w:pos="451"/>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t>Федеральный закон от 31.12.2014 № 488-ФЗ «О промышленной политике в Российской Федерации»; Постановление Правительства РФ от 16.07.2015 № 708 «О специальных инвестиционных контрактах для отдельных отраслей промышлен</w:t>
      </w:r>
      <w:r w:rsidRPr="004E0FC4">
        <w:rPr>
          <w:rFonts w:ascii="Bookman Old Style" w:hAnsi="Bookman Old Style" w:cs="Times New Roman"/>
          <w:sz w:val="16"/>
          <w:szCs w:val="16"/>
        </w:rPr>
        <w:softHyphen/>
        <w:t>ности».</w:t>
      </w:r>
    </w:p>
  </w:footnote>
  <w:footnote w:id="122">
    <w:p w14:paraId="18BF73A5" w14:textId="77777777" w:rsidR="00350396" w:rsidRPr="004E0FC4" w:rsidRDefault="00350396" w:rsidP="00350396">
      <w:pPr>
        <w:tabs>
          <w:tab w:val="left" w:pos="474"/>
        </w:tabs>
        <w:rPr>
          <w:rFonts w:ascii="Bookman Old Style" w:hAnsi="Bookman Old Style" w:cs="Times New Roman"/>
          <w:sz w:val="16"/>
          <w:szCs w:val="16"/>
        </w:rPr>
      </w:pPr>
      <w:r w:rsidRPr="004E0FC4">
        <w:rPr>
          <w:rFonts w:ascii="Bookman Old Style" w:hAnsi="Bookman Old Style" w:cs="Times New Roman"/>
          <w:sz w:val="16"/>
          <w:szCs w:val="16"/>
          <w:highlight w:val="red"/>
          <w:vertAlign w:val="superscript"/>
        </w:rPr>
        <w:footnoteRef/>
      </w:r>
      <w:r w:rsidRPr="004E0FC4">
        <w:rPr>
          <w:rFonts w:ascii="Bookman Old Style" w:hAnsi="Bookman Old Style" w:cs="Times New Roman"/>
          <w:sz w:val="16"/>
          <w:szCs w:val="16"/>
          <w:highlight w:val="red"/>
        </w:rPr>
        <w:tab/>
        <w:t>Доклад. С. 30.</w:t>
      </w:r>
    </w:p>
  </w:footnote>
  <w:footnote w:id="123">
    <w:p w14:paraId="03C42E6D" w14:textId="77777777" w:rsidR="00350396" w:rsidRPr="004E0FC4" w:rsidRDefault="00350396" w:rsidP="00350396">
      <w:pPr>
        <w:rPr>
          <w:rFonts w:ascii="Bookman Old Style" w:hAnsi="Bookman Old Style" w:cs="Times New Roman"/>
          <w:sz w:val="16"/>
          <w:szCs w:val="16"/>
        </w:rPr>
      </w:pPr>
      <w:r w:rsidRPr="00C70BFE">
        <w:rPr>
          <w:rFonts w:ascii="Times New Roman" w:hAnsi="Times New Roman" w:cs="Times New Roman"/>
          <w:highlight w:val="red"/>
          <w:vertAlign w:val="superscript"/>
        </w:rPr>
        <w:footnoteRef/>
      </w:r>
      <w:r w:rsidRPr="00C70BFE">
        <w:rPr>
          <w:rFonts w:ascii="Times New Roman" w:hAnsi="Times New Roman" w:cs="Times New Roman"/>
          <w:highlight w:val="red"/>
        </w:rPr>
        <w:t xml:space="preserve"> </w:t>
      </w:r>
      <w:r w:rsidRPr="004E0FC4">
        <w:rPr>
          <w:rFonts w:ascii="Bookman Old Style" w:hAnsi="Bookman Old Style" w:cs="Times New Roman"/>
          <w:sz w:val="16"/>
          <w:szCs w:val="16"/>
          <w:highlight w:val="red"/>
        </w:rPr>
        <w:t>Доклад. С. 26.</w:t>
      </w:r>
    </w:p>
  </w:footnote>
  <w:footnote w:id="124">
    <w:p w14:paraId="1835C8E4" w14:textId="77777777" w:rsidR="00350396" w:rsidRPr="004E0FC4" w:rsidRDefault="00350396" w:rsidP="00350396">
      <w:pPr>
        <w:tabs>
          <w:tab w:val="left" w:pos="442"/>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t>Единственный проект, связанный с обеспечением армии, был структурирован в 2018 г.</w:t>
      </w:r>
    </w:p>
  </w:footnote>
  <w:footnote w:id="125">
    <w:p w14:paraId="62689CA1" w14:textId="77777777" w:rsidR="00350396" w:rsidRPr="004E0FC4" w:rsidRDefault="00350396" w:rsidP="00350396">
      <w:pPr>
        <w:tabs>
          <w:tab w:val="left" w:pos="483"/>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t>Там же. С. 26.</w:t>
      </w:r>
    </w:p>
  </w:footnote>
  <w:footnote w:id="126">
    <w:p w14:paraId="624DC978" w14:textId="77777777" w:rsidR="00350396" w:rsidRPr="004E0FC4" w:rsidRDefault="00350396" w:rsidP="00350396">
      <w:pPr>
        <w:tabs>
          <w:tab w:val="left" w:pos="461"/>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Fonts w:ascii="Bookman Old Style" w:hAnsi="Bookman Old Style" w:cs="Times New Roman"/>
          <w:sz w:val="16"/>
          <w:szCs w:val="16"/>
        </w:rPr>
        <w:t>Федеральный закон от 08.11.2007 № 257-ФЗ «Об автомобильных дорогах и о дорожной деятельности в Российский Федерации и о внесении изменений в от</w:t>
      </w:r>
      <w:r w:rsidRPr="004E0FC4">
        <w:rPr>
          <w:rFonts w:ascii="Bookman Old Style" w:hAnsi="Bookman Old Style" w:cs="Times New Roman"/>
          <w:sz w:val="16"/>
          <w:szCs w:val="16"/>
        </w:rPr>
        <w:softHyphen/>
        <w:t>дельные законодательные акты Российской Федерации».</w:t>
      </w:r>
    </w:p>
  </w:footnote>
  <w:footnote w:id="127">
    <w:p w14:paraId="5D36D988" w14:textId="77777777" w:rsidR="00350396" w:rsidRPr="004E0FC4" w:rsidRDefault="00350396" w:rsidP="00350396">
      <w:pPr>
        <w:tabs>
          <w:tab w:val="left" w:pos="451"/>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Fonts w:ascii="Bookman Old Style" w:hAnsi="Bookman Old Style" w:cs="Times New Roman"/>
          <w:sz w:val="16"/>
          <w:szCs w:val="16"/>
        </w:rPr>
        <w:t>Распоряжение Росавтодора от 08.09.2014 № 1714-р «Об утверждении Методики по структурированию инвестиционного проекта для возможности применения раз</w:t>
      </w:r>
      <w:r w:rsidRPr="004E0FC4">
        <w:rPr>
          <w:rFonts w:ascii="Bookman Old Style" w:hAnsi="Bookman Old Style" w:cs="Times New Roman"/>
          <w:sz w:val="16"/>
          <w:szCs w:val="16"/>
        </w:rPr>
        <w:softHyphen/>
        <w:t>личных инвестиционных механизмов, в том числе механизмов государственно-част</w:t>
      </w:r>
      <w:r w:rsidRPr="004E0FC4">
        <w:rPr>
          <w:rFonts w:ascii="Bookman Old Style" w:hAnsi="Bookman Old Style" w:cs="Times New Roman"/>
          <w:sz w:val="16"/>
          <w:szCs w:val="16"/>
        </w:rPr>
        <w:softHyphen/>
        <w:t>ного партнерства, Методики оценки эффективности применения инвестиционных механизмов, в том числе механизмов государственно-частного партнерства, Мето</w:t>
      </w:r>
      <w:r w:rsidRPr="004E0FC4">
        <w:rPr>
          <w:rFonts w:ascii="Bookman Old Style" w:hAnsi="Bookman Old Style" w:cs="Times New Roman"/>
          <w:sz w:val="16"/>
          <w:szCs w:val="16"/>
        </w:rPr>
        <w:softHyphen/>
        <w:t>дики по выбору оптимальных инвестиционных механизмов, в том числе механизмов государственно-частного партнерства, реализации инвестиционных проектов».</w:t>
      </w:r>
    </w:p>
  </w:footnote>
  <w:footnote w:id="128">
    <w:p w14:paraId="1C44278D" w14:textId="77777777" w:rsidR="00350396" w:rsidRPr="004E0FC4" w:rsidRDefault="00350396" w:rsidP="00350396">
      <w:pPr>
        <w:rPr>
          <w:rFonts w:ascii="Bookman Old Style" w:hAnsi="Bookman Old Style" w:cs="Times New Roman"/>
          <w:sz w:val="18"/>
          <w:szCs w:val="18"/>
        </w:rPr>
      </w:pPr>
      <w:r w:rsidRPr="004E0FC4">
        <w:rPr>
          <w:rFonts w:ascii="Bookman Old Style" w:hAnsi="Bookman Old Style" w:cs="Times New Roman"/>
          <w:highlight w:val="red"/>
          <w:vertAlign w:val="superscript"/>
        </w:rPr>
        <w:footnoteRef/>
      </w:r>
      <w:r w:rsidRPr="004E0FC4">
        <w:rPr>
          <w:rFonts w:ascii="Bookman Old Style" w:hAnsi="Bookman Old Style" w:cs="Times New Roman"/>
          <w:highlight w:val="red"/>
        </w:rPr>
        <w:t xml:space="preserve"> Доклад. С. 35.</w:t>
      </w:r>
    </w:p>
  </w:footnote>
  <w:footnote w:id="129">
    <w:p w14:paraId="7DAE0A56" w14:textId="77777777" w:rsidR="00350396" w:rsidRPr="004E0FC4" w:rsidRDefault="00350396" w:rsidP="00350396">
      <w:pPr>
        <w:pStyle w:val="af6"/>
        <w:rPr>
          <w:rFonts w:ascii="Bookman Old Style" w:hAnsi="Bookman Old Style" w:cs="Times New Roman"/>
          <w:highlight w:val="green"/>
        </w:rPr>
      </w:pPr>
      <w:r w:rsidRPr="004E0FC4">
        <w:rPr>
          <w:rFonts w:ascii="Bookman Old Style" w:hAnsi="Bookman Old Style" w:cs="Times New Roman"/>
          <w:highlight w:val="green"/>
        </w:rPr>
        <w:footnoteRef/>
      </w:r>
      <w:r w:rsidRPr="004E0FC4">
        <w:rPr>
          <w:rFonts w:ascii="Bookman Old Style" w:hAnsi="Bookman Old Style" w:cs="Times New Roman"/>
          <w:highlight w:val="green"/>
        </w:rPr>
        <w:t xml:space="preserve"> </w:t>
      </w:r>
      <w:r w:rsidRPr="004E0FC4">
        <w:rPr>
          <w:rFonts w:ascii="Bookman Old Style" w:hAnsi="Bookman Old Style" w:cs="Times New Roman"/>
          <w:bCs/>
          <w:highlight w:val="green"/>
        </w:rPr>
        <w:t>Национальный исследовательский центр «Перевозки и инфраструктура»</w:t>
      </w:r>
    </w:p>
  </w:footnote>
  <w:footnote w:id="130">
    <w:p w14:paraId="18CF7556" w14:textId="77777777" w:rsidR="00350396" w:rsidRPr="00F514BD" w:rsidRDefault="00350396" w:rsidP="00350396">
      <w:pPr>
        <w:tabs>
          <w:tab w:val="left" w:pos="668"/>
        </w:tabs>
        <w:spacing w:line="226" w:lineRule="exact"/>
        <w:rPr>
          <w:rFonts w:ascii="Times New Roman" w:hAnsi="Times New Roman" w:cs="Times New Roman"/>
          <w:sz w:val="16"/>
          <w:szCs w:val="16"/>
        </w:rPr>
      </w:pPr>
      <w:r w:rsidRPr="004E0FC4">
        <w:rPr>
          <w:rStyle w:val="af8"/>
          <w:rFonts w:ascii="Bookman Old Style" w:hAnsi="Bookman Old Style" w:cs="Times New Roman"/>
          <w:sz w:val="16"/>
          <w:szCs w:val="16"/>
        </w:rPr>
        <w:footnoteRef/>
      </w:r>
      <w:r w:rsidRPr="004E0FC4">
        <w:rPr>
          <w:rFonts w:ascii="Bookman Old Style" w:hAnsi="Bookman Old Style" w:cs="Times New Roman"/>
          <w:sz w:val="16"/>
          <w:szCs w:val="16"/>
          <w:lang w:val="en-US"/>
        </w:rPr>
        <w:t xml:space="preserve"> </w:t>
      </w:r>
      <w:r w:rsidRPr="004E0FC4">
        <w:rPr>
          <w:rFonts w:ascii="Bookman Old Style" w:hAnsi="Bookman Old Style" w:cs="Times New Roman"/>
          <w:sz w:val="16"/>
          <w:szCs w:val="16"/>
          <w:highlight w:val="green"/>
          <w:lang w:val="en-US" w:eastAsia="en-US" w:bidi="en-US"/>
        </w:rPr>
        <w:t>Ivanov O., Inshakova A. 2020. Public-Private Partnerships in Russia. Institutional</w:t>
      </w:r>
      <w:r w:rsidRPr="004E0FC4">
        <w:rPr>
          <w:rFonts w:ascii="Bookman Old Style" w:hAnsi="Bookman Old Style" w:cs="Times New Roman"/>
          <w:sz w:val="16"/>
          <w:szCs w:val="16"/>
          <w:highlight w:val="green"/>
          <w:lang w:eastAsia="en-US" w:bidi="en-US"/>
        </w:rPr>
        <w:t xml:space="preserve"> </w:t>
      </w:r>
      <w:r w:rsidRPr="004E0FC4">
        <w:rPr>
          <w:rFonts w:ascii="Bookman Old Style" w:hAnsi="Bookman Old Style" w:cs="Times New Roman"/>
          <w:sz w:val="16"/>
          <w:szCs w:val="16"/>
          <w:highlight w:val="green"/>
          <w:lang w:val="en-US" w:eastAsia="en-US" w:bidi="en-US"/>
        </w:rPr>
        <w:t>Frameworks</w:t>
      </w:r>
      <w:r w:rsidRPr="004E0FC4">
        <w:rPr>
          <w:rFonts w:ascii="Bookman Old Style" w:hAnsi="Bookman Old Style" w:cs="Times New Roman"/>
          <w:sz w:val="16"/>
          <w:szCs w:val="16"/>
          <w:highlight w:val="green"/>
          <w:lang w:eastAsia="en-US" w:bidi="en-US"/>
        </w:rPr>
        <w:t xml:space="preserve"> </w:t>
      </w:r>
      <w:r w:rsidRPr="004E0FC4">
        <w:rPr>
          <w:rFonts w:ascii="Bookman Old Style" w:hAnsi="Bookman Old Style" w:cs="Times New Roman"/>
          <w:sz w:val="16"/>
          <w:szCs w:val="16"/>
          <w:highlight w:val="green"/>
          <w:lang w:val="en-US" w:eastAsia="en-US" w:bidi="en-US"/>
        </w:rPr>
        <w:t>and</w:t>
      </w:r>
      <w:r w:rsidRPr="004E0FC4">
        <w:rPr>
          <w:rFonts w:ascii="Bookman Old Style" w:hAnsi="Bookman Old Style" w:cs="Times New Roman"/>
          <w:sz w:val="16"/>
          <w:szCs w:val="16"/>
          <w:highlight w:val="green"/>
          <w:lang w:eastAsia="en-US" w:bidi="en-US"/>
        </w:rPr>
        <w:t xml:space="preserve"> </w:t>
      </w:r>
      <w:r w:rsidRPr="004E0FC4">
        <w:rPr>
          <w:rFonts w:ascii="Bookman Old Style" w:hAnsi="Bookman Old Style" w:cs="Times New Roman"/>
          <w:sz w:val="16"/>
          <w:szCs w:val="16"/>
          <w:highlight w:val="green"/>
          <w:lang w:val="en-US" w:eastAsia="en-US" w:bidi="en-US"/>
        </w:rPr>
        <w:t>Best</w:t>
      </w:r>
      <w:r w:rsidRPr="004E0FC4">
        <w:rPr>
          <w:rFonts w:ascii="Bookman Old Style" w:hAnsi="Bookman Old Style" w:cs="Times New Roman"/>
          <w:sz w:val="16"/>
          <w:szCs w:val="16"/>
          <w:highlight w:val="green"/>
          <w:lang w:eastAsia="en-US" w:bidi="en-US"/>
        </w:rPr>
        <w:t xml:space="preserve"> </w:t>
      </w:r>
      <w:r w:rsidRPr="004E0FC4">
        <w:rPr>
          <w:rFonts w:ascii="Bookman Old Style" w:hAnsi="Bookman Old Style" w:cs="Times New Roman"/>
          <w:sz w:val="16"/>
          <w:szCs w:val="16"/>
          <w:highlight w:val="green"/>
          <w:lang w:val="en-US" w:eastAsia="en-US" w:bidi="en-US"/>
        </w:rPr>
        <w:t>Practices</w:t>
      </w:r>
      <w:r w:rsidRPr="004E0FC4">
        <w:rPr>
          <w:rFonts w:ascii="Bookman Old Style" w:hAnsi="Bookman Old Style" w:cs="Times New Roman"/>
          <w:sz w:val="16"/>
          <w:szCs w:val="16"/>
          <w:highlight w:val="green"/>
          <w:lang w:eastAsia="en-US" w:bidi="en-US"/>
        </w:rPr>
        <w:t xml:space="preserve">. </w:t>
      </w:r>
      <w:r w:rsidRPr="004E0FC4">
        <w:rPr>
          <w:rFonts w:ascii="Bookman Old Style" w:hAnsi="Bookman Old Style" w:cs="Times New Roman"/>
          <w:sz w:val="16"/>
          <w:szCs w:val="16"/>
          <w:highlight w:val="green"/>
          <w:lang w:val="en-US" w:eastAsia="en-US" w:bidi="en-US"/>
        </w:rPr>
        <w:t>Springer</w:t>
      </w:r>
      <w:r w:rsidRPr="009E3DEF">
        <w:rPr>
          <w:rFonts w:ascii="Times New Roman" w:hAnsi="Times New Roman" w:cs="Times New Roman"/>
          <w:sz w:val="16"/>
          <w:szCs w:val="16"/>
          <w:highlight w:val="green"/>
          <w:lang w:eastAsia="en-US" w:bidi="en-US"/>
        </w:rPr>
        <w:t xml:space="preserve">. 312 </w:t>
      </w:r>
      <w:r w:rsidRPr="00F514BD">
        <w:rPr>
          <w:rFonts w:ascii="Times New Roman" w:hAnsi="Times New Roman" w:cs="Times New Roman"/>
          <w:sz w:val="16"/>
          <w:szCs w:val="16"/>
          <w:highlight w:val="green"/>
          <w:lang w:val="en-US" w:eastAsia="en-US" w:bidi="en-US"/>
        </w:rPr>
        <w:t>p</w:t>
      </w:r>
      <w:r w:rsidRPr="009E3DEF">
        <w:rPr>
          <w:rFonts w:ascii="Times New Roman" w:hAnsi="Times New Roman" w:cs="Times New Roman"/>
          <w:sz w:val="16"/>
          <w:szCs w:val="16"/>
          <w:highlight w:val="green"/>
          <w:lang w:eastAsia="en-US" w:bidi="en-US"/>
        </w:rPr>
        <w:t>.</w:t>
      </w:r>
    </w:p>
  </w:footnote>
  <w:footnote w:id="131">
    <w:p w14:paraId="69D533E4" w14:textId="77777777" w:rsidR="00350396" w:rsidRPr="004E0FC4" w:rsidRDefault="00350396" w:rsidP="00350396">
      <w:pPr>
        <w:tabs>
          <w:tab w:val="left" w:pos="451"/>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sz w:val="18"/>
          <w:szCs w:val="18"/>
        </w:rPr>
        <w:tab/>
      </w:r>
      <w:r w:rsidRPr="004E0FC4">
        <w:rPr>
          <w:rFonts w:ascii="Bookman Old Style" w:hAnsi="Bookman Old Style" w:cs="Times New Roman"/>
          <w:sz w:val="16"/>
          <w:szCs w:val="16"/>
        </w:rPr>
        <w:t>«Плата за доступность», как правило, включает компенсацию затрат на созда</w:t>
      </w:r>
      <w:r w:rsidRPr="004E0FC4">
        <w:rPr>
          <w:rFonts w:ascii="Bookman Old Style" w:hAnsi="Bookman Old Style" w:cs="Times New Roman"/>
          <w:sz w:val="16"/>
          <w:szCs w:val="16"/>
        </w:rPr>
        <w:softHyphen/>
        <w:t>ние и эксплуатацию объекта, а также обеспечение необходимого уровня доходности и покрытие расходов на обслуживание долгового финансирования. Таким образом, основной источник возврата инвестиций частного партнера — платежи из бюдже</w:t>
      </w:r>
      <w:r w:rsidRPr="004E0FC4">
        <w:rPr>
          <w:rFonts w:ascii="Bookman Old Style" w:hAnsi="Bookman Old Style" w:cs="Times New Roman"/>
          <w:sz w:val="16"/>
          <w:szCs w:val="16"/>
        </w:rPr>
        <w:softHyphen/>
        <w:t>та публичной стороны (публичного партнера / концедента), а не самостоятельная реализация услуг потребителям.</w:t>
      </w:r>
    </w:p>
  </w:footnote>
  <w:footnote w:id="132">
    <w:p w14:paraId="33348EE4" w14:textId="77777777" w:rsidR="00350396" w:rsidRPr="004E0FC4" w:rsidRDefault="00350396" w:rsidP="00350396">
      <w:pPr>
        <w:pStyle w:val="af6"/>
        <w:rPr>
          <w:rFonts w:ascii="Bookman Old Style" w:hAnsi="Bookman Old Style"/>
          <w:sz w:val="16"/>
          <w:szCs w:val="16"/>
        </w:rPr>
      </w:pPr>
      <w:r w:rsidRPr="004E0FC4">
        <w:rPr>
          <w:rFonts w:ascii="Bookman Old Style" w:hAnsi="Bookman Old Style"/>
          <w:sz w:val="16"/>
          <w:szCs w:val="16"/>
          <w:highlight w:val="green"/>
        </w:rPr>
        <w:footnoteRef/>
      </w:r>
      <w:r w:rsidRPr="004E0FC4">
        <w:rPr>
          <w:rFonts w:ascii="Bookman Old Style" w:hAnsi="Bookman Old Style"/>
          <w:sz w:val="16"/>
          <w:szCs w:val="16"/>
        </w:rPr>
        <w:t xml:space="preserve"> </w:t>
      </w:r>
      <w:r w:rsidRPr="004E0FC4">
        <w:rPr>
          <w:rFonts w:ascii="Bookman Old Style" w:hAnsi="Bookman Old Style"/>
          <w:sz w:val="16"/>
          <w:szCs w:val="16"/>
          <w:highlight w:val="green"/>
        </w:rPr>
        <w:t>МЭР РФ. Рейтинг субъектов Российской Федерации по уровню развития государственно-частного партнерства за 2021 год. М.: 2022, 18 с.</w:t>
      </w:r>
    </w:p>
  </w:footnote>
  <w:footnote w:id="133">
    <w:p w14:paraId="025A8B3C" w14:textId="77777777" w:rsidR="00350396" w:rsidRPr="004E0FC4" w:rsidRDefault="00350396" w:rsidP="00350396">
      <w:pPr>
        <w:tabs>
          <w:tab w:val="left" w:pos="437"/>
        </w:tabs>
        <w:rPr>
          <w:rFonts w:ascii="Bookman Old Style" w:hAnsi="Bookman Old Style" w:cs="Times New Roman"/>
          <w:sz w:val="16"/>
          <w:szCs w:val="16"/>
        </w:rPr>
      </w:pPr>
      <w:r w:rsidRPr="00C22850">
        <w:rPr>
          <w:rStyle w:val="9pt0"/>
          <w:rFonts w:ascii="Times New Roman" w:hAnsi="Times New Roman" w:cs="Times New Roman"/>
          <w:vertAlign w:val="superscript"/>
        </w:rPr>
        <w:footnoteRef/>
      </w:r>
      <w:r w:rsidRPr="00C22850">
        <w:rPr>
          <w:rFonts w:ascii="Times New Roman" w:hAnsi="Times New Roman" w:cs="Times New Roman"/>
        </w:rPr>
        <w:tab/>
      </w:r>
      <w:r w:rsidRPr="004E0FC4">
        <w:rPr>
          <w:rStyle w:val="a6"/>
          <w:rFonts w:cs="Times New Roman"/>
          <w:sz w:val="16"/>
          <w:szCs w:val="16"/>
        </w:rPr>
        <w:t>Радушинский Д. А.</w:t>
      </w:r>
      <w:r w:rsidRPr="004E0FC4">
        <w:rPr>
          <w:rFonts w:ascii="Bookman Old Style" w:hAnsi="Bookman Old Style" w:cs="Times New Roman"/>
          <w:sz w:val="16"/>
          <w:szCs w:val="16"/>
        </w:rPr>
        <w:t xml:space="preserve"> Влияние государственно-частного партнерства на развитие коммуникативной среды инновационной экономики // Научно-технические ведо</w:t>
      </w:r>
      <w:r w:rsidRPr="004E0FC4">
        <w:rPr>
          <w:rFonts w:ascii="Bookman Old Style" w:hAnsi="Bookman Old Style" w:cs="Times New Roman"/>
          <w:sz w:val="16"/>
          <w:szCs w:val="16"/>
        </w:rPr>
        <w:softHyphen/>
        <w:t>мости СПбГПУ. Экономические науки. 2016. № 5. С. 54—63.</w:t>
      </w:r>
    </w:p>
  </w:footnote>
  <w:footnote w:id="134">
    <w:p w14:paraId="669C3E6F" w14:textId="77777777" w:rsidR="00350396" w:rsidRPr="004E0FC4" w:rsidRDefault="00350396" w:rsidP="00350396">
      <w:pPr>
        <w:tabs>
          <w:tab w:val="left" w:pos="478"/>
        </w:tabs>
        <w:rPr>
          <w:rFonts w:ascii="Bookman Old Style" w:hAnsi="Bookman Old Style" w:cs="Times New Roman"/>
          <w:sz w:val="16"/>
          <w:szCs w:val="16"/>
        </w:rPr>
      </w:pPr>
      <w:r w:rsidRPr="004E0FC4">
        <w:rPr>
          <w:rStyle w:val="9pt0"/>
          <w:rFonts w:cs="Times New Roman"/>
          <w:sz w:val="16"/>
          <w:szCs w:val="16"/>
          <w:vertAlign w:val="superscript"/>
        </w:rPr>
        <w:footnoteRef/>
      </w:r>
      <w:r w:rsidRPr="004E0FC4">
        <w:rPr>
          <w:rFonts w:ascii="Bookman Old Style" w:hAnsi="Bookman Old Style" w:cs="Times New Roman"/>
          <w:sz w:val="16"/>
          <w:szCs w:val="16"/>
        </w:rPr>
        <w:tab/>
        <w:t>Доклад. С. 40—50.</w:t>
      </w:r>
    </w:p>
  </w:footnote>
  <w:footnote w:id="135">
    <w:p w14:paraId="131406AA" w14:textId="77777777" w:rsidR="00350396" w:rsidRPr="004E0FC4" w:rsidRDefault="00350396" w:rsidP="00350396">
      <w:pPr>
        <w:tabs>
          <w:tab w:val="left" w:pos="489"/>
        </w:tabs>
        <w:rPr>
          <w:rFonts w:ascii="Bookman Old Style" w:hAnsi="Bookman Old Style" w:cs="Times New Roman"/>
          <w:sz w:val="16"/>
          <w:szCs w:val="16"/>
          <w:highlight w:val="red"/>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Fonts w:ascii="Bookman Old Style" w:hAnsi="Bookman Old Style" w:cs="Times New Roman"/>
          <w:sz w:val="16"/>
          <w:szCs w:val="16"/>
          <w:highlight w:val="red"/>
        </w:rPr>
        <w:t>Доклад. С. 36.</w:t>
      </w:r>
    </w:p>
  </w:footnote>
  <w:footnote w:id="136">
    <w:p w14:paraId="0250662D" w14:textId="77777777" w:rsidR="00350396" w:rsidRPr="004E0FC4" w:rsidRDefault="00350396" w:rsidP="00350396">
      <w:pPr>
        <w:tabs>
          <w:tab w:val="left" w:pos="451"/>
        </w:tabs>
        <w:rPr>
          <w:rFonts w:ascii="Bookman Old Style" w:hAnsi="Bookman Old Style" w:cs="Times New Roman"/>
          <w:sz w:val="16"/>
          <w:szCs w:val="16"/>
        </w:rPr>
      </w:pPr>
      <w:r w:rsidRPr="004E0FC4">
        <w:rPr>
          <w:rFonts w:ascii="Bookman Old Style" w:hAnsi="Bookman Old Style" w:cs="Times New Roman"/>
          <w:sz w:val="16"/>
          <w:szCs w:val="16"/>
          <w:highlight w:val="red"/>
          <w:vertAlign w:val="superscript"/>
        </w:rPr>
        <w:footnoteRef/>
      </w:r>
      <w:r w:rsidRPr="004E0FC4">
        <w:rPr>
          <w:rFonts w:ascii="Bookman Old Style" w:hAnsi="Bookman Old Style" w:cs="Times New Roman"/>
          <w:sz w:val="16"/>
          <w:szCs w:val="16"/>
          <w:highlight w:val="red"/>
        </w:rPr>
        <w:tab/>
      </w:r>
      <w:r w:rsidRPr="004E0FC4">
        <w:rPr>
          <w:rFonts w:ascii="Bookman Old Style" w:hAnsi="Bookman Old Style" w:cs="Times New Roman"/>
          <w:sz w:val="16"/>
          <w:szCs w:val="16"/>
          <w:highlight w:val="red"/>
          <w:lang w:val="en-US" w:eastAsia="en-US" w:bidi="en-US"/>
        </w:rPr>
        <w:t>GR</w:t>
      </w:r>
      <w:r w:rsidRPr="004E0FC4">
        <w:rPr>
          <w:rFonts w:ascii="Bookman Old Style" w:hAnsi="Bookman Old Style" w:cs="Times New Roman"/>
          <w:sz w:val="16"/>
          <w:szCs w:val="16"/>
          <w:highlight w:val="red"/>
          <w:lang w:eastAsia="en-US" w:bidi="en-US"/>
        </w:rPr>
        <w:t xml:space="preserve">. </w:t>
      </w:r>
      <w:r w:rsidRPr="004E0FC4">
        <w:rPr>
          <w:rFonts w:ascii="Bookman Old Style" w:hAnsi="Bookman Old Style" w:cs="Times New Roman"/>
          <w:sz w:val="16"/>
          <w:szCs w:val="16"/>
          <w:highlight w:val="red"/>
        </w:rPr>
        <w:t>Взаимодействие бизнеса и органов власти : учебник и практикум. М. : Издательство Юрайт, 2017.</w:t>
      </w:r>
    </w:p>
  </w:footnote>
  <w:footnote w:id="137">
    <w:p w14:paraId="616C8B96" w14:textId="77777777" w:rsidR="00350396" w:rsidRPr="004E0FC4" w:rsidRDefault="00350396" w:rsidP="00350396">
      <w:pPr>
        <w:tabs>
          <w:tab w:val="left" w:pos="446"/>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sz w:val="18"/>
          <w:szCs w:val="18"/>
        </w:rPr>
        <w:tab/>
      </w:r>
      <w:r w:rsidRPr="004E0FC4">
        <w:rPr>
          <w:rFonts w:ascii="Bookman Old Style" w:hAnsi="Bookman Old Style" w:cs="Times New Roman"/>
          <w:sz w:val="16"/>
          <w:szCs w:val="16"/>
        </w:rPr>
        <w:t>План мероприятий («дорожная карта») по развитию инструментария государ</w:t>
      </w:r>
      <w:r w:rsidRPr="004E0FC4">
        <w:rPr>
          <w:rFonts w:ascii="Bookman Old Style" w:hAnsi="Bookman Old Style" w:cs="Times New Roman"/>
          <w:sz w:val="16"/>
          <w:szCs w:val="16"/>
        </w:rPr>
        <w:softHyphen/>
        <w:t>ственно-частного партнерства» (утв. Правительством РФ 05.03.2018 № 1775п-П9).</w:t>
      </w:r>
    </w:p>
  </w:footnote>
  <w:footnote w:id="138">
    <w:p w14:paraId="1C33DF06" w14:textId="77777777" w:rsidR="00350396" w:rsidRPr="004E0FC4" w:rsidRDefault="00350396" w:rsidP="00350396">
      <w:pPr>
        <w:tabs>
          <w:tab w:val="left" w:pos="437"/>
        </w:tabs>
        <w:rPr>
          <w:rFonts w:ascii="Bookman Old Style" w:hAnsi="Bookman Old Style" w:cs="Times New Roman"/>
          <w:sz w:val="16"/>
          <w:szCs w:val="16"/>
          <w:lang w:val="en-US"/>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Fonts w:ascii="Bookman Old Style" w:hAnsi="Bookman Old Style" w:cs="Times New Roman"/>
          <w:sz w:val="16"/>
          <w:szCs w:val="16"/>
        </w:rPr>
        <w:t>Австрия как партнер в сфере научно-исследовательской деятельности, разра</w:t>
      </w:r>
      <w:r w:rsidRPr="004E0FC4">
        <w:rPr>
          <w:rFonts w:ascii="Bookman Old Style" w:hAnsi="Bookman Old Style" w:cs="Times New Roman"/>
          <w:sz w:val="16"/>
          <w:szCs w:val="16"/>
        </w:rPr>
        <w:softHyphen/>
        <w:t xml:space="preserve">боток и инноваций. </w:t>
      </w:r>
      <w:r w:rsidRPr="004E0FC4">
        <w:rPr>
          <w:rFonts w:ascii="Bookman Old Style" w:hAnsi="Bookman Old Style" w:cs="Times New Roman"/>
          <w:sz w:val="16"/>
          <w:szCs w:val="16"/>
          <w:lang w:val="en-US" w:eastAsia="en-US" w:bidi="en-US"/>
        </w:rPr>
        <w:t xml:space="preserve">URL: </w:t>
      </w:r>
      <w:hyperlink r:id="rId26" w:history="1">
        <w:r w:rsidRPr="004E0FC4">
          <w:rPr>
            <w:rFonts w:ascii="Bookman Old Style" w:hAnsi="Bookman Old Style" w:cs="Times New Roman"/>
            <w:sz w:val="16"/>
            <w:szCs w:val="16"/>
            <w:lang w:val="en-US" w:eastAsia="en-US" w:bidi="en-US"/>
          </w:rPr>
          <w:t>http://investinaustria.at/ru/downloads/factsheets-presse/</w:t>
        </w:r>
      </w:hyperlink>
      <w:r w:rsidRPr="004E0FC4">
        <w:rPr>
          <w:rFonts w:ascii="Bookman Old Style" w:hAnsi="Bookman Old Style" w:cs="Times New Roman"/>
          <w:sz w:val="16"/>
          <w:szCs w:val="16"/>
          <w:lang w:val="en-US" w:eastAsia="en-US" w:bidi="en-US"/>
        </w:rPr>
        <w:t xml:space="preserve"> aba-research-2015-ru.pdf </w:t>
      </w:r>
      <w:r w:rsidRPr="004E0FC4">
        <w:rPr>
          <w:rFonts w:ascii="Bookman Old Style" w:hAnsi="Bookman Old Style" w:cs="Times New Roman"/>
          <w:sz w:val="16"/>
          <w:szCs w:val="16"/>
          <w:lang w:val="en-US"/>
        </w:rPr>
        <w:t>(</w:t>
      </w:r>
      <w:r w:rsidRPr="004E0FC4">
        <w:rPr>
          <w:rFonts w:ascii="Bookman Old Style" w:hAnsi="Bookman Old Style" w:cs="Times New Roman"/>
          <w:sz w:val="16"/>
          <w:szCs w:val="16"/>
        </w:rPr>
        <w:t>дата</w:t>
      </w:r>
      <w:r w:rsidRPr="004E0FC4">
        <w:rPr>
          <w:rFonts w:ascii="Bookman Old Style" w:hAnsi="Bookman Old Style" w:cs="Times New Roman"/>
          <w:sz w:val="16"/>
          <w:szCs w:val="16"/>
          <w:lang w:val="en-US"/>
        </w:rPr>
        <w:t xml:space="preserve"> </w:t>
      </w:r>
      <w:r w:rsidRPr="004E0FC4">
        <w:rPr>
          <w:rFonts w:ascii="Bookman Old Style" w:hAnsi="Bookman Old Style" w:cs="Times New Roman"/>
          <w:sz w:val="16"/>
          <w:szCs w:val="16"/>
        </w:rPr>
        <w:t>обращения</w:t>
      </w:r>
      <w:r w:rsidRPr="004E0FC4">
        <w:rPr>
          <w:rFonts w:ascii="Bookman Old Style" w:hAnsi="Bookman Old Style" w:cs="Times New Roman"/>
          <w:sz w:val="16"/>
          <w:szCs w:val="16"/>
          <w:lang w:val="en-US"/>
        </w:rPr>
        <w:t xml:space="preserve">: </w:t>
      </w:r>
      <w:r w:rsidRPr="004E0FC4">
        <w:rPr>
          <w:rFonts w:ascii="Bookman Old Style" w:hAnsi="Bookman Old Style" w:cs="Times New Roman"/>
          <w:sz w:val="16"/>
          <w:szCs w:val="16"/>
          <w:highlight w:val="green"/>
          <w:lang w:val="en-US"/>
        </w:rPr>
        <w:t>30.10.2022</w:t>
      </w:r>
      <w:r w:rsidRPr="004E0FC4">
        <w:rPr>
          <w:rFonts w:ascii="Bookman Old Style" w:hAnsi="Bookman Old Style" w:cs="Times New Roman"/>
          <w:sz w:val="16"/>
          <w:szCs w:val="16"/>
          <w:lang w:val="en-US"/>
        </w:rPr>
        <w:t xml:space="preserve"> </w:t>
      </w:r>
      <w:r w:rsidRPr="004E0FC4">
        <w:rPr>
          <w:rFonts w:ascii="Bookman Old Style" w:hAnsi="Bookman Old Style" w:cs="Times New Roman"/>
          <w:sz w:val="16"/>
          <w:szCs w:val="16"/>
          <w:highlight w:val="red"/>
          <w:lang w:val="en-US"/>
        </w:rPr>
        <w:t>16.01.2016</w:t>
      </w:r>
      <w:r w:rsidRPr="004E0FC4">
        <w:rPr>
          <w:rFonts w:ascii="Bookman Old Style" w:hAnsi="Bookman Old Style" w:cs="Times New Roman"/>
          <w:sz w:val="16"/>
          <w:szCs w:val="16"/>
          <w:lang w:val="en-US"/>
        </w:rPr>
        <w:t>).</w:t>
      </w:r>
    </w:p>
  </w:footnote>
  <w:footnote w:id="139">
    <w:p w14:paraId="0CFFB862" w14:textId="77777777" w:rsidR="00350396" w:rsidRPr="004E0FC4" w:rsidRDefault="00350396" w:rsidP="00350396">
      <w:pPr>
        <w:tabs>
          <w:tab w:val="left" w:pos="437"/>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r>
      <w:r w:rsidRPr="004E0FC4">
        <w:rPr>
          <w:rStyle w:val="a6"/>
          <w:rFonts w:cs="Times New Roman"/>
          <w:sz w:val="16"/>
          <w:szCs w:val="16"/>
        </w:rPr>
        <w:t>Рубвальтер Д. А., Кольцов А. В., Наумов Е. А.</w:t>
      </w:r>
      <w:r w:rsidRPr="004E0FC4">
        <w:rPr>
          <w:rFonts w:ascii="Bookman Old Style" w:hAnsi="Bookman Old Style" w:cs="Times New Roman"/>
          <w:sz w:val="16"/>
          <w:szCs w:val="16"/>
        </w:rPr>
        <w:t xml:space="preserve"> Нормативно-правовое обеспече</w:t>
      </w:r>
      <w:r w:rsidRPr="004E0FC4">
        <w:rPr>
          <w:rFonts w:ascii="Bookman Old Style" w:hAnsi="Bookman Old Style" w:cs="Times New Roman"/>
          <w:sz w:val="16"/>
          <w:szCs w:val="16"/>
        </w:rPr>
        <w:softHyphen/>
        <w:t>ние государственно-частного партнерства в научно-технической и инновационной сферах в России: проблемы и направления совершенствования. М., 2008. С. 25.</w:t>
      </w:r>
    </w:p>
  </w:footnote>
  <w:footnote w:id="140">
    <w:p w14:paraId="49513ADA" w14:textId="77777777" w:rsidR="00350396" w:rsidRPr="004E0FC4" w:rsidRDefault="00350396" w:rsidP="00350396">
      <w:pPr>
        <w:tabs>
          <w:tab w:val="left" w:pos="442"/>
        </w:tabs>
        <w:rPr>
          <w:rFonts w:ascii="Bookman Old Style" w:hAnsi="Bookman Old Style" w:cs="Times New Roman"/>
          <w:sz w:val="16"/>
          <w:szCs w:val="16"/>
        </w:rPr>
      </w:pPr>
      <w:r w:rsidRPr="004E0FC4">
        <w:rPr>
          <w:rFonts w:ascii="Bookman Old Style" w:hAnsi="Bookman Old Style" w:cs="Times New Roman"/>
          <w:sz w:val="16"/>
          <w:szCs w:val="16"/>
          <w:highlight w:val="red"/>
          <w:vertAlign w:val="superscript"/>
        </w:rPr>
        <w:footnoteRef/>
      </w:r>
      <w:r w:rsidRPr="004E0FC4">
        <w:rPr>
          <w:rFonts w:ascii="Bookman Old Style" w:hAnsi="Bookman Old Style" w:cs="Times New Roman"/>
          <w:sz w:val="16"/>
          <w:szCs w:val="16"/>
          <w:highlight w:val="red"/>
        </w:rPr>
        <w:tab/>
      </w:r>
      <w:r w:rsidRPr="004E0FC4">
        <w:rPr>
          <w:rStyle w:val="a6"/>
          <w:rFonts w:cs="Times New Roman"/>
          <w:sz w:val="16"/>
          <w:szCs w:val="16"/>
          <w:highlight w:val="red"/>
        </w:rPr>
        <w:t>Варнавский В. Г.</w:t>
      </w:r>
      <w:r w:rsidRPr="004E0FC4">
        <w:rPr>
          <w:rFonts w:ascii="Bookman Old Style" w:hAnsi="Bookman Old Style" w:cs="Times New Roman"/>
          <w:sz w:val="16"/>
          <w:szCs w:val="16"/>
          <w:highlight w:val="red"/>
        </w:rPr>
        <w:t xml:space="preserve"> Партнерство государства и частного сектора: формы, проек</w:t>
      </w:r>
      <w:r w:rsidRPr="004E0FC4">
        <w:rPr>
          <w:rFonts w:ascii="Bookman Old Style" w:hAnsi="Bookman Old Style" w:cs="Times New Roman"/>
          <w:sz w:val="16"/>
          <w:szCs w:val="16"/>
          <w:highlight w:val="red"/>
        </w:rPr>
        <w:softHyphen/>
        <w:t>ты, риски.</w:t>
      </w:r>
    </w:p>
  </w:footnote>
  <w:footnote w:id="141">
    <w:p w14:paraId="4C4BA053" w14:textId="77777777" w:rsidR="00350396" w:rsidRPr="004E0FC4" w:rsidRDefault="00350396" w:rsidP="00350396">
      <w:pPr>
        <w:tabs>
          <w:tab w:val="left" w:pos="442"/>
        </w:tabs>
        <w:rPr>
          <w:rFonts w:ascii="Bookman Old Style" w:hAnsi="Bookman Old Style" w:cs="Times New Roman"/>
          <w:sz w:val="16"/>
          <w:szCs w:val="16"/>
        </w:rPr>
      </w:pPr>
      <w:r w:rsidRPr="00C22850">
        <w:rPr>
          <w:rStyle w:val="9pt0"/>
          <w:rFonts w:ascii="Times New Roman" w:hAnsi="Times New Roman" w:cs="Times New Roman"/>
          <w:vertAlign w:val="superscript"/>
        </w:rPr>
        <w:footnoteRef/>
      </w:r>
      <w:r w:rsidRPr="00C22850">
        <w:rPr>
          <w:rFonts w:ascii="Times New Roman" w:hAnsi="Times New Roman" w:cs="Times New Roman"/>
        </w:rPr>
        <w:tab/>
      </w:r>
      <w:r w:rsidRPr="004E0FC4">
        <w:rPr>
          <w:rStyle w:val="a6"/>
          <w:rFonts w:cs="Times New Roman"/>
          <w:sz w:val="16"/>
          <w:szCs w:val="16"/>
        </w:rPr>
        <w:t>Рогов С. М.</w:t>
      </w:r>
      <w:r w:rsidRPr="004E0FC4">
        <w:rPr>
          <w:rFonts w:ascii="Bookman Old Style" w:hAnsi="Bookman Old Style" w:cs="Times New Roman"/>
          <w:sz w:val="16"/>
          <w:szCs w:val="16"/>
        </w:rPr>
        <w:t xml:space="preserve"> Новая шоковая терапия и «реформа РАН»: реалии российской на</w:t>
      </w:r>
      <w:r w:rsidRPr="004E0FC4">
        <w:rPr>
          <w:rFonts w:ascii="Bookman Old Style" w:hAnsi="Bookman Old Style" w:cs="Times New Roman"/>
          <w:sz w:val="16"/>
          <w:szCs w:val="16"/>
        </w:rPr>
        <w:softHyphen/>
        <w:t xml:space="preserve">уки (2013). </w:t>
      </w:r>
      <w:r w:rsidRPr="004E0FC4">
        <w:rPr>
          <w:rFonts w:ascii="Bookman Old Style" w:hAnsi="Bookman Old Style" w:cs="Times New Roman"/>
          <w:sz w:val="16"/>
          <w:szCs w:val="16"/>
          <w:lang w:val="en-US" w:eastAsia="en-US" w:bidi="en-US"/>
        </w:rPr>
        <w:t>URL</w:t>
      </w:r>
      <w:r w:rsidRPr="004E0FC4">
        <w:rPr>
          <w:rFonts w:ascii="Bookman Old Style" w:hAnsi="Bookman Old Style" w:cs="Times New Roman"/>
          <w:sz w:val="16"/>
          <w:szCs w:val="16"/>
          <w:lang w:eastAsia="en-US" w:bidi="en-US"/>
        </w:rPr>
        <w:t xml:space="preserve">: </w:t>
      </w:r>
      <w:hyperlink r:id="rId27" w:history="1">
        <w:r w:rsidRPr="004E0FC4">
          <w:rPr>
            <w:rFonts w:ascii="Bookman Old Style" w:hAnsi="Bookman Old Style" w:cs="Times New Roman"/>
            <w:sz w:val="16"/>
            <w:szCs w:val="16"/>
            <w:lang w:val="en-US" w:eastAsia="en-US" w:bidi="en-US"/>
          </w:rPr>
          <w:t>http</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www</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perspektivy</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info</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print</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php</w:t>
        </w:r>
        <w:r w:rsidRPr="004E0FC4">
          <w:rPr>
            <w:rFonts w:ascii="Bookman Old Style" w:hAnsi="Bookman Old Style" w:cs="Times New Roman"/>
            <w:sz w:val="16"/>
            <w:szCs w:val="16"/>
            <w:lang w:eastAsia="en-US" w:bidi="en-US"/>
          </w:rPr>
          <w:t>?</w:t>
        </w:r>
        <w:r w:rsidRPr="004E0FC4">
          <w:rPr>
            <w:rFonts w:ascii="Bookman Old Style" w:hAnsi="Bookman Old Style" w:cs="Times New Roman"/>
            <w:sz w:val="16"/>
            <w:szCs w:val="16"/>
            <w:lang w:val="en-US" w:eastAsia="en-US" w:bidi="en-US"/>
          </w:rPr>
          <w:t>ID</w:t>
        </w:r>
        <w:r w:rsidRPr="004E0FC4">
          <w:rPr>
            <w:rFonts w:ascii="Bookman Old Style" w:hAnsi="Bookman Old Style" w:cs="Times New Roman"/>
            <w:sz w:val="16"/>
            <w:szCs w:val="16"/>
            <w:lang w:eastAsia="en-US" w:bidi="en-US"/>
          </w:rPr>
          <w:t>=243808</w:t>
        </w:r>
      </w:hyperlink>
      <w:r w:rsidRPr="004E0FC4">
        <w:rPr>
          <w:rFonts w:ascii="Bookman Old Style" w:hAnsi="Bookman Old Style" w:cs="Times New Roman"/>
          <w:sz w:val="16"/>
          <w:szCs w:val="16"/>
          <w:lang w:eastAsia="en-US" w:bidi="en-US"/>
        </w:rPr>
        <w:t xml:space="preserve"> </w:t>
      </w:r>
      <w:r w:rsidRPr="004E0FC4">
        <w:rPr>
          <w:rFonts w:ascii="Bookman Old Style" w:hAnsi="Bookman Old Style" w:cs="Times New Roman"/>
          <w:sz w:val="16"/>
          <w:szCs w:val="16"/>
        </w:rPr>
        <w:t xml:space="preserve">(дата обращения: </w:t>
      </w:r>
      <w:r w:rsidRPr="004E0FC4">
        <w:rPr>
          <w:rFonts w:ascii="Bookman Old Style" w:hAnsi="Bookman Old Style" w:cs="Times New Roman"/>
          <w:sz w:val="16"/>
          <w:szCs w:val="16"/>
          <w:highlight w:val="red"/>
        </w:rPr>
        <w:t>12.01.2016</w:t>
      </w:r>
      <w:r w:rsidRPr="004E0FC4">
        <w:rPr>
          <w:rFonts w:ascii="Bookman Old Style" w:hAnsi="Bookman Old Style" w:cs="Times New Roman"/>
          <w:sz w:val="16"/>
          <w:szCs w:val="16"/>
        </w:rPr>
        <w:t>).</w:t>
      </w:r>
    </w:p>
  </w:footnote>
  <w:footnote w:id="142">
    <w:p w14:paraId="0C5275E9" w14:textId="77777777" w:rsidR="00350396" w:rsidRPr="004E0FC4" w:rsidRDefault="00350396" w:rsidP="00350396">
      <w:pPr>
        <w:tabs>
          <w:tab w:val="left" w:pos="483"/>
        </w:tabs>
        <w:rPr>
          <w:rFonts w:ascii="Bookman Old Style" w:hAnsi="Bookman Old Style" w:cs="Times New Roman"/>
          <w:sz w:val="16"/>
          <w:szCs w:val="16"/>
        </w:rPr>
      </w:pPr>
      <w:r w:rsidRPr="004E0FC4">
        <w:rPr>
          <w:rStyle w:val="9pt0"/>
          <w:rFonts w:cs="Times New Roman"/>
          <w:sz w:val="16"/>
          <w:szCs w:val="16"/>
          <w:vertAlign w:val="superscript"/>
        </w:rPr>
        <w:footnoteRef/>
      </w:r>
      <w:r w:rsidRPr="004E0FC4">
        <w:rPr>
          <w:rFonts w:ascii="Bookman Old Style" w:hAnsi="Bookman Old Style" w:cs="Times New Roman"/>
          <w:sz w:val="16"/>
          <w:szCs w:val="16"/>
        </w:rPr>
        <w:tab/>
        <w:t>Там же.</w:t>
      </w:r>
    </w:p>
  </w:footnote>
  <w:footnote w:id="143">
    <w:p w14:paraId="52821262" w14:textId="77777777" w:rsidR="00350396" w:rsidRPr="004E0FC4" w:rsidRDefault="00350396" w:rsidP="00350396">
      <w:pPr>
        <w:tabs>
          <w:tab w:val="left" w:pos="456"/>
        </w:tabs>
        <w:rPr>
          <w:rFonts w:ascii="Bookman Old Style" w:hAnsi="Bookman Old Style" w:cs="Times New Roman"/>
          <w:sz w:val="16"/>
          <w:szCs w:val="16"/>
        </w:rPr>
      </w:pPr>
      <w:r w:rsidRPr="004E0FC4">
        <w:rPr>
          <w:rStyle w:val="9pt0"/>
          <w:rFonts w:cs="Times New Roman"/>
          <w:sz w:val="16"/>
          <w:szCs w:val="16"/>
          <w:highlight w:val="red"/>
          <w:vertAlign w:val="superscript"/>
        </w:rPr>
        <w:footnoteRef/>
      </w:r>
      <w:r w:rsidRPr="004E0FC4">
        <w:rPr>
          <w:rFonts w:ascii="Bookman Old Style" w:hAnsi="Bookman Old Style" w:cs="Times New Roman"/>
          <w:sz w:val="16"/>
          <w:szCs w:val="16"/>
          <w:highlight w:val="red"/>
        </w:rPr>
        <w:tab/>
      </w:r>
      <w:r w:rsidRPr="004E0FC4">
        <w:rPr>
          <w:rStyle w:val="a6"/>
          <w:rFonts w:cs="Times New Roman"/>
          <w:sz w:val="16"/>
          <w:szCs w:val="16"/>
          <w:highlight w:val="red"/>
        </w:rPr>
        <w:t>Фирсова А. А.</w:t>
      </w:r>
      <w:r w:rsidRPr="004E0FC4">
        <w:rPr>
          <w:rFonts w:ascii="Bookman Old Style" w:hAnsi="Bookman Old Style" w:cs="Times New Roman"/>
          <w:sz w:val="16"/>
          <w:szCs w:val="16"/>
          <w:highlight w:val="red"/>
        </w:rPr>
        <w:t xml:space="preserve"> Зарубежный опыт применения государственно-частных пар</w:t>
      </w:r>
      <w:r w:rsidRPr="004E0FC4">
        <w:rPr>
          <w:rFonts w:ascii="Bookman Old Style" w:hAnsi="Bookman Old Style" w:cs="Times New Roman"/>
          <w:sz w:val="16"/>
          <w:szCs w:val="16"/>
          <w:highlight w:val="red"/>
        </w:rPr>
        <w:softHyphen/>
        <w:t>тнерств для развития инвестирования инновационной деятельности // Известия Саратовского университета. Новая серия. Серия Экономика. Управление. Право. 2011. Т. 11. № 2. С. 76.</w:t>
      </w:r>
    </w:p>
  </w:footnote>
  <w:footnote w:id="144">
    <w:p w14:paraId="63080FEB" w14:textId="77777777" w:rsidR="00350396" w:rsidRPr="004E0FC4" w:rsidRDefault="00350396" w:rsidP="00350396">
      <w:pPr>
        <w:tabs>
          <w:tab w:val="left" w:pos="464"/>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Style w:val="a6"/>
          <w:rFonts w:cs="Times New Roman"/>
          <w:sz w:val="16"/>
          <w:szCs w:val="16"/>
        </w:rPr>
        <w:t>Рогов С. М.</w:t>
      </w:r>
      <w:r w:rsidRPr="004E0FC4">
        <w:rPr>
          <w:rFonts w:ascii="Bookman Old Style" w:hAnsi="Bookman Old Style" w:cs="Times New Roman"/>
          <w:sz w:val="16"/>
          <w:szCs w:val="16"/>
        </w:rPr>
        <w:t xml:space="preserve"> Указ. соч.</w:t>
      </w:r>
    </w:p>
  </w:footnote>
  <w:footnote w:id="145">
    <w:p w14:paraId="47578DCD" w14:textId="77777777" w:rsidR="00350396" w:rsidRPr="00C22850" w:rsidRDefault="00350396" w:rsidP="00350396">
      <w:pPr>
        <w:tabs>
          <w:tab w:val="left" w:pos="446"/>
        </w:tabs>
        <w:rPr>
          <w:rFonts w:ascii="Times New Roman" w:hAnsi="Times New Roman" w:cs="Times New Roman"/>
          <w:sz w:val="18"/>
          <w:szCs w:val="18"/>
        </w:rPr>
      </w:pPr>
      <w:r w:rsidRPr="004E0FC4">
        <w:rPr>
          <w:rFonts w:ascii="Bookman Old Style" w:hAnsi="Bookman Old Style" w:cs="Times New Roman"/>
          <w:sz w:val="16"/>
          <w:szCs w:val="16"/>
          <w:highlight w:val="red"/>
          <w:vertAlign w:val="superscript"/>
        </w:rPr>
        <w:footnoteRef/>
      </w:r>
      <w:r w:rsidRPr="004E0FC4">
        <w:rPr>
          <w:rFonts w:ascii="Bookman Old Style" w:hAnsi="Bookman Old Style" w:cs="Times New Roman"/>
          <w:sz w:val="16"/>
          <w:szCs w:val="16"/>
          <w:highlight w:val="red"/>
        </w:rPr>
        <w:tab/>
      </w:r>
      <w:r w:rsidRPr="004E0FC4">
        <w:rPr>
          <w:rStyle w:val="a6"/>
          <w:rFonts w:cs="Times New Roman"/>
          <w:sz w:val="16"/>
          <w:szCs w:val="16"/>
          <w:highlight w:val="red"/>
        </w:rPr>
        <w:t>Горденко Г. В.</w:t>
      </w:r>
      <w:r w:rsidRPr="004E0FC4">
        <w:rPr>
          <w:rFonts w:ascii="Bookman Old Style" w:hAnsi="Bookman Old Style" w:cs="Times New Roman"/>
          <w:sz w:val="16"/>
          <w:szCs w:val="16"/>
          <w:highlight w:val="red"/>
        </w:rPr>
        <w:t xml:space="preserve"> Государственно-частное партнерство в инновационной сфе</w:t>
      </w:r>
      <w:r w:rsidRPr="004E0FC4">
        <w:rPr>
          <w:rFonts w:ascii="Bookman Old Style" w:hAnsi="Bookman Old Style" w:cs="Times New Roman"/>
          <w:sz w:val="16"/>
          <w:szCs w:val="16"/>
          <w:highlight w:val="red"/>
        </w:rPr>
        <w:softHyphen/>
        <w:t xml:space="preserve">ре: перспективы развития в России // Материалы XIII Международной научной конференции «Модернизация России: ключевые проблемы и решения» (Москва, 20—21 декабря 2012 г.). М., 2013. </w:t>
      </w:r>
      <w:r w:rsidRPr="004E0FC4">
        <w:rPr>
          <w:rFonts w:ascii="Bookman Old Style" w:hAnsi="Bookman Old Style" w:cs="Times New Roman"/>
          <w:sz w:val="16"/>
          <w:szCs w:val="16"/>
          <w:highlight w:val="red"/>
          <w:lang w:val="en-US" w:eastAsia="en-US" w:bidi="en-US"/>
        </w:rPr>
        <w:t>URL</w:t>
      </w:r>
      <w:r w:rsidRPr="004E0FC4">
        <w:rPr>
          <w:rFonts w:ascii="Bookman Old Style" w:hAnsi="Bookman Old Style" w:cs="Times New Roman"/>
          <w:sz w:val="16"/>
          <w:szCs w:val="16"/>
          <w:highlight w:val="red"/>
          <w:lang w:eastAsia="en-US" w:bidi="en-US"/>
        </w:rPr>
        <w:t xml:space="preserve">: </w:t>
      </w:r>
      <w:hyperlink r:id="rId28" w:history="1">
        <w:r w:rsidRPr="004E0FC4">
          <w:rPr>
            <w:rFonts w:ascii="Bookman Old Style" w:hAnsi="Bookman Old Style" w:cs="Times New Roman"/>
            <w:sz w:val="16"/>
            <w:szCs w:val="16"/>
            <w:highlight w:val="red"/>
            <w:lang w:val="en-US" w:eastAsia="en-US" w:bidi="en-US"/>
          </w:rPr>
          <w:t>http</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www</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gosbook</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ru</w:t>
        </w:r>
        <w:r w:rsidRPr="004E0FC4">
          <w:rPr>
            <w:rFonts w:ascii="Bookman Old Style" w:hAnsi="Bookman Old Style" w:cs="Times New Roman"/>
            <w:sz w:val="16"/>
            <w:szCs w:val="16"/>
            <w:highlight w:val="red"/>
            <w:lang w:eastAsia="en-US" w:bidi="en-US"/>
          </w:rPr>
          <w:t>/</w:t>
        </w:r>
        <w:r w:rsidRPr="004E0FC4">
          <w:rPr>
            <w:rFonts w:ascii="Bookman Old Style" w:hAnsi="Bookman Old Style" w:cs="Times New Roman"/>
            <w:sz w:val="16"/>
            <w:szCs w:val="16"/>
            <w:highlight w:val="red"/>
            <w:lang w:val="en-US" w:eastAsia="en-US" w:bidi="en-US"/>
          </w:rPr>
          <w:t>node</w:t>
        </w:r>
        <w:r w:rsidRPr="004E0FC4">
          <w:rPr>
            <w:rFonts w:ascii="Bookman Old Style" w:hAnsi="Bookman Old Style" w:cs="Times New Roman"/>
            <w:sz w:val="16"/>
            <w:szCs w:val="16"/>
            <w:highlight w:val="red"/>
            <w:lang w:eastAsia="en-US" w:bidi="en-US"/>
          </w:rPr>
          <w:t>/72995</w:t>
        </w:r>
      </w:hyperlink>
      <w:r w:rsidRPr="004E0FC4">
        <w:rPr>
          <w:rFonts w:ascii="Bookman Old Style" w:hAnsi="Bookman Old Style" w:cs="Times New Roman"/>
          <w:sz w:val="16"/>
          <w:szCs w:val="16"/>
          <w:highlight w:val="red"/>
          <w:lang w:eastAsia="en-US" w:bidi="en-US"/>
        </w:rPr>
        <w:t xml:space="preserve"> </w:t>
      </w:r>
      <w:r w:rsidRPr="004E0FC4">
        <w:rPr>
          <w:rFonts w:ascii="Bookman Old Style" w:hAnsi="Bookman Old Style" w:cs="Times New Roman"/>
          <w:sz w:val="16"/>
          <w:szCs w:val="16"/>
          <w:highlight w:val="red"/>
        </w:rPr>
        <w:t>(дата обращения</w:t>
      </w:r>
      <w:r w:rsidRPr="00597569">
        <w:rPr>
          <w:rFonts w:ascii="Times New Roman" w:hAnsi="Times New Roman" w:cs="Times New Roman"/>
          <w:highlight w:val="red"/>
        </w:rPr>
        <w:t>: 14.01.2016).</w:t>
      </w:r>
    </w:p>
  </w:footnote>
  <w:footnote w:id="146">
    <w:p w14:paraId="04E7CCBD" w14:textId="77777777" w:rsidR="00350396" w:rsidRPr="004E0FC4" w:rsidRDefault="00350396" w:rsidP="00350396">
      <w:pPr>
        <w:tabs>
          <w:tab w:val="left" w:pos="484"/>
        </w:tabs>
        <w:rPr>
          <w:rFonts w:ascii="Bookman Old Style" w:hAnsi="Bookman Old Style" w:cs="Times New Roman"/>
          <w:sz w:val="16"/>
          <w:szCs w:val="16"/>
          <w:highlight w:val="red"/>
        </w:rPr>
      </w:pPr>
      <w:r w:rsidRPr="003178C7">
        <w:rPr>
          <w:rStyle w:val="25"/>
          <w:rFonts w:ascii="Times New Roman" w:hAnsi="Times New Roman" w:cs="Times New Roman"/>
          <w:sz w:val="18"/>
          <w:szCs w:val="18"/>
          <w:highlight w:val="red"/>
          <w:vertAlign w:val="superscript"/>
        </w:rPr>
        <w:footnoteRef/>
      </w:r>
      <w:r w:rsidRPr="003178C7">
        <w:rPr>
          <w:rStyle w:val="25"/>
          <w:rFonts w:ascii="Times New Roman" w:hAnsi="Times New Roman" w:cs="Times New Roman"/>
          <w:sz w:val="18"/>
          <w:szCs w:val="18"/>
          <w:highlight w:val="red"/>
        </w:rPr>
        <w:tab/>
      </w:r>
      <w:r w:rsidRPr="004E0FC4">
        <w:rPr>
          <w:rFonts w:ascii="Bookman Old Style" w:hAnsi="Bookman Old Style" w:cs="Times New Roman"/>
          <w:sz w:val="16"/>
          <w:szCs w:val="16"/>
          <w:highlight w:val="red"/>
        </w:rPr>
        <w:t>Горденко Г. В.</w:t>
      </w:r>
      <w:r w:rsidRPr="004E0FC4">
        <w:rPr>
          <w:rStyle w:val="25"/>
          <w:rFonts w:cs="Times New Roman"/>
          <w:sz w:val="16"/>
          <w:szCs w:val="16"/>
          <w:highlight w:val="red"/>
        </w:rPr>
        <w:t xml:space="preserve"> Указ. соч.</w:t>
      </w:r>
    </w:p>
  </w:footnote>
  <w:footnote w:id="147">
    <w:p w14:paraId="4BA62B47" w14:textId="77777777" w:rsidR="00350396" w:rsidRPr="004E0FC4" w:rsidRDefault="00350396" w:rsidP="00350396">
      <w:pPr>
        <w:tabs>
          <w:tab w:val="left" w:pos="483"/>
        </w:tabs>
        <w:rPr>
          <w:rFonts w:ascii="Bookman Old Style" w:hAnsi="Bookman Old Style" w:cs="Times New Roman"/>
          <w:sz w:val="16"/>
          <w:szCs w:val="16"/>
          <w:highlight w:val="green"/>
        </w:rPr>
      </w:pPr>
      <w:r w:rsidRPr="004E0FC4">
        <w:rPr>
          <w:rFonts w:ascii="Bookman Old Style" w:hAnsi="Bookman Old Style" w:cs="Times New Roman"/>
          <w:sz w:val="16"/>
          <w:szCs w:val="16"/>
          <w:highlight w:val="red"/>
          <w:vertAlign w:val="superscript"/>
        </w:rPr>
        <w:footnoteRef/>
      </w:r>
      <w:r w:rsidRPr="004E0FC4">
        <w:rPr>
          <w:rFonts w:ascii="Bookman Old Style" w:hAnsi="Bookman Old Style" w:cs="Times New Roman"/>
          <w:sz w:val="16"/>
          <w:szCs w:val="16"/>
          <w:highlight w:val="red"/>
        </w:rPr>
        <w:tab/>
        <w:t>Там же.</w:t>
      </w:r>
    </w:p>
  </w:footnote>
  <w:footnote w:id="148">
    <w:p w14:paraId="40D71A9C" w14:textId="77777777" w:rsidR="00350396" w:rsidRPr="004E0FC4" w:rsidRDefault="00350396" w:rsidP="00350396">
      <w:pPr>
        <w:pStyle w:val="af6"/>
        <w:rPr>
          <w:rFonts w:ascii="Bookman Old Style" w:hAnsi="Bookman Old Style" w:cs="Times New Roman"/>
          <w:sz w:val="16"/>
          <w:szCs w:val="16"/>
        </w:rPr>
      </w:pPr>
      <w:r w:rsidRPr="004E0FC4">
        <w:rPr>
          <w:rStyle w:val="af8"/>
          <w:rFonts w:ascii="Bookman Old Style" w:hAnsi="Bookman Old Style" w:cs="Times New Roman"/>
          <w:sz w:val="16"/>
          <w:szCs w:val="16"/>
          <w:highlight w:val="green"/>
        </w:rPr>
        <w:footnoteRef/>
      </w:r>
      <w:r w:rsidRPr="004E0FC4">
        <w:rPr>
          <w:rFonts w:ascii="Bookman Old Style" w:hAnsi="Bookman Old Style" w:cs="Times New Roman"/>
          <w:sz w:val="16"/>
          <w:szCs w:val="16"/>
          <w:highlight w:val="green"/>
        </w:rPr>
        <w:t xml:space="preserve"> Росстат. Удельный вес организаций, осуществляющих технологические инновации, в общем числе обследованных организаций, по Российской Федерации, по видам экономической деятельности в 2000-2021 годах. – поисковая система </w:t>
      </w:r>
      <w:r w:rsidRPr="004E0FC4">
        <w:rPr>
          <w:rFonts w:ascii="Bookman Old Style" w:hAnsi="Bookman Old Style" w:cs="Times New Roman"/>
          <w:sz w:val="16"/>
          <w:szCs w:val="16"/>
          <w:highlight w:val="green"/>
          <w:lang w:val="en-US"/>
        </w:rPr>
        <w:t>rosstat</w:t>
      </w:r>
      <w:r w:rsidRPr="004E0FC4">
        <w:rPr>
          <w:rFonts w:ascii="Bookman Old Style" w:hAnsi="Bookman Old Style" w:cs="Times New Roman"/>
          <w:sz w:val="16"/>
          <w:szCs w:val="16"/>
          <w:highlight w:val="green"/>
        </w:rPr>
        <w:t>.</w:t>
      </w:r>
      <w:r w:rsidRPr="004E0FC4">
        <w:rPr>
          <w:rFonts w:ascii="Bookman Old Style" w:hAnsi="Bookman Old Style" w:cs="Times New Roman"/>
          <w:sz w:val="16"/>
          <w:szCs w:val="16"/>
          <w:highlight w:val="green"/>
          <w:lang w:val="en-US"/>
        </w:rPr>
        <w:t>gov</w:t>
      </w:r>
      <w:r w:rsidRPr="004E0FC4">
        <w:rPr>
          <w:rFonts w:ascii="Bookman Old Style" w:hAnsi="Bookman Old Style" w:cs="Times New Roman"/>
          <w:sz w:val="16"/>
          <w:szCs w:val="16"/>
          <w:highlight w:val="green"/>
        </w:rPr>
        <w:t>.</w:t>
      </w:r>
      <w:r w:rsidRPr="004E0FC4">
        <w:rPr>
          <w:rFonts w:ascii="Bookman Old Style" w:hAnsi="Bookman Old Style" w:cs="Times New Roman"/>
          <w:sz w:val="16"/>
          <w:szCs w:val="16"/>
          <w:highlight w:val="green"/>
          <w:lang w:val="en-US"/>
        </w:rPr>
        <w:t>ru</w:t>
      </w:r>
      <w:r w:rsidRPr="004E0FC4">
        <w:rPr>
          <w:rFonts w:ascii="Bookman Old Style" w:hAnsi="Bookman Old Style" w:cs="Times New Roman"/>
          <w:sz w:val="16"/>
          <w:szCs w:val="16"/>
          <w:highlight w:val="green"/>
        </w:rPr>
        <w:t>.</w:t>
      </w:r>
    </w:p>
  </w:footnote>
  <w:footnote w:id="149">
    <w:p w14:paraId="1724A805" w14:textId="77777777" w:rsidR="00350396" w:rsidRPr="004E0FC4" w:rsidRDefault="00350396" w:rsidP="00350396">
      <w:pPr>
        <w:tabs>
          <w:tab w:val="left" w:pos="456"/>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rPr>
        <w:tab/>
      </w:r>
      <w:r w:rsidRPr="004E0FC4">
        <w:rPr>
          <w:rStyle w:val="a6"/>
          <w:rFonts w:cs="Times New Roman"/>
          <w:sz w:val="16"/>
          <w:szCs w:val="16"/>
        </w:rPr>
        <w:t>Фирсова А. А.</w:t>
      </w:r>
      <w:r w:rsidRPr="004E0FC4">
        <w:rPr>
          <w:rFonts w:ascii="Bookman Old Style" w:hAnsi="Bookman Old Style" w:cs="Times New Roman"/>
          <w:sz w:val="16"/>
          <w:szCs w:val="16"/>
        </w:rPr>
        <w:t xml:space="preserve"> Специфика механизмов инвестирования государственно-част</w:t>
      </w:r>
      <w:r w:rsidRPr="004E0FC4">
        <w:rPr>
          <w:rFonts w:ascii="Bookman Old Style" w:hAnsi="Bookman Old Style" w:cs="Times New Roman"/>
          <w:sz w:val="16"/>
          <w:szCs w:val="16"/>
        </w:rPr>
        <w:softHyphen/>
        <w:t>ного партнерства в инновационной сфере // Инвестиции в модернизацию и инно</w:t>
      </w:r>
      <w:r w:rsidRPr="004E0FC4">
        <w:rPr>
          <w:rFonts w:ascii="Bookman Old Style" w:hAnsi="Bookman Old Style" w:cs="Times New Roman"/>
          <w:sz w:val="16"/>
          <w:szCs w:val="16"/>
        </w:rPr>
        <w:softHyphen/>
        <w:t>вационное развитие российской экономики / под общ. ред. Е. Б. Ленчук. М. : Инсти</w:t>
      </w:r>
      <w:r w:rsidRPr="004E0FC4">
        <w:rPr>
          <w:rFonts w:ascii="Bookman Old Style" w:hAnsi="Bookman Old Style" w:cs="Times New Roman"/>
          <w:sz w:val="16"/>
          <w:szCs w:val="16"/>
        </w:rPr>
        <w:softHyphen/>
        <w:t>тут экономики РАН, 2011. С. 321.</w:t>
      </w:r>
    </w:p>
  </w:footnote>
  <w:footnote w:id="150">
    <w:p w14:paraId="744E7705" w14:textId="77777777" w:rsidR="00350396" w:rsidRPr="004E0FC4" w:rsidRDefault="00350396" w:rsidP="00350396">
      <w:pPr>
        <w:tabs>
          <w:tab w:val="left" w:pos="442"/>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r>
      <w:r w:rsidRPr="004E0FC4">
        <w:rPr>
          <w:rStyle w:val="a6"/>
          <w:rFonts w:cs="Times New Roman"/>
          <w:sz w:val="16"/>
          <w:szCs w:val="16"/>
        </w:rPr>
        <w:t>Ицковиц Г.</w:t>
      </w:r>
      <w:r w:rsidRPr="004E0FC4">
        <w:rPr>
          <w:rFonts w:ascii="Bookman Old Style" w:hAnsi="Bookman Old Style" w:cs="Times New Roman"/>
          <w:sz w:val="16"/>
          <w:szCs w:val="16"/>
        </w:rPr>
        <w:t xml:space="preserve"> Тройная спираль. Университеты — предприятия — государство. Инновации в действии. Томск : Изд-во Том. гос. ун-та систем упр. и радиоэлектро</w:t>
      </w:r>
      <w:r w:rsidRPr="004E0FC4">
        <w:rPr>
          <w:rFonts w:ascii="Bookman Old Style" w:hAnsi="Bookman Old Style" w:cs="Times New Roman"/>
          <w:sz w:val="16"/>
          <w:szCs w:val="16"/>
        </w:rPr>
        <w:softHyphen/>
        <w:t>ники, 2010. С. 237.</w:t>
      </w:r>
    </w:p>
  </w:footnote>
  <w:footnote w:id="151">
    <w:p w14:paraId="0138E54B" w14:textId="77777777" w:rsidR="00350396" w:rsidRPr="004E0FC4" w:rsidRDefault="00350396" w:rsidP="00350396">
      <w:pPr>
        <w:tabs>
          <w:tab w:val="left" w:pos="442"/>
        </w:tabs>
        <w:rPr>
          <w:rFonts w:ascii="Bookman Old Style" w:hAnsi="Bookman Old Style" w:cs="Times New Roman"/>
          <w:sz w:val="16"/>
          <w:szCs w:val="16"/>
        </w:rPr>
      </w:pPr>
      <w:r w:rsidRPr="004E0FC4">
        <w:rPr>
          <w:rFonts w:ascii="Bookman Old Style" w:hAnsi="Bookman Old Style" w:cs="Times New Roman"/>
          <w:sz w:val="16"/>
          <w:szCs w:val="16"/>
          <w:vertAlign w:val="superscript"/>
        </w:rPr>
        <w:footnoteRef/>
      </w:r>
      <w:r w:rsidRPr="004E0FC4">
        <w:rPr>
          <w:rFonts w:ascii="Bookman Old Style" w:hAnsi="Bookman Old Style" w:cs="Times New Roman"/>
          <w:sz w:val="16"/>
          <w:szCs w:val="16"/>
        </w:rPr>
        <w:tab/>
      </w:r>
      <w:r w:rsidRPr="004E0FC4">
        <w:rPr>
          <w:rStyle w:val="a6"/>
          <w:rFonts w:cs="Times New Roman"/>
          <w:sz w:val="16"/>
          <w:szCs w:val="16"/>
        </w:rPr>
        <w:t>Егоров Н. Е., Бабкин И.</w:t>
      </w:r>
      <w:r w:rsidRPr="004E0FC4">
        <w:rPr>
          <w:rFonts w:ascii="Bookman Old Style" w:hAnsi="Bookman Old Style" w:cs="Times New Roman"/>
          <w:sz w:val="16"/>
          <w:szCs w:val="16"/>
        </w:rPr>
        <w:t xml:space="preserve"> А. Концептуальная модель подготовки специалистов в рамках государственно-частного партнерства и концепции тройной спирали // Научно-технические ведомости СПБГПУ. Экономические науки. 2015. № 6. С. 217.</w:t>
      </w:r>
    </w:p>
  </w:footnote>
  <w:footnote w:id="152">
    <w:p w14:paraId="7EC12610" w14:textId="77777777" w:rsidR="00350396" w:rsidRPr="004E0FC4" w:rsidRDefault="00350396" w:rsidP="00350396">
      <w:pPr>
        <w:tabs>
          <w:tab w:val="left" w:pos="442"/>
        </w:tabs>
        <w:rPr>
          <w:rFonts w:ascii="Bookman Old Style" w:hAnsi="Bookman Old Style" w:cs="Times New Roman"/>
          <w:sz w:val="16"/>
          <w:szCs w:val="16"/>
        </w:rPr>
      </w:pPr>
      <w:r w:rsidRPr="00C22850">
        <w:rPr>
          <w:rStyle w:val="9pt0"/>
          <w:rFonts w:ascii="Times New Roman" w:hAnsi="Times New Roman" w:cs="Times New Roman"/>
          <w:vertAlign w:val="superscript"/>
        </w:rPr>
        <w:footnoteRef/>
      </w:r>
      <w:r w:rsidRPr="00C22850">
        <w:rPr>
          <w:rFonts w:ascii="Times New Roman" w:hAnsi="Times New Roman" w:cs="Times New Roman"/>
        </w:rPr>
        <w:tab/>
      </w:r>
      <w:r w:rsidRPr="004E0FC4">
        <w:rPr>
          <w:rStyle w:val="a6"/>
          <w:rFonts w:cs="Times New Roman"/>
          <w:sz w:val="16"/>
          <w:szCs w:val="16"/>
        </w:rPr>
        <w:t>Радушинский Д. А.</w:t>
      </w:r>
      <w:r w:rsidRPr="004E0FC4">
        <w:rPr>
          <w:rFonts w:ascii="Bookman Old Style" w:hAnsi="Bookman Old Style" w:cs="Times New Roman"/>
          <w:sz w:val="16"/>
          <w:szCs w:val="16"/>
        </w:rPr>
        <w:t xml:space="preserve"> Коммуникационные центры в институциональной среде инновационной экономики // Петербургский экономический журнал. 2015. № 3. С. 59—67.</w:t>
      </w:r>
    </w:p>
  </w:footnote>
  <w:footnote w:id="153">
    <w:p w14:paraId="52DE4061" w14:textId="77777777" w:rsidR="00350396" w:rsidRPr="004E0FC4" w:rsidRDefault="00350396" w:rsidP="00350396">
      <w:pPr>
        <w:tabs>
          <w:tab w:val="left" w:pos="474"/>
        </w:tabs>
        <w:rPr>
          <w:rFonts w:ascii="Bookman Old Style" w:hAnsi="Bookman Old Style" w:cs="Times New Roman"/>
          <w:sz w:val="16"/>
          <w:szCs w:val="16"/>
        </w:rPr>
      </w:pPr>
      <w:r w:rsidRPr="004E0FC4">
        <w:rPr>
          <w:rStyle w:val="29pt"/>
          <w:rFonts w:cs="Times New Roman"/>
          <w:sz w:val="16"/>
          <w:szCs w:val="16"/>
          <w:vertAlign w:val="superscript"/>
        </w:rPr>
        <w:footnoteRef/>
      </w:r>
      <w:r w:rsidRPr="004E0FC4">
        <w:rPr>
          <w:rStyle w:val="25"/>
          <w:rFonts w:cs="Times New Roman"/>
          <w:sz w:val="16"/>
          <w:szCs w:val="16"/>
        </w:rPr>
        <w:tab/>
      </w:r>
      <w:r w:rsidRPr="004E0FC4">
        <w:rPr>
          <w:rFonts w:ascii="Bookman Old Style" w:hAnsi="Bookman Old Style" w:cs="Times New Roman"/>
          <w:sz w:val="16"/>
          <w:szCs w:val="16"/>
        </w:rPr>
        <w:t>Казанцев А. К., Рубвальтер Д. А.</w:t>
      </w:r>
      <w:r w:rsidRPr="004E0FC4">
        <w:rPr>
          <w:rStyle w:val="25"/>
          <w:rFonts w:cs="Times New Roman"/>
          <w:sz w:val="16"/>
          <w:szCs w:val="16"/>
        </w:rPr>
        <w:t xml:space="preserve"> Указ. соч.</w:t>
      </w:r>
    </w:p>
  </w:footnote>
  <w:footnote w:id="154">
    <w:p w14:paraId="3358A554" w14:textId="77777777" w:rsidR="00350396" w:rsidRPr="00C22850" w:rsidRDefault="00350396" w:rsidP="00350396">
      <w:pPr>
        <w:pStyle w:val="1"/>
        <w:shd w:val="clear" w:color="auto" w:fill="FFFFFF"/>
        <w:spacing w:line="240" w:lineRule="auto"/>
        <w:rPr>
          <w:b w:val="0"/>
          <w:color w:val="252525"/>
          <w:spacing w:val="2"/>
          <w:sz w:val="18"/>
          <w:szCs w:val="18"/>
        </w:rPr>
      </w:pPr>
      <w:r w:rsidRPr="00C22850">
        <w:rPr>
          <w:rStyle w:val="af8"/>
          <w:rFonts w:eastAsia="Arial Narrow"/>
          <w:sz w:val="18"/>
          <w:szCs w:val="18"/>
        </w:rPr>
        <w:footnoteRef/>
      </w:r>
      <w:r w:rsidRPr="00C22850">
        <w:rPr>
          <w:b w:val="0"/>
          <w:sz w:val="18"/>
          <w:szCs w:val="18"/>
        </w:rPr>
        <w:t xml:space="preserve"> </w:t>
      </w:r>
      <w:r w:rsidRPr="00C22850">
        <w:rPr>
          <w:b w:val="0"/>
          <w:color w:val="252525"/>
          <w:spacing w:val="2"/>
          <w:sz w:val="18"/>
          <w:szCs w:val="18"/>
        </w:rPr>
        <w:t xml:space="preserve">Проекты государственно-частного партнерства в Китае реализуются ускоренными темпами (18.08.2022). - https://rg.ru/2022/08/19/proekty-gosudarstvenno-chastnogo-partnerstva-v-kitae-realizuiutsia-uskorennymi-tempami.html </w:t>
      </w:r>
    </w:p>
  </w:footnote>
  <w:footnote w:id="155">
    <w:p w14:paraId="6ACB440E" w14:textId="77777777" w:rsidR="00350396" w:rsidRPr="004E0FC4" w:rsidRDefault="00350396" w:rsidP="00350396">
      <w:pPr>
        <w:pStyle w:val="af6"/>
        <w:rPr>
          <w:rFonts w:ascii="Bookman Old Style" w:eastAsiaTheme="majorEastAsia" w:hAnsi="Bookman Old Style" w:cs="Times New Roman"/>
          <w:bCs/>
          <w:color w:val="252525"/>
          <w:spacing w:val="2"/>
          <w:sz w:val="16"/>
          <w:szCs w:val="16"/>
          <w:lang w:eastAsia="en-US"/>
        </w:rPr>
      </w:pPr>
      <w:r w:rsidRPr="00C22850">
        <w:rPr>
          <w:rFonts w:ascii="Times New Roman" w:eastAsiaTheme="majorEastAsia" w:hAnsi="Times New Roman" w:cs="Times New Roman"/>
          <w:bCs/>
          <w:color w:val="252525"/>
          <w:spacing w:val="2"/>
          <w:sz w:val="18"/>
          <w:szCs w:val="18"/>
          <w:lang w:eastAsia="en-US"/>
        </w:rPr>
        <w:footnoteRef/>
      </w:r>
      <w:r w:rsidRPr="00C757DD">
        <w:rPr>
          <w:rFonts w:ascii="Times New Roman" w:eastAsiaTheme="majorEastAsia" w:hAnsi="Times New Roman" w:cs="Times New Roman"/>
          <w:bCs/>
          <w:color w:val="252525"/>
          <w:spacing w:val="2"/>
          <w:sz w:val="18"/>
          <w:szCs w:val="18"/>
          <w:lang w:val="en-US" w:eastAsia="en-US"/>
        </w:rPr>
        <w:t xml:space="preserve"> </w:t>
      </w:r>
      <w:r w:rsidRPr="004E0FC4">
        <w:rPr>
          <w:rFonts w:ascii="Bookman Old Style" w:eastAsiaTheme="majorEastAsia" w:hAnsi="Bookman Old Style" w:cs="Times New Roman"/>
          <w:bCs/>
          <w:color w:val="252525"/>
          <w:spacing w:val="2"/>
          <w:sz w:val="16"/>
          <w:szCs w:val="16"/>
          <w:lang w:val="en-US" w:eastAsia="en-US"/>
        </w:rPr>
        <w:t xml:space="preserve">The Belt and Road Initiative: A new means to transformative global governance towards sustainable development, UNDP and China Center for International Economic Exchanges, 2017; </w:t>
      </w:r>
      <w:r w:rsidRPr="004E0FC4">
        <w:rPr>
          <w:rFonts w:ascii="Bookman Old Style" w:eastAsiaTheme="majorEastAsia" w:hAnsi="Bookman Old Style" w:cs="Times New Roman"/>
          <w:bCs/>
          <w:color w:val="252525"/>
          <w:spacing w:val="2"/>
          <w:sz w:val="16"/>
          <w:szCs w:val="16"/>
          <w:lang w:eastAsia="en-US"/>
        </w:rPr>
        <w:t>Г</w:t>
      </w:r>
      <w:r w:rsidRPr="004E0FC4">
        <w:rPr>
          <w:rFonts w:ascii="Bookman Old Style" w:eastAsiaTheme="majorEastAsia" w:hAnsi="Bookman Old Style" w:cs="Times New Roman"/>
          <w:bCs/>
          <w:color w:val="252525"/>
          <w:spacing w:val="2"/>
          <w:sz w:val="16"/>
          <w:szCs w:val="16"/>
          <w:lang w:val="en-US" w:eastAsia="en-US"/>
        </w:rPr>
        <w:t xml:space="preserve">лянц М.Г., Росс Р. Дж. </w:t>
      </w:r>
      <w:r w:rsidRPr="004E0FC4">
        <w:rPr>
          <w:rFonts w:ascii="Bookman Old Style" w:eastAsiaTheme="majorEastAsia" w:hAnsi="Bookman Old Style" w:cs="Times New Roman"/>
          <w:bCs/>
          <w:color w:val="252525"/>
          <w:spacing w:val="2"/>
          <w:sz w:val="16"/>
          <w:szCs w:val="16"/>
          <w:lang w:eastAsia="en-US"/>
        </w:rPr>
        <w:t>Один пояс и Один путь. Долгий марш Китая в 2049 год. – М.: Международные отношения. 2021. – 264 с.</w:t>
      </w:r>
    </w:p>
  </w:footnote>
  <w:footnote w:id="156">
    <w:p w14:paraId="12FEC44D" w14:textId="77777777" w:rsidR="00350396" w:rsidRPr="002741C7" w:rsidRDefault="00350396" w:rsidP="00350396">
      <w:pPr>
        <w:pStyle w:val="af6"/>
        <w:rPr>
          <w:rFonts w:ascii="Bookman Old Style" w:eastAsiaTheme="majorEastAsia" w:hAnsi="Bookman Old Style" w:cs="Times New Roman"/>
          <w:bCs/>
          <w:color w:val="252525"/>
          <w:spacing w:val="2"/>
          <w:sz w:val="16"/>
          <w:szCs w:val="16"/>
          <w:lang w:eastAsia="en-US"/>
        </w:rPr>
      </w:pPr>
      <w:r w:rsidRPr="002741C7">
        <w:rPr>
          <w:rFonts w:ascii="Bookman Old Style" w:eastAsiaTheme="majorEastAsia" w:hAnsi="Bookman Old Style" w:cs="Times New Roman"/>
          <w:bCs/>
          <w:color w:val="252525"/>
          <w:spacing w:val="2"/>
          <w:sz w:val="16"/>
          <w:szCs w:val="16"/>
          <w:lang w:eastAsia="en-US"/>
        </w:rPr>
        <w:footnoteRef/>
      </w:r>
      <w:r w:rsidRPr="002741C7">
        <w:rPr>
          <w:rFonts w:ascii="Bookman Old Style" w:eastAsiaTheme="majorEastAsia" w:hAnsi="Bookman Old Style" w:cs="Times New Roman"/>
          <w:bCs/>
          <w:color w:val="252525"/>
          <w:spacing w:val="2"/>
          <w:sz w:val="16"/>
          <w:szCs w:val="16"/>
          <w:lang w:eastAsia="en-US"/>
        </w:rPr>
        <w:t xml:space="preserve"> Маслова С.В., Соколов М.Ю. Трансграничные проекты государственно-частного партнерства: концептуальные особенности и практические аспекты управления  // </w:t>
      </w:r>
      <w:hyperlink r:id="rId29" w:history="1">
        <w:r w:rsidRPr="002741C7">
          <w:rPr>
            <w:rFonts w:ascii="Bookman Old Style" w:eastAsiaTheme="majorEastAsia" w:hAnsi="Bookman Old Style" w:cs="Times New Roman"/>
            <w:bCs/>
            <w:color w:val="252525"/>
            <w:spacing w:val="2"/>
            <w:sz w:val="16"/>
            <w:szCs w:val="16"/>
            <w:lang w:eastAsia="en-US"/>
          </w:rPr>
          <w:t>Вопросы государственного и муниципального управления</w:t>
        </w:r>
      </w:hyperlink>
      <w:r w:rsidRPr="002741C7">
        <w:rPr>
          <w:rFonts w:ascii="Bookman Old Style" w:eastAsiaTheme="majorEastAsia" w:hAnsi="Bookman Old Style" w:cs="Times New Roman"/>
          <w:bCs/>
          <w:color w:val="252525"/>
          <w:spacing w:val="2"/>
          <w:sz w:val="16"/>
          <w:szCs w:val="16"/>
          <w:lang w:eastAsia="en-US"/>
        </w:rPr>
        <w:t xml:space="preserve">. 2020. </w:t>
      </w:r>
      <w:hyperlink r:id="rId30" w:history="1">
        <w:r w:rsidRPr="002741C7">
          <w:rPr>
            <w:rFonts w:ascii="Bookman Old Style" w:eastAsiaTheme="majorEastAsia" w:hAnsi="Bookman Old Style" w:cs="Times New Roman"/>
            <w:bCs/>
            <w:color w:val="252525"/>
            <w:spacing w:val="2"/>
            <w:sz w:val="16"/>
            <w:szCs w:val="16"/>
            <w:lang w:eastAsia="en-US"/>
          </w:rPr>
          <w:t>№ 1</w:t>
        </w:r>
      </w:hyperlink>
      <w:r w:rsidRPr="002741C7">
        <w:rPr>
          <w:rFonts w:ascii="Bookman Old Style" w:eastAsiaTheme="majorEastAsia" w:hAnsi="Bookman Old Style" w:cs="Times New Roman"/>
          <w:bCs/>
          <w:color w:val="252525"/>
          <w:spacing w:val="2"/>
          <w:sz w:val="16"/>
          <w:szCs w:val="16"/>
          <w:lang w:eastAsia="en-US"/>
        </w:rPr>
        <w:t>. С. 86-114.</w:t>
      </w:r>
    </w:p>
  </w:footnote>
  <w:footnote w:id="157">
    <w:p w14:paraId="52BD7126" w14:textId="77777777" w:rsidR="00350396" w:rsidRPr="002741C7" w:rsidRDefault="00350396" w:rsidP="00350396">
      <w:pPr>
        <w:tabs>
          <w:tab w:val="left" w:pos="451"/>
        </w:tabs>
        <w:rPr>
          <w:rFonts w:ascii="Bookman Old Style" w:hAnsi="Bookman Old Style" w:cs="Times New Roman"/>
          <w:sz w:val="16"/>
          <w:szCs w:val="16"/>
        </w:rPr>
      </w:pPr>
      <w:r w:rsidRPr="00C22850">
        <w:rPr>
          <w:rFonts w:ascii="Times New Roman" w:hAnsi="Times New Roman" w:cs="Times New Roman"/>
          <w:vertAlign w:val="superscript"/>
        </w:rPr>
        <w:footnoteRef/>
      </w:r>
      <w:r w:rsidRPr="00C22850">
        <w:rPr>
          <w:rFonts w:ascii="Times New Roman" w:hAnsi="Times New Roman" w:cs="Times New Roman"/>
        </w:rPr>
        <w:tab/>
      </w:r>
      <w:r w:rsidRPr="002741C7">
        <w:rPr>
          <w:rFonts w:ascii="Bookman Old Style" w:hAnsi="Bookman Old Style" w:cs="Times New Roman"/>
          <w:sz w:val="16"/>
          <w:szCs w:val="16"/>
        </w:rPr>
        <w:t>Постановление Правительства РФ от 03.02.1994 № 65 «О Фонде содействия развитию малых форм предприятий в научно-технической сфере».</w:t>
      </w:r>
    </w:p>
  </w:footnote>
  <w:footnote w:id="158">
    <w:p w14:paraId="48AA9AF7" w14:textId="77777777" w:rsidR="00350396" w:rsidRPr="002741C7" w:rsidRDefault="00350396" w:rsidP="00350396">
      <w:pPr>
        <w:tabs>
          <w:tab w:val="left" w:pos="432"/>
        </w:tabs>
        <w:rPr>
          <w:rFonts w:ascii="Bookman Old Style" w:hAnsi="Bookman Old Style" w:cs="Times New Roman"/>
          <w:sz w:val="16"/>
          <w:szCs w:val="16"/>
        </w:rPr>
      </w:pPr>
      <w:r w:rsidRPr="002741C7">
        <w:rPr>
          <w:rFonts w:ascii="Bookman Old Style" w:hAnsi="Bookman Old Style" w:cs="Times New Roman"/>
          <w:sz w:val="16"/>
          <w:szCs w:val="16"/>
          <w:vertAlign w:val="superscript"/>
        </w:rPr>
        <w:footnoteRef/>
      </w:r>
      <w:r w:rsidRPr="002741C7">
        <w:rPr>
          <w:rFonts w:ascii="Bookman Old Style" w:hAnsi="Bookman Old Style" w:cs="Times New Roman"/>
          <w:sz w:val="16"/>
          <w:szCs w:val="16"/>
        </w:rPr>
        <w:tab/>
      </w:r>
      <w:r w:rsidRPr="002741C7">
        <w:rPr>
          <w:rStyle w:val="a6"/>
          <w:rFonts w:cs="Times New Roman"/>
          <w:sz w:val="16"/>
          <w:szCs w:val="16"/>
        </w:rPr>
        <w:t>Власкин Г. А., Иванов А. Е.</w:t>
      </w:r>
      <w:r w:rsidRPr="002741C7">
        <w:rPr>
          <w:rFonts w:ascii="Bookman Old Style" w:hAnsi="Bookman Old Style" w:cs="Times New Roman"/>
          <w:sz w:val="16"/>
          <w:szCs w:val="16"/>
        </w:rPr>
        <w:t xml:space="preserve"> Малый и средний инновационный бизнес в страте</w:t>
      </w:r>
      <w:r w:rsidRPr="002741C7">
        <w:rPr>
          <w:rFonts w:ascii="Bookman Old Style" w:hAnsi="Bookman Old Style" w:cs="Times New Roman"/>
          <w:sz w:val="16"/>
          <w:szCs w:val="16"/>
        </w:rPr>
        <w:softHyphen/>
        <w:t>гии модернизации экономики России // Формирование институтов инновационно</w:t>
      </w:r>
      <w:r w:rsidRPr="002741C7">
        <w:rPr>
          <w:rFonts w:ascii="Bookman Old Style" w:hAnsi="Bookman Old Style" w:cs="Times New Roman"/>
          <w:sz w:val="16"/>
          <w:szCs w:val="16"/>
        </w:rPr>
        <w:softHyphen/>
        <w:t>го развития. М. : ИЭ РАН, 2012. С. 80—82.</w:t>
      </w:r>
    </w:p>
  </w:footnote>
  <w:footnote w:id="159">
    <w:p w14:paraId="5407DF9A" w14:textId="77777777" w:rsidR="00350396" w:rsidRPr="002741C7" w:rsidRDefault="00350396" w:rsidP="00350396">
      <w:pPr>
        <w:tabs>
          <w:tab w:val="left" w:pos="442"/>
        </w:tabs>
        <w:rPr>
          <w:rFonts w:ascii="Bookman Old Style" w:hAnsi="Bookman Old Style" w:cs="Times New Roman"/>
          <w:sz w:val="16"/>
          <w:szCs w:val="16"/>
        </w:rPr>
      </w:pPr>
      <w:r w:rsidRPr="002741C7">
        <w:rPr>
          <w:rFonts w:ascii="Bookman Old Style" w:hAnsi="Bookman Old Style" w:cs="Times New Roman"/>
          <w:sz w:val="16"/>
          <w:szCs w:val="16"/>
          <w:vertAlign w:val="superscript"/>
        </w:rPr>
        <w:footnoteRef/>
      </w:r>
      <w:r w:rsidRPr="002741C7">
        <w:rPr>
          <w:rFonts w:ascii="Bookman Old Style" w:hAnsi="Bookman Old Style" w:cs="Times New Roman"/>
          <w:sz w:val="16"/>
          <w:szCs w:val="16"/>
        </w:rPr>
        <w:tab/>
        <w:t>Постановление Правительства РФ от 26.08.1995 № 827 «О Федеральном фонде производственных инноваций».</w:t>
      </w:r>
    </w:p>
  </w:footnote>
  <w:footnote w:id="160">
    <w:p w14:paraId="15B2B44B" w14:textId="77777777" w:rsidR="00350396" w:rsidRPr="00D5217E" w:rsidRDefault="00350396" w:rsidP="00350396">
      <w:pPr>
        <w:pStyle w:val="50"/>
        <w:shd w:val="clear" w:color="auto" w:fill="auto"/>
        <w:rPr>
          <w:lang w:val="ru-RU"/>
        </w:rPr>
      </w:pPr>
      <w:r>
        <w:rPr>
          <w:b w:val="0"/>
          <w:bCs w:val="0"/>
          <w:vertAlign w:val="superscript"/>
          <w:lang w:val="ru-RU" w:eastAsia="ru-RU" w:bidi="ru-RU"/>
        </w:rPr>
        <w:footnoteRef/>
      </w:r>
      <w:r>
        <w:rPr>
          <w:b w:val="0"/>
          <w:bCs w:val="0"/>
          <w:lang w:val="ru-RU" w:eastAsia="ru-RU" w:bidi="ru-RU"/>
        </w:rPr>
        <w:t xml:space="preserve"> Взаимодействие государства и бизнеса : учеб. пособие / отв. ред. Е. И. Мар</w:t>
      </w:r>
      <w:r>
        <w:rPr>
          <w:b w:val="0"/>
          <w:bCs w:val="0"/>
          <w:lang w:val="ru-RU" w:eastAsia="ru-RU" w:bidi="ru-RU"/>
        </w:rPr>
        <w:softHyphen/>
        <w:t>ковская. СПб. : Изд-во СПбГЭУ, 2014. С. 109—110.</w:t>
      </w:r>
    </w:p>
  </w:footnote>
  <w:footnote w:id="161">
    <w:p w14:paraId="03BB6BF4" w14:textId="77777777" w:rsidR="00350396" w:rsidRPr="00D5217E" w:rsidRDefault="00350396" w:rsidP="00350396">
      <w:pPr>
        <w:pStyle w:val="50"/>
        <w:shd w:val="clear" w:color="auto" w:fill="auto"/>
        <w:tabs>
          <w:tab w:val="left" w:pos="451"/>
        </w:tabs>
        <w:spacing w:line="197" w:lineRule="exact"/>
        <w:ind w:firstLine="340"/>
        <w:rPr>
          <w:lang w:val="ru-RU"/>
        </w:rPr>
      </w:pPr>
      <w:r>
        <w:rPr>
          <w:rStyle w:val="5BookmanOldStyle9pt"/>
          <w:vertAlign w:val="superscript"/>
        </w:rPr>
        <w:footnoteRef/>
      </w:r>
      <w:r>
        <w:rPr>
          <w:b w:val="0"/>
          <w:bCs w:val="0"/>
          <w:lang w:val="ru-RU" w:eastAsia="ru-RU" w:bidi="ru-RU"/>
        </w:rPr>
        <w:tab/>
        <w:t xml:space="preserve">Доклад о состоянии конкуренции в Российской Федерации. С. 105. </w:t>
      </w:r>
      <w:r>
        <w:rPr>
          <w:b w:val="0"/>
          <w:bCs w:val="0"/>
        </w:rPr>
        <w:t>URL</w:t>
      </w:r>
      <w:r w:rsidRPr="00D5217E">
        <w:rPr>
          <w:b w:val="0"/>
          <w:bCs w:val="0"/>
          <w:lang w:val="ru-RU"/>
        </w:rPr>
        <w:t xml:space="preserve">: </w:t>
      </w:r>
      <w:hyperlink r:id="rId31" w:history="1">
        <w:r>
          <w:rPr>
            <w:b w:val="0"/>
            <w:bCs w:val="0"/>
          </w:rPr>
          <w:t>http</w:t>
        </w:r>
        <w:r w:rsidRPr="00D5217E">
          <w:rPr>
            <w:b w:val="0"/>
            <w:bCs w:val="0"/>
            <w:lang w:val="ru-RU"/>
          </w:rPr>
          <w:t>://</w:t>
        </w:r>
        <w:r>
          <w:rPr>
            <w:b w:val="0"/>
            <w:bCs w:val="0"/>
          </w:rPr>
          <w:t>www</w:t>
        </w:r>
        <w:r w:rsidRPr="00D5217E">
          <w:rPr>
            <w:b w:val="0"/>
            <w:bCs w:val="0"/>
            <w:lang w:val="ru-RU"/>
          </w:rPr>
          <w:t>.</w:t>
        </w:r>
        <w:r>
          <w:rPr>
            <w:b w:val="0"/>
            <w:bCs w:val="0"/>
          </w:rPr>
          <w:t>fas</w:t>
        </w:r>
        <w:r w:rsidRPr="00D5217E">
          <w:rPr>
            <w:b w:val="0"/>
            <w:bCs w:val="0"/>
            <w:lang w:val="ru-RU"/>
          </w:rPr>
          <w:t>.</w:t>
        </w:r>
        <w:r>
          <w:rPr>
            <w:b w:val="0"/>
            <w:bCs w:val="0"/>
          </w:rPr>
          <w:t>gov</w:t>
        </w:r>
        <w:r w:rsidRPr="00D5217E">
          <w:rPr>
            <w:b w:val="0"/>
            <w:bCs w:val="0"/>
            <w:lang w:val="ru-RU"/>
          </w:rPr>
          <w:t>.</w:t>
        </w:r>
        <w:r>
          <w:rPr>
            <w:b w:val="0"/>
            <w:bCs w:val="0"/>
          </w:rPr>
          <w:t>ru</w:t>
        </w:r>
        <w:r w:rsidRPr="00D5217E">
          <w:rPr>
            <w:b w:val="0"/>
            <w:bCs w:val="0"/>
            <w:lang w:val="ru-RU"/>
          </w:rPr>
          <w:t>/</w:t>
        </w:r>
        <w:r>
          <w:rPr>
            <w:b w:val="0"/>
            <w:bCs w:val="0"/>
          </w:rPr>
          <w:t>about</w:t>
        </w:r>
        <w:r w:rsidRPr="00D5217E">
          <w:rPr>
            <w:b w:val="0"/>
            <w:bCs w:val="0"/>
            <w:lang w:val="ru-RU"/>
          </w:rPr>
          <w:t>/</w:t>
        </w:r>
        <w:r>
          <w:rPr>
            <w:b w:val="0"/>
            <w:bCs w:val="0"/>
          </w:rPr>
          <w:t>list</w:t>
        </w:r>
        <w:r w:rsidRPr="00D5217E">
          <w:rPr>
            <w:b w:val="0"/>
            <w:bCs w:val="0"/>
            <w:lang w:val="ru-RU"/>
          </w:rPr>
          <w:t>-</w:t>
        </w:r>
        <w:r>
          <w:rPr>
            <w:b w:val="0"/>
            <w:bCs w:val="0"/>
          </w:rPr>
          <w:t>of</w:t>
        </w:r>
        <w:r w:rsidRPr="00D5217E">
          <w:rPr>
            <w:b w:val="0"/>
            <w:bCs w:val="0"/>
            <w:lang w:val="ru-RU"/>
          </w:rPr>
          <w:t>-</w:t>
        </w:r>
        <w:r>
          <w:rPr>
            <w:b w:val="0"/>
            <w:bCs w:val="0"/>
          </w:rPr>
          <w:t>reports</w:t>
        </w:r>
        <w:r w:rsidRPr="00D5217E">
          <w:rPr>
            <w:b w:val="0"/>
            <w:bCs w:val="0"/>
            <w:lang w:val="ru-RU"/>
          </w:rPr>
          <w:t>/</w:t>
        </w:r>
        <w:r>
          <w:rPr>
            <w:b w:val="0"/>
            <w:bCs w:val="0"/>
          </w:rPr>
          <w:t>list</w:t>
        </w:r>
        <w:r w:rsidRPr="00D5217E">
          <w:rPr>
            <w:b w:val="0"/>
            <w:bCs w:val="0"/>
            <w:lang w:val="ru-RU"/>
          </w:rPr>
          <w:t>-</w:t>
        </w:r>
        <w:r>
          <w:rPr>
            <w:b w:val="0"/>
            <w:bCs w:val="0"/>
          </w:rPr>
          <w:t>of</w:t>
        </w:r>
        <w:r w:rsidRPr="00D5217E">
          <w:rPr>
            <w:b w:val="0"/>
            <w:bCs w:val="0"/>
            <w:lang w:val="ru-RU"/>
          </w:rPr>
          <w:t>-</w:t>
        </w:r>
        <w:r>
          <w:rPr>
            <w:b w:val="0"/>
            <w:bCs w:val="0"/>
          </w:rPr>
          <w:t>reports</w:t>
        </w:r>
        <w:r w:rsidRPr="00D5217E">
          <w:rPr>
            <w:b w:val="0"/>
            <w:bCs w:val="0"/>
            <w:lang w:val="ru-RU"/>
          </w:rPr>
          <w:t>_30077.</w:t>
        </w:r>
        <w:r>
          <w:rPr>
            <w:b w:val="0"/>
            <w:bCs w:val="0"/>
          </w:rPr>
          <w:t>html</w:t>
        </w:r>
      </w:hyperlink>
      <w:r w:rsidRPr="00D5217E">
        <w:rPr>
          <w:b w:val="0"/>
          <w:bCs w:val="0"/>
          <w:lang w:val="ru-RU"/>
        </w:rPr>
        <w:t xml:space="preserve"> </w:t>
      </w:r>
      <w:r>
        <w:rPr>
          <w:b w:val="0"/>
          <w:bCs w:val="0"/>
          <w:lang w:val="ru-RU" w:eastAsia="ru-RU" w:bidi="ru-RU"/>
        </w:rPr>
        <w:t>(дата обраще</w:t>
      </w:r>
      <w:r>
        <w:rPr>
          <w:b w:val="0"/>
          <w:bCs w:val="0"/>
          <w:lang w:val="ru-RU" w:eastAsia="ru-RU" w:bidi="ru-RU"/>
        </w:rPr>
        <w:softHyphen/>
        <w:t>ния: 03.12.2015).</w:t>
      </w:r>
    </w:p>
  </w:footnote>
  <w:footnote w:id="162">
    <w:p w14:paraId="482926CA" w14:textId="77777777" w:rsidR="00350396" w:rsidRPr="00D5217E" w:rsidRDefault="00350396" w:rsidP="00350396">
      <w:pPr>
        <w:pStyle w:val="50"/>
        <w:shd w:val="clear" w:color="auto" w:fill="auto"/>
        <w:tabs>
          <w:tab w:val="left" w:pos="483"/>
        </w:tabs>
        <w:spacing w:line="197" w:lineRule="exact"/>
        <w:ind w:left="320" w:firstLine="0"/>
        <w:rPr>
          <w:lang w:val="ru-RU"/>
        </w:rPr>
      </w:pPr>
      <w:r>
        <w:rPr>
          <w:rStyle w:val="5BookmanOldStyle9pt"/>
          <w:vertAlign w:val="superscript"/>
        </w:rPr>
        <w:footnoteRef/>
      </w:r>
      <w:r>
        <w:rPr>
          <w:b w:val="0"/>
          <w:bCs w:val="0"/>
          <w:lang w:val="ru-RU" w:eastAsia="ru-RU" w:bidi="ru-RU"/>
        </w:rPr>
        <w:tab/>
        <w:t>Доклад о состоянии конкуренции в Российской Федерации. С. 106.</w:t>
      </w:r>
    </w:p>
  </w:footnote>
  <w:footnote w:id="163">
    <w:p w14:paraId="6DC1E13B" w14:textId="77777777" w:rsidR="00350396" w:rsidRPr="00D5217E" w:rsidRDefault="00350396" w:rsidP="00350396">
      <w:pPr>
        <w:pStyle w:val="50"/>
        <w:shd w:val="clear" w:color="auto" w:fill="auto"/>
        <w:tabs>
          <w:tab w:val="left" w:pos="489"/>
        </w:tabs>
        <w:spacing w:line="194" w:lineRule="exact"/>
        <w:ind w:left="340" w:firstLine="0"/>
        <w:rPr>
          <w:lang w:val="ru-RU"/>
        </w:rPr>
      </w:pPr>
      <w:r>
        <w:rPr>
          <w:b w:val="0"/>
          <w:bCs w:val="0"/>
          <w:vertAlign w:val="superscript"/>
          <w:lang w:val="ru-RU" w:eastAsia="ru-RU" w:bidi="ru-RU"/>
        </w:rPr>
        <w:footnoteRef/>
      </w:r>
      <w:r>
        <w:rPr>
          <w:b w:val="0"/>
          <w:bCs w:val="0"/>
          <w:lang w:val="ru-RU" w:eastAsia="ru-RU" w:bidi="ru-RU"/>
        </w:rPr>
        <w:tab/>
        <w:t>Доклад о состоянии конкуренции в Российской Федерации. С. 106.</w:t>
      </w:r>
    </w:p>
  </w:footnote>
  <w:footnote w:id="164">
    <w:p w14:paraId="41EA8A12" w14:textId="77777777" w:rsidR="00350396" w:rsidRPr="00D5217E" w:rsidRDefault="00350396" w:rsidP="00350396">
      <w:pPr>
        <w:pStyle w:val="50"/>
        <w:shd w:val="clear" w:color="auto" w:fill="auto"/>
        <w:tabs>
          <w:tab w:val="left" w:pos="483"/>
        </w:tabs>
        <w:spacing w:line="194" w:lineRule="exact"/>
        <w:ind w:left="320" w:firstLine="0"/>
        <w:rPr>
          <w:lang w:val="ru-RU"/>
        </w:rPr>
      </w:pPr>
      <w:r>
        <w:rPr>
          <w:b w:val="0"/>
          <w:bCs w:val="0"/>
          <w:vertAlign w:val="superscript"/>
          <w:lang w:val="ru-RU" w:eastAsia="ru-RU" w:bidi="ru-RU"/>
        </w:rPr>
        <w:footnoteRef/>
      </w:r>
      <w:r>
        <w:rPr>
          <w:b w:val="0"/>
          <w:bCs w:val="0"/>
          <w:lang w:val="ru-RU" w:eastAsia="ru-RU" w:bidi="ru-RU"/>
        </w:rPr>
        <w:tab/>
        <w:t>Взаимодействие государства и бизнеса. С. 112.</w:t>
      </w:r>
    </w:p>
  </w:footnote>
  <w:footnote w:id="165">
    <w:p w14:paraId="5DBFB545" w14:textId="77777777" w:rsidR="00350396" w:rsidRDefault="00350396" w:rsidP="00350396">
      <w:pPr>
        <w:pStyle w:val="a4"/>
        <w:shd w:val="clear" w:color="auto" w:fill="auto"/>
        <w:tabs>
          <w:tab w:val="left" w:pos="446"/>
        </w:tabs>
        <w:spacing w:line="202" w:lineRule="exact"/>
        <w:ind w:firstLine="320"/>
      </w:pPr>
      <w:r>
        <w:rPr>
          <w:vertAlign w:val="superscript"/>
        </w:rPr>
        <w:footnoteRef/>
      </w:r>
      <w:r>
        <w:tab/>
        <w:t>Доклад «О развитии конкурентной политики и роли антимонопольных ор</w:t>
      </w:r>
      <w:r>
        <w:softHyphen/>
        <w:t>ганов в решении социально-экономических задач (опыт Российской Федерации)». С. 16—17.</w:t>
      </w:r>
    </w:p>
  </w:footnote>
  <w:footnote w:id="166">
    <w:p w14:paraId="1E9A0504" w14:textId="77777777" w:rsidR="00350396" w:rsidRDefault="00350396" w:rsidP="00350396">
      <w:pPr>
        <w:pStyle w:val="a4"/>
        <w:shd w:val="clear" w:color="auto" w:fill="auto"/>
        <w:tabs>
          <w:tab w:val="left" w:pos="446"/>
        </w:tabs>
        <w:spacing w:line="202" w:lineRule="exact"/>
        <w:ind w:firstLine="320"/>
        <w:jc w:val="left"/>
      </w:pPr>
      <w:r>
        <w:rPr>
          <w:vertAlign w:val="superscript"/>
        </w:rPr>
        <w:footnoteRef/>
      </w:r>
      <w:r>
        <w:tab/>
        <w:t>Доклад «О состоянии конкуренции в Российской Федерации за 2018 год». С. 389.</w:t>
      </w:r>
    </w:p>
  </w:footnote>
  <w:footnote w:id="167">
    <w:p w14:paraId="15BF21FA" w14:textId="77777777" w:rsidR="00350396" w:rsidRDefault="00350396" w:rsidP="00350396">
      <w:pPr>
        <w:pStyle w:val="a4"/>
        <w:shd w:val="clear" w:color="auto" w:fill="auto"/>
        <w:tabs>
          <w:tab w:val="left" w:pos="446"/>
        </w:tabs>
      </w:pPr>
      <w:r>
        <w:rPr>
          <w:vertAlign w:val="superscript"/>
        </w:rPr>
        <w:footnoteRef/>
      </w:r>
      <w:r>
        <w:tab/>
        <w:t>Доклад «О развитии конкурентной политики и роли антимонопольных ор</w:t>
      </w:r>
      <w:r>
        <w:softHyphen/>
        <w:t>ганов в решении социально-экономических задач (опыт Российской Федерации)». С. 35.</w:t>
      </w:r>
    </w:p>
  </w:footnote>
  <w:footnote w:id="168">
    <w:p w14:paraId="60873E26" w14:textId="77777777" w:rsidR="00350396" w:rsidRDefault="00350396" w:rsidP="00350396">
      <w:pPr>
        <w:pStyle w:val="a4"/>
        <w:shd w:val="clear" w:color="auto" w:fill="auto"/>
        <w:tabs>
          <w:tab w:val="left" w:pos="446"/>
        </w:tabs>
        <w:ind w:firstLine="320"/>
        <w:jc w:val="left"/>
      </w:pPr>
      <w:r>
        <w:rPr>
          <w:vertAlign w:val="superscript"/>
        </w:rPr>
        <w:footnoteRef/>
      </w:r>
      <w:r>
        <w:tab/>
        <w:t>Доклад «О состоянии конкуренции в Российской Федерации за 2018 год». С. 390.</w:t>
      </w:r>
    </w:p>
  </w:footnote>
  <w:footnote w:id="169">
    <w:p w14:paraId="3F6818D6" w14:textId="77777777" w:rsidR="00350396" w:rsidRDefault="00350396" w:rsidP="00350396">
      <w:pPr>
        <w:pStyle w:val="a4"/>
        <w:shd w:val="clear" w:color="auto" w:fill="auto"/>
        <w:tabs>
          <w:tab w:val="left" w:pos="478"/>
        </w:tabs>
        <w:ind w:left="320" w:firstLine="0"/>
      </w:pPr>
      <w:r>
        <w:rPr>
          <w:vertAlign w:val="superscript"/>
        </w:rPr>
        <w:footnoteRef/>
      </w:r>
      <w:r>
        <w:tab/>
        <w:t>Там же. С. 16—17.</w:t>
      </w:r>
    </w:p>
  </w:footnote>
  <w:footnote w:id="170">
    <w:p w14:paraId="178DAC33" w14:textId="77777777" w:rsidR="00350396" w:rsidRDefault="00350396" w:rsidP="00350396">
      <w:pPr>
        <w:pStyle w:val="a4"/>
        <w:shd w:val="clear" w:color="auto" w:fill="auto"/>
        <w:tabs>
          <w:tab w:val="left" w:pos="446"/>
        </w:tabs>
        <w:jc w:val="left"/>
      </w:pPr>
      <w:r>
        <w:rPr>
          <w:vertAlign w:val="superscript"/>
        </w:rPr>
        <w:footnoteRef/>
      </w:r>
      <w:r>
        <w:tab/>
        <w:t>Доклад «О состоянии конкуренции в Российской Федерации за 2018 год». С. 392.</w:t>
      </w:r>
    </w:p>
  </w:footnote>
  <w:footnote w:id="171">
    <w:p w14:paraId="3113EDEE" w14:textId="77777777" w:rsidR="00350396" w:rsidRDefault="00350396" w:rsidP="00350396">
      <w:pPr>
        <w:pStyle w:val="a4"/>
        <w:shd w:val="clear" w:color="auto" w:fill="auto"/>
        <w:tabs>
          <w:tab w:val="left" w:pos="442"/>
        </w:tabs>
        <w:ind w:firstLine="320"/>
      </w:pPr>
      <w:r>
        <w:rPr>
          <w:vertAlign w:val="superscript"/>
        </w:rPr>
        <w:footnoteRef/>
      </w:r>
      <w:r>
        <w:tab/>
      </w:r>
      <w:r>
        <w:rPr>
          <w:rStyle w:val="a6"/>
        </w:rPr>
        <w:t>Маштаков К. М.</w:t>
      </w:r>
      <w:r>
        <w:t xml:space="preserve"> Антимонопольное регулирование — сфера взаимодействия публичного и частного права // Юридическая наука и практика: Вестник Нижего</w:t>
      </w:r>
      <w:r>
        <w:softHyphen/>
        <w:t>родской академии МВД России. 2013. № 23. С. 88—91.</w:t>
      </w:r>
    </w:p>
  </w:footnote>
  <w:footnote w:id="172">
    <w:p w14:paraId="649B8F49" w14:textId="77777777" w:rsidR="00350396" w:rsidRPr="00960409" w:rsidRDefault="00350396" w:rsidP="00350396">
      <w:pPr>
        <w:pStyle w:val="a4"/>
        <w:shd w:val="clear" w:color="auto" w:fill="auto"/>
        <w:spacing w:line="202" w:lineRule="exact"/>
        <w:rPr>
          <w:lang w:val="en-US"/>
        </w:rPr>
      </w:pPr>
      <w:r>
        <w:rPr>
          <w:vertAlign w:val="superscript"/>
        </w:rPr>
        <w:footnoteRef/>
      </w:r>
      <w:r>
        <w:t xml:space="preserve"> </w:t>
      </w:r>
      <w:r>
        <w:rPr>
          <w:rStyle w:val="a6"/>
        </w:rPr>
        <w:t>Добрикова Е.</w:t>
      </w:r>
      <w:r>
        <w:t xml:space="preserve"> Антимонопольное законодательство: тенденции 2015 года. </w:t>
      </w:r>
      <w:r>
        <w:rPr>
          <w:lang w:val="en-US" w:eastAsia="en-US" w:bidi="en-US"/>
        </w:rPr>
        <w:t>URL</w:t>
      </w:r>
      <w:r w:rsidRPr="00960409">
        <w:rPr>
          <w:lang w:val="en-US" w:eastAsia="en-US" w:bidi="en-US"/>
        </w:rPr>
        <w:t xml:space="preserve">: </w:t>
      </w:r>
      <w:hyperlink r:id="rId32" w:history="1">
        <w:r>
          <w:rPr>
            <w:lang w:val="en-US" w:eastAsia="en-US" w:bidi="en-US"/>
          </w:rPr>
          <w:t>http</w:t>
        </w:r>
        <w:r w:rsidRPr="00960409">
          <w:rPr>
            <w:lang w:val="en-US" w:eastAsia="en-US" w:bidi="en-US"/>
          </w:rPr>
          <w:t>://</w:t>
        </w:r>
        <w:r>
          <w:rPr>
            <w:lang w:val="en-US" w:eastAsia="en-US" w:bidi="en-US"/>
          </w:rPr>
          <w:t>www</w:t>
        </w:r>
        <w:r w:rsidRPr="00960409">
          <w:rPr>
            <w:lang w:val="en-US" w:eastAsia="en-US" w:bidi="en-US"/>
          </w:rPr>
          <w:t>.</w:t>
        </w:r>
        <w:r>
          <w:rPr>
            <w:lang w:val="en-US" w:eastAsia="en-US" w:bidi="en-US"/>
          </w:rPr>
          <w:t>garant</w:t>
        </w:r>
        <w:r w:rsidRPr="00960409">
          <w:rPr>
            <w:lang w:val="en-US" w:eastAsia="en-US" w:bidi="en-US"/>
          </w:rPr>
          <w:t>.</w:t>
        </w:r>
        <w:r>
          <w:rPr>
            <w:lang w:val="en-US" w:eastAsia="en-US" w:bidi="en-US"/>
          </w:rPr>
          <w:t>ru</w:t>
        </w:r>
        <w:r w:rsidRPr="00960409">
          <w:rPr>
            <w:lang w:val="en-US" w:eastAsia="en-US" w:bidi="en-US"/>
          </w:rPr>
          <w:t>/</w:t>
        </w:r>
        <w:r>
          <w:rPr>
            <w:lang w:val="en-US" w:eastAsia="en-US" w:bidi="en-US"/>
          </w:rPr>
          <w:t>article</w:t>
        </w:r>
        <w:r w:rsidRPr="00960409">
          <w:rPr>
            <w:lang w:val="en-US" w:eastAsia="en-US" w:bidi="en-US"/>
          </w:rPr>
          <w:t>/616813/#</w:t>
        </w:r>
        <w:r>
          <w:rPr>
            <w:lang w:val="en-US" w:eastAsia="en-US" w:bidi="en-US"/>
          </w:rPr>
          <w:t>ixzz</w:t>
        </w:r>
        <w:r w:rsidRPr="00960409">
          <w:rPr>
            <w:lang w:val="en-US" w:eastAsia="en-US" w:bidi="en-US"/>
          </w:rPr>
          <w:t>3</w:t>
        </w:r>
        <w:r>
          <w:rPr>
            <w:lang w:val="en-US" w:eastAsia="en-US" w:bidi="en-US"/>
          </w:rPr>
          <w:t>tCRxMVN</w:t>
        </w:r>
        <w:r w:rsidRPr="00960409">
          <w:rPr>
            <w:lang w:val="en-US" w:eastAsia="en-US" w:bidi="en-US"/>
          </w:rPr>
          <w:t>3</w:t>
        </w:r>
      </w:hyperlink>
      <w:r w:rsidRPr="00960409">
        <w:rPr>
          <w:lang w:val="en-US" w:eastAsia="en-US" w:bidi="en-US"/>
        </w:rPr>
        <w:t xml:space="preserve"> </w:t>
      </w:r>
      <w:r w:rsidRPr="00960409">
        <w:rPr>
          <w:lang w:val="en-US"/>
        </w:rPr>
        <w:t>(</w:t>
      </w:r>
      <w:r>
        <w:t>дата</w:t>
      </w:r>
      <w:r w:rsidRPr="00960409">
        <w:rPr>
          <w:lang w:val="en-US"/>
        </w:rPr>
        <w:t xml:space="preserve"> </w:t>
      </w:r>
      <w:r>
        <w:t>обращения</w:t>
      </w:r>
      <w:r w:rsidRPr="00960409">
        <w:rPr>
          <w:lang w:val="en-US"/>
        </w:rPr>
        <w:t>: 03.12.2015).</w:t>
      </w:r>
    </w:p>
  </w:footnote>
  <w:footnote w:id="173">
    <w:p w14:paraId="3ED4DCD4" w14:textId="77777777" w:rsidR="00350396" w:rsidRDefault="00350396" w:rsidP="00350396">
      <w:pPr>
        <w:pStyle w:val="50"/>
        <w:shd w:val="clear" w:color="auto" w:fill="auto"/>
        <w:tabs>
          <w:tab w:val="left" w:pos="451"/>
        </w:tabs>
        <w:spacing w:line="197" w:lineRule="exact"/>
        <w:ind w:firstLine="340"/>
      </w:pPr>
      <w:r>
        <w:rPr>
          <w:b w:val="0"/>
          <w:bCs w:val="0"/>
          <w:vertAlign w:val="superscript"/>
          <w:lang w:val="ru-RU" w:eastAsia="ru-RU" w:bidi="ru-RU"/>
        </w:rPr>
        <w:footnoteRef/>
      </w:r>
      <w:r w:rsidRPr="00D5217E">
        <w:rPr>
          <w:b w:val="0"/>
          <w:bCs w:val="0"/>
          <w:lang w:eastAsia="ru-RU" w:bidi="ru-RU"/>
        </w:rPr>
        <w:tab/>
      </w:r>
      <w:r>
        <w:rPr>
          <w:b w:val="0"/>
          <w:bCs w:val="0"/>
        </w:rPr>
        <w:t xml:space="preserve">URL: </w:t>
      </w:r>
      <w:hyperlink r:id="rId33" w:history="1">
        <w:r>
          <w:rPr>
            <w:b w:val="0"/>
            <w:bCs w:val="0"/>
          </w:rPr>
          <w:t>http://www.garant.ru/article/616813/</w:t>
        </w:r>
      </w:hyperlink>
      <w:r>
        <w:rPr>
          <w:b w:val="0"/>
          <w:bCs w:val="0"/>
        </w:rPr>
        <w:t xml:space="preserve">; </w:t>
      </w:r>
      <w:hyperlink r:id="rId34" w:history="1">
        <w:r>
          <w:rPr>
            <w:b w:val="0"/>
            <w:bCs w:val="0"/>
          </w:rPr>
          <w:t>http://pronedra.ru/government/</w:t>
        </w:r>
      </w:hyperlink>
      <w:r>
        <w:rPr>
          <w:b w:val="0"/>
          <w:bCs w:val="0"/>
        </w:rPr>
        <w:t xml:space="preserve"> 2015/10/06/izmeneniya-antimonopolinogo-zakonodatelistva/.</w:t>
      </w:r>
    </w:p>
  </w:footnote>
  <w:footnote w:id="174">
    <w:p w14:paraId="07288DC8" w14:textId="77777777" w:rsidR="00350396" w:rsidRDefault="00350396" w:rsidP="00350396">
      <w:pPr>
        <w:pStyle w:val="50"/>
        <w:shd w:val="clear" w:color="auto" w:fill="auto"/>
        <w:tabs>
          <w:tab w:val="left" w:pos="483"/>
        </w:tabs>
        <w:spacing w:line="197" w:lineRule="exact"/>
        <w:ind w:left="320" w:firstLine="0"/>
      </w:pPr>
      <w:r>
        <w:rPr>
          <w:b w:val="0"/>
          <w:bCs w:val="0"/>
          <w:vertAlign w:val="superscript"/>
          <w:lang w:val="ru-RU" w:eastAsia="ru-RU" w:bidi="ru-RU"/>
        </w:rPr>
        <w:footnoteRef/>
      </w:r>
      <w:r w:rsidRPr="00D5217E">
        <w:rPr>
          <w:b w:val="0"/>
          <w:bCs w:val="0"/>
          <w:lang w:eastAsia="ru-RU" w:bidi="ru-RU"/>
        </w:rPr>
        <w:tab/>
      </w:r>
      <w:r>
        <w:rPr>
          <w:b w:val="0"/>
          <w:bCs w:val="0"/>
        </w:rPr>
        <w:t xml:space="preserve">URL: </w:t>
      </w:r>
      <w:hyperlink r:id="rId35" w:history="1">
        <w:r>
          <w:rPr>
            <w:b w:val="0"/>
            <w:bCs w:val="0"/>
          </w:rPr>
          <w:t>http://lawflrm.ru/pr/print.php?id=14070</w:t>
        </w:r>
      </w:hyperlink>
      <w:r>
        <w:rPr>
          <w:b w:val="0"/>
          <w:bCs w:val="0"/>
        </w:rPr>
        <w:t>.</w:t>
      </w:r>
    </w:p>
  </w:footnote>
  <w:footnote w:id="175">
    <w:p w14:paraId="26E5E797" w14:textId="77777777" w:rsidR="00350D42" w:rsidRDefault="008E6F64">
      <w:pPr>
        <w:pStyle w:val="a4"/>
        <w:shd w:val="clear" w:color="auto" w:fill="auto"/>
      </w:pPr>
      <w:r>
        <w:rPr>
          <w:rStyle w:val="9pt"/>
          <w:vertAlign w:val="superscript"/>
        </w:rPr>
        <w:footnoteRef/>
      </w:r>
      <w:r>
        <w:rPr>
          <w:rStyle w:val="9pt"/>
        </w:rPr>
        <w:t xml:space="preserve"> </w:t>
      </w:r>
      <w:r>
        <w:rPr>
          <w:rStyle w:val="a6"/>
        </w:rPr>
        <w:t>Иванов А. Е.</w:t>
      </w:r>
      <w:r>
        <w:rPr>
          <w:rStyle w:val="a5"/>
        </w:rPr>
        <w:t xml:space="preserve"> Об одном алгоритме моделирования коррупционного/квази-кор- рупционного поведения // Научные доклады. 2013. № 8 </w:t>
      </w:r>
      <w:r w:rsidRPr="000E0C7E">
        <w:rPr>
          <w:rStyle w:val="a5"/>
          <w:lang w:eastAsia="en-US" w:bidi="en-US"/>
        </w:rPr>
        <w:t>(</w:t>
      </w:r>
      <w:r>
        <w:rPr>
          <w:rStyle w:val="a5"/>
          <w:lang w:val="en-US" w:eastAsia="en-US" w:bidi="en-US"/>
        </w:rPr>
        <w:t>R</w:t>
      </w:r>
      <w:r w:rsidRPr="000E0C7E">
        <w:rPr>
          <w:rStyle w:val="a5"/>
          <w:lang w:eastAsia="en-US" w:bidi="en-US"/>
        </w:rPr>
        <w:t xml:space="preserve">); </w:t>
      </w:r>
      <w:r>
        <w:rPr>
          <w:rStyle w:val="a5"/>
        </w:rPr>
        <w:t>Система госзакупок: на пути к новому качеству : доклад Государственного Университета — Высшая Шко</w:t>
      </w:r>
      <w:r>
        <w:rPr>
          <w:rStyle w:val="a5"/>
        </w:rPr>
        <w:softHyphen/>
        <w:t>ла Экономики / рук. проекта А. А. Яковлев. М., 2010.</w:t>
      </w:r>
    </w:p>
  </w:footnote>
  <w:footnote w:id="176">
    <w:p w14:paraId="5CF25A01" w14:textId="77777777" w:rsidR="00350D42" w:rsidRPr="00093686" w:rsidRDefault="008E6F64">
      <w:pPr>
        <w:pStyle w:val="50"/>
        <w:shd w:val="clear" w:color="auto" w:fill="auto"/>
        <w:tabs>
          <w:tab w:val="left" w:pos="446"/>
        </w:tabs>
        <w:spacing w:line="197" w:lineRule="exact"/>
        <w:ind w:firstLine="340"/>
        <w:rPr>
          <w:rFonts w:ascii="Bookman Old Style" w:hAnsi="Bookman Old Style"/>
          <w:sz w:val="18"/>
          <w:szCs w:val="18"/>
          <w:lang w:val="ru-RU"/>
        </w:rPr>
      </w:pPr>
      <w:r>
        <w:rPr>
          <w:rStyle w:val="51"/>
          <w:b/>
          <w:bCs/>
          <w:vertAlign w:val="superscript"/>
          <w:lang w:val="ru-RU" w:eastAsia="ru-RU" w:bidi="ru-RU"/>
        </w:rPr>
        <w:footnoteRef/>
      </w:r>
      <w:r>
        <w:rPr>
          <w:rStyle w:val="51"/>
          <w:b/>
          <w:bCs/>
          <w:lang w:val="ru-RU" w:eastAsia="ru-RU" w:bidi="ru-RU"/>
        </w:rPr>
        <w:tab/>
      </w:r>
      <w:r w:rsidRPr="00093686">
        <w:rPr>
          <w:rStyle w:val="51"/>
          <w:rFonts w:ascii="Bookman Old Style" w:hAnsi="Bookman Old Style"/>
          <w:sz w:val="18"/>
          <w:szCs w:val="18"/>
          <w:lang w:val="ru-RU" w:eastAsia="ru-RU" w:bidi="ru-RU"/>
        </w:rPr>
        <w:t>Федеральный закон от 18.07.2011 № 223-ФЗ «О закупках товаров, работ, услуг отдельными видами юридических лиц».</w:t>
      </w:r>
    </w:p>
  </w:footnote>
  <w:footnote w:id="177">
    <w:p w14:paraId="5873C382" w14:textId="77777777" w:rsidR="00350D42" w:rsidRPr="00093686" w:rsidRDefault="008E6F64">
      <w:pPr>
        <w:pStyle w:val="50"/>
        <w:shd w:val="clear" w:color="auto" w:fill="auto"/>
        <w:tabs>
          <w:tab w:val="left" w:pos="451"/>
        </w:tabs>
        <w:spacing w:line="197" w:lineRule="exact"/>
        <w:rPr>
          <w:rFonts w:ascii="Bookman Old Style" w:hAnsi="Bookman Old Style"/>
          <w:sz w:val="18"/>
          <w:szCs w:val="18"/>
          <w:lang w:val="ru-RU"/>
        </w:rPr>
      </w:pPr>
      <w:r w:rsidRPr="00093686">
        <w:rPr>
          <w:rStyle w:val="51"/>
          <w:rFonts w:ascii="Bookman Old Style" w:hAnsi="Bookman Old Style"/>
          <w:sz w:val="18"/>
          <w:szCs w:val="18"/>
          <w:vertAlign w:val="superscript"/>
          <w:lang w:val="ru-RU" w:eastAsia="ru-RU" w:bidi="ru-RU"/>
        </w:rPr>
        <w:footnoteRef/>
      </w:r>
      <w:r w:rsidRPr="00093686">
        <w:rPr>
          <w:rStyle w:val="51"/>
          <w:rFonts w:ascii="Bookman Old Style" w:hAnsi="Bookman Old Style"/>
          <w:sz w:val="18"/>
          <w:szCs w:val="18"/>
          <w:lang w:val="ru-RU" w:eastAsia="ru-RU" w:bidi="ru-RU"/>
        </w:rPr>
        <w:tab/>
        <w:t>Федеральный закон от 05.04.2013 № 44-ФЗ «О контрактной системе в сфере закупок товаров, работ, услуг для обеспечения государственных и муниципальных нужд».</w:t>
      </w:r>
    </w:p>
  </w:footnote>
  <w:footnote w:id="178">
    <w:p w14:paraId="23495D39" w14:textId="26AF4BFF" w:rsidR="00E32807" w:rsidRPr="00DB7CE1" w:rsidRDefault="00E32807" w:rsidP="005D6809">
      <w:pPr>
        <w:pStyle w:val="1"/>
        <w:spacing w:before="0" w:beforeAutospacing="0" w:after="0" w:afterAutospacing="0"/>
        <w:rPr>
          <w:rFonts w:ascii="Bookman Old Style" w:hAnsi="Bookman Old Style"/>
          <w:color w:val="00B050"/>
          <w:sz w:val="18"/>
          <w:szCs w:val="18"/>
        </w:rPr>
      </w:pPr>
      <w:r w:rsidRPr="00DB7CE1">
        <w:rPr>
          <w:rStyle w:val="af8"/>
          <w:rFonts w:ascii="Bookman Old Style" w:hAnsi="Bookman Old Style"/>
          <w:color w:val="00B050"/>
          <w:sz w:val="18"/>
          <w:szCs w:val="18"/>
        </w:rPr>
        <w:footnoteRef/>
      </w:r>
      <w:r w:rsidRPr="00093686">
        <w:rPr>
          <w:rFonts w:ascii="Bookman Old Style" w:hAnsi="Bookman Old Style"/>
          <w:sz w:val="18"/>
          <w:szCs w:val="18"/>
        </w:rPr>
        <w:t xml:space="preserve"> </w:t>
      </w:r>
      <w:r w:rsidR="00093686" w:rsidRPr="00093686">
        <w:rPr>
          <w:rFonts w:ascii="Bookman Old Style" w:hAnsi="Bookman Old Style"/>
          <w:b w:val="0"/>
          <w:bCs w:val="0"/>
          <w:color w:val="00B050"/>
          <w:sz w:val="18"/>
          <w:szCs w:val="18"/>
        </w:rPr>
        <w:t xml:space="preserve">Таблица основных изменений правил осуществления закупок по 44-ФЗ и 223-ФЗ в условиях действия санкций и ограничительных мер. – [Электронный ресурс]. </w:t>
      </w:r>
      <w:r w:rsidR="00DB7CE1">
        <w:rPr>
          <w:rFonts w:ascii="Bookman Old Style" w:hAnsi="Bookman Old Style"/>
          <w:b w:val="0"/>
          <w:bCs w:val="0"/>
          <w:color w:val="00B050"/>
          <w:sz w:val="18"/>
          <w:szCs w:val="18"/>
        </w:rPr>
        <w:t>–</w:t>
      </w:r>
      <w:r w:rsidR="00093686" w:rsidRPr="00093686">
        <w:rPr>
          <w:rFonts w:ascii="Bookman Old Style" w:hAnsi="Bookman Old Style"/>
          <w:b w:val="0"/>
          <w:bCs w:val="0"/>
          <w:color w:val="00B050"/>
          <w:sz w:val="18"/>
          <w:szCs w:val="18"/>
        </w:rPr>
        <w:t xml:space="preserve"> </w:t>
      </w:r>
      <w:r w:rsidR="00DB7CE1">
        <w:rPr>
          <w:rFonts w:ascii="Bookman Old Style" w:hAnsi="Bookman Old Style"/>
          <w:b w:val="0"/>
          <w:bCs w:val="0"/>
          <w:color w:val="00B050"/>
          <w:sz w:val="18"/>
          <w:szCs w:val="18"/>
        </w:rPr>
        <w:t xml:space="preserve">Доступ: </w:t>
      </w:r>
      <w:hyperlink r:id="rId36" w:history="1">
        <w:r w:rsidR="00DB7CE1" w:rsidRPr="00DB7CE1">
          <w:rPr>
            <w:rStyle w:val="af9"/>
            <w:rFonts w:ascii="Bookman Old Style" w:eastAsia="Bookman Old Style" w:hAnsi="Bookman Old Style"/>
            <w:b w:val="0"/>
            <w:bCs w:val="0"/>
            <w:color w:val="00B050"/>
            <w:sz w:val="18"/>
            <w:szCs w:val="18"/>
            <w:u w:val="none"/>
            <w:lang w:val="en-US"/>
          </w:rPr>
          <w:t>https</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www</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fcaudit</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ru</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blog</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tablitsa</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osnovnykh</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izmeneniy</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pravil</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osushchestvleniya</w:t>
        </w:r>
        <w:r w:rsidR="00DB7CE1" w:rsidRPr="00DB7CE1">
          <w:rPr>
            <w:rStyle w:val="af9"/>
            <w:rFonts w:ascii="Bookman Old Style" w:eastAsia="Bookman Old Style" w:hAnsi="Bookman Old Style"/>
            <w:b w:val="0"/>
            <w:bCs w:val="0"/>
            <w:color w:val="00B050"/>
            <w:sz w:val="18"/>
            <w:szCs w:val="18"/>
            <w:u w:val="none"/>
          </w:rPr>
          <w:t>-</w:t>
        </w:r>
        <w:r w:rsidR="00DB7CE1" w:rsidRPr="00DB7CE1">
          <w:rPr>
            <w:rStyle w:val="af9"/>
            <w:rFonts w:ascii="Bookman Old Style" w:eastAsia="Bookman Old Style" w:hAnsi="Bookman Old Style"/>
            <w:b w:val="0"/>
            <w:bCs w:val="0"/>
            <w:color w:val="00B050"/>
            <w:sz w:val="18"/>
            <w:szCs w:val="18"/>
            <w:u w:val="none"/>
            <w:lang w:val="en-US"/>
          </w:rPr>
          <w:t>zakupok</w:t>
        </w:r>
        <w:r w:rsidR="00DB7CE1" w:rsidRPr="00DB7CE1">
          <w:rPr>
            <w:rStyle w:val="af9"/>
            <w:rFonts w:ascii="Bookman Old Style" w:eastAsia="Bookman Old Style" w:hAnsi="Bookman Old Style"/>
            <w:b w:val="0"/>
            <w:bCs w:val="0"/>
            <w:color w:val="00B050"/>
            <w:sz w:val="18"/>
            <w:szCs w:val="18"/>
            <w:u w:val="none"/>
          </w:rPr>
          <w:t>/</w:t>
        </w:r>
      </w:hyperlink>
      <w:r w:rsidR="00984A08">
        <w:rPr>
          <w:rFonts w:ascii="Bookman Old Style" w:eastAsia="Bookman Old Style" w:hAnsi="Bookman Old Style"/>
          <w:b w:val="0"/>
          <w:bCs w:val="0"/>
          <w:color w:val="00B050"/>
          <w:sz w:val="18"/>
          <w:szCs w:val="18"/>
        </w:rPr>
        <w:t>.</w:t>
      </w:r>
      <w:r w:rsidR="00093686" w:rsidRPr="00DB7CE1">
        <w:rPr>
          <w:rFonts w:ascii="Bookman Old Style" w:hAnsi="Bookman Old Style"/>
          <w:b w:val="0"/>
          <w:bCs w:val="0"/>
          <w:caps/>
          <w:color w:val="00B050"/>
          <w:sz w:val="18"/>
          <w:szCs w:val="18"/>
        </w:rPr>
        <w:t xml:space="preserve"> </w:t>
      </w:r>
      <w:r w:rsidR="00093686" w:rsidRPr="00DB7CE1">
        <w:rPr>
          <w:rFonts w:ascii="Bookman Old Style" w:hAnsi="Bookman Old Style"/>
          <w:caps/>
          <w:color w:val="00B050"/>
          <w:sz w:val="18"/>
          <w:szCs w:val="18"/>
        </w:rPr>
        <w:t xml:space="preserve"> </w:t>
      </w:r>
    </w:p>
  </w:footnote>
  <w:footnote w:id="179">
    <w:p w14:paraId="266C7879" w14:textId="2E032D3C" w:rsidR="005D6809" w:rsidRPr="005D6809" w:rsidRDefault="001845CC" w:rsidP="005D6809">
      <w:pPr>
        <w:pStyle w:val="header-singleitem"/>
        <w:spacing w:before="0" w:beforeAutospacing="0" w:after="0" w:afterAutospacing="0" w:line="197" w:lineRule="exact"/>
        <w:ind w:firstLine="318"/>
        <w:jc w:val="both"/>
        <w:rPr>
          <w:rFonts w:ascii="Bookman Old Style" w:hAnsi="Bookman Old Style"/>
          <w:color w:val="00B050"/>
          <w:sz w:val="18"/>
          <w:szCs w:val="18"/>
        </w:rPr>
      </w:pPr>
      <w:r w:rsidRPr="005D6809">
        <w:rPr>
          <w:rStyle w:val="af8"/>
          <w:rFonts w:ascii="Bookman Old Style" w:hAnsi="Bookman Old Style"/>
          <w:color w:val="00B050"/>
          <w:sz w:val="18"/>
          <w:szCs w:val="18"/>
        </w:rPr>
        <w:footnoteRef/>
      </w:r>
      <w:r w:rsidRPr="005D6809">
        <w:rPr>
          <w:rFonts w:ascii="Bookman Old Style" w:hAnsi="Bookman Old Style"/>
          <w:color w:val="00B050"/>
          <w:sz w:val="18"/>
          <w:szCs w:val="18"/>
        </w:rPr>
        <w:t xml:space="preserve"> </w:t>
      </w:r>
      <w:r w:rsidR="005D6809" w:rsidRPr="005D6809">
        <w:rPr>
          <w:rFonts w:ascii="Bookman Old Style" w:hAnsi="Bookman Old Style"/>
          <w:color w:val="00B050"/>
          <w:sz w:val="18"/>
          <w:szCs w:val="18"/>
        </w:rPr>
        <w:t>Бельковиц-Краснов В. Приняты масштабные изменения в законы о госзакупках и контрактной системе. – [Электронный ресурс]. – Доступ: https://buhguru.com/news/izmeneniya-2021-v-zakony-o-goszakupkah-i-kontraktnoj-sisteme.html</w:t>
      </w:r>
      <w:r w:rsidR="00984A08">
        <w:rPr>
          <w:rFonts w:ascii="Bookman Old Style" w:hAnsi="Bookman Old Style"/>
          <w:color w:val="00B050"/>
          <w:sz w:val="18"/>
          <w:szCs w:val="18"/>
        </w:rPr>
        <w:t>.</w:t>
      </w:r>
    </w:p>
    <w:p w14:paraId="08116EFD" w14:textId="2A568F4D" w:rsidR="001845CC" w:rsidRDefault="001845CC" w:rsidP="005D6809">
      <w:pPr>
        <w:pStyle w:val="af6"/>
      </w:pPr>
    </w:p>
  </w:footnote>
  <w:footnote w:id="180">
    <w:p w14:paraId="6C2048B0" w14:textId="3BEB4FE7" w:rsidR="00350D42" w:rsidRPr="00093686" w:rsidRDefault="008E6F64" w:rsidP="00D367BF">
      <w:pPr>
        <w:pStyle w:val="a4"/>
        <w:shd w:val="clear" w:color="auto" w:fill="auto"/>
        <w:tabs>
          <w:tab w:val="left" w:pos="484"/>
        </w:tabs>
        <w:ind w:firstLine="318"/>
        <w:rPr>
          <w:sz w:val="18"/>
          <w:szCs w:val="18"/>
        </w:rPr>
      </w:pPr>
      <w:r w:rsidRPr="00093686">
        <w:rPr>
          <w:rStyle w:val="a5"/>
          <w:sz w:val="18"/>
          <w:szCs w:val="18"/>
          <w:vertAlign w:val="superscript"/>
        </w:rPr>
        <w:footnoteRef/>
      </w:r>
      <w:r w:rsidRPr="00093686">
        <w:rPr>
          <w:rStyle w:val="a5"/>
          <w:sz w:val="18"/>
          <w:szCs w:val="18"/>
        </w:rPr>
        <w:tab/>
      </w:r>
      <w:r w:rsidRPr="00093686">
        <w:rPr>
          <w:rStyle w:val="a6"/>
          <w:sz w:val="18"/>
          <w:szCs w:val="18"/>
        </w:rPr>
        <w:t>Котлер Ф.</w:t>
      </w:r>
      <w:r w:rsidRPr="00093686">
        <w:rPr>
          <w:rStyle w:val="a5"/>
          <w:sz w:val="18"/>
          <w:szCs w:val="18"/>
        </w:rPr>
        <w:t xml:space="preserve"> Основы маркетинга. М. : Прогресс, 1993. С. 222.</w:t>
      </w:r>
    </w:p>
  </w:footnote>
  <w:footnote w:id="181">
    <w:p w14:paraId="2D916872" w14:textId="77777777" w:rsidR="00350D42" w:rsidRDefault="008E6F64" w:rsidP="00D367BF">
      <w:pPr>
        <w:pStyle w:val="a4"/>
        <w:shd w:val="clear" w:color="auto" w:fill="auto"/>
        <w:tabs>
          <w:tab w:val="left" w:pos="451"/>
        </w:tabs>
        <w:ind w:firstLine="318"/>
      </w:pPr>
      <w:r w:rsidRPr="00093686">
        <w:rPr>
          <w:rStyle w:val="a5"/>
          <w:sz w:val="18"/>
          <w:szCs w:val="18"/>
          <w:vertAlign w:val="superscript"/>
        </w:rPr>
        <w:footnoteRef/>
      </w:r>
      <w:r w:rsidRPr="00093686">
        <w:rPr>
          <w:rStyle w:val="a5"/>
          <w:sz w:val="18"/>
          <w:szCs w:val="18"/>
        </w:rPr>
        <w:tab/>
      </w:r>
      <w:r w:rsidRPr="00093686">
        <w:rPr>
          <w:rStyle w:val="a6"/>
          <w:sz w:val="18"/>
          <w:szCs w:val="18"/>
        </w:rPr>
        <w:t>Троицкая И. В.</w:t>
      </w:r>
      <w:r w:rsidRPr="00093686">
        <w:rPr>
          <w:rStyle w:val="a5"/>
          <w:sz w:val="18"/>
          <w:szCs w:val="18"/>
        </w:rPr>
        <w:t xml:space="preserve"> Изменения в состояниях управленческих модулей системы</w:t>
      </w:r>
      <w:r>
        <w:rPr>
          <w:rStyle w:val="a5"/>
        </w:rPr>
        <w:t xml:space="preserve"> го</w:t>
      </w:r>
      <w:r>
        <w:rPr>
          <w:rStyle w:val="a5"/>
        </w:rPr>
        <w:softHyphen/>
        <w:t>сударственных закупок // Материалы Международной научно-практической кон</w:t>
      </w:r>
      <w:r>
        <w:rPr>
          <w:rStyle w:val="a5"/>
        </w:rPr>
        <w:softHyphen/>
        <w:t xml:space="preserve">ференции «Наука и инновации в современном строительстве-2007», посвященной 175-летию СПбГАСУ 17—19 октября 2007 г. : сб. статей. СПб. : Изд-во СПбГАСУ, 2007. С. 403—406; </w:t>
      </w:r>
      <w:r>
        <w:rPr>
          <w:rStyle w:val="a6"/>
        </w:rPr>
        <w:t>Она же.</w:t>
      </w:r>
      <w:r>
        <w:rPr>
          <w:rStyle w:val="a5"/>
        </w:rPr>
        <w:t xml:space="preserve"> Психология отношения к экономическим явлениям : монография. СПб. : Изд-во СПбГАСУ, 2004. С. 147—158.</w:t>
      </w:r>
    </w:p>
  </w:footnote>
  <w:footnote w:id="182">
    <w:p w14:paraId="3E60B575" w14:textId="77777777" w:rsidR="00350D42" w:rsidRPr="000E0C7E" w:rsidRDefault="008E6F64">
      <w:pPr>
        <w:pStyle w:val="a4"/>
        <w:shd w:val="clear" w:color="auto" w:fill="auto"/>
        <w:rPr>
          <w:lang w:val="en-US"/>
        </w:rPr>
      </w:pPr>
      <w:r>
        <w:rPr>
          <w:rStyle w:val="a5"/>
          <w:vertAlign w:val="superscript"/>
        </w:rPr>
        <w:footnoteRef/>
      </w:r>
      <w:r>
        <w:rPr>
          <w:rStyle w:val="a5"/>
        </w:rPr>
        <w:t xml:space="preserve"> </w:t>
      </w:r>
      <w:r>
        <w:rPr>
          <w:rStyle w:val="a6"/>
        </w:rPr>
        <w:t>Перов К.</w:t>
      </w:r>
      <w:r>
        <w:rPr>
          <w:rStyle w:val="a5"/>
        </w:rPr>
        <w:t xml:space="preserve"> Государственные закупки и перспективы вступления России в ВТО. </w:t>
      </w:r>
      <w:r>
        <w:rPr>
          <w:rStyle w:val="a5"/>
          <w:lang w:val="en-US" w:eastAsia="en-US" w:bidi="en-US"/>
        </w:rPr>
        <w:t>URL:&lt;web.woridbank.org/WBSITE/Eftemal/Topics/Trade/&lt;</w:t>
      </w:r>
      <w:hyperlink r:id="rId37" w:history="1">
        <w:r>
          <w:rPr>
            <w:rStyle w:val="a5"/>
            <w:lang w:val="en-US" w:eastAsia="en-US" w:bidi="en-US"/>
          </w:rPr>
          <w:t>http://www.procurement. management/state-rost/2006/3.htm</w:t>
        </w:r>
      </w:hyperlink>
      <w:r>
        <w:rPr>
          <w:rStyle w:val="a5"/>
          <w:lang w:val="en-US" w:eastAsia="en-US" w:bidi="en-US"/>
        </w:rPr>
        <w:t>&gt;.</w:t>
      </w:r>
    </w:p>
  </w:footnote>
  <w:footnote w:id="183">
    <w:p w14:paraId="1F1E0D64" w14:textId="77777777" w:rsidR="00350D42" w:rsidRPr="000E0C7E" w:rsidRDefault="008E6F64">
      <w:pPr>
        <w:pStyle w:val="a4"/>
        <w:shd w:val="clear" w:color="auto" w:fill="auto"/>
        <w:tabs>
          <w:tab w:val="left" w:pos="446"/>
        </w:tabs>
        <w:jc w:val="left"/>
        <w:rPr>
          <w:lang w:val="en-US"/>
        </w:rPr>
      </w:pPr>
      <w:r>
        <w:rPr>
          <w:rStyle w:val="a5"/>
          <w:vertAlign w:val="superscript"/>
        </w:rPr>
        <w:footnoteRef/>
      </w:r>
      <w:r w:rsidRPr="000E0C7E">
        <w:rPr>
          <w:rStyle w:val="a5"/>
          <w:lang w:val="en-US"/>
        </w:rPr>
        <w:tab/>
      </w:r>
      <w:r>
        <w:rPr>
          <w:rStyle w:val="a5"/>
          <w:lang w:val="en-US" w:eastAsia="en-US" w:bidi="en-US"/>
        </w:rPr>
        <w:t xml:space="preserve">News Line of RosBusines Consulting </w:t>
      </w:r>
      <w:r w:rsidRPr="000E0C7E">
        <w:rPr>
          <w:rStyle w:val="a5"/>
          <w:lang w:val="en-US"/>
        </w:rPr>
        <w:t xml:space="preserve">/ </w:t>
      </w:r>
      <w:r>
        <w:rPr>
          <w:rStyle w:val="a5"/>
          <w:lang w:val="en-US" w:eastAsia="en-US" w:bidi="en-US"/>
        </w:rPr>
        <w:t xml:space="preserve">16.11.01. URL: </w:t>
      </w:r>
      <w:hyperlink r:id="rId38" w:history="1">
        <w:r>
          <w:rPr>
            <w:rStyle w:val="a5"/>
            <w:lang w:val="en-US" w:eastAsia="en-US" w:bidi="en-US"/>
          </w:rPr>
          <w:t>http://www.rbc.ru/spb/</w:t>
        </w:r>
      </w:hyperlink>
      <w:r>
        <w:rPr>
          <w:rStyle w:val="a5"/>
          <w:lang w:val="en-US" w:eastAsia="en-US" w:bidi="en-US"/>
        </w:rPr>
        <w:t xml:space="preserve"> freenews/2001111518191.shtml; News Line of RosBusines Consulting/16.11.01.</w:t>
      </w:r>
    </w:p>
  </w:footnote>
  <w:footnote w:id="184">
    <w:p w14:paraId="5EF47E88" w14:textId="77777777" w:rsidR="00350D42" w:rsidRDefault="008E6F64">
      <w:pPr>
        <w:pStyle w:val="a4"/>
        <w:shd w:val="clear" w:color="auto" w:fill="auto"/>
        <w:tabs>
          <w:tab w:val="left" w:pos="466"/>
        </w:tabs>
        <w:ind w:firstLine="320"/>
        <w:jc w:val="left"/>
      </w:pPr>
      <w:r>
        <w:rPr>
          <w:rStyle w:val="a5"/>
          <w:vertAlign w:val="superscript"/>
          <w:lang w:val="en-US" w:eastAsia="en-US" w:bidi="en-US"/>
        </w:rPr>
        <w:footnoteRef/>
      </w:r>
      <w:r w:rsidRPr="000E0C7E">
        <w:rPr>
          <w:rStyle w:val="a5"/>
          <w:lang w:eastAsia="en-US" w:bidi="en-US"/>
        </w:rPr>
        <w:tab/>
      </w:r>
      <w:r>
        <w:rPr>
          <w:rStyle w:val="a6"/>
        </w:rPr>
        <w:t>Симаков Д.</w:t>
      </w:r>
      <w:r>
        <w:rPr>
          <w:rStyle w:val="a5"/>
        </w:rPr>
        <w:t xml:space="preserve"> Простые, как грабли // Деловой Петербург. 2003. 19 апр. № 70 (946).</w:t>
      </w:r>
    </w:p>
  </w:footnote>
  <w:footnote w:id="185">
    <w:p w14:paraId="64A71300" w14:textId="77777777" w:rsidR="00350D42" w:rsidRDefault="008E6F64">
      <w:pPr>
        <w:pStyle w:val="a4"/>
        <w:shd w:val="clear" w:color="auto" w:fill="auto"/>
        <w:tabs>
          <w:tab w:val="left" w:pos="432"/>
        </w:tabs>
        <w:ind w:firstLine="320"/>
        <w:jc w:val="left"/>
      </w:pPr>
      <w:r>
        <w:rPr>
          <w:rStyle w:val="a5"/>
          <w:vertAlign w:val="superscript"/>
        </w:rPr>
        <w:footnoteRef/>
      </w:r>
      <w:r>
        <w:rPr>
          <w:rStyle w:val="a5"/>
        </w:rPr>
        <w:tab/>
      </w:r>
      <w:r>
        <w:rPr>
          <w:rStyle w:val="a6"/>
        </w:rPr>
        <w:t>Хмелев М.</w:t>
      </w:r>
      <w:r>
        <w:rPr>
          <w:rStyle w:val="a5"/>
        </w:rPr>
        <w:t xml:space="preserve"> Из госзаказа «утекло» 300 миллиардов // Известия. 2006. 22— 24 дек.</w:t>
      </w:r>
    </w:p>
  </w:footnote>
  <w:footnote w:id="186">
    <w:p w14:paraId="7890E0E8" w14:textId="77777777" w:rsidR="00350D42" w:rsidRPr="002741C7" w:rsidRDefault="008E6F64">
      <w:pPr>
        <w:pStyle w:val="a4"/>
        <w:shd w:val="clear" w:color="auto" w:fill="auto"/>
        <w:tabs>
          <w:tab w:val="left" w:pos="494"/>
        </w:tabs>
        <w:ind w:left="340" w:firstLine="0"/>
      </w:pPr>
      <w:r>
        <w:rPr>
          <w:rStyle w:val="a5"/>
          <w:vertAlign w:val="superscript"/>
        </w:rPr>
        <w:footnoteRef/>
      </w:r>
      <w:r w:rsidRPr="002741C7">
        <w:rPr>
          <w:rStyle w:val="a5"/>
        </w:rPr>
        <w:tab/>
      </w:r>
      <w:r>
        <w:rPr>
          <w:rStyle w:val="a5"/>
          <w:lang w:val="en-US" w:eastAsia="en-US" w:bidi="en-US"/>
        </w:rPr>
        <w:t>URL</w:t>
      </w:r>
      <w:r w:rsidRPr="002741C7">
        <w:rPr>
          <w:rStyle w:val="a5"/>
          <w:lang w:eastAsia="en-US" w:bidi="en-US"/>
        </w:rPr>
        <w:t xml:space="preserve">: </w:t>
      </w:r>
      <w:hyperlink r:id="rId39" w:history="1">
        <w:r>
          <w:rPr>
            <w:rStyle w:val="a5"/>
            <w:lang w:val="en-US" w:eastAsia="en-US" w:bidi="en-US"/>
          </w:rPr>
          <w:t>http</w:t>
        </w:r>
        <w:r w:rsidRPr="002741C7">
          <w:rPr>
            <w:rStyle w:val="a5"/>
            <w:lang w:eastAsia="en-US" w:bidi="en-US"/>
          </w:rPr>
          <w:t>://</w:t>
        </w:r>
        <w:r>
          <w:rPr>
            <w:rStyle w:val="a5"/>
            <w:lang w:val="en-US" w:eastAsia="en-US" w:bidi="en-US"/>
          </w:rPr>
          <w:t>top</w:t>
        </w:r>
        <w:r w:rsidRPr="002741C7">
          <w:rPr>
            <w:rStyle w:val="a5"/>
            <w:lang w:eastAsia="en-US" w:bidi="en-US"/>
          </w:rPr>
          <w:t>.</w:t>
        </w:r>
        <w:r>
          <w:rPr>
            <w:rStyle w:val="a5"/>
            <w:lang w:val="en-US" w:eastAsia="en-US" w:bidi="en-US"/>
          </w:rPr>
          <w:t>rbc</w:t>
        </w:r>
        <w:r w:rsidRPr="002741C7">
          <w:rPr>
            <w:rStyle w:val="a5"/>
            <w:lang w:eastAsia="en-US" w:bidi="en-US"/>
          </w:rPr>
          <w:t>.</w:t>
        </w:r>
        <w:r>
          <w:rPr>
            <w:rStyle w:val="a5"/>
            <w:lang w:val="en-US" w:eastAsia="en-US" w:bidi="en-US"/>
          </w:rPr>
          <w:t>ru</w:t>
        </w:r>
        <w:r w:rsidRPr="002741C7">
          <w:rPr>
            <w:rStyle w:val="a5"/>
            <w:lang w:eastAsia="en-US" w:bidi="en-US"/>
          </w:rPr>
          <w:t>/</w:t>
        </w:r>
        <w:r>
          <w:rPr>
            <w:rStyle w:val="a5"/>
            <w:lang w:val="en-US" w:eastAsia="en-US" w:bidi="en-US"/>
          </w:rPr>
          <w:t>economics</w:t>
        </w:r>
        <w:r w:rsidRPr="002741C7">
          <w:rPr>
            <w:rStyle w:val="a5"/>
            <w:lang w:eastAsia="en-US" w:bidi="en-US"/>
          </w:rPr>
          <w:t>/15/08/2013/870272.</w:t>
        </w:r>
        <w:r>
          <w:rPr>
            <w:rStyle w:val="a5"/>
            <w:lang w:val="en-US" w:eastAsia="en-US" w:bidi="en-US"/>
          </w:rPr>
          <w:t>shtml</w:t>
        </w:r>
        <w:r w:rsidRPr="002741C7">
          <w:rPr>
            <w:rStyle w:val="a5"/>
            <w:lang w:eastAsia="en-US" w:bidi="en-US"/>
          </w:rPr>
          <w:t>/</w:t>
        </w:r>
      </w:hyperlink>
      <w:r w:rsidRPr="002741C7">
        <w:rPr>
          <w:rStyle w:val="a5"/>
          <w:lang w:eastAsia="en-US" w:bidi="en-US"/>
        </w:rPr>
        <w:t>.</w:t>
      </w:r>
    </w:p>
  </w:footnote>
  <w:footnote w:id="187">
    <w:p w14:paraId="6911126C" w14:textId="77777777" w:rsidR="00350D42" w:rsidRDefault="008E6F64">
      <w:pPr>
        <w:pStyle w:val="a4"/>
        <w:shd w:val="clear" w:color="auto" w:fill="auto"/>
        <w:tabs>
          <w:tab w:val="left" w:pos="451"/>
        </w:tabs>
        <w:ind w:firstLine="320"/>
        <w:jc w:val="left"/>
      </w:pPr>
      <w:r>
        <w:rPr>
          <w:rStyle w:val="a5"/>
          <w:vertAlign w:val="superscript"/>
        </w:rPr>
        <w:footnoteRef/>
      </w:r>
      <w:r>
        <w:rPr>
          <w:rStyle w:val="a5"/>
        </w:rPr>
        <w:tab/>
        <w:t xml:space="preserve">Госзакупки в рамках ВТО. Ассоциация электронных торговых площадок. </w:t>
      </w:r>
      <w:r>
        <w:rPr>
          <w:rStyle w:val="a5"/>
          <w:lang w:val="en-US" w:eastAsia="en-US" w:bidi="en-US"/>
        </w:rPr>
        <w:t>URL</w:t>
      </w:r>
      <w:r w:rsidRPr="000E0C7E">
        <w:rPr>
          <w:rStyle w:val="a5"/>
          <w:lang w:eastAsia="en-US" w:bidi="en-US"/>
        </w:rPr>
        <w:t xml:space="preserve">: </w:t>
      </w:r>
      <w:hyperlink r:id="rId40" w:history="1">
        <w:r>
          <w:rPr>
            <w:rStyle w:val="a5"/>
            <w:lang w:val="en-US" w:eastAsia="en-US" w:bidi="en-US"/>
          </w:rPr>
          <w:t>http</w:t>
        </w:r>
        <w:r w:rsidRPr="000E0C7E">
          <w:rPr>
            <w:rStyle w:val="a5"/>
            <w:lang w:eastAsia="en-US" w:bidi="en-US"/>
          </w:rPr>
          <w:t>://</w:t>
        </w:r>
        <w:r>
          <w:rPr>
            <w:rStyle w:val="a5"/>
            <w:lang w:val="en-US" w:eastAsia="en-US" w:bidi="en-US"/>
          </w:rPr>
          <w:t>aetp</w:t>
        </w:r>
        <w:r w:rsidRPr="000E0C7E">
          <w:rPr>
            <w:rStyle w:val="a5"/>
            <w:lang w:eastAsia="en-US" w:bidi="en-US"/>
          </w:rPr>
          <w:t>.</w:t>
        </w:r>
        <w:r>
          <w:rPr>
            <w:rStyle w:val="a5"/>
            <w:lang w:val="en-US" w:eastAsia="en-US" w:bidi="en-US"/>
          </w:rPr>
          <w:t>ru</w:t>
        </w:r>
        <w:r w:rsidRPr="000E0C7E">
          <w:rPr>
            <w:rStyle w:val="a5"/>
            <w:lang w:eastAsia="en-US" w:bidi="en-US"/>
          </w:rPr>
          <w:t>/</w:t>
        </w:r>
      </w:hyperlink>
      <w:r w:rsidRPr="000E0C7E">
        <w:rPr>
          <w:rStyle w:val="a5"/>
          <w:lang w:eastAsia="en-US" w:bidi="en-US"/>
        </w:rPr>
        <w:t>.</w:t>
      </w:r>
    </w:p>
  </w:footnote>
  <w:footnote w:id="188">
    <w:p w14:paraId="4EFCBA09" w14:textId="77777777" w:rsidR="00350D42" w:rsidRDefault="008E6F64">
      <w:pPr>
        <w:pStyle w:val="a4"/>
        <w:shd w:val="clear" w:color="auto" w:fill="auto"/>
        <w:tabs>
          <w:tab w:val="left" w:pos="442"/>
        </w:tabs>
        <w:ind w:firstLine="320"/>
      </w:pPr>
      <w:r>
        <w:rPr>
          <w:rStyle w:val="a5"/>
          <w:vertAlign w:val="superscript"/>
        </w:rPr>
        <w:footnoteRef/>
      </w:r>
      <w:r>
        <w:rPr>
          <w:rStyle w:val="a5"/>
        </w:rPr>
        <w:tab/>
      </w:r>
      <w:r>
        <w:rPr>
          <w:rStyle w:val="a6"/>
        </w:rPr>
        <w:t>Бункина М. К., Семенов В. А.</w:t>
      </w:r>
      <w:r>
        <w:rPr>
          <w:rStyle w:val="a5"/>
        </w:rPr>
        <w:t xml:space="preserve"> Экономика и психология. М. : Дело, 1998; </w:t>
      </w:r>
      <w:r>
        <w:rPr>
          <w:rStyle w:val="a6"/>
        </w:rPr>
        <w:t>Бьюке</w:t>
      </w:r>
      <w:r>
        <w:rPr>
          <w:rStyle w:val="a6"/>
        </w:rPr>
        <w:softHyphen/>
        <w:t>нен Д.</w:t>
      </w:r>
      <w:r>
        <w:rPr>
          <w:rStyle w:val="a5"/>
        </w:rPr>
        <w:t xml:space="preserve"> Расчет согласия. М. : Экономика, 1997; </w:t>
      </w:r>
      <w:r>
        <w:rPr>
          <w:rStyle w:val="a6"/>
        </w:rPr>
        <w:t>Марковская Е. И., Троицкая И. В.</w:t>
      </w:r>
      <w:r>
        <w:rPr>
          <w:rStyle w:val="a5"/>
        </w:rPr>
        <w:t xml:space="preserve"> Эко</w:t>
      </w:r>
      <w:r>
        <w:rPr>
          <w:rStyle w:val="a5"/>
        </w:rPr>
        <w:softHyphen/>
        <w:t>номико-психологические особенности функционирования системы государ</w:t>
      </w:r>
      <w:r>
        <w:rPr>
          <w:rStyle w:val="a5"/>
        </w:rPr>
        <w:softHyphen/>
        <w:t xml:space="preserve">ственных закупок // Европейский журнал социальных наук. 2014. № 1 (40). Т. 2. С. 377—385; </w:t>
      </w:r>
      <w:r>
        <w:rPr>
          <w:rStyle w:val="a6"/>
        </w:rPr>
        <w:t>Их же.</w:t>
      </w:r>
      <w:r>
        <w:rPr>
          <w:rStyle w:val="a5"/>
        </w:rPr>
        <w:t xml:space="preserve"> Агентская проблема в российской экономике: теория и прак</w:t>
      </w:r>
      <w:r>
        <w:rPr>
          <w:rStyle w:val="a5"/>
        </w:rPr>
        <w:softHyphen/>
        <w:t xml:space="preserve">тика // Вестник Балтийской Педагогической Академии. 2015. Вып. 117. СПб., 2015. С. 31—46; </w:t>
      </w:r>
      <w:r>
        <w:rPr>
          <w:rStyle w:val="a6"/>
        </w:rPr>
        <w:t>Их же.</w:t>
      </w:r>
      <w:r>
        <w:rPr>
          <w:rStyle w:val="a5"/>
        </w:rPr>
        <w:t xml:space="preserve"> Экономические, правовые и организационно-психологические аспекты управления системой государственных закупок // </w:t>
      </w:r>
      <w:r>
        <w:rPr>
          <w:rStyle w:val="a5"/>
          <w:lang w:val="en-US" w:eastAsia="en-US" w:bidi="en-US"/>
        </w:rPr>
        <w:t>GR</w:t>
      </w:r>
      <w:r w:rsidRPr="000E0C7E">
        <w:rPr>
          <w:rStyle w:val="a5"/>
          <w:lang w:eastAsia="en-US" w:bidi="en-US"/>
        </w:rPr>
        <w:t xml:space="preserve">. </w:t>
      </w:r>
      <w:r>
        <w:rPr>
          <w:rStyle w:val="a5"/>
        </w:rPr>
        <w:t>Взаимодействие бизнеса и органов власти. Гл. 6 : учебник и практикум для бакалавриата и маги</w:t>
      </w:r>
      <w:r>
        <w:rPr>
          <w:rStyle w:val="a5"/>
        </w:rPr>
        <w:softHyphen/>
        <w:t>стратуры / под ред. Е. И. Марковской. М. : Издательство Юрайт, 2017. С. 203—218.</w:t>
      </w:r>
    </w:p>
  </w:footnote>
  <w:footnote w:id="189">
    <w:p w14:paraId="5079CE53" w14:textId="77777777" w:rsidR="00350D42" w:rsidRDefault="008E6F64">
      <w:pPr>
        <w:pStyle w:val="a4"/>
        <w:shd w:val="clear" w:color="auto" w:fill="auto"/>
        <w:tabs>
          <w:tab w:val="left" w:pos="451"/>
        </w:tabs>
        <w:ind w:firstLine="320"/>
      </w:pPr>
      <w:r>
        <w:rPr>
          <w:rStyle w:val="a5"/>
          <w:vertAlign w:val="superscript"/>
        </w:rPr>
        <w:footnoteRef/>
      </w:r>
      <w:r>
        <w:rPr>
          <w:rStyle w:val="a5"/>
        </w:rPr>
        <w:tab/>
        <w:t xml:space="preserve">Практикум по психологии менеджмента и профессиональной деятельности / под ред. Г. С. Никифорова, М. А. Дмитриевой, В. М. Снеткова. СПб. : Речь, 2001. </w:t>
      </w:r>
      <w:r>
        <w:rPr>
          <w:rStyle w:val="a5"/>
          <w:lang w:val="en-US" w:eastAsia="en-US" w:bidi="en-US"/>
        </w:rPr>
        <w:t>C</w:t>
      </w:r>
      <w:r w:rsidRPr="000E0C7E">
        <w:rPr>
          <w:rStyle w:val="a5"/>
          <w:lang w:eastAsia="en-US" w:bidi="en-US"/>
        </w:rPr>
        <w:t xml:space="preserve">. </w:t>
      </w:r>
      <w:r>
        <w:rPr>
          <w:rStyle w:val="a5"/>
        </w:rPr>
        <w:t>347—355.</w:t>
      </w:r>
    </w:p>
  </w:footnote>
  <w:footnote w:id="190">
    <w:p w14:paraId="6BED24EF" w14:textId="77777777" w:rsidR="00350D42" w:rsidRDefault="008E6F64">
      <w:pPr>
        <w:pStyle w:val="a4"/>
        <w:shd w:val="clear" w:color="auto" w:fill="auto"/>
        <w:tabs>
          <w:tab w:val="left" w:pos="446"/>
        </w:tabs>
        <w:jc w:val="left"/>
      </w:pPr>
      <w:r>
        <w:rPr>
          <w:rStyle w:val="9pt"/>
          <w:vertAlign w:val="superscript"/>
        </w:rPr>
        <w:footnoteRef/>
      </w:r>
      <w:r>
        <w:rPr>
          <w:rStyle w:val="a5"/>
        </w:rPr>
        <w:tab/>
        <w:t>Управление государственными закупками в Санкт-Петербурге / под ред. В. В. Бланка, Ю. П. Панибратова, С. Р. Тажетдинова. СПб., 2004.</w:t>
      </w:r>
    </w:p>
  </w:footnote>
  <w:footnote w:id="191">
    <w:p w14:paraId="03AEDC6A" w14:textId="77777777" w:rsidR="00350D42" w:rsidRDefault="008E6F64">
      <w:pPr>
        <w:pStyle w:val="a4"/>
        <w:shd w:val="clear" w:color="auto" w:fill="auto"/>
        <w:tabs>
          <w:tab w:val="left" w:pos="451"/>
        </w:tabs>
        <w:ind w:firstLine="320"/>
        <w:jc w:val="left"/>
      </w:pPr>
      <w:r>
        <w:rPr>
          <w:rStyle w:val="9pt"/>
          <w:vertAlign w:val="superscript"/>
        </w:rPr>
        <w:footnoteRef/>
      </w:r>
      <w:r>
        <w:rPr>
          <w:rStyle w:val="a5"/>
        </w:rPr>
        <w:tab/>
      </w:r>
      <w:r>
        <w:rPr>
          <w:rStyle w:val="a6"/>
        </w:rPr>
        <w:t>Троицкая И. В.</w:t>
      </w:r>
      <w:r>
        <w:rPr>
          <w:rStyle w:val="a5"/>
        </w:rPr>
        <w:t xml:space="preserve"> Психология отношения к экономическим явлениям : моногра</w:t>
      </w:r>
      <w:r>
        <w:rPr>
          <w:rStyle w:val="a5"/>
        </w:rPr>
        <w:softHyphen/>
        <w:t>фия. СПб. : Изд-во СПбГАСУ, 2004. С. 147—158.</w:t>
      </w:r>
    </w:p>
  </w:footnote>
  <w:footnote w:id="192">
    <w:p w14:paraId="664A7E16" w14:textId="77777777" w:rsidR="00350D42" w:rsidRDefault="008E6F64">
      <w:pPr>
        <w:pStyle w:val="a4"/>
        <w:shd w:val="clear" w:color="auto" w:fill="auto"/>
        <w:tabs>
          <w:tab w:val="left" w:pos="494"/>
        </w:tabs>
        <w:ind w:left="340" w:firstLine="0"/>
      </w:pPr>
      <w:r>
        <w:rPr>
          <w:rStyle w:val="9pt"/>
          <w:vertAlign w:val="superscript"/>
        </w:rPr>
        <w:footnoteRef/>
      </w:r>
      <w:r>
        <w:rPr>
          <w:rStyle w:val="a5"/>
        </w:rPr>
        <w:tab/>
      </w:r>
      <w:r>
        <w:rPr>
          <w:rStyle w:val="a6"/>
        </w:rPr>
        <w:t>Соколинский В. М.</w:t>
      </w:r>
      <w:r>
        <w:rPr>
          <w:rStyle w:val="a5"/>
        </w:rPr>
        <w:t xml:space="preserve"> Психологические основы экономики. М. : ЮНИТИ-ДАНА, 1999.</w:t>
      </w:r>
    </w:p>
  </w:footnote>
  <w:footnote w:id="193">
    <w:p w14:paraId="52D3F8F1" w14:textId="77777777" w:rsidR="00350D42" w:rsidRDefault="008E6F64">
      <w:pPr>
        <w:pStyle w:val="a4"/>
        <w:shd w:val="clear" w:color="auto" w:fill="auto"/>
        <w:ind w:firstLine="0"/>
      </w:pPr>
      <w:r>
        <w:rPr>
          <w:rStyle w:val="a5"/>
        </w:rPr>
        <w:t xml:space="preserve">деятельности и основы экономической психологии: курс лекций : учеб. пособие. СПб. : Изд-во СПбГАСУ, 2011. С. 111—112; </w:t>
      </w:r>
      <w:r>
        <w:rPr>
          <w:rStyle w:val="a6"/>
        </w:rPr>
        <w:t>Троицкая И. В., Марковская Е. И.</w:t>
      </w:r>
      <w:r>
        <w:rPr>
          <w:rStyle w:val="a5"/>
        </w:rPr>
        <w:t xml:space="preserve"> Методи</w:t>
      </w:r>
      <w:r>
        <w:rPr>
          <w:rStyle w:val="a5"/>
        </w:rPr>
        <w:softHyphen/>
        <w:t xml:space="preserve">ка оценки экономико-психологических особенностей функционирования системы государственных закупок // Финансы и бизнес. 2014. № 4. </w:t>
      </w:r>
      <w:r>
        <w:rPr>
          <w:rStyle w:val="a5"/>
          <w:lang w:val="en-US" w:eastAsia="en-US" w:bidi="en-US"/>
        </w:rPr>
        <w:t>C</w:t>
      </w:r>
      <w:r w:rsidRPr="000E0C7E">
        <w:rPr>
          <w:rStyle w:val="a5"/>
          <w:lang w:eastAsia="en-US" w:bidi="en-US"/>
        </w:rPr>
        <w:t xml:space="preserve">. </w:t>
      </w:r>
      <w:r>
        <w:rPr>
          <w:rStyle w:val="a5"/>
        </w:rPr>
        <w:t>77—89.</w:t>
      </w:r>
    </w:p>
  </w:footnote>
  <w:footnote w:id="194">
    <w:p w14:paraId="2902256C" w14:textId="77777777" w:rsidR="00350D42" w:rsidRDefault="008E6F64">
      <w:pPr>
        <w:pStyle w:val="a4"/>
        <w:shd w:val="clear" w:color="auto" w:fill="auto"/>
        <w:tabs>
          <w:tab w:val="left" w:pos="461"/>
        </w:tabs>
      </w:pPr>
      <w:r>
        <w:rPr>
          <w:rStyle w:val="a5"/>
          <w:vertAlign w:val="superscript"/>
        </w:rPr>
        <w:footnoteRef/>
      </w:r>
      <w:r>
        <w:rPr>
          <w:rStyle w:val="a5"/>
        </w:rPr>
        <w:tab/>
      </w:r>
      <w:r>
        <w:rPr>
          <w:rStyle w:val="a6"/>
        </w:rPr>
        <w:t>Троицкая И. В.</w:t>
      </w:r>
      <w:r>
        <w:rPr>
          <w:rStyle w:val="a5"/>
        </w:rPr>
        <w:t xml:space="preserve"> Изменения в состояниях управленческих модулей системы государственных закупок // Материалы Международной научно-практической конференции «Наука и инновации в современном строительстве-2007», посвя</w:t>
      </w:r>
      <w:r>
        <w:rPr>
          <w:rStyle w:val="a5"/>
        </w:rPr>
        <w:softHyphen/>
        <w:t>щенной 175-летию СПбГАСУ 17—19 окт. 2007 : сб. статей. СПб. : СПбГАСУ, 2007. С. 403—406.</w:t>
      </w:r>
    </w:p>
  </w:footnote>
  <w:footnote w:id="195">
    <w:p w14:paraId="52625AFA" w14:textId="77777777" w:rsidR="00350D42" w:rsidRDefault="008E6F64">
      <w:pPr>
        <w:pStyle w:val="a4"/>
        <w:shd w:val="clear" w:color="auto" w:fill="auto"/>
        <w:tabs>
          <w:tab w:val="left" w:pos="456"/>
        </w:tabs>
        <w:ind w:firstLine="320"/>
      </w:pPr>
      <w:r>
        <w:rPr>
          <w:rStyle w:val="a5"/>
          <w:vertAlign w:val="superscript"/>
        </w:rPr>
        <w:footnoteRef/>
      </w:r>
      <w:r>
        <w:rPr>
          <w:rStyle w:val="a5"/>
        </w:rPr>
        <w:tab/>
      </w:r>
      <w:r>
        <w:rPr>
          <w:rStyle w:val="a6"/>
        </w:rPr>
        <w:t>Троицкая И. В., Марковская Е. И.</w:t>
      </w:r>
      <w:r>
        <w:rPr>
          <w:rStyle w:val="a5"/>
        </w:rPr>
        <w:t xml:space="preserve"> Методика оценки экономико-психологиче</w:t>
      </w:r>
      <w:r>
        <w:rPr>
          <w:rStyle w:val="a5"/>
        </w:rPr>
        <w:softHyphen/>
        <w:t>ских особенностей функционирования системы государственных закупок // Фи</w:t>
      </w:r>
      <w:r>
        <w:rPr>
          <w:rStyle w:val="a5"/>
        </w:rPr>
        <w:softHyphen/>
        <w:t xml:space="preserve">нансы и бизнес. 2014. № 4. </w:t>
      </w:r>
      <w:r>
        <w:rPr>
          <w:rStyle w:val="a5"/>
          <w:lang w:val="en-US" w:eastAsia="en-US" w:bidi="en-US"/>
        </w:rPr>
        <w:t>C</w:t>
      </w:r>
      <w:r w:rsidRPr="000E0C7E">
        <w:rPr>
          <w:rStyle w:val="a5"/>
          <w:lang w:eastAsia="en-US" w:bidi="en-US"/>
        </w:rPr>
        <w:t xml:space="preserve">. </w:t>
      </w:r>
      <w:r>
        <w:rPr>
          <w:rStyle w:val="a5"/>
        </w:rPr>
        <w:t>77—89.</w:t>
      </w:r>
    </w:p>
  </w:footnote>
  <w:footnote w:id="196">
    <w:p w14:paraId="2249123F" w14:textId="77777777" w:rsidR="00350D42" w:rsidRDefault="008E6F64">
      <w:pPr>
        <w:pStyle w:val="a4"/>
        <w:shd w:val="clear" w:color="auto" w:fill="auto"/>
        <w:tabs>
          <w:tab w:val="left" w:pos="442"/>
        </w:tabs>
        <w:ind w:firstLine="320"/>
        <w:jc w:val="left"/>
      </w:pPr>
      <w:r>
        <w:rPr>
          <w:rStyle w:val="9pt"/>
          <w:vertAlign w:val="superscript"/>
        </w:rPr>
        <w:footnoteRef/>
      </w:r>
      <w:r>
        <w:rPr>
          <w:rStyle w:val="a5"/>
        </w:rPr>
        <w:tab/>
        <w:t>Практикум по психологии менеджмента и профессиональной деятельности / под ред. Г. С. Никифорова. М. А. Дмитриевой, В. М. Снеткова. С. 363—367.</w:t>
      </w:r>
    </w:p>
  </w:footnote>
  <w:footnote w:id="197">
    <w:p w14:paraId="684DC42A" w14:textId="77777777" w:rsidR="00350D42" w:rsidRDefault="008E6F64">
      <w:pPr>
        <w:pStyle w:val="a4"/>
        <w:shd w:val="clear" w:color="auto" w:fill="auto"/>
        <w:tabs>
          <w:tab w:val="left" w:pos="451"/>
        </w:tabs>
        <w:ind w:firstLine="320"/>
        <w:jc w:val="left"/>
      </w:pPr>
      <w:r>
        <w:rPr>
          <w:rStyle w:val="9pt"/>
          <w:vertAlign w:val="superscript"/>
        </w:rPr>
        <w:footnoteRef/>
      </w:r>
      <w:r>
        <w:rPr>
          <w:rStyle w:val="a5"/>
        </w:rPr>
        <w:tab/>
      </w:r>
      <w:r>
        <w:rPr>
          <w:rStyle w:val="a6"/>
        </w:rPr>
        <w:t>Троицкая И. В.</w:t>
      </w:r>
      <w:r>
        <w:rPr>
          <w:rStyle w:val="a5"/>
        </w:rPr>
        <w:t xml:space="preserve"> Изменения в состояниях управленческих модулей системы го</w:t>
      </w:r>
      <w:r>
        <w:rPr>
          <w:rStyle w:val="a5"/>
        </w:rPr>
        <w:softHyphen/>
        <w:t>сударственных закупок.</w:t>
      </w:r>
    </w:p>
  </w:footnote>
  <w:footnote w:id="198">
    <w:p w14:paraId="0A6B71D4" w14:textId="77777777" w:rsidR="00350D42" w:rsidRDefault="008E6F64">
      <w:pPr>
        <w:pStyle w:val="a4"/>
        <w:shd w:val="clear" w:color="auto" w:fill="auto"/>
        <w:ind w:firstLine="320"/>
      </w:pPr>
      <w:r>
        <w:rPr>
          <w:rStyle w:val="a5"/>
          <w:vertAlign w:val="superscript"/>
        </w:rPr>
        <w:footnoteRef/>
      </w:r>
      <w:r>
        <w:rPr>
          <w:rStyle w:val="a5"/>
        </w:rPr>
        <w:t xml:space="preserve"> </w:t>
      </w:r>
      <w:r>
        <w:rPr>
          <w:rStyle w:val="a6"/>
        </w:rPr>
        <w:t>Троицкая И. В.</w:t>
      </w:r>
      <w:r>
        <w:rPr>
          <w:rStyle w:val="a5"/>
        </w:rPr>
        <w:t xml:space="preserve"> Психология отношения к экономическим явлениям. С. 156— 158; </w:t>
      </w:r>
      <w:r>
        <w:rPr>
          <w:rStyle w:val="a6"/>
        </w:rPr>
        <w:t>Марковская Е. И., Троицкая И. В.</w:t>
      </w:r>
      <w:r>
        <w:rPr>
          <w:rStyle w:val="a5"/>
        </w:rPr>
        <w:t xml:space="preserve"> Экономические, правовые и организацион</w:t>
      </w:r>
      <w:r>
        <w:rPr>
          <w:rStyle w:val="a5"/>
        </w:rPr>
        <w:softHyphen/>
        <w:t xml:space="preserve">но-психологические аспекты управления системой государственных закупок // </w:t>
      </w:r>
      <w:r>
        <w:rPr>
          <w:rStyle w:val="a5"/>
          <w:lang w:val="en-US" w:eastAsia="en-US" w:bidi="en-US"/>
        </w:rPr>
        <w:t>GR</w:t>
      </w:r>
      <w:r w:rsidRPr="000E0C7E">
        <w:rPr>
          <w:rStyle w:val="a5"/>
          <w:lang w:eastAsia="en-US" w:bidi="en-US"/>
        </w:rPr>
        <w:t xml:space="preserve">. </w:t>
      </w:r>
      <w:r>
        <w:rPr>
          <w:rStyle w:val="a5"/>
        </w:rPr>
        <w:t xml:space="preserve">Взаимодействие бизнеса и органов власти : учебник и практикум для бакалавриата и магистратуры. Гл. 6 / под ред. Е. И. Марковской. М. : Издательство Юрайт, 2017. С. 216—218; </w:t>
      </w:r>
      <w:r>
        <w:rPr>
          <w:rStyle w:val="a6"/>
        </w:rPr>
        <w:t>Троицкая И. В., Марковская Е. И.</w:t>
      </w:r>
      <w:r>
        <w:rPr>
          <w:rStyle w:val="a5"/>
        </w:rPr>
        <w:t xml:space="preserve"> Методика оценки экономико-психо</w:t>
      </w:r>
      <w:r>
        <w:rPr>
          <w:rStyle w:val="a5"/>
        </w:rPr>
        <w:softHyphen/>
        <w:t xml:space="preserve">логических особенностей функционирования системы государственных закупок // Финансы и бизнес. 2014. № 4. </w:t>
      </w:r>
      <w:r>
        <w:rPr>
          <w:rStyle w:val="a5"/>
          <w:lang w:val="en-US" w:eastAsia="en-US" w:bidi="en-US"/>
        </w:rPr>
        <w:t>C</w:t>
      </w:r>
      <w:r w:rsidRPr="000E0C7E">
        <w:rPr>
          <w:rStyle w:val="a5"/>
          <w:lang w:eastAsia="en-US" w:bidi="en-US"/>
        </w:rPr>
        <w:t xml:space="preserve">. </w:t>
      </w:r>
      <w:r>
        <w:rPr>
          <w:rStyle w:val="a5"/>
        </w:rPr>
        <w:t>77—89.</w:t>
      </w:r>
    </w:p>
  </w:footnote>
  <w:footnote w:id="199">
    <w:p w14:paraId="56FA7B13" w14:textId="77777777" w:rsidR="00350D42" w:rsidRDefault="008E6F64">
      <w:pPr>
        <w:pStyle w:val="a4"/>
        <w:shd w:val="clear" w:color="auto" w:fill="auto"/>
        <w:tabs>
          <w:tab w:val="left" w:pos="446"/>
        </w:tabs>
        <w:jc w:val="left"/>
      </w:pPr>
      <w:r>
        <w:rPr>
          <w:rStyle w:val="9pt"/>
          <w:vertAlign w:val="superscript"/>
        </w:rPr>
        <w:footnoteRef/>
      </w:r>
      <w:r>
        <w:rPr>
          <w:rStyle w:val="a5"/>
        </w:rPr>
        <w:tab/>
      </w:r>
      <w:r>
        <w:rPr>
          <w:rStyle w:val="a6"/>
        </w:rPr>
        <w:t>Ожегов С.</w:t>
      </w:r>
      <w:r>
        <w:rPr>
          <w:rStyle w:val="a5"/>
        </w:rPr>
        <w:t xml:space="preserve"> Словарь русского языка / под ред. чл.-корр. АН СССР Н. Ю. Шведо</w:t>
      </w:r>
      <w:r>
        <w:rPr>
          <w:rStyle w:val="a5"/>
        </w:rPr>
        <w:softHyphen/>
        <w:t>вой. М. : Русский язык, 1989.</w:t>
      </w:r>
    </w:p>
  </w:footnote>
  <w:footnote w:id="200">
    <w:p w14:paraId="6250766B" w14:textId="77777777" w:rsidR="00350D42" w:rsidRDefault="008E6F64">
      <w:pPr>
        <w:pStyle w:val="a4"/>
        <w:shd w:val="clear" w:color="auto" w:fill="auto"/>
        <w:tabs>
          <w:tab w:val="left" w:pos="437"/>
        </w:tabs>
        <w:ind w:firstLine="320"/>
        <w:jc w:val="left"/>
      </w:pPr>
      <w:r>
        <w:rPr>
          <w:rStyle w:val="9pt"/>
          <w:vertAlign w:val="superscript"/>
        </w:rPr>
        <w:footnoteRef/>
      </w:r>
      <w:r>
        <w:rPr>
          <w:rStyle w:val="a5"/>
        </w:rPr>
        <w:tab/>
      </w:r>
      <w:r>
        <w:rPr>
          <w:rStyle w:val="a6"/>
        </w:rPr>
        <w:t>Райзберг Б. А., Лозовский Л. Ш., Стародубцева Е. Б.</w:t>
      </w:r>
      <w:r>
        <w:rPr>
          <w:rStyle w:val="a5"/>
        </w:rPr>
        <w:t xml:space="preserve"> Современный экономиче</w:t>
      </w:r>
      <w:r>
        <w:rPr>
          <w:rStyle w:val="a5"/>
        </w:rPr>
        <w:softHyphen/>
        <w:t>ский словарь. М. : ИНФРА-М, 1999.</w:t>
      </w:r>
    </w:p>
  </w:footnote>
  <w:footnote w:id="201">
    <w:p w14:paraId="43DBE400" w14:textId="77777777" w:rsidR="00350D42" w:rsidRDefault="008E6F64">
      <w:pPr>
        <w:pStyle w:val="a4"/>
        <w:shd w:val="clear" w:color="auto" w:fill="auto"/>
        <w:tabs>
          <w:tab w:val="left" w:pos="456"/>
        </w:tabs>
        <w:ind w:firstLine="320"/>
        <w:jc w:val="left"/>
      </w:pPr>
      <w:r>
        <w:rPr>
          <w:rStyle w:val="9pt"/>
          <w:vertAlign w:val="superscript"/>
        </w:rPr>
        <w:footnoteRef/>
      </w:r>
      <w:r>
        <w:rPr>
          <w:rStyle w:val="a5"/>
        </w:rPr>
        <w:tab/>
        <w:t>Экономико-математический энциклопедический словарь / гл. ред. В. И. Дани</w:t>
      </w:r>
      <w:r>
        <w:rPr>
          <w:rStyle w:val="a5"/>
        </w:rPr>
        <w:softHyphen/>
        <w:t>лов-Данильян. М. : Большая Российская энциклопедия ; ИНФРА-М, 2003.</w:t>
      </w:r>
    </w:p>
  </w:footnote>
  <w:footnote w:id="202">
    <w:p w14:paraId="65C6BAE0" w14:textId="77777777" w:rsidR="00350D42" w:rsidRDefault="008E6F64">
      <w:pPr>
        <w:pStyle w:val="a4"/>
        <w:shd w:val="clear" w:color="auto" w:fill="auto"/>
        <w:tabs>
          <w:tab w:val="left" w:pos="446"/>
        </w:tabs>
        <w:ind w:firstLine="320"/>
        <w:jc w:val="left"/>
      </w:pPr>
      <w:r>
        <w:rPr>
          <w:rStyle w:val="9pt"/>
          <w:vertAlign w:val="superscript"/>
        </w:rPr>
        <w:footnoteRef/>
      </w:r>
      <w:r>
        <w:rPr>
          <w:rStyle w:val="a5"/>
        </w:rPr>
        <w:tab/>
        <w:t>Социологический справочник / под ред. В. И. Воловича. Киев : Изд-во полити</w:t>
      </w:r>
      <w:r>
        <w:rPr>
          <w:rStyle w:val="a5"/>
        </w:rPr>
        <w:softHyphen/>
        <w:t>ческой литературы Украины, 1990.</w:t>
      </w:r>
    </w:p>
  </w:footnote>
  <w:footnote w:id="203">
    <w:p w14:paraId="13FC0C47" w14:textId="77777777" w:rsidR="00350D42" w:rsidRPr="000E0C7E" w:rsidRDefault="008E6F64">
      <w:pPr>
        <w:pStyle w:val="a4"/>
        <w:shd w:val="clear" w:color="auto" w:fill="auto"/>
        <w:tabs>
          <w:tab w:val="left" w:pos="432"/>
        </w:tabs>
        <w:ind w:firstLine="320"/>
        <w:jc w:val="left"/>
        <w:rPr>
          <w:lang w:val="en-US"/>
        </w:rPr>
      </w:pPr>
      <w:r>
        <w:rPr>
          <w:rStyle w:val="9pt"/>
          <w:vertAlign w:val="superscript"/>
        </w:rPr>
        <w:footnoteRef/>
      </w:r>
      <w:r>
        <w:rPr>
          <w:rStyle w:val="a5"/>
        </w:rPr>
        <w:tab/>
      </w:r>
      <w:r>
        <w:rPr>
          <w:rStyle w:val="a6"/>
        </w:rPr>
        <w:t>Корель Л. В.</w:t>
      </w:r>
      <w:r>
        <w:rPr>
          <w:rStyle w:val="a5"/>
        </w:rPr>
        <w:t xml:space="preserve"> Социология адаптаций: Вопросы теории, методологии и методи</w:t>
      </w:r>
      <w:r>
        <w:rPr>
          <w:rStyle w:val="a5"/>
        </w:rPr>
        <w:softHyphen/>
        <w:t>ки. Новосибирск</w:t>
      </w:r>
      <w:r w:rsidRPr="000E0C7E">
        <w:rPr>
          <w:rStyle w:val="a5"/>
          <w:lang w:val="en-US"/>
        </w:rPr>
        <w:t xml:space="preserve"> : </w:t>
      </w:r>
      <w:r>
        <w:rPr>
          <w:rStyle w:val="a5"/>
        </w:rPr>
        <w:t>Наука</w:t>
      </w:r>
      <w:r w:rsidRPr="000E0C7E">
        <w:rPr>
          <w:rStyle w:val="a5"/>
          <w:lang w:val="en-US"/>
        </w:rPr>
        <w:t>, 2005.</w:t>
      </w:r>
    </w:p>
  </w:footnote>
  <w:footnote w:id="204">
    <w:p w14:paraId="476FBEA8" w14:textId="77777777" w:rsidR="00350D42" w:rsidRDefault="008E6F64">
      <w:pPr>
        <w:pStyle w:val="50"/>
        <w:shd w:val="clear" w:color="auto" w:fill="auto"/>
        <w:tabs>
          <w:tab w:val="left" w:pos="456"/>
        </w:tabs>
        <w:spacing w:line="197" w:lineRule="exact"/>
        <w:ind w:firstLine="340"/>
      </w:pPr>
      <w:r>
        <w:rPr>
          <w:rStyle w:val="51"/>
          <w:b/>
          <w:bCs/>
          <w:vertAlign w:val="superscript"/>
          <w:lang w:val="ru-RU" w:eastAsia="ru-RU" w:bidi="ru-RU"/>
        </w:rPr>
        <w:footnoteRef/>
      </w:r>
      <w:r w:rsidRPr="000E0C7E">
        <w:rPr>
          <w:rStyle w:val="51"/>
          <w:b/>
          <w:bCs/>
          <w:lang w:eastAsia="ru-RU" w:bidi="ru-RU"/>
        </w:rPr>
        <w:tab/>
      </w:r>
      <w:r>
        <w:rPr>
          <w:rStyle w:val="51"/>
          <w:b/>
          <w:bCs/>
        </w:rPr>
        <w:t xml:space="preserve">Grganization </w:t>
      </w:r>
      <w:r w:rsidRPr="000E0C7E">
        <w:rPr>
          <w:rStyle w:val="51"/>
          <w:b/>
          <w:bCs/>
          <w:lang w:eastAsia="ru-RU" w:bidi="ru-RU"/>
        </w:rPr>
        <w:t xml:space="preserve">&amp; </w:t>
      </w:r>
      <w:r>
        <w:rPr>
          <w:rStyle w:val="51"/>
          <w:b/>
          <w:bCs/>
        </w:rPr>
        <w:t xml:space="preserve">management theory: conference paper abstracts. Academy of Management Annual Meeting Proceedings, 2010. URL.: </w:t>
      </w:r>
      <w:hyperlink r:id="rId41" w:history="1">
        <w:r>
          <w:rPr>
            <w:rStyle w:val="51"/>
            <w:b/>
            <w:bCs/>
          </w:rPr>
          <w:t>http://content.ebscohost</w:t>
        </w:r>
      </w:hyperlink>
      <w:r>
        <w:rPr>
          <w:rStyle w:val="51"/>
          <w:b/>
          <w:bCs/>
        </w:rPr>
        <w:t>. com/ContentServer.asp?EbscoContent=dGJyMMTo50SeprU4zdnyOLCmr06ep7RSrqa4S LCWxWXS&amp;ContentCustomer=dGJyMPGvsEmyprJMuePfgeyx34jn&amp;T=P&amp;P=AN&amp;S=R&amp;D =bth&amp;K=54506144.</w:t>
      </w:r>
    </w:p>
  </w:footnote>
  <w:footnote w:id="205">
    <w:p w14:paraId="24F21C15" w14:textId="77777777" w:rsidR="00350D42" w:rsidRPr="000E0C7E" w:rsidRDefault="008E6F64">
      <w:pPr>
        <w:pStyle w:val="50"/>
        <w:shd w:val="clear" w:color="auto" w:fill="auto"/>
        <w:tabs>
          <w:tab w:val="left" w:pos="483"/>
        </w:tabs>
        <w:spacing w:line="197" w:lineRule="exact"/>
        <w:ind w:left="320" w:firstLine="0"/>
        <w:rPr>
          <w:lang w:val="ru-RU"/>
        </w:rPr>
      </w:pPr>
      <w:r>
        <w:rPr>
          <w:rStyle w:val="51"/>
          <w:b/>
          <w:bCs/>
          <w:vertAlign w:val="superscript"/>
        </w:rPr>
        <w:footnoteRef/>
      </w:r>
      <w:r w:rsidRPr="000E0C7E">
        <w:rPr>
          <w:rStyle w:val="51"/>
          <w:b/>
          <w:bCs/>
          <w:lang w:val="ru-RU"/>
        </w:rPr>
        <w:tab/>
      </w:r>
      <w:r>
        <w:rPr>
          <w:rStyle w:val="51"/>
          <w:b/>
          <w:bCs/>
          <w:lang w:val="ru-RU" w:eastAsia="ru-RU" w:bidi="ru-RU"/>
        </w:rPr>
        <w:t>Там же.</w:t>
      </w:r>
    </w:p>
  </w:footnote>
  <w:footnote w:id="206">
    <w:p w14:paraId="772C1E6D" w14:textId="77777777" w:rsidR="00350D42" w:rsidRDefault="008E6F64">
      <w:pPr>
        <w:pStyle w:val="a4"/>
        <w:shd w:val="clear" w:color="auto" w:fill="auto"/>
        <w:tabs>
          <w:tab w:val="left" w:pos="456"/>
        </w:tabs>
        <w:jc w:val="left"/>
      </w:pPr>
      <w:r>
        <w:rPr>
          <w:rStyle w:val="a5"/>
          <w:vertAlign w:val="superscript"/>
        </w:rPr>
        <w:footnoteRef/>
      </w:r>
      <w:r>
        <w:rPr>
          <w:rStyle w:val="a5"/>
        </w:rPr>
        <w:tab/>
        <w:t>Экономическая теория / под ред. А. И. Добрынина, Л. С. Тарасевича. СПб. : Изд-во СПбГУЭФ ; Питер, 2001.</w:t>
      </w:r>
    </w:p>
  </w:footnote>
  <w:footnote w:id="207">
    <w:p w14:paraId="729842C4" w14:textId="77777777" w:rsidR="00350D42" w:rsidRDefault="008E6F64">
      <w:pPr>
        <w:pStyle w:val="a4"/>
        <w:shd w:val="clear" w:color="auto" w:fill="auto"/>
        <w:tabs>
          <w:tab w:val="left" w:pos="442"/>
        </w:tabs>
        <w:ind w:firstLine="320"/>
      </w:pPr>
      <w:r>
        <w:rPr>
          <w:rStyle w:val="a5"/>
          <w:vertAlign w:val="superscript"/>
        </w:rPr>
        <w:footnoteRef/>
      </w:r>
      <w:r>
        <w:rPr>
          <w:rStyle w:val="a5"/>
        </w:rPr>
        <w:tab/>
      </w:r>
      <w:r>
        <w:rPr>
          <w:rStyle w:val="a6"/>
        </w:rPr>
        <w:t>Марковская Е. И.</w:t>
      </w:r>
      <w:r>
        <w:rPr>
          <w:rStyle w:val="a5"/>
        </w:rPr>
        <w:t xml:space="preserve"> Адаптационные механизмы поведения государства и биз</w:t>
      </w:r>
      <w:r>
        <w:rPr>
          <w:rStyle w:val="a5"/>
        </w:rPr>
        <w:softHyphen/>
        <w:t>неса в условиях циклического развития // Взаимодействие государства и бизне- саа. Гл. 6 : учеб. пособие / отв. ред. Е. И. Марковская. СПб. : Изд-во СПбГЭУ, 2014. С. 117—121.</w:t>
      </w:r>
    </w:p>
  </w:footnote>
  <w:footnote w:id="208">
    <w:p w14:paraId="56464D1E" w14:textId="77777777" w:rsidR="00350D42" w:rsidRDefault="008E6F64">
      <w:pPr>
        <w:pStyle w:val="a4"/>
        <w:shd w:val="clear" w:color="auto" w:fill="auto"/>
        <w:spacing w:line="202" w:lineRule="exact"/>
        <w:ind w:firstLine="320"/>
        <w:jc w:val="left"/>
      </w:pPr>
      <w:r>
        <w:rPr>
          <w:rStyle w:val="ArialNarrow85pt"/>
          <w:vertAlign w:val="superscript"/>
        </w:rPr>
        <w:footnoteRef/>
      </w:r>
      <w:r>
        <w:rPr>
          <w:rStyle w:val="ArialNarrow85pt"/>
        </w:rPr>
        <w:t xml:space="preserve"> </w:t>
      </w:r>
      <w:r>
        <w:rPr>
          <w:rStyle w:val="a6"/>
        </w:rPr>
        <w:t>Чаленко А. Ю.</w:t>
      </w:r>
      <w:r>
        <w:rPr>
          <w:rStyle w:val="a5"/>
        </w:rPr>
        <w:t xml:space="preserve"> О неопределенности термина «механизм» в экономических ис</w:t>
      </w:r>
      <w:r>
        <w:rPr>
          <w:rStyle w:val="a5"/>
        </w:rPr>
        <w:softHyphen/>
        <w:t xml:space="preserve">следованиях. </w:t>
      </w:r>
      <w:r>
        <w:rPr>
          <w:rStyle w:val="a5"/>
          <w:lang w:val="en-US" w:eastAsia="en-US" w:bidi="en-US"/>
        </w:rPr>
        <w:t>URL</w:t>
      </w:r>
      <w:r w:rsidRPr="000E0C7E">
        <w:rPr>
          <w:rStyle w:val="a5"/>
          <w:lang w:eastAsia="en-US" w:bidi="en-US"/>
        </w:rPr>
        <w:t xml:space="preserve">: </w:t>
      </w:r>
      <w:hyperlink r:id="rId42" w:history="1">
        <w:r>
          <w:rPr>
            <w:rStyle w:val="a5"/>
            <w:lang w:val="en-US" w:eastAsia="en-US" w:bidi="en-US"/>
          </w:rPr>
          <w:t>http</w:t>
        </w:r>
        <w:r w:rsidRPr="000E0C7E">
          <w:rPr>
            <w:rStyle w:val="a5"/>
            <w:lang w:eastAsia="en-US" w:bidi="en-US"/>
          </w:rPr>
          <w:t>://</w:t>
        </w:r>
        <w:r>
          <w:rPr>
            <w:rStyle w:val="a5"/>
            <w:lang w:val="en-US" w:eastAsia="en-US" w:bidi="en-US"/>
          </w:rPr>
          <w:t>kapital</w:t>
        </w:r>
        <w:r w:rsidRPr="000E0C7E">
          <w:rPr>
            <w:rStyle w:val="a5"/>
            <w:lang w:eastAsia="en-US" w:bidi="en-US"/>
          </w:rPr>
          <w:t>-</w:t>
        </w:r>
        <w:r>
          <w:rPr>
            <w:rStyle w:val="a5"/>
            <w:lang w:val="en-US" w:eastAsia="en-US" w:bidi="en-US"/>
          </w:rPr>
          <w:t>rus</w:t>
        </w:r>
        <w:r w:rsidRPr="000E0C7E">
          <w:rPr>
            <w:rStyle w:val="a5"/>
            <w:lang w:eastAsia="en-US" w:bidi="en-US"/>
          </w:rPr>
          <w:t>.</w:t>
        </w:r>
        <w:r>
          <w:rPr>
            <w:rStyle w:val="a5"/>
            <w:lang w:val="en-US" w:eastAsia="en-US" w:bidi="en-US"/>
          </w:rPr>
          <w:t>ru</w:t>
        </w:r>
        <w:r w:rsidRPr="000E0C7E">
          <w:rPr>
            <w:rStyle w:val="a5"/>
            <w:lang w:eastAsia="en-US" w:bidi="en-US"/>
          </w:rPr>
          <w:t>/</w:t>
        </w:r>
        <w:r>
          <w:rPr>
            <w:rStyle w:val="a5"/>
            <w:lang w:val="en-US" w:eastAsia="en-US" w:bidi="en-US"/>
          </w:rPr>
          <w:t>articles</w:t>
        </w:r>
        <w:r w:rsidRPr="000E0C7E">
          <w:rPr>
            <w:rStyle w:val="a5"/>
            <w:lang w:eastAsia="en-US" w:bidi="en-US"/>
          </w:rPr>
          <w:t>/</w:t>
        </w:r>
        <w:r>
          <w:rPr>
            <w:rStyle w:val="a5"/>
            <w:lang w:val="en-US" w:eastAsia="en-US" w:bidi="en-US"/>
          </w:rPr>
          <w:t>artide</w:t>
        </w:r>
        <w:r w:rsidRPr="000E0C7E">
          <w:rPr>
            <w:rStyle w:val="a5"/>
            <w:lang w:eastAsia="en-US" w:bidi="en-US"/>
          </w:rPr>
          <w:t>/176697</w:t>
        </w:r>
      </w:hyperlink>
      <w:r w:rsidRPr="000E0C7E">
        <w:rPr>
          <w:rStyle w:val="a5"/>
          <w:lang w:eastAsia="en-US" w:bidi="en-US"/>
        </w:rPr>
        <w:t>.</w:t>
      </w:r>
    </w:p>
  </w:footnote>
  <w:footnote w:id="209">
    <w:p w14:paraId="620951BC" w14:textId="77777777" w:rsidR="00350D42" w:rsidRPr="000E0C7E" w:rsidRDefault="008E6F64">
      <w:pPr>
        <w:pStyle w:val="50"/>
        <w:shd w:val="clear" w:color="auto" w:fill="auto"/>
        <w:tabs>
          <w:tab w:val="left" w:pos="474"/>
        </w:tabs>
        <w:spacing w:line="194" w:lineRule="exact"/>
        <w:ind w:left="320" w:firstLine="0"/>
        <w:rPr>
          <w:lang w:val="ru-RU"/>
        </w:rPr>
      </w:pPr>
      <w:r>
        <w:rPr>
          <w:rStyle w:val="51"/>
          <w:b/>
          <w:bCs/>
          <w:vertAlign w:val="superscript"/>
          <w:lang w:val="ru-RU" w:eastAsia="ru-RU" w:bidi="ru-RU"/>
        </w:rPr>
        <w:footnoteRef/>
      </w:r>
      <w:r>
        <w:rPr>
          <w:rStyle w:val="51"/>
          <w:b/>
          <w:bCs/>
          <w:lang w:val="ru-RU" w:eastAsia="ru-RU" w:bidi="ru-RU"/>
        </w:rPr>
        <w:tab/>
        <w:t xml:space="preserve">Цит. по: </w:t>
      </w:r>
      <w:r>
        <w:rPr>
          <w:rStyle w:val="5BookmanOldStyle75pt"/>
        </w:rPr>
        <w:t>Чаленко А. Ю</w:t>
      </w:r>
      <w:r>
        <w:rPr>
          <w:rStyle w:val="52"/>
        </w:rPr>
        <w:t>.</w:t>
      </w:r>
      <w:r>
        <w:rPr>
          <w:rStyle w:val="51"/>
          <w:b/>
          <w:bCs/>
          <w:lang w:val="ru-RU" w:eastAsia="ru-RU" w:bidi="ru-RU"/>
        </w:rPr>
        <w:t xml:space="preserve"> Указ. соч.</w:t>
      </w:r>
    </w:p>
  </w:footnote>
  <w:footnote w:id="210">
    <w:p w14:paraId="1A919156" w14:textId="77777777" w:rsidR="00350D42" w:rsidRPr="000E0C7E" w:rsidRDefault="008E6F64">
      <w:pPr>
        <w:pStyle w:val="50"/>
        <w:shd w:val="clear" w:color="auto" w:fill="auto"/>
        <w:tabs>
          <w:tab w:val="left" w:pos="483"/>
        </w:tabs>
        <w:spacing w:line="194" w:lineRule="exact"/>
        <w:ind w:left="320" w:firstLine="0"/>
        <w:rPr>
          <w:lang w:val="ru-RU"/>
        </w:rPr>
      </w:pPr>
      <w:r>
        <w:rPr>
          <w:rStyle w:val="51"/>
          <w:b/>
          <w:bCs/>
          <w:vertAlign w:val="superscript"/>
          <w:lang w:val="ru-RU" w:eastAsia="ru-RU" w:bidi="ru-RU"/>
        </w:rPr>
        <w:footnoteRef/>
      </w:r>
      <w:r>
        <w:rPr>
          <w:rStyle w:val="51"/>
          <w:b/>
          <w:bCs/>
          <w:lang w:val="ru-RU" w:eastAsia="ru-RU" w:bidi="ru-RU"/>
        </w:rPr>
        <w:tab/>
        <w:t>Там же.</w:t>
      </w:r>
    </w:p>
  </w:footnote>
  <w:footnote w:id="211">
    <w:p w14:paraId="2A88B58C" w14:textId="0256D2DE" w:rsidR="007D58AC" w:rsidRPr="007D58AC" w:rsidRDefault="007D58AC">
      <w:pPr>
        <w:pStyle w:val="af6"/>
        <w:rPr>
          <w:rFonts w:ascii="Bookman Old Style" w:eastAsia="Bookman Old Style" w:hAnsi="Bookman Old Style" w:cs="Bookman Old Style"/>
          <w:color w:val="231F20"/>
          <w:sz w:val="15"/>
          <w:szCs w:val="15"/>
        </w:rPr>
      </w:pPr>
      <w:r>
        <w:rPr>
          <w:rStyle w:val="af8"/>
        </w:rPr>
        <w:footnoteRef/>
      </w:r>
      <w:r>
        <w:t xml:space="preserve"> </w:t>
      </w:r>
      <w:r w:rsidRPr="007D58AC">
        <w:rPr>
          <w:rFonts w:ascii="Bookman Old Style" w:eastAsia="Bookman Old Style" w:hAnsi="Bookman Old Style" w:cs="Bookman Old Style"/>
          <w:color w:val="231F20"/>
          <w:sz w:val="15"/>
          <w:szCs w:val="15"/>
        </w:rPr>
        <w:t xml:space="preserve">Авторская методика Марковской Е.И. </w:t>
      </w:r>
    </w:p>
  </w:footnote>
  <w:footnote w:id="212">
    <w:p w14:paraId="6D673C5E" w14:textId="77777777" w:rsidR="007D58AC" w:rsidRDefault="007D58AC" w:rsidP="007D58AC">
      <w:pPr>
        <w:pStyle w:val="af6"/>
      </w:pPr>
      <w:r>
        <w:rPr>
          <w:rStyle w:val="af8"/>
        </w:rPr>
        <w:footnoteRef/>
      </w:r>
      <w:r>
        <w:t xml:space="preserve"> </w:t>
      </w:r>
      <w:r>
        <w:rPr>
          <w:rFonts w:ascii="Times New Roman" w:hAnsi="Times New Roman" w:cs="Times New Roman"/>
        </w:rPr>
        <w:t>Интервалы определены автора</w:t>
      </w:r>
      <w:r w:rsidRPr="00563E5D">
        <w:rPr>
          <w:rFonts w:ascii="Times New Roman" w:hAnsi="Times New Roman" w:cs="Times New Roman"/>
        </w:rPr>
        <w:t>м</w:t>
      </w:r>
      <w:r>
        <w:rPr>
          <w:rFonts w:ascii="Times New Roman" w:hAnsi="Times New Roman" w:cs="Times New Roman"/>
        </w:rPr>
        <w:t>и</w:t>
      </w:r>
      <w:r>
        <w:t xml:space="preserve"> </w:t>
      </w:r>
    </w:p>
  </w:footnote>
  <w:footnote w:id="213">
    <w:p w14:paraId="2C83CB93" w14:textId="77777777" w:rsidR="007D58AC" w:rsidRPr="00C44692" w:rsidRDefault="007D58AC" w:rsidP="007D58AC">
      <w:pPr>
        <w:pStyle w:val="af6"/>
        <w:rPr>
          <w:highlight w:val="green"/>
        </w:rPr>
      </w:pPr>
      <w:r>
        <w:rPr>
          <w:rStyle w:val="af8"/>
        </w:rPr>
        <w:footnoteRef/>
      </w:r>
      <w:r>
        <w:t xml:space="preserve"> </w:t>
      </w:r>
      <w:r w:rsidRPr="00C44692">
        <w:rPr>
          <w:rFonts w:ascii="Times New Roman" w:hAnsi="Times New Roman" w:cs="Times New Roman"/>
          <w:highlight w:val="green"/>
        </w:rPr>
        <w:t xml:space="preserve">Трехуровневый классификатор означает, что базовое терм-множество определяется тремя нечеткими переменными .Пятиуровневый классификатор означает, что базовое терм-множество определяется пятью нечеткими переменными </w:t>
      </w:r>
    </w:p>
  </w:footnote>
  <w:footnote w:id="214">
    <w:p w14:paraId="57258FC2" w14:textId="77777777" w:rsidR="007D58AC" w:rsidRPr="00C44692" w:rsidRDefault="007D58AC" w:rsidP="007D58AC">
      <w:pPr>
        <w:pStyle w:val="af6"/>
        <w:rPr>
          <w:rFonts w:ascii="Times New Roman" w:hAnsi="Times New Roman" w:cs="Times New Roman"/>
          <w:highlight w:val="green"/>
        </w:rPr>
      </w:pPr>
      <w:r w:rsidRPr="00C44692">
        <w:rPr>
          <w:rStyle w:val="af8"/>
          <w:rFonts w:ascii="Times New Roman" w:hAnsi="Times New Roman" w:cs="Times New Roman"/>
          <w:highlight w:val="green"/>
        </w:rPr>
        <w:footnoteRef/>
      </w:r>
      <w:r w:rsidRPr="00C44692">
        <w:rPr>
          <w:rFonts w:ascii="Times New Roman" w:hAnsi="Times New Roman" w:cs="Times New Roman"/>
          <w:highlight w:val="green"/>
        </w:rPr>
        <w:t xml:space="preserve"> В качестве примера значения приведены только для показателя </w:t>
      </w:r>
      <w:r w:rsidRPr="00C44692">
        <w:rPr>
          <w:rFonts w:ascii="Times New Roman" w:hAnsi="Times New Roman" w:cs="Times New Roman"/>
          <w:highlight w:val="green"/>
          <w:lang w:val="en-US"/>
        </w:rPr>
        <w:t>X</w:t>
      </w:r>
      <w:r w:rsidRPr="00C44692">
        <w:rPr>
          <w:rFonts w:ascii="Times New Roman" w:hAnsi="Times New Roman" w:cs="Times New Roman"/>
          <w:highlight w:val="green"/>
        </w:rPr>
        <w:t>1</w:t>
      </w:r>
    </w:p>
  </w:footnote>
  <w:footnote w:id="215">
    <w:p w14:paraId="5708D8A5" w14:textId="77777777" w:rsidR="007D58AC" w:rsidRPr="00C44692" w:rsidRDefault="007D58AC" w:rsidP="007D58AC">
      <w:pPr>
        <w:pStyle w:val="af6"/>
        <w:rPr>
          <w:rFonts w:ascii="Times New Roman" w:hAnsi="Times New Roman" w:cs="Times New Roman"/>
          <w:highlight w:val="green"/>
        </w:rPr>
      </w:pPr>
      <w:r w:rsidRPr="00C44692">
        <w:rPr>
          <w:rStyle w:val="af8"/>
          <w:highlight w:val="green"/>
        </w:rPr>
        <w:footnoteRef/>
      </w:r>
      <w:r w:rsidRPr="00C44692">
        <w:rPr>
          <w:highlight w:val="green"/>
        </w:rPr>
        <w:t xml:space="preserve"> </w:t>
      </w:r>
      <w:r w:rsidRPr="00C44692">
        <w:rPr>
          <w:rFonts w:ascii="Times New Roman" w:hAnsi="Times New Roman" w:cs="Times New Roman"/>
          <w:highlight w:val="green"/>
        </w:rPr>
        <w:t xml:space="preserve">Для этого рассчитывается среднее арифметическое из средних фактических значений . Например, в ряду фактических значений 0,2,3,4 средними значениями для расчета будут являться 2 и 3 . </w:t>
      </w:r>
    </w:p>
  </w:footnote>
  <w:footnote w:id="216">
    <w:p w14:paraId="096C239C" w14:textId="77777777" w:rsidR="007D58AC" w:rsidRPr="00396670" w:rsidRDefault="007D58AC" w:rsidP="007D58AC">
      <w:pPr>
        <w:pStyle w:val="af6"/>
      </w:pPr>
      <w:r w:rsidRPr="00C44692">
        <w:rPr>
          <w:rStyle w:val="af8"/>
          <w:highlight w:val="green"/>
        </w:rPr>
        <w:footnoteRef/>
      </w:r>
      <w:r w:rsidRPr="00C44692">
        <w:rPr>
          <w:highlight w:val="green"/>
        </w:rPr>
        <w:t xml:space="preserve"> </w:t>
      </w:r>
      <w:r w:rsidRPr="00C44692">
        <w:rPr>
          <w:rFonts w:ascii="Times New Roman" w:hAnsi="Times New Roman" w:cs="Times New Roman"/>
          <w:highlight w:val="green"/>
        </w:rPr>
        <w:t>Приведены значения вершин для критерия «очень низкий». Значения получены экспертным путем.</w:t>
      </w:r>
      <w:r>
        <w:t xml:space="preserve"> </w:t>
      </w:r>
    </w:p>
  </w:footnote>
  <w:footnote w:id="217">
    <w:p w14:paraId="00864F15" w14:textId="01FB0825" w:rsidR="00995420" w:rsidRPr="00C44692" w:rsidRDefault="00995420" w:rsidP="00995420">
      <w:pPr>
        <w:pStyle w:val="afb"/>
        <w:spacing w:after="0" w:line="240" w:lineRule="auto"/>
        <w:ind w:left="567"/>
        <w:jc w:val="both"/>
        <w:rPr>
          <w:rFonts w:ascii="Times New Roman" w:hAnsi="Times New Roman"/>
          <w:sz w:val="20"/>
          <w:szCs w:val="20"/>
          <w:highlight w:val="green"/>
        </w:rPr>
      </w:pPr>
      <w:r>
        <w:rPr>
          <w:rStyle w:val="af8"/>
        </w:rPr>
        <w:footnoteRef/>
      </w:r>
      <w:r>
        <w:t xml:space="preserve"> </w:t>
      </w:r>
      <w:bookmarkStart w:id="123" w:name="_Ref43649339"/>
      <w:r w:rsidRPr="00C44692">
        <w:rPr>
          <w:rFonts w:ascii="Times New Roman" w:hAnsi="Times New Roman"/>
          <w:sz w:val="20"/>
          <w:szCs w:val="20"/>
          <w:highlight w:val="green"/>
        </w:rPr>
        <w:t>Недосекин, А.О. Математические основы моделирования финансовой деятельности с использованием нечетко-множественных описаний [Электронный ресурс]: дис... докт. экон. наук: 08.00.13 / А.О. Недосекин. - СПб., 2003. – 280 с. - Режим доступа: http://www.mirkin.ru/_docs/doctor005.pdf, свободный. – Загл. с экрана. - яз. рус.</w:t>
      </w:r>
      <w:bookmarkEnd w:id="123"/>
      <w:r w:rsidRPr="00C44692">
        <w:rPr>
          <w:rFonts w:ascii="Times New Roman" w:hAnsi="Times New Roman"/>
          <w:sz w:val="20"/>
          <w:szCs w:val="20"/>
          <w:highlight w:val="green"/>
        </w:rPr>
        <w:t>;</w:t>
      </w:r>
      <w:bookmarkStart w:id="124" w:name="_Ref43648250"/>
      <w:r w:rsidRPr="00C44692">
        <w:rPr>
          <w:rFonts w:ascii="Times New Roman" w:hAnsi="Times New Roman"/>
          <w:sz w:val="20"/>
          <w:szCs w:val="20"/>
          <w:highlight w:val="green"/>
        </w:rPr>
        <w:t>Недосекин, А.О. Оценка риска бизнеса на основе нечетких данных: монография / А.О. Недосекин. – СПб., 2004</w:t>
      </w:r>
      <w:bookmarkEnd w:id="124"/>
    </w:p>
    <w:p w14:paraId="48944185" w14:textId="3B947F5E" w:rsidR="00995420" w:rsidRPr="00C44692" w:rsidRDefault="00995420" w:rsidP="00995420">
      <w:pPr>
        <w:pStyle w:val="af6"/>
        <w:spacing w:line="240" w:lineRule="auto"/>
        <w:rPr>
          <w:highlight w:val="green"/>
        </w:rPr>
      </w:pPr>
    </w:p>
  </w:footnote>
  <w:footnote w:id="218">
    <w:p w14:paraId="149EE035" w14:textId="77777777" w:rsidR="007D58AC" w:rsidRDefault="007D58AC" w:rsidP="00995420">
      <w:pPr>
        <w:pStyle w:val="af6"/>
        <w:spacing w:line="240" w:lineRule="auto"/>
      </w:pPr>
      <w:r w:rsidRPr="00C44692">
        <w:rPr>
          <w:rStyle w:val="af8"/>
          <w:highlight w:val="green"/>
        </w:rPr>
        <w:footnoteRef/>
      </w:r>
      <w:r w:rsidRPr="00C44692">
        <w:rPr>
          <w:highlight w:val="green"/>
        </w:rPr>
        <w:t xml:space="preserve"> </w:t>
      </w:r>
      <w:r w:rsidRPr="00C44692">
        <w:rPr>
          <w:rFonts w:ascii="Times New Roman" w:hAnsi="Times New Roman" w:cs="Times New Roman"/>
          <w:highlight w:val="green"/>
        </w:rPr>
        <w:t xml:space="preserve">В качестве примера значения приведены только для показателя </w:t>
      </w:r>
      <w:r w:rsidRPr="00C44692">
        <w:rPr>
          <w:rFonts w:ascii="Times New Roman" w:hAnsi="Times New Roman" w:cs="Times New Roman"/>
          <w:highlight w:val="green"/>
          <w:lang w:val="en-US"/>
        </w:rPr>
        <w:t>X</w:t>
      </w:r>
      <w:r w:rsidRPr="00C44692">
        <w:rPr>
          <w:rFonts w:ascii="Times New Roman" w:hAnsi="Times New Roman" w:cs="Times New Roman"/>
          <w:highlight w:val="green"/>
        </w:rPr>
        <w:t>1</w:t>
      </w:r>
      <w:r>
        <w:t xml:space="preserve"> </w:t>
      </w:r>
    </w:p>
  </w:footnote>
  <w:footnote w:id="219">
    <w:p w14:paraId="51239ADC" w14:textId="77777777" w:rsidR="00995420" w:rsidRPr="00C44692" w:rsidRDefault="00995420" w:rsidP="00995420">
      <w:pPr>
        <w:pStyle w:val="afb"/>
        <w:spacing w:after="0" w:line="240" w:lineRule="auto"/>
        <w:ind w:left="567"/>
        <w:jc w:val="both"/>
        <w:rPr>
          <w:rFonts w:ascii="Times New Roman" w:hAnsi="Times New Roman"/>
          <w:sz w:val="20"/>
          <w:szCs w:val="20"/>
          <w:highlight w:val="green"/>
        </w:rPr>
      </w:pPr>
      <w:r>
        <w:rPr>
          <w:rStyle w:val="af8"/>
        </w:rPr>
        <w:footnoteRef/>
      </w:r>
      <w:r>
        <w:t xml:space="preserve"> </w:t>
      </w:r>
      <w:bookmarkStart w:id="125" w:name="_Ref21921182"/>
      <w:r w:rsidRPr="00C44692">
        <w:rPr>
          <w:rFonts w:ascii="Times New Roman" w:hAnsi="Times New Roman"/>
          <w:sz w:val="20"/>
          <w:szCs w:val="20"/>
          <w:highlight w:val="green"/>
        </w:rPr>
        <w:t xml:space="preserve">Каплан Р. С., Нортон Д. П. </w:t>
      </w:r>
      <w:r w:rsidRPr="00C44692">
        <w:rPr>
          <w:rFonts w:ascii="Times New Roman" w:hAnsi="Times New Roman"/>
          <w:bCs/>
          <w:sz w:val="20"/>
          <w:szCs w:val="20"/>
          <w:highlight w:val="green"/>
        </w:rPr>
        <w:t>Сбалансированная система показателей. От стратегии к действию</w:t>
      </w:r>
      <w:r w:rsidRPr="00C44692">
        <w:rPr>
          <w:rFonts w:ascii="Times New Roman" w:hAnsi="Times New Roman"/>
          <w:sz w:val="20"/>
          <w:szCs w:val="20"/>
          <w:highlight w:val="green"/>
        </w:rPr>
        <w:t> / Пер. с англ. - М.: ЗАО &lt;Олимп-Бизнес&gt;, 2003, 304 с</w:t>
      </w:r>
      <w:bookmarkEnd w:id="125"/>
    </w:p>
    <w:p w14:paraId="33D341D9" w14:textId="5DF8CF99" w:rsidR="00995420" w:rsidRPr="00C44692" w:rsidRDefault="00995420">
      <w:pPr>
        <w:pStyle w:val="af6"/>
        <w:rPr>
          <w:highlight w:val="green"/>
        </w:rPr>
      </w:pPr>
    </w:p>
  </w:footnote>
  <w:footnote w:id="220">
    <w:p w14:paraId="2E0BFE23" w14:textId="77777777" w:rsidR="007D58AC" w:rsidRPr="00F115CB" w:rsidRDefault="007D58AC" w:rsidP="007D58AC">
      <w:pPr>
        <w:pStyle w:val="af6"/>
        <w:rPr>
          <w:rFonts w:ascii="Times New Roman" w:hAnsi="Times New Roman" w:cs="Times New Roman"/>
        </w:rPr>
      </w:pPr>
      <w:r w:rsidRPr="00C44692">
        <w:rPr>
          <w:rStyle w:val="af8"/>
          <w:rFonts w:ascii="Times New Roman" w:hAnsi="Times New Roman" w:cs="Times New Roman"/>
          <w:highlight w:val="green"/>
        </w:rPr>
        <w:footnoteRef/>
      </w:r>
      <w:r w:rsidRPr="00C44692">
        <w:rPr>
          <w:rFonts w:ascii="Times New Roman" w:hAnsi="Times New Roman" w:cs="Times New Roman"/>
          <w:highlight w:val="green"/>
        </w:rPr>
        <w:t xml:space="preserve"> Приводится проекция, а также соответствующие ей показатели, которые можно использовать при разработке стратегии развития предприятия</w:t>
      </w:r>
      <w:r w:rsidRPr="00F115CB">
        <w:rPr>
          <w:rFonts w:ascii="Times New Roman" w:hAnsi="Times New Roman" w:cs="Times New Roman"/>
        </w:rPr>
        <w:t xml:space="preserve"> </w:t>
      </w:r>
    </w:p>
  </w:footnote>
  <w:footnote w:id="221">
    <w:p w14:paraId="3AB4910C" w14:textId="70391076" w:rsidR="007D6045" w:rsidRPr="0091733B" w:rsidRDefault="007D6045" w:rsidP="007D6045">
      <w:pPr>
        <w:pStyle w:val="afb"/>
        <w:spacing w:after="0" w:line="240" w:lineRule="auto"/>
        <w:ind w:left="567"/>
        <w:jc w:val="both"/>
        <w:rPr>
          <w:rFonts w:ascii="Times New Roman" w:hAnsi="Times New Roman" w:cs="Times New Roman"/>
          <w:sz w:val="20"/>
          <w:szCs w:val="20"/>
        </w:rPr>
      </w:pPr>
      <w:r>
        <w:rPr>
          <w:rStyle w:val="af8"/>
        </w:rPr>
        <w:footnoteRef/>
      </w:r>
      <w:r>
        <w:t xml:space="preserve"> </w:t>
      </w:r>
      <w:bookmarkStart w:id="126" w:name="_Ref44221993"/>
      <w:r w:rsidRPr="00C44692">
        <w:rPr>
          <w:rFonts w:ascii="Times New Roman" w:hAnsi="Times New Roman"/>
          <w:sz w:val="20"/>
          <w:szCs w:val="20"/>
          <w:highlight w:val="green"/>
        </w:rPr>
        <w:t>Основные положения стратегии устойчивого развития России /Под ред. А.М. Шелехова. М., 2002. - 161 с.</w:t>
      </w:r>
      <w:bookmarkEnd w:id="126"/>
      <w:r w:rsidRPr="00C44692">
        <w:rPr>
          <w:rFonts w:ascii="Times New Roman" w:hAnsi="Times New Roman"/>
          <w:sz w:val="20"/>
          <w:szCs w:val="20"/>
          <w:highlight w:val="green"/>
        </w:rPr>
        <w:t>;</w:t>
      </w:r>
      <w:bookmarkStart w:id="127" w:name="_Ref22351876"/>
      <w:r w:rsidRPr="00C44692">
        <w:rPr>
          <w:rFonts w:ascii="Times New Roman" w:hAnsi="Times New Roman" w:cs="Times New Roman"/>
          <w:sz w:val="20"/>
          <w:szCs w:val="20"/>
          <w:highlight w:val="green"/>
        </w:rPr>
        <w:t>Преобразование нашего мира: Повестка дня в области устойчивого развития на период до 2030 года. Резолюция Генеральной Ассамблей ООН.-25.09.2015.</w:t>
      </w:r>
      <w:bookmarkEnd w:id="127"/>
    </w:p>
    <w:p w14:paraId="6779099B" w14:textId="3C2D58E5" w:rsidR="007D6045" w:rsidRDefault="007D6045">
      <w:pPr>
        <w:pStyle w:val="af6"/>
      </w:pPr>
    </w:p>
  </w:footnote>
  <w:footnote w:id="222">
    <w:p w14:paraId="61DF24A3" w14:textId="77777777" w:rsidR="00AA1368" w:rsidRPr="003702B5" w:rsidRDefault="00AA1368" w:rsidP="00AA1368">
      <w:pPr>
        <w:pStyle w:val="afb"/>
        <w:spacing w:after="0" w:line="240" w:lineRule="auto"/>
        <w:ind w:left="567"/>
        <w:jc w:val="both"/>
        <w:rPr>
          <w:rFonts w:ascii="Times New Roman" w:hAnsi="Times New Roman"/>
          <w:sz w:val="20"/>
          <w:szCs w:val="20"/>
          <w:highlight w:val="green"/>
        </w:rPr>
      </w:pPr>
      <w:r>
        <w:rPr>
          <w:rStyle w:val="af8"/>
        </w:rPr>
        <w:footnoteRef/>
      </w:r>
      <w:r>
        <w:t xml:space="preserve"> </w:t>
      </w:r>
      <w:bookmarkStart w:id="130" w:name="_Ref21484328"/>
      <w:r w:rsidRPr="003702B5">
        <w:rPr>
          <w:rFonts w:ascii="Times New Roman" w:hAnsi="Times New Roman"/>
          <w:sz w:val="20"/>
          <w:szCs w:val="20"/>
          <w:highlight w:val="green"/>
        </w:rPr>
        <w:t>Российская экономика в 2018 году. Тенденции и перспективы. (Вып. 40) / [В. Мау и др.; под науч. ред. д-ра экон. наук Кудрина А.Л., д-ра экон. наук Синельникова-Мурылева С.Г.]; Ин-т экон. политики имени Е.Т. Гайдара. – Москва: Изд-во Ин-та Гайдара, 2019. – 656 с. : ил.</w:t>
      </w:r>
      <w:bookmarkEnd w:id="130"/>
    </w:p>
    <w:p w14:paraId="4E7DB635" w14:textId="488D7CEC" w:rsidR="00AA1368" w:rsidRPr="003702B5" w:rsidRDefault="00AA1368">
      <w:pPr>
        <w:pStyle w:val="af6"/>
        <w:rPr>
          <w:highlight w:val="green"/>
        </w:rPr>
      </w:pPr>
    </w:p>
  </w:footnote>
  <w:footnote w:id="223">
    <w:p w14:paraId="2B90803F" w14:textId="77777777" w:rsidR="00AA1368" w:rsidRPr="00AA1368" w:rsidRDefault="00AA1368" w:rsidP="00AA1368">
      <w:pPr>
        <w:pStyle w:val="afb"/>
        <w:spacing w:after="0" w:line="240" w:lineRule="auto"/>
        <w:ind w:left="567"/>
        <w:jc w:val="both"/>
        <w:rPr>
          <w:rFonts w:ascii="Times New Roman" w:hAnsi="Times New Roman"/>
          <w:sz w:val="20"/>
          <w:szCs w:val="20"/>
        </w:rPr>
      </w:pPr>
      <w:r w:rsidRPr="003702B5">
        <w:rPr>
          <w:rStyle w:val="af8"/>
          <w:highlight w:val="green"/>
        </w:rPr>
        <w:footnoteRef/>
      </w:r>
      <w:r w:rsidRPr="003702B5">
        <w:rPr>
          <w:highlight w:val="green"/>
        </w:rPr>
        <w:t xml:space="preserve"> </w:t>
      </w:r>
      <w:bookmarkStart w:id="131" w:name="_Ref489715117"/>
      <w:r w:rsidRPr="003702B5">
        <w:rPr>
          <w:rFonts w:ascii="Times New Roman" w:hAnsi="Times New Roman"/>
          <w:sz w:val="20"/>
          <w:szCs w:val="20"/>
          <w:highlight w:val="green"/>
        </w:rPr>
        <w:t xml:space="preserve">Доклад об экономике России. Сложности адаптации и трансформации </w:t>
      </w:r>
      <w:r w:rsidRPr="003702B5">
        <w:rPr>
          <w:rFonts w:ascii="Times New Roman" w:hAnsi="Times New Roman"/>
          <w:sz w:val="20"/>
          <w:szCs w:val="20"/>
          <w:highlight w:val="green"/>
        </w:rPr>
        <w:br/>
        <w:t xml:space="preserve">экономики. – 2015. – № 34 // [Электронный ресурс]. Режим доступа: </w:t>
      </w:r>
      <w:r w:rsidRPr="003702B5">
        <w:rPr>
          <w:rFonts w:ascii="Times New Roman" w:hAnsi="Times New Roman"/>
          <w:sz w:val="20"/>
          <w:szCs w:val="20"/>
          <w:highlight w:val="green"/>
          <w:lang w:val="en-US"/>
        </w:rPr>
        <w:t>http</w:t>
      </w:r>
      <w:r w:rsidRPr="003702B5">
        <w:rPr>
          <w:rFonts w:ascii="Times New Roman" w:hAnsi="Times New Roman"/>
          <w:sz w:val="20"/>
          <w:szCs w:val="20"/>
          <w:highlight w:val="green"/>
        </w:rPr>
        <w:t>://</w:t>
      </w:r>
      <w:r w:rsidRPr="003702B5">
        <w:rPr>
          <w:rFonts w:ascii="Times New Roman" w:hAnsi="Times New Roman"/>
          <w:sz w:val="20"/>
          <w:szCs w:val="20"/>
          <w:highlight w:val="green"/>
          <w:lang w:val="en-US"/>
        </w:rPr>
        <w:t>econom</w:t>
      </w:r>
      <w:r w:rsidRPr="003702B5">
        <w:rPr>
          <w:rFonts w:ascii="Times New Roman" w:hAnsi="Times New Roman"/>
          <w:sz w:val="20"/>
          <w:szCs w:val="20"/>
          <w:highlight w:val="green"/>
        </w:rPr>
        <w:t>.</w:t>
      </w:r>
      <w:r w:rsidRPr="003702B5">
        <w:rPr>
          <w:rFonts w:ascii="Times New Roman" w:hAnsi="Times New Roman"/>
          <w:sz w:val="20"/>
          <w:szCs w:val="20"/>
          <w:highlight w:val="green"/>
          <w:lang w:val="en-US"/>
        </w:rPr>
        <w:t>pnzreg</w:t>
      </w:r>
      <w:r w:rsidRPr="003702B5">
        <w:rPr>
          <w:rFonts w:ascii="Times New Roman" w:hAnsi="Times New Roman"/>
          <w:sz w:val="20"/>
          <w:szCs w:val="20"/>
          <w:highlight w:val="green"/>
        </w:rPr>
        <w:t>.</w:t>
      </w:r>
      <w:r w:rsidRPr="003702B5">
        <w:rPr>
          <w:rFonts w:ascii="Times New Roman" w:hAnsi="Times New Roman"/>
          <w:sz w:val="20"/>
          <w:szCs w:val="20"/>
          <w:highlight w:val="green"/>
          <w:lang w:val="en-US"/>
        </w:rPr>
        <w:t>ru</w:t>
      </w:r>
      <w:r w:rsidRPr="003702B5">
        <w:rPr>
          <w:rFonts w:ascii="Times New Roman" w:hAnsi="Times New Roman"/>
          <w:sz w:val="20"/>
          <w:szCs w:val="20"/>
          <w:highlight w:val="green"/>
        </w:rPr>
        <w:t>/</w:t>
      </w:r>
      <w:r w:rsidRPr="003702B5">
        <w:rPr>
          <w:rFonts w:ascii="Times New Roman" w:hAnsi="Times New Roman"/>
          <w:sz w:val="20"/>
          <w:szCs w:val="20"/>
          <w:highlight w:val="green"/>
          <w:lang w:val="en-US"/>
        </w:rPr>
        <w:t>files</w:t>
      </w:r>
      <w:r w:rsidRPr="003702B5">
        <w:rPr>
          <w:rFonts w:ascii="Times New Roman" w:hAnsi="Times New Roman"/>
          <w:sz w:val="20"/>
          <w:szCs w:val="20"/>
          <w:highlight w:val="green"/>
        </w:rPr>
        <w:t>/</w:t>
      </w:r>
      <w:r w:rsidRPr="003702B5">
        <w:rPr>
          <w:rFonts w:ascii="Times New Roman" w:hAnsi="Times New Roman"/>
          <w:sz w:val="20"/>
          <w:szCs w:val="20"/>
          <w:highlight w:val="green"/>
          <w:lang w:val="en-US"/>
        </w:rPr>
        <w:t>economic</w:t>
      </w:r>
      <w:r w:rsidRPr="003702B5">
        <w:rPr>
          <w:rFonts w:ascii="Times New Roman" w:hAnsi="Times New Roman"/>
          <w:sz w:val="20"/>
          <w:szCs w:val="20"/>
          <w:highlight w:val="green"/>
        </w:rPr>
        <w:t>_</w:t>
      </w:r>
      <w:r w:rsidRPr="003702B5">
        <w:rPr>
          <w:rFonts w:ascii="Times New Roman" w:hAnsi="Times New Roman"/>
          <w:sz w:val="20"/>
          <w:szCs w:val="20"/>
          <w:highlight w:val="green"/>
          <w:lang w:val="en-US"/>
        </w:rPr>
        <w:t>pnzreg</w:t>
      </w:r>
      <w:r w:rsidRPr="003702B5">
        <w:rPr>
          <w:rFonts w:ascii="Times New Roman" w:hAnsi="Times New Roman"/>
          <w:sz w:val="20"/>
          <w:szCs w:val="20"/>
          <w:highlight w:val="green"/>
        </w:rPr>
        <w:t>_</w:t>
      </w:r>
      <w:r w:rsidRPr="003702B5">
        <w:rPr>
          <w:rFonts w:ascii="Times New Roman" w:hAnsi="Times New Roman"/>
          <w:sz w:val="20"/>
          <w:szCs w:val="20"/>
          <w:highlight w:val="green"/>
          <w:lang w:val="en-US"/>
        </w:rPr>
        <w:t>ru</w:t>
      </w:r>
      <w:r w:rsidRPr="003702B5">
        <w:rPr>
          <w:rFonts w:ascii="Times New Roman" w:hAnsi="Times New Roman"/>
          <w:sz w:val="20"/>
          <w:szCs w:val="20"/>
          <w:highlight w:val="green"/>
        </w:rPr>
        <w:t>/</w:t>
      </w:r>
      <w:r w:rsidRPr="003702B5">
        <w:rPr>
          <w:rFonts w:ascii="Times New Roman" w:hAnsi="Times New Roman"/>
          <w:sz w:val="20"/>
          <w:szCs w:val="20"/>
          <w:highlight w:val="green"/>
          <w:lang w:val="en-US"/>
        </w:rPr>
        <w:t>docs</w:t>
      </w:r>
      <w:r w:rsidRPr="003702B5">
        <w:rPr>
          <w:rFonts w:ascii="Times New Roman" w:hAnsi="Times New Roman"/>
          <w:sz w:val="20"/>
          <w:szCs w:val="20"/>
          <w:highlight w:val="green"/>
        </w:rPr>
        <w:t>/</w:t>
      </w:r>
      <w:r w:rsidRPr="003702B5">
        <w:rPr>
          <w:rFonts w:ascii="Times New Roman" w:hAnsi="Times New Roman"/>
          <w:sz w:val="20"/>
          <w:szCs w:val="20"/>
          <w:highlight w:val="green"/>
          <w:lang w:val="en-US"/>
        </w:rPr>
        <w:t>vsemirnyy</w:t>
      </w:r>
      <w:r w:rsidRPr="003702B5">
        <w:rPr>
          <w:rFonts w:ascii="Times New Roman" w:hAnsi="Times New Roman"/>
          <w:sz w:val="20"/>
          <w:szCs w:val="20"/>
          <w:highlight w:val="green"/>
        </w:rPr>
        <w:t>_</w:t>
      </w:r>
      <w:r w:rsidRPr="003702B5">
        <w:rPr>
          <w:rFonts w:ascii="Times New Roman" w:hAnsi="Times New Roman"/>
          <w:sz w:val="20"/>
          <w:szCs w:val="20"/>
          <w:highlight w:val="green"/>
          <w:lang w:val="en-US"/>
        </w:rPr>
        <w:t>bank</w:t>
      </w:r>
      <w:r w:rsidRPr="003702B5">
        <w:rPr>
          <w:rFonts w:ascii="Times New Roman" w:hAnsi="Times New Roman"/>
          <w:sz w:val="20"/>
          <w:szCs w:val="20"/>
          <w:highlight w:val="green"/>
        </w:rPr>
        <w:t>/</w:t>
      </w:r>
      <w:r w:rsidRPr="003702B5">
        <w:rPr>
          <w:rFonts w:ascii="Times New Roman" w:hAnsi="Times New Roman"/>
          <w:sz w:val="20"/>
          <w:szCs w:val="20"/>
          <w:highlight w:val="green"/>
          <w:lang w:val="en-US"/>
        </w:rPr>
        <w:t>doklad</w:t>
      </w:r>
      <w:r w:rsidRPr="003702B5">
        <w:rPr>
          <w:rFonts w:ascii="Times New Roman" w:hAnsi="Times New Roman"/>
          <w:sz w:val="20"/>
          <w:szCs w:val="20"/>
          <w:highlight w:val="green"/>
        </w:rPr>
        <w:t>_</w:t>
      </w:r>
      <w:r w:rsidRPr="003702B5">
        <w:rPr>
          <w:rFonts w:ascii="Times New Roman" w:hAnsi="Times New Roman"/>
          <w:sz w:val="20"/>
          <w:szCs w:val="20"/>
          <w:highlight w:val="green"/>
          <w:lang w:val="en-US"/>
        </w:rPr>
        <w:t>ob</w:t>
      </w:r>
      <w:r w:rsidRPr="003702B5">
        <w:rPr>
          <w:rFonts w:ascii="Times New Roman" w:hAnsi="Times New Roman"/>
          <w:sz w:val="20"/>
          <w:szCs w:val="20"/>
          <w:highlight w:val="green"/>
        </w:rPr>
        <w:t>_</w:t>
      </w:r>
      <w:r w:rsidRPr="003702B5">
        <w:rPr>
          <w:rFonts w:ascii="Times New Roman" w:hAnsi="Times New Roman"/>
          <w:sz w:val="20"/>
          <w:szCs w:val="20"/>
          <w:highlight w:val="green"/>
          <w:lang w:val="en-US"/>
        </w:rPr>
        <w:t>ekonomike</w:t>
      </w:r>
      <w:r w:rsidRPr="003702B5">
        <w:rPr>
          <w:rFonts w:ascii="Times New Roman" w:hAnsi="Times New Roman"/>
          <w:sz w:val="20"/>
          <w:szCs w:val="20"/>
          <w:highlight w:val="green"/>
        </w:rPr>
        <w:t>_</w:t>
      </w:r>
      <w:r w:rsidRPr="003702B5">
        <w:rPr>
          <w:rFonts w:ascii="Times New Roman" w:hAnsi="Times New Roman"/>
          <w:sz w:val="20"/>
          <w:szCs w:val="20"/>
          <w:highlight w:val="green"/>
          <w:lang w:val="en-US"/>
        </w:rPr>
        <w:t>rossii</w:t>
      </w:r>
      <w:r w:rsidRPr="003702B5">
        <w:rPr>
          <w:rFonts w:ascii="Times New Roman" w:hAnsi="Times New Roman"/>
          <w:sz w:val="20"/>
          <w:szCs w:val="20"/>
          <w:highlight w:val="green"/>
        </w:rPr>
        <w:t>_</w:t>
      </w:r>
      <w:r w:rsidRPr="003702B5">
        <w:rPr>
          <w:rFonts w:ascii="Times New Roman" w:hAnsi="Times New Roman"/>
          <w:sz w:val="20"/>
          <w:szCs w:val="20"/>
          <w:highlight w:val="green"/>
          <w:lang w:val="en-US"/>
        </w:rPr>
        <w:t>n</w:t>
      </w:r>
      <w:r w:rsidRPr="003702B5">
        <w:rPr>
          <w:rFonts w:ascii="Times New Roman" w:hAnsi="Times New Roman"/>
          <w:sz w:val="20"/>
          <w:szCs w:val="20"/>
          <w:highlight w:val="green"/>
        </w:rPr>
        <w:t>_34.</w:t>
      </w:r>
      <w:r w:rsidRPr="003702B5">
        <w:rPr>
          <w:rFonts w:ascii="Times New Roman" w:hAnsi="Times New Roman"/>
          <w:sz w:val="20"/>
          <w:szCs w:val="20"/>
          <w:highlight w:val="green"/>
          <w:lang w:val="en-US"/>
        </w:rPr>
        <w:t>pdf</w:t>
      </w:r>
      <w:bookmarkEnd w:id="131"/>
    </w:p>
    <w:p w14:paraId="3341E423" w14:textId="6194C3D5" w:rsidR="00AA1368" w:rsidRPr="00AA1368" w:rsidRDefault="00AA1368" w:rsidP="00AA1368">
      <w:pPr>
        <w:pStyle w:val="afb"/>
        <w:spacing w:after="0" w:line="240" w:lineRule="auto"/>
        <w:ind w:left="567"/>
        <w:jc w:val="both"/>
      </w:pPr>
    </w:p>
  </w:footnote>
  <w:footnote w:id="224">
    <w:p w14:paraId="2C4058A3" w14:textId="77777777" w:rsidR="00350D42" w:rsidRPr="000E0C7E" w:rsidRDefault="008E6F64">
      <w:pPr>
        <w:pStyle w:val="50"/>
        <w:shd w:val="clear" w:color="auto" w:fill="auto"/>
        <w:tabs>
          <w:tab w:val="left" w:pos="1326"/>
        </w:tabs>
        <w:spacing w:after="121" w:line="226" w:lineRule="exact"/>
        <w:ind w:left="1820" w:right="1100" w:hanging="720"/>
        <w:rPr>
          <w:lang w:val="ru-RU"/>
        </w:rPr>
      </w:pPr>
      <w:r>
        <w:rPr>
          <w:rStyle w:val="51"/>
          <w:b/>
          <w:bCs/>
          <w:lang w:val="ru-RU" w:eastAsia="ru-RU" w:bidi="ru-RU"/>
        </w:rPr>
        <w:footnoteRef/>
      </w:r>
      <w:r>
        <w:rPr>
          <w:lang w:val="ru-RU" w:eastAsia="ru-RU" w:bidi="ru-RU"/>
        </w:rPr>
        <w:tab/>
      </w:r>
      <w:r>
        <w:rPr>
          <w:rStyle w:val="51"/>
          <w:b/>
          <w:bCs/>
          <w:lang w:val="ru-RU" w:eastAsia="ru-RU" w:bidi="ru-RU"/>
        </w:rPr>
        <w:t>Место дисциплины в структуре основной образовательной программы</w:t>
      </w:r>
    </w:p>
    <w:p w14:paraId="3B953EC1" w14:textId="77777777" w:rsidR="00350D42" w:rsidRPr="000E0C7E" w:rsidRDefault="008E6F64">
      <w:pPr>
        <w:pStyle w:val="50"/>
        <w:shd w:val="clear" w:color="auto" w:fill="auto"/>
        <w:spacing w:line="250" w:lineRule="exact"/>
        <w:rPr>
          <w:lang w:val="ru-RU"/>
        </w:rPr>
      </w:pPr>
      <w:r>
        <w:rPr>
          <w:rStyle w:val="51"/>
          <w:b/>
          <w:bCs/>
          <w:lang w:val="ru-RU" w:eastAsia="ru-RU" w:bidi="ru-RU"/>
        </w:rPr>
        <w:t>Дисциплина «Взаимодействие государства и бизнеса» относится к базовой части профессионального цикла основной образователь</w:t>
      </w:r>
      <w:r>
        <w:rPr>
          <w:rStyle w:val="51"/>
          <w:b/>
          <w:bCs/>
          <w:lang w:val="ru-RU" w:eastAsia="ru-RU" w:bidi="ru-RU"/>
        </w:rPr>
        <w:softHyphen/>
        <w:t>ной программы бакалавриата по направлению подготовки «Эконо</w:t>
      </w:r>
      <w:r>
        <w:rPr>
          <w:rStyle w:val="51"/>
          <w:b/>
          <w:bCs/>
          <w:lang w:val="ru-RU" w:eastAsia="ru-RU" w:bidi="ru-RU"/>
        </w:rPr>
        <w:softHyphen/>
        <w:t>мика».</w:t>
      </w:r>
    </w:p>
  </w:footnote>
  <w:footnote w:id="225">
    <w:p w14:paraId="67954E46" w14:textId="77777777" w:rsidR="00350D42" w:rsidRPr="000E0C7E" w:rsidRDefault="008E6F64">
      <w:pPr>
        <w:pStyle w:val="50"/>
        <w:shd w:val="clear" w:color="auto" w:fill="auto"/>
        <w:tabs>
          <w:tab w:val="left" w:pos="1330"/>
        </w:tabs>
        <w:spacing w:line="278" w:lineRule="exact"/>
        <w:ind w:firstLine="1120"/>
        <w:rPr>
          <w:lang w:val="ru-RU"/>
        </w:rPr>
      </w:pPr>
      <w:r>
        <w:rPr>
          <w:rStyle w:val="51"/>
          <w:b/>
          <w:bCs/>
          <w:lang w:val="ru-RU" w:eastAsia="ru-RU" w:bidi="ru-RU"/>
        </w:rPr>
        <w:footnoteRef/>
      </w:r>
      <w:r>
        <w:rPr>
          <w:lang w:val="ru-RU" w:eastAsia="ru-RU" w:bidi="ru-RU"/>
        </w:rPr>
        <w:tab/>
      </w:r>
      <w:r>
        <w:rPr>
          <w:rStyle w:val="51"/>
          <w:b/>
          <w:bCs/>
          <w:lang w:val="ru-RU" w:eastAsia="ru-RU" w:bidi="ru-RU"/>
        </w:rPr>
        <w:t>Содержание разделов и тем дисциплины Раздел I. Теоретические и методологические основы взаимо</w:t>
      </w:r>
      <w:r>
        <w:rPr>
          <w:rStyle w:val="51"/>
          <w:b/>
          <w:bCs/>
          <w:lang w:val="ru-RU" w:eastAsia="ru-RU" w:bidi="ru-RU"/>
        </w:rPr>
        <w:softHyphen/>
        <w:t>действия государства и бизнеса</w:t>
      </w:r>
    </w:p>
    <w:p w14:paraId="65E8BD4D" w14:textId="77777777" w:rsidR="00350D42" w:rsidRDefault="008E6F64">
      <w:pPr>
        <w:pStyle w:val="60"/>
        <w:shd w:val="clear" w:color="auto" w:fill="auto"/>
      </w:pPr>
      <w:r>
        <w:rPr>
          <w:rStyle w:val="61"/>
          <w:b/>
          <w:bCs/>
          <w:i/>
          <w:iCs/>
        </w:rPr>
        <w:t>Тема 1. Теоретические основы взаимодействия государства и бизнеса</w:t>
      </w:r>
    </w:p>
    <w:p w14:paraId="2CB32610" w14:textId="77777777" w:rsidR="00350D42" w:rsidRPr="000E0C7E" w:rsidRDefault="008E6F64">
      <w:pPr>
        <w:pStyle w:val="50"/>
        <w:shd w:val="clear" w:color="auto" w:fill="auto"/>
        <w:spacing w:line="245" w:lineRule="exact"/>
        <w:rPr>
          <w:lang w:val="ru-RU"/>
        </w:rPr>
      </w:pPr>
      <w:r>
        <w:rPr>
          <w:rStyle w:val="51"/>
          <w:b/>
          <w:bCs/>
          <w:lang w:val="ru-RU" w:eastAsia="ru-RU" w:bidi="ru-RU"/>
        </w:rPr>
        <w:t>Предмет, основные задачи и понятия курса «Взаимодействие го</w:t>
      </w:r>
      <w:r>
        <w:rPr>
          <w:rStyle w:val="51"/>
          <w:b/>
          <w:bCs/>
          <w:lang w:val="ru-RU" w:eastAsia="ru-RU" w:bidi="ru-RU"/>
        </w:rPr>
        <w:softHyphen/>
        <w:t>сударства и бизнеса», связь с другими экономическими дисципли-</w:t>
      </w:r>
    </w:p>
  </w:footnote>
  <w:footnote w:id="226">
    <w:p w14:paraId="6FC80DA6" w14:textId="77777777" w:rsidR="00350D42" w:rsidRPr="000E0C7E" w:rsidRDefault="008E6F64">
      <w:pPr>
        <w:pStyle w:val="50"/>
        <w:shd w:val="clear" w:color="auto" w:fill="auto"/>
        <w:tabs>
          <w:tab w:val="left" w:pos="474"/>
        </w:tabs>
        <w:spacing w:line="194" w:lineRule="exact"/>
        <w:ind w:left="320" w:firstLine="0"/>
        <w:rPr>
          <w:lang w:val="ru-RU"/>
        </w:rPr>
      </w:pPr>
      <w:r>
        <w:rPr>
          <w:rStyle w:val="51"/>
          <w:b/>
          <w:bCs/>
          <w:vertAlign w:val="superscript"/>
          <w:lang w:val="ru-RU" w:eastAsia="ru-RU" w:bidi="ru-RU"/>
        </w:rPr>
        <w:footnoteRef/>
      </w:r>
      <w:r>
        <w:rPr>
          <w:lang w:val="ru-RU" w:eastAsia="ru-RU" w:bidi="ru-RU"/>
        </w:rPr>
        <w:tab/>
      </w:r>
      <w:r>
        <w:rPr>
          <w:rStyle w:val="51"/>
          <w:b/>
          <w:bCs/>
          <w:lang w:val="ru-RU" w:eastAsia="ru-RU" w:bidi="ru-RU"/>
        </w:rPr>
        <w:t>Верные ответы отмечены звездочками.</w:t>
      </w:r>
    </w:p>
  </w:footnote>
  <w:footnote w:id="227">
    <w:p w14:paraId="68C09156" w14:textId="77777777" w:rsidR="00350D42" w:rsidRDefault="008E6F64">
      <w:pPr>
        <w:pStyle w:val="50"/>
        <w:shd w:val="clear" w:color="auto" w:fill="auto"/>
        <w:ind w:firstLine="340"/>
      </w:pPr>
      <w:r>
        <w:rPr>
          <w:rStyle w:val="51"/>
          <w:b/>
          <w:bCs/>
          <w:vertAlign w:val="superscript"/>
          <w:lang w:val="ru-RU" w:eastAsia="ru-RU" w:bidi="ru-RU"/>
        </w:rPr>
        <w:footnoteRef/>
      </w:r>
      <w:r>
        <w:rPr>
          <w:rStyle w:val="51"/>
          <w:b/>
          <w:bCs/>
          <w:lang w:val="ru-RU" w:eastAsia="ru-RU" w:bidi="ru-RU"/>
        </w:rPr>
        <w:t xml:space="preserve"> Социально-ориентированные НКО: лучшие практики. </w:t>
      </w:r>
      <w:r>
        <w:rPr>
          <w:rStyle w:val="51"/>
          <w:b/>
          <w:bCs/>
        </w:rPr>
        <w:t xml:space="preserve">URL: </w:t>
      </w:r>
      <w:hyperlink r:id="rId43" w:history="1">
        <w:r>
          <w:rPr>
            <w:rStyle w:val="51"/>
            <w:b/>
            <w:bCs/>
          </w:rPr>
          <w:t>http://www</w:t>
        </w:r>
      </w:hyperlink>
      <w:r>
        <w:rPr>
          <w:rStyle w:val="51"/>
          <w:b/>
          <w:bCs/>
        </w:rPr>
        <w:t>. cftyumen.ru/upload/docs/sotsialno-orientirovannyie-nko-luchshie-praktiki.pdf.</w:t>
      </w:r>
    </w:p>
  </w:footnote>
  <w:footnote w:id="228">
    <w:p w14:paraId="3E949025" w14:textId="77777777" w:rsidR="00350D42" w:rsidRDefault="008E6F64">
      <w:pPr>
        <w:pStyle w:val="50"/>
        <w:shd w:val="clear" w:color="auto" w:fill="auto"/>
        <w:tabs>
          <w:tab w:val="left" w:pos="451"/>
        </w:tabs>
        <w:spacing w:line="197" w:lineRule="exact"/>
      </w:pPr>
      <w:r>
        <w:rPr>
          <w:rStyle w:val="51"/>
          <w:b/>
          <w:bCs/>
          <w:vertAlign w:val="superscript"/>
          <w:lang w:val="ru-RU" w:eastAsia="ru-RU" w:bidi="ru-RU"/>
        </w:rPr>
        <w:footnoteRef/>
      </w:r>
      <w:r w:rsidRPr="000E0C7E">
        <w:rPr>
          <w:rStyle w:val="51"/>
          <w:b/>
          <w:bCs/>
          <w:lang w:eastAsia="ru-RU" w:bidi="ru-RU"/>
        </w:rPr>
        <w:tab/>
      </w:r>
      <w:r>
        <w:rPr>
          <w:rStyle w:val="51"/>
          <w:b/>
          <w:bCs/>
        </w:rPr>
        <w:t xml:space="preserve">URL: </w:t>
      </w:r>
      <w:hyperlink r:id="rId44" w:history="1">
        <w:r>
          <w:rPr>
            <w:rStyle w:val="51"/>
            <w:b/>
            <w:bCs/>
          </w:rPr>
          <w:t>http://www.garant.ru/article/616813/</w:t>
        </w:r>
      </w:hyperlink>
      <w:r>
        <w:rPr>
          <w:rStyle w:val="51"/>
          <w:b/>
          <w:bCs/>
        </w:rPr>
        <w:t xml:space="preserve">; </w:t>
      </w:r>
      <w:hyperlink r:id="rId45" w:history="1">
        <w:r>
          <w:rPr>
            <w:rStyle w:val="51"/>
            <w:b/>
            <w:bCs/>
          </w:rPr>
          <w:t>http://pronedra.ru/government/</w:t>
        </w:r>
      </w:hyperlink>
      <w:r>
        <w:rPr>
          <w:rStyle w:val="51"/>
          <w:b/>
          <w:bCs/>
        </w:rPr>
        <w:t xml:space="preserve"> 2015/10/06/izmeneniya-antimonopolinogo-zakonodatelistva/.</w:t>
      </w:r>
    </w:p>
  </w:footnote>
  <w:footnote w:id="229">
    <w:p w14:paraId="646AB79A" w14:textId="77777777" w:rsidR="00350D42" w:rsidRDefault="008E6F64">
      <w:pPr>
        <w:pStyle w:val="50"/>
        <w:shd w:val="clear" w:color="auto" w:fill="auto"/>
        <w:tabs>
          <w:tab w:val="left" w:pos="483"/>
        </w:tabs>
        <w:spacing w:line="197" w:lineRule="exact"/>
        <w:ind w:left="320" w:firstLine="0"/>
      </w:pPr>
      <w:r>
        <w:rPr>
          <w:rStyle w:val="51"/>
          <w:b/>
          <w:bCs/>
          <w:vertAlign w:val="superscript"/>
          <w:lang w:val="ru-RU" w:eastAsia="ru-RU" w:bidi="ru-RU"/>
        </w:rPr>
        <w:footnoteRef/>
      </w:r>
      <w:r w:rsidRPr="000E0C7E">
        <w:rPr>
          <w:rStyle w:val="51"/>
          <w:b/>
          <w:bCs/>
          <w:lang w:eastAsia="ru-RU" w:bidi="ru-RU"/>
        </w:rPr>
        <w:tab/>
      </w:r>
      <w:r>
        <w:rPr>
          <w:rStyle w:val="51"/>
          <w:b/>
          <w:bCs/>
        </w:rPr>
        <w:t xml:space="preserve">URL: </w:t>
      </w:r>
      <w:hyperlink r:id="rId46" w:history="1">
        <w:r>
          <w:rPr>
            <w:rStyle w:val="51"/>
            <w:b/>
            <w:bCs/>
          </w:rPr>
          <w:t>http://lawflrm.ru/pr/print.php?id=14070</w:t>
        </w:r>
      </w:hyperlink>
      <w:r>
        <w:rPr>
          <w:rStyle w:val="51"/>
          <w:b/>
          <w:bCs/>
        </w:rPr>
        <w:t>.</w:t>
      </w:r>
    </w:p>
  </w:footnote>
  <w:footnote w:id="230">
    <w:p w14:paraId="6D1278D1" w14:textId="77777777" w:rsidR="00350D42" w:rsidRDefault="008E6F64">
      <w:pPr>
        <w:pStyle w:val="50"/>
        <w:shd w:val="clear" w:color="auto" w:fill="auto"/>
        <w:tabs>
          <w:tab w:val="left" w:pos="483"/>
        </w:tabs>
        <w:spacing w:line="197" w:lineRule="exact"/>
        <w:ind w:left="320" w:firstLine="0"/>
      </w:pPr>
      <w:r>
        <w:rPr>
          <w:rStyle w:val="51"/>
          <w:b/>
          <w:bCs/>
          <w:vertAlign w:val="superscript"/>
        </w:rPr>
        <w:footnoteRef/>
      </w:r>
      <w:r>
        <w:rPr>
          <w:rStyle w:val="51"/>
          <w:b/>
          <w:bCs/>
        </w:rPr>
        <w:tab/>
        <w:t xml:space="preserve">URL: </w:t>
      </w:r>
      <w:hyperlink r:id="rId47" w:history="1">
        <w:r>
          <w:rPr>
            <w:rStyle w:val="51"/>
            <w:b/>
            <w:bCs/>
          </w:rPr>
          <w:t>http://www.spa.msu.ru/uploads/flles/h8dissertazionnii_sovet_d_501.001</w:t>
        </w:r>
      </w:hyperlink>
      <w:r>
        <w:rPr>
          <w:rStyle w:val="51"/>
          <w:b/>
          <w:bCs/>
        </w:rPr>
        <w:t>.</w:t>
      </w:r>
    </w:p>
    <w:p w14:paraId="78B1DD03" w14:textId="77777777" w:rsidR="00350D42" w:rsidRDefault="008E6F64">
      <w:pPr>
        <w:pStyle w:val="50"/>
        <w:shd w:val="clear" w:color="auto" w:fill="auto"/>
        <w:tabs>
          <w:tab w:val="left" w:leader="underscore" w:pos="1613"/>
        </w:tabs>
        <w:spacing w:line="197" w:lineRule="exact"/>
        <w:ind w:firstLine="0"/>
      </w:pPr>
      <w:r>
        <w:rPr>
          <w:rStyle w:val="51"/>
          <w:b/>
          <w:bCs/>
        </w:rPr>
        <w:t>27h8brh923.00.02</w:t>
      </w:r>
      <w:r>
        <w:rPr>
          <w:rStyle w:val="51"/>
          <w:b/>
          <w:bCs/>
        </w:rPr>
        <w:tab/>
        <w:t>polititcheskie_instituti_prozessi_i_tehnologiih9/popandopuloai.</w:t>
      </w:r>
    </w:p>
    <w:p w14:paraId="5A78BC4A" w14:textId="77777777" w:rsidR="00350D42" w:rsidRDefault="008E6F64">
      <w:pPr>
        <w:pStyle w:val="50"/>
        <w:shd w:val="clear" w:color="auto" w:fill="auto"/>
        <w:spacing w:line="197" w:lineRule="exact"/>
        <w:ind w:firstLine="0"/>
      </w:pPr>
      <w:r>
        <w:rPr>
          <w:rStyle w:val="51"/>
          <w:b/>
          <w:bCs/>
        </w:rPr>
        <w:t xml:space="preserve">pdf; URL: </w:t>
      </w:r>
      <w:hyperlink r:id="rId48" w:history="1">
        <w:r>
          <w:rPr>
            <w:rStyle w:val="51"/>
            <w:b/>
            <w:bCs/>
          </w:rPr>
          <w:t>http://www.m-economy.ru/art.php?nArtId=945</w:t>
        </w:r>
      </w:hyperlink>
      <w:r>
        <w:rPr>
          <w:rStyle w:val="51"/>
          <w:b/>
          <w:bCs/>
        </w:rPr>
        <w:t xml:space="preserve">; </w:t>
      </w:r>
      <w:r>
        <w:rPr>
          <w:rStyle w:val="51"/>
          <w:b/>
          <w:bCs/>
          <w:vertAlign w:val="superscript"/>
        </w:rPr>
        <w:t>U</w:t>
      </w:r>
      <w:r>
        <w:rPr>
          <w:rStyle w:val="51"/>
          <w:b/>
          <w:bCs/>
        </w:rPr>
        <w:t xml:space="preserve">RL: </w:t>
      </w:r>
      <w:hyperlink r:id="rId49" w:history="1">
        <w:r>
          <w:rPr>
            <w:rStyle w:val="51"/>
            <w:b/>
            <w:bCs/>
          </w:rPr>
          <w:t>http://magazines</w:t>
        </w:r>
      </w:hyperlink>
      <w:r>
        <w:rPr>
          <w:rStyle w:val="51"/>
          <w:b/>
          <w:bCs/>
        </w:rPr>
        <w:t xml:space="preserve">. russ.ru/nz/2006/50/zu18.html; URL: </w:t>
      </w:r>
      <w:hyperlink r:id="rId50" w:history="1">
        <w:r>
          <w:rPr>
            <w:rStyle w:val="51"/>
            <w:b/>
            <w:bCs/>
          </w:rPr>
          <w:t>http://www.rusnauka.com/30_NNM_2010/</w:t>
        </w:r>
      </w:hyperlink>
      <w:r>
        <w:rPr>
          <w:rStyle w:val="51"/>
          <w:b/>
          <w:bCs/>
        </w:rPr>
        <w:t xml:space="preserve"> Economics/73161.doc.htm.</w:t>
      </w:r>
    </w:p>
  </w:footnote>
  <w:footnote w:id="231">
    <w:p w14:paraId="64DC5AFE" w14:textId="77777777" w:rsidR="00350D42" w:rsidRDefault="008E6F64">
      <w:pPr>
        <w:pStyle w:val="a4"/>
        <w:shd w:val="clear" w:color="auto" w:fill="auto"/>
        <w:tabs>
          <w:tab w:val="left" w:pos="451"/>
        </w:tabs>
        <w:ind w:firstLine="320"/>
        <w:jc w:val="left"/>
      </w:pPr>
      <w:r>
        <w:rPr>
          <w:rStyle w:val="a5"/>
          <w:vertAlign w:val="superscript"/>
        </w:rPr>
        <w:footnoteRef/>
      </w:r>
      <w:r>
        <w:rPr>
          <w:rStyle w:val="a5"/>
        </w:rPr>
        <w:tab/>
        <w:t>Под участием в управлении понимается реализация хотя бы одной из его функций: планирование, учет, контроль, анализ.</w:t>
      </w:r>
    </w:p>
  </w:footnote>
  <w:footnote w:id="232">
    <w:p w14:paraId="749BA2A1" w14:textId="77777777" w:rsidR="00350D42" w:rsidRDefault="008E6F64">
      <w:pPr>
        <w:pStyle w:val="a4"/>
        <w:shd w:val="clear" w:color="auto" w:fill="auto"/>
        <w:tabs>
          <w:tab w:val="left" w:pos="442"/>
        </w:tabs>
        <w:ind w:firstLine="320"/>
      </w:pPr>
      <w:r>
        <w:rPr>
          <w:rStyle w:val="a5"/>
          <w:vertAlign w:val="superscript"/>
        </w:rPr>
        <w:footnoteRef/>
      </w:r>
      <w:r>
        <w:rPr>
          <w:rStyle w:val="a5"/>
        </w:rPr>
        <w:tab/>
      </w:r>
      <w:r>
        <w:rPr>
          <w:rStyle w:val="a6"/>
        </w:rPr>
        <w:t>Кузнецов П. В., Муравьев А. А.</w:t>
      </w:r>
      <w:r>
        <w:rPr>
          <w:rStyle w:val="a5"/>
        </w:rPr>
        <w:t xml:space="preserve"> Структура акционерного капитала и результаты деятельности фирм в России: анализ «голубых фишек» фондового рынка. М. : РПЭИ,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7FD5" w14:textId="0CF00874" w:rsidR="00350396" w:rsidRDefault="00350396">
    <w:pPr>
      <w:rPr>
        <w:sz w:val="2"/>
        <w:szCs w:val="2"/>
      </w:rPr>
    </w:pPr>
    <w:r>
      <w:rPr>
        <w:noProof/>
        <w:lang w:bidi="ar-SA"/>
      </w:rPr>
      <mc:AlternateContent>
        <mc:Choice Requires="wps">
          <w:drawing>
            <wp:anchor distT="0" distB="0" distL="63500" distR="63500" simplePos="0" relativeHeight="314588934" behindDoc="1" locked="0" layoutInCell="1" allowOverlap="1" wp14:anchorId="27FC6257" wp14:editId="7895266C">
              <wp:simplePos x="0" y="0"/>
              <wp:positionH relativeFrom="page">
                <wp:posOffset>4043045</wp:posOffset>
              </wp:positionH>
              <wp:positionV relativeFrom="page">
                <wp:posOffset>526415</wp:posOffset>
              </wp:positionV>
              <wp:extent cx="819785" cy="116840"/>
              <wp:effectExtent l="4445" t="2540" r="4445" b="4445"/>
              <wp:wrapNone/>
              <wp:docPr id="330" name="Надпись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A1111" w14:textId="77777777" w:rsidR="00350396" w:rsidRDefault="00350396">
                          <w:r>
                            <w:rPr>
                              <w:rStyle w:val="2ArialNarrow8pt"/>
                            </w:rPr>
                            <w:t>Окончание табл. 4.2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FC6257" id="_x0000_t202" coordsize="21600,21600" o:spt="202" path="m,l,21600r21600,l21600,xe">
              <v:stroke joinstyle="miter"/>
              <v:path gradientshapeok="t" o:connecttype="rect"/>
            </v:shapetype>
            <v:shape id="Надпись 330" o:spid="_x0000_s1097" type="#_x0000_t202" style="position:absolute;left:0;text-align:left;margin-left:318.35pt;margin-top:41.45pt;width:64.55pt;height:9.2pt;z-index:-1887275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" filled="f" stroked="f">
              <v:textbox style="mso-fit-shape-to-text:t" inset="0,0,0,0">
                <w:txbxContent>
                  <w:p w14:paraId="2A1A1111" w14:textId="77777777" w:rsidR="00350396" w:rsidRDefault="00350396">
                    <w:r>
                      <w:rPr>
                        <w:rStyle w:val="2ArialNarrow8pt"/>
                      </w:rPr>
                      <w:t>Окончание табл. 4.2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A386" w14:textId="12A7816E" w:rsidR="00350396" w:rsidRDefault="00350396">
    <w:pPr>
      <w:rPr>
        <w:sz w:val="2"/>
        <w:szCs w:val="2"/>
      </w:rPr>
    </w:pPr>
    <w:r>
      <w:rPr>
        <w:noProof/>
        <w:lang w:bidi="ar-SA"/>
      </w:rPr>
      <mc:AlternateContent>
        <mc:Choice Requires="wps">
          <w:drawing>
            <wp:anchor distT="0" distB="0" distL="63500" distR="63500" simplePos="0" relativeHeight="314615558" behindDoc="1" locked="0" layoutInCell="1" allowOverlap="1" wp14:anchorId="2CE6EC72" wp14:editId="703093EB">
              <wp:simplePos x="0" y="0"/>
              <wp:positionH relativeFrom="page">
                <wp:posOffset>4069080</wp:posOffset>
              </wp:positionH>
              <wp:positionV relativeFrom="page">
                <wp:posOffset>711200</wp:posOffset>
              </wp:positionV>
              <wp:extent cx="798830" cy="116840"/>
              <wp:effectExtent l="1905" t="0" r="0" b="635"/>
              <wp:wrapNone/>
              <wp:docPr id="304" name="Надпись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F127" w14:textId="77777777" w:rsidR="00350396" w:rsidRDefault="00350396">
                          <w:r>
                            <w:rPr>
                              <w:rStyle w:val="2ArialNarrow8pt"/>
                            </w:rPr>
                            <w:t>Окончание табл. К1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E6EC72" id="_x0000_t202" coordsize="21600,21600" o:spt="202" path="m,l,21600r21600,l21600,xe">
              <v:stroke joinstyle="miter"/>
              <v:path gradientshapeok="t" o:connecttype="rect"/>
            </v:shapetype>
            <v:shape id="Надпись 304" o:spid="_x0000_s1122" type="#_x0000_t202" style="position:absolute;left:0;text-align:left;margin-left:320.4pt;margin-top:56pt;width:62.9pt;height:9.2pt;z-index:-188700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" filled="f" stroked="f">
              <v:textbox style="mso-fit-shape-to-text:t" inset="0,0,0,0">
                <w:txbxContent>
                  <w:p w14:paraId="482DF127" w14:textId="77777777" w:rsidR="00350396" w:rsidRDefault="00350396">
                    <w:r>
                      <w:rPr>
                        <w:rStyle w:val="2ArialNarrow8pt"/>
                      </w:rPr>
                      <w:t>Окончание табл. К1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D0FC" w14:textId="5F247EB5" w:rsidR="00350396" w:rsidRDefault="00350396">
    <w:pPr>
      <w:rPr>
        <w:sz w:val="2"/>
        <w:szCs w:val="2"/>
      </w:rPr>
    </w:pPr>
    <w:r>
      <w:rPr>
        <w:noProof/>
        <w:lang w:bidi="ar-SA"/>
      </w:rPr>
      <mc:AlternateContent>
        <mc:Choice Requires="wps">
          <w:drawing>
            <wp:anchor distT="0" distB="0" distL="63500" distR="63500" simplePos="0" relativeHeight="314618630" behindDoc="1" locked="0" layoutInCell="1" allowOverlap="1" wp14:anchorId="5FAF278D" wp14:editId="21FF6DD0">
              <wp:simplePos x="0" y="0"/>
              <wp:positionH relativeFrom="page">
                <wp:posOffset>3956050</wp:posOffset>
              </wp:positionH>
              <wp:positionV relativeFrom="page">
                <wp:posOffset>641350</wp:posOffset>
              </wp:positionV>
              <wp:extent cx="909320" cy="116840"/>
              <wp:effectExtent l="3175" t="3175" r="1905" b="3810"/>
              <wp:wrapNone/>
              <wp:docPr id="301" name="Надпись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9211" w14:textId="77777777" w:rsidR="00350396" w:rsidRDefault="00350396">
                          <w:r>
                            <w:rPr>
                              <w:rStyle w:val="2ArialNarrow8pt"/>
                            </w:rPr>
                            <w:t>Продолжение табл. К1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AF278D" id="_x0000_t202" coordsize="21600,21600" o:spt="202" path="m,l,21600r21600,l21600,xe">
              <v:stroke joinstyle="miter"/>
              <v:path gradientshapeok="t" o:connecttype="rect"/>
            </v:shapetype>
            <v:shape id="Надпись 301" o:spid="_x0000_s1125" type="#_x0000_t202" style="position:absolute;left:0;text-align:left;margin-left:311.5pt;margin-top:50.5pt;width:71.6pt;height:9.2pt;z-index:-188697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" filled="f" stroked="f">
              <v:textbox style="mso-fit-shape-to-text:t" inset="0,0,0,0">
                <w:txbxContent>
                  <w:p w14:paraId="57FF9211" w14:textId="77777777" w:rsidR="00350396" w:rsidRDefault="00350396">
                    <w:r>
                      <w:rPr>
                        <w:rStyle w:val="2ArialNarrow8pt"/>
                      </w:rPr>
                      <w:t>Продолжение табл. К1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2180" w14:textId="6614F69D" w:rsidR="00350396" w:rsidRDefault="00350396">
    <w:pPr>
      <w:rPr>
        <w:sz w:val="2"/>
        <w:szCs w:val="2"/>
      </w:rPr>
    </w:pPr>
    <w:r>
      <w:rPr>
        <w:noProof/>
        <w:lang w:bidi="ar-SA"/>
      </w:rPr>
      <mc:AlternateContent>
        <mc:Choice Requires="wps">
          <w:drawing>
            <wp:anchor distT="0" distB="0" distL="63500" distR="63500" simplePos="0" relativeHeight="314620678" behindDoc="1" locked="0" layoutInCell="1" allowOverlap="1" wp14:anchorId="0DEE037A" wp14:editId="38BA81DE">
              <wp:simplePos x="0" y="0"/>
              <wp:positionH relativeFrom="page">
                <wp:posOffset>3956050</wp:posOffset>
              </wp:positionH>
              <wp:positionV relativeFrom="page">
                <wp:posOffset>630555</wp:posOffset>
              </wp:positionV>
              <wp:extent cx="917575" cy="113030"/>
              <wp:effectExtent l="3175" t="1905" r="3175" b="0"/>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5C79" w14:textId="77777777" w:rsidR="00350396" w:rsidRDefault="00350396">
                          <w:r>
                            <w:rPr>
                              <w:rStyle w:val="2ArialNarrow8pt"/>
                            </w:rPr>
                            <w:t>Продолжение табл. К2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EE037A" id="_x0000_t202" coordsize="21600,21600" o:spt="202" path="m,l,21600r21600,l21600,xe">
              <v:stroke joinstyle="miter"/>
              <v:path gradientshapeok="t" o:connecttype="rect"/>
            </v:shapetype>
            <v:shape id="Надпись 299" o:spid="_x0000_s1127" type="#_x0000_t202" style="position:absolute;left:0;text-align:left;margin-left:311.5pt;margin-top:49.65pt;width:72.25pt;height:8.9pt;z-index:-188695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" filled="f" stroked="f">
              <v:textbox style="mso-fit-shape-to-text:t" inset="0,0,0,0">
                <w:txbxContent>
                  <w:p w14:paraId="6FE65C79" w14:textId="77777777" w:rsidR="00350396" w:rsidRDefault="00350396">
                    <w:r>
                      <w:rPr>
                        <w:rStyle w:val="2ArialNarrow8pt"/>
                      </w:rPr>
                      <w:t>Продолжение табл. К2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5015" w14:textId="227E2D43" w:rsidR="00350396" w:rsidRDefault="00350396">
    <w:pPr>
      <w:rPr>
        <w:sz w:val="2"/>
        <w:szCs w:val="2"/>
      </w:rPr>
    </w:pPr>
    <w:r>
      <w:rPr>
        <w:noProof/>
        <w:lang w:bidi="ar-SA"/>
      </w:rPr>
      <mc:AlternateContent>
        <mc:Choice Requires="wps">
          <w:drawing>
            <wp:anchor distT="0" distB="0" distL="63500" distR="63500" simplePos="0" relativeHeight="314621702" behindDoc="1" locked="0" layoutInCell="1" allowOverlap="1" wp14:anchorId="7F0808AD" wp14:editId="07249BEB">
              <wp:simplePos x="0" y="0"/>
              <wp:positionH relativeFrom="page">
                <wp:posOffset>3956050</wp:posOffset>
              </wp:positionH>
              <wp:positionV relativeFrom="page">
                <wp:posOffset>630555</wp:posOffset>
              </wp:positionV>
              <wp:extent cx="909320" cy="116840"/>
              <wp:effectExtent l="3175" t="1905" r="1905" b="0"/>
              <wp:wrapNone/>
              <wp:docPr id="298" name="Надпись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67C1A" w14:textId="77777777" w:rsidR="00350396" w:rsidRDefault="00350396">
                          <w:r>
                            <w:rPr>
                              <w:rStyle w:val="2ArialNarrow8pt"/>
                            </w:rPr>
                            <w:t>Продолжение табл. К2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0808AD" id="_x0000_t202" coordsize="21600,21600" o:spt="202" path="m,l,21600r21600,l21600,xe">
              <v:stroke joinstyle="miter"/>
              <v:path gradientshapeok="t" o:connecttype="rect"/>
            </v:shapetype>
            <v:shape id="Надпись 298" o:spid="_x0000_s1128" type="#_x0000_t202" style="position:absolute;left:0;text-align:left;margin-left:311.5pt;margin-top:49.65pt;width:71.6pt;height:9.2pt;z-index:-188694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" filled="f" stroked="f">
              <v:textbox style="mso-fit-shape-to-text:t" inset="0,0,0,0">
                <w:txbxContent>
                  <w:p w14:paraId="73767C1A" w14:textId="77777777" w:rsidR="00350396" w:rsidRDefault="00350396">
                    <w:r>
                      <w:rPr>
                        <w:rStyle w:val="2ArialNarrow8pt"/>
                      </w:rPr>
                      <w:t>Продолжение табл. К2</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B7C8" w14:textId="77777777" w:rsidR="00350396" w:rsidRDefault="0035039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5D16" w14:textId="77777777" w:rsidR="00350396" w:rsidRDefault="0035039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386A" w14:textId="77777777" w:rsidR="00350396" w:rsidRDefault="0035039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2E07" w14:textId="688E617B" w:rsidR="00350396" w:rsidRDefault="00350396">
    <w:pPr>
      <w:rPr>
        <w:sz w:val="2"/>
        <w:szCs w:val="2"/>
      </w:rPr>
    </w:pPr>
    <w:r>
      <w:rPr>
        <w:noProof/>
        <w:lang w:bidi="ar-SA"/>
      </w:rPr>
      <mc:AlternateContent>
        <mc:Choice Requires="wps">
          <w:drawing>
            <wp:anchor distT="0" distB="0" distL="63500" distR="63500" simplePos="0" relativeHeight="314627846" behindDoc="1" locked="0" layoutInCell="1" allowOverlap="1" wp14:anchorId="18E030A2" wp14:editId="11BF0779">
              <wp:simplePos x="0" y="0"/>
              <wp:positionH relativeFrom="page">
                <wp:posOffset>4070350</wp:posOffset>
              </wp:positionH>
              <wp:positionV relativeFrom="page">
                <wp:posOffset>704850</wp:posOffset>
              </wp:positionV>
              <wp:extent cx="798830" cy="116840"/>
              <wp:effectExtent l="3175" t="0" r="0" b="0"/>
              <wp:wrapNone/>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ABBB" w14:textId="77777777" w:rsidR="00350396" w:rsidRDefault="00350396">
                          <w:r>
                            <w:rPr>
                              <w:rStyle w:val="2ArialNarrow8pt"/>
                            </w:rPr>
                            <w:t>Окончание табл. К2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E030A2" id="_x0000_t202" coordsize="21600,21600" o:spt="202" path="m,l,21600r21600,l21600,xe">
              <v:stroke joinstyle="miter"/>
              <v:path gradientshapeok="t" o:connecttype="rect"/>
            </v:shapetype>
            <v:shape id="Надпись 292" o:spid="_x0000_s1134" type="#_x0000_t202" style="position:absolute;left:0;text-align:left;margin-left:320.5pt;margin-top:55.5pt;width:62.9pt;height:9.2pt;z-index:-1886886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" filled="f" stroked="f">
              <v:textbox style="mso-fit-shape-to-text:t" inset="0,0,0,0">
                <w:txbxContent>
                  <w:p w14:paraId="1055ABBB" w14:textId="77777777" w:rsidR="00350396" w:rsidRDefault="00350396">
                    <w:r>
                      <w:rPr>
                        <w:rStyle w:val="2ArialNarrow8pt"/>
                      </w:rPr>
                      <w:t>Окончание табл. К2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D376" w14:textId="77777777" w:rsidR="00350396" w:rsidRDefault="0035039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22BD" w14:textId="51D2009F" w:rsidR="00350D42" w:rsidRDefault="00A74D21">
    <w:pPr>
      <w:rPr>
        <w:sz w:val="2"/>
        <w:szCs w:val="2"/>
      </w:rPr>
    </w:pPr>
    <w:r>
      <w:rPr>
        <w:noProof/>
        <w:lang w:bidi="ar-SA"/>
      </w:rPr>
      <mc:AlternateContent>
        <mc:Choice Requires="wps">
          <w:drawing>
            <wp:anchor distT="0" distB="0" distL="63500" distR="63500" simplePos="0" relativeHeight="314572508" behindDoc="1" locked="0" layoutInCell="1" allowOverlap="1" wp14:anchorId="510AFE85" wp14:editId="29AC4B50">
              <wp:simplePos x="0" y="0"/>
              <wp:positionH relativeFrom="page">
                <wp:posOffset>4338320</wp:posOffset>
              </wp:positionH>
              <wp:positionV relativeFrom="page">
                <wp:posOffset>526415</wp:posOffset>
              </wp:positionV>
              <wp:extent cx="756285" cy="116840"/>
              <wp:effectExtent l="4445" t="2540" r="127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F946" w14:textId="77777777" w:rsidR="00350D42" w:rsidRDefault="008E6F64">
                          <w:pPr>
                            <w:pStyle w:val="2fb"/>
                            <w:shd w:val="clear" w:color="auto" w:fill="auto"/>
                            <w:spacing w:line="240" w:lineRule="auto"/>
                          </w:pPr>
                          <w:r>
                            <w:rPr>
                              <w:rStyle w:val="2ArialNarrow8pt"/>
                            </w:rPr>
                            <w:t>Таблица П.1.4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0AFE85" id="_x0000_t202" coordsize="21600,21600" o:spt="202" path="m,l,21600r21600,l21600,xe">
              <v:stroke joinstyle="miter"/>
              <v:path gradientshapeok="t" o:connecttype="rect"/>
            </v:shapetype>
            <v:shape id="Text Box 43" o:spid="_x0000_s1155" type="#_x0000_t202" style="position:absolute;left:0;text-align:left;margin-left:341.6pt;margin-top:41.45pt;width:59.55pt;height:9.2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" filled="f" stroked="f">
              <v:textbox style="mso-fit-shape-to-text:t" inset="0,0,0,0">
                <w:txbxContent>
                  <w:p w14:paraId="3746F946" w14:textId="77777777" w:rsidR="00350D42" w:rsidRDefault="008E6F64">
                    <w:pPr>
                      <w:pStyle w:val="2fb"/>
                      <w:shd w:val="clear" w:color="auto" w:fill="auto"/>
                      <w:spacing w:line="240" w:lineRule="auto"/>
                    </w:pPr>
                    <w:r>
                      <w:rPr>
                        <w:rStyle w:val="2ArialNarrow8pt"/>
                      </w:rPr>
                      <w:t>Таблица П.1.4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CCE5" w14:textId="135527EC" w:rsidR="00350396" w:rsidRDefault="00350396">
    <w:pPr>
      <w:rPr>
        <w:sz w:val="2"/>
        <w:szCs w:val="2"/>
      </w:rPr>
    </w:pPr>
    <w:r>
      <w:rPr>
        <w:noProof/>
        <w:lang w:bidi="ar-SA"/>
      </w:rPr>
      <mc:AlternateContent>
        <mc:Choice Requires="wps">
          <w:drawing>
            <wp:anchor distT="0" distB="0" distL="63500" distR="63500" simplePos="0" relativeHeight="314593030" behindDoc="1" locked="0" layoutInCell="1" allowOverlap="1" wp14:anchorId="15A4EB58" wp14:editId="42E9830B">
              <wp:simplePos x="0" y="0"/>
              <wp:positionH relativeFrom="page">
                <wp:posOffset>4044950</wp:posOffset>
              </wp:positionH>
              <wp:positionV relativeFrom="page">
                <wp:posOffset>588645</wp:posOffset>
              </wp:positionV>
              <wp:extent cx="820420" cy="116840"/>
              <wp:effectExtent l="0" t="0" r="1905" b="0"/>
              <wp:wrapNone/>
              <wp:docPr id="326" name="Надпись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8051" w14:textId="77777777" w:rsidR="00350396" w:rsidRDefault="00350396">
                          <w:r>
                            <w:rPr>
                              <w:rStyle w:val="2ArialNarrow8pt"/>
                            </w:rPr>
                            <w:t>Окончание табл. 4.6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A4EB58" id="_x0000_t202" coordsize="21600,21600" o:spt="202" path="m,l,21600r21600,l21600,xe">
              <v:stroke joinstyle="miter"/>
              <v:path gradientshapeok="t" o:connecttype="rect"/>
            </v:shapetype>
            <v:shape id="Надпись 326" o:spid="_x0000_s1101" type="#_x0000_t202" style="position:absolute;left:0;text-align:left;margin-left:318.5pt;margin-top:46.35pt;width:64.6pt;height:9.2pt;z-index:-1887234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" filled="f" stroked="f">
              <v:textbox style="mso-fit-shape-to-text:t" inset="0,0,0,0">
                <w:txbxContent>
                  <w:p w14:paraId="79D78051" w14:textId="77777777" w:rsidR="00350396" w:rsidRDefault="00350396">
                    <w:r>
                      <w:rPr>
                        <w:rStyle w:val="2ArialNarrow8pt"/>
                      </w:rPr>
                      <w:t>Окончание табл. 4.6</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7342" w14:textId="7095F8F2" w:rsidR="00350D42" w:rsidRDefault="00A74D21">
    <w:pPr>
      <w:rPr>
        <w:sz w:val="2"/>
        <w:szCs w:val="2"/>
      </w:rPr>
    </w:pPr>
    <w:r>
      <w:rPr>
        <w:noProof/>
        <w:lang w:bidi="ar-SA"/>
      </w:rPr>
      <mc:AlternateContent>
        <mc:Choice Requires="wps">
          <w:drawing>
            <wp:anchor distT="0" distB="0" distL="63500" distR="63500" simplePos="0" relativeHeight="314572512" behindDoc="1" locked="0" layoutInCell="1" allowOverlap="1" wp14:anchorId="032BA86E" wp14:editId="6899D53A">
              <wp:simplePos x="0" y="0"/>
              <wp:positionH relativeFrom="page">
                <wp:posOffset>4337050</wp:posOffset>
              </wp:positionH>
              <wp:positionV relativeFrom="page">
                <wp:posOffset>655320</wp:posOffset>
              </wp:positionV>
              <wp:extent cx="757555" cy="116840"/>
              <wp:effectExtent l="3175" t="0" r="127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53" w14:textId="77777777" w:rsidR="00350D42" w:rsidRDefault="008E6F64">
                          <w:pPr>
                            <w:pStyle w:val="2fb"/>
                            <w:shd w:val="clear" w:color="auto" w:fill="auto"/>
                            <w:spacing w:line="240" w:lineRule="auto"/>
                          </w:pPr>
                          <w:r>
                            <w:rPr>
                              <w:rStyle w:val="2ArialNarrow8pt"/>
                            </w:rPr>
                            <w:t>Таблица П.1.5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2BA86E" id="_x0000_t202" coordsize="21600,21600" o:spt="202" path="m,l,21600r21600,l21600,xe">
              <v:stroke joinstyle="miter"/>
              <v:path gradientshapeok="t" o:connecttype="rect"/>
            </v:shapetype>
            <v:shape id="Text Box 39" o:spid="_x0000_s1159" type="#_x0000_t202" style="position:absolute;left:0;text-align:left;margin-left:341.5pt;margin-top:51.6pt;width:59.65pt;height:9.2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" filled="f" stroked="f">
              <v:textbox style="mso-fit-shape-to-text:t" inset="0,0,0,0">
                <w:txbxContent>
                  <w:p w14:paraId="2F59DE53" w14:textId="77777777" w:rsidR="00350D42" w:rsidRDefault="008E6F64">
                    <w:pPr>
                      <w:pStyle w:val="2fb"/>
                      <w:shd w:val="clear" w:color="auto" w:fill="auto"/>
                      <w:spacing w:line="240" w:lineRule="auto"/>
                    </w:pPr>
                    <w:r>
                      <w:rPr>
                        <w:rStyle w:val="2ArialNarrow8pt"/>
                      </w:rPr>
                      <w:t>Таблица П.1.5</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EE37" w14:textId="77777777" w:rsidR="00350D42" w:rsidRDefault="00350D42"/>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7051" w14:textId="77777777" w:rsidR="00350D42" w:rsidRDefault="00350D42"/>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BBCA" w14:textId="242518B2" w:rsidR="00350D42" w:rsidRDefault="00A74D21">
    <w:pPr>
      <w:rPr>
        <w:sz w:val="2"/>
        <w:szCs w:val="2"/>
      </w:rPr>
    </w:pPr>
    <w:r>
      <w:rPr>
        <w:noProof/>
        <w:lang w:bidi="ar-SA"/>
      </w:rPr>
      <mc:AlternateContent>
        <mc:Choice Requires="wps">
          <w:drawing>
            <wp:anchor distT="0" distB="0" distL="63500" distR="63500" simplePos="0" relativeHeight="314572517" behindDoc="1" locked="0" layoutInCell="1" allowOverlap="1" wp14:anchorId="279E81E5" wp14:editId="74F989B7">
              <wp:simplePos x="0" y="0"/>
              <wp:positionH relativeFrom="page">
                <wp:posOffset>3965575</wp:posOffset>
              </wp:positionH>
              <wp:positionV relativeFrom="page">
                <wp:posOffset>655320</wp:posOffset>
              </wp:positionV>
              <wp:extent cx="1104900" cy="116840"/>
              <wp:effectExtent l="3175"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0A9B" w14:textId="77777777" w:rsidR="00350D42" w:rsidRDefault="008E6F64">
                          <w:pPr>
                            <w:pStyle w:val="2fb"/>
                            <w:shd w:val="clear" w:color="auto" w:fill="auto"/>
                            <w:spacing w:line="240" w:lineRule="auto"/>
                          </w:pPr>
                          <w:r>
                            <w:rPr>
                              <w:rStyle w:val="2ArialNarrow8pt"/>
                            </w:rPr>
                            <w:t>Окончание табл. П.1.6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9E81E5" id="_x0000_t202" coordsize="21600,21600" o:spt="202" path="m,l,21600r21600,l21600,xe">
              <v:stroke joinstyle="miter"/>
              <v:path gradientshapeok="t" o:connecttype="rect"/>
            </v:shapetype>
            <v:shape id="Text Box 34" o:spid="_x0000_s1164" type="#_x0000_t202" style="position:absolute;left:0;text-align:left;margin-left:312.25pt;margin-top:51.6pt;width:87pt;height:9.2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" filled="f" stroked="f">
              <v:textbox style="mso-fit-shape-to-text:t" inset="0,0,0,0">
                <w:txbxContent>
                  <w:p w14:paraId="167B0A9B" w14:textId="77777777" w:rsidR="00350D42" w:rsidRDefault="008E6F64">
                    <w:pPr>
                      <w:pStyle w:val="2fb"/>
                      <w:shd w:val="clear" w:color="auto" w:fill="auto"/>
                      <w:spacing w:line="240" w:lineRule="auto"/>
                    </w:pPr>
                    <w:r>
                      <w:rPr>
                        <w:rStyle w:val="2ArialNarrow8pt"/>
                      </w:rPr>
                      <w:t>Окончание табл. П.1.6</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1DDA" w14:textId="77777777" w:rsidR="00350D42" w:rsidRDefault="00350D42"/>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D5B5" w14:textId="74330D7E" w:rsidR="00350D42" w:rsidRDefault="00A74D21">
    <w:pPr>
      <w:rPr>
        <w:sz w:val="2"/>
        <w:szCs w:val="2"/>
      </w:rPr>
    </w:pPr>
    <w:r>
      <w:rPr>
        <w:noProof/>
        <w:lang w:bidi="ar-SA"/>
      </w:rPr>
      <mc:AlternateContent>
        <mc:Choice Requires="wps">
          <w:drawing>
            <wp:anchor distT="0" distB="0" distL="63500" distR="63500" simplePos="0" relativeHeight="314572526" behindDoc="1" locked="0" layoutInCell="1" allowOverlap="1" wp14:anchorId="7A7ECF3B" wp14:editId="6B88A51C">
              <wp:simplePos x="0" y="0"/>
              <wp:positionH relativeFrom="page">
                <wp:posOffset>3967480</wp:posOffset>
              </wp:positionH>
              <wp:positionV relativeFrom="page">
                <wp:posOffset>509270</wp:posOffset>
              </wp:positionV>
              <wp:extent cx="1104900" cy="116840"/>
              <wp:effectExtent l="0" t="4445" r="4445"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AEAF" w14:textId="77777777" w:rsidR="00350D42" w:rsidRDefault="008E6F64">
                          <w:pPr>
                            <w:pStyle w:val="2fb"/>
                            <w:shd w:val="clear" w:color="auto" w:fill="auto"/>
                            <w:spacing w:line="240" w:lineRule="auto"/>
                          </w:pPr>
                          <w:r>
                            <w:rPr>
                              <w:rStyle w:val="2ArialNarrow8pt"/>
                            </w:rPr>
                            <w:t>Окончание табл. П.2.1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7ECF3B" id="_x0000_t202" coordsize="21600,21600" o:spt="202" path="m,l,21600r21600,l21600,xe">
              <v:stroke joinstyle="miter"/>
              <v:path gradientshapeok="t" o:connecttype="rect"/>
            </v:shapetype>
            <v:shape id="Text Box 25" o:spid="_x0000_s1173" type="#_x0000_t202" style="position:absolute;left:0;text-align:left;margin-left:312.4pt;margin-top:40.1pt;width:87pt;height:9.2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" filled="f" stroked="f">
              <v:textbox style="mso-fit-shape-to-text:t" inset="0,0,0,0">
                <w:txbxContent>
                  <w:p w14:paraId="2E08AEAF" w14:textId="77777777" w:rsidR="00350D42" w:rsidRDefault="008E6F64">
                    <w:pPr>
                      <w:pStyle w:val="2fb"/>
                      <w:shd w:val="clear" w:color="auto" w:fill="auto"/>
                      <w:spacing w:line="240" w:lineRule="auto"/>
                    </w:pPr>
                    <w:r>
                      <w:rPr>
                        <w:rStyle w:val="2ArialNarrow8pt"/>
                      </w:rPr>
                      <w:t>Окончание табл. П.2.1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06CF" w14:textId="20351CD6" w:rsidR="00350D42" w:rsidRDefault="00A74D21">
    <w:pPr>
      <w:rPr>
        <w:sz w:val="2"/>
        <w:szCs w:val="2"/>
      </w:rPr>
    </w:pPr>
    <w:r>
      <w:rPr>
        <w:noProof/>
        <w:lang w:bidi="ar-SA"/>
      </w:rPr>
      <mc:AlternateContent>
        <mc:Choice Requires="wps">
          <w:drawing>
            <wp:anchor distT="0" distB="0" distL="63500" distR="63500" simplePos="0" relativeHeight="314572528" behindDoc="1" locked="0" layoutInCell="1" allowOverlap="1" wp14:anchorId="6CE92664" wp14:editId="0C9A8D8D">
              <wp:simplePos x="0" y="0"/>
              <wp:positionH relativeFrom="page">
                <wp:posOffset>3964940</wp:posOffset>
              </wp:positionH>
              <wp:positionV relativeFrom="page">
                <wp:posOffset>621665</wp:posOffset>
              </wp:positionV>
              <wp:extent cx="1104900" cy="116840"/>
              <wp:effectExtent l="2540" t="254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E9FDE" w14:textId="77777777" w:rsidR="00350D42" w:rsidRDefault="008E6F64">
                          <w:pPr>
                            <w:pStyle w:val="2fb"/>
                            <w:shd w:val="clear" w:color="auto" w:fill="auto"/>
                            <w:spacing w:line="240" w:lineRule="auto"/>
                          </w:pPr>
                          <w:r>
                            <w:rPr>
                              <w:rStyle w:val="2ArialNarrow8pt"/>
                            </w:rPr>
                            <w:t>Окончание табл. П.2.4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E92664" id="_x0000_t202" coordsize="21600,21600" o:spt="202" path="m,l,21600r21600,l21600,xe">
              <v:stroke joinstyle="miter"/>
              <v:path gradientshapeok="t" o:connecttype="rect"/>
            </v:shapetype>
            <v:shape id="Text Box 23" o:spid="_x0000_s1175" type="#_x0000_t202" style="position:absolute;left:0;text-align:left;margin-left:312.2pt;margin-top:48.95pt;width:87pt;height:9.2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" filled="f" stroked="f">
              <v:textbox style="mso-fit-shape-to-text:t" inset="0,0,0,0">
                <w:txbxContent>
                  <w:p w14:paraId="741E9FDE" w14:textId="77777777" w:rsidR="00350D42" w:rsidRDefault="008E6F64">
                    <w:pPr>
                      <w:pStyle w:val="2fb"/>
                      <w:shd w:val="clear" w:color="auto" w:fill="auto"/>
                      <w:spacing w:line="240" w:lineRule="auto"/>
                    </w:pPr>
                    <w:r>
                      <w:rPr>
                        <w:rStyle w:val="2ArialNarrow8pt"/>
                      </w:rPr>
                      <w:t>Окончание табл. П.2.4</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3A40" w14:textId="77777777" w:rsidR="00350D42" w:rsidRDefault="00350D4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C7E1" w14:textId="60CF8BCF" w:rsidR="00350D42" w:rsidRDefault="00A74D21">
    <w:pPr>
      <w:rPr>
        <w:sz w:val="2"/>
        <w:szCs w:val="2"/>
      </w:rPr>
    </w:pPr>
    <w:r>
      <w:rPr>
        <w:noProof/>
        <w:lang w:bidi="ar-SA"/>
      </w:rPr>
      <mc:AlternateContent>
        <mc:Choice Requires="wps">
          <w:drawing>
            <wp:anchor distT="0" distB="0" distL="63500" distR="63500" simplePos="0" relativeHeight="314572532" behindDoc="1" locked="0" layoutInCell="1" allowOverlap="1" wp14:anchorId="0FB9194D" wp14:editId="432796C3">
              <wp:simplePos x="0" y="0"/>
              <wp:positionH relativeFrom="page">
                <wp:posOffset>4331970</wp:posOffset>
              </wp:positionH>
              <wp:positionV relativeFrom="page">
                <wp:posOffset>637540</wp:posOffset>
              </wp:positionV>
              <wp:extent cx="756285" cy="11684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DCFCA" w14:textId="77777777" w:rsidR="00350D42" w:rsidRDefault="008E6F64">
                          <w:pPr>
                            <w:pStyle w:val="2fb"/>
                            <w:shd w:val="clear" w:color="auto" w:fill="auto"/>
                            <w:spacing w:line="240" w:lineRule="auto"/>
                          </w:pPr>
                          <w:r>
                            <w:rPr>
                              <w:rStyle w:val="2ArialNarrow8pt"/>
                            </w:rPr>
                            <w:t>Таблица П.2.7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B9194D" id="_x0000_t202" coordsize="21600,21600" o:spt="202" path="m,l,21600r21600,l21600,xe">
              <v:stroke joinstyle="miter"/>
              <v:path gradientshapeok="t" o:connecttype="rect"/>
            </v:shapetype>
            <v:shape id="Text Box 19" o:spid="_x0000_s1179" type="#_x0000_t202" style="position:absolute;left:0;text-align:left;margin-left:341.1pt;margin-top:50.2pt;width:59.55pt;height:9.2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" filled="f" stroked="f">
              <v:textbox style="mso-fit-shape-to-text:t" inset="0,0,0,0">
                <w:txbxContent>
                  <w:p w14:paraId="160DCFCA" w14:textId="77777777" w:rsidR="00350D42" w:rsidRDefault="008E6F64">
                    <w:pPr>
                      <w:pStyle w:val="2fb"/>
                      <w:shd w:val="clear" w:color="auto" w:fill="auto"/>
                      <w:spacing w:line="240" w:lineRule="auto"/>
                    </w:pPr>
                    <w:r>
                      <w:rPr>
                        <w:rStyle w:val="2ArialNarrow8pt"/>
                      </w:rPr>
                      <w:t>Таблица П.2.7</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7D05" w14:textId="49220BB9" w:rsidR="00350D42" w:rsidRDefault="00A74D21">
    <w:pPr>
      <w:rPr>
        <w:sz w:val="2"/>
        <w:szCs w:val="2"/>
      </w:rPr>
    </w:pPr>
    <w:r>
      <w:rPr>
        <w:noProof/>
        <w:lang w:bidi="ar-SA"/>
      </w:rPr>
      <mc:AlternateContent>
        <mc:Choice Requires="wps">
          <w:drawing>
            <wp:anchor distT="0" distB="0" distL="63500" distR="63500" simplePos="0" relativeHeight="314572535" behindDoc="1" locked="0" layoutInCell="1" allowOverlap="1" wp14:anchorId="6883F969" wp14:editId="3A938A01">
              <wp:simplePos x="0" y="0"/>
              <wp:positionH relativeFrom="page">
                <wp:posOffset>3968115</wp:posOffset>
              </wp:positionH>
              <wp:positionV relativeFrom="page">
                <wp:posOffset>600710</wp:posOffset>
              </wp:positionV>
              <wp:extent cx="1104900" cy="116840"/>
              <wp:effectExtent l="0" t="635" r="381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CE5F" w14:textId="77777777" w:rsidR="00350D42" w:rsidRDefault="008E6F64">
                          <w:pPr>
                            <w:pStyle w:val="2fb"/>
                            <w:shd w:val="clear" w:color="auto" w:fill="auto"/>
                            <w:spacing w:line="240" w:lineRule="auto"/>
                          </w:pPr>
                          <w:r>
                            <w:rPr>
                              <w:rStyle w:val="2ArialNarrow8pt"/>
                            </w:rPr>
                            <w:t>Окончание табл. П.2.5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83F969" id="_x0000_t202" coordsize="21600,21600" o:spt="202" path="m,l,21600r21600,l21600,xe">
              <v:stroke joinstyle="miter"/>
              <v:path gradientshapeok="t" o:connecttype="rect"/>
            </v:shapetype>
            <v:shape id="Text Box 16" o:spid="_x0000_s1182" type="#_x0000_t202" style="position:absolute;left:0;text-align:left;margin-left:312.45pt;margin-top:47.3pt;width:87pt;height:9.2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" filled="f" stroked="f">
              <v:textbox style="mso-fit-shape-to-text:t" inset="0,0,0,0">
                <w:txbxContent>
                  <w:p w14:paraId="0F07CE5F" w14:textId="77777777" w:rsidR="00350D42" w:rsidRDefault="008E6F64">
                    <w:pPr>
                      <w:pStyle w:val="2fb"/>
                      <w:shd w:val="clear" w:color="auto" w:fill="auto"/>
                      <w:spacing w:line="240" w:lineRule="auto"/>
                    </w:pPr>
                    <w:r>
                      <w:rPr>
                        <w:rStyle w:val="2ArialNarrow8pt"/>
                      </w:rPr>
                      <w:t>Окончание табл. П.2.5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285A" w14:textId="644C1733" w:rsidR="00350396" w:rsidRDefault="00350396">
    <w:pPr>
      <w:rPr>
        <w:sz w:val="2"/>
        <w:szCs w:val="2"/>
      </w:rPr>
    </w:pPr>
    <w:r>
      <w:rPr>
        <w:noProof/>
        <w:lang w:bidi="ar-SA"/>
      </w:rPr>
      <mc:AlternateContent>
        <mc:Choice Requires="wps">
          <w:drawing>
            <wp:anchor distT="0" distB="0" distL="63500" distR="63500" simplePos="0" relativeHeight="314595078" behindDoc="1" locked="0" layoutInCell="1" allowOverlap="1" wp14:anchorId="6437F2C9" wp14:editId="26DF6C57">
              <wp:simplePos x="0" y="0"/>
              <wp:positionH relativeFrom="page">
                <wp:posOffset>3996055</wp:posOffset>
              </wp:positionH>
              <wp:positionV relativeFrom="page">
                <wp:posOffset>534035</wp:posOffset>
              </wp:positionV>
              <wp:extent cx="866140" cy="116840"/>
              <wp:effectExtent l="0" t="635" r="0" b="0"/>
              <wp:wrapNone/>
              <wp:docPr id="324" name="Надпись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05F1" w14:textId="77777777" w:rsidR="00350396" w:rsidRDefault="00350396">
                          <w:r>
                            <w:rPr>
                              <w:rStyle w:val="2ArialNarrow8pt"/>
                            </w:rPr>
                            <w:t>Окончание табл. 4.11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37F2C9" id="_x0000_t202" coordsize="21600,21600" o:spt="202" path="m,l,21600r21600,l21600,xe">
              <v:stroke joinstyle="miter"/>
              <v:path gradientshapeok="t" o:connecttype="rect"/>
            </v:shapetype>
            <v:shape id="Надпись 324" o:spid="_x0000_s1103" type="#_x0000_t202" style="position:absolute;left:0;text-align:left;margin-left:314.65pt;margin-top:42.05pt;width:68.2pt;height:9.2pt;z-index:-1887214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" filled="f" stroked="f">
              <v:textbox style="mso-fit-shape-to-text:t" inset="0,0,0,0">
                <w:txbxContent>
                  <w:p w14:paraId="6FAE05F1" w14:textId="77777777" w:rsidR="00350396" w:rsidRDefault="00350396">
                    <w:r>
                      <w:rPr>
                        <w:rStyle w:val="2ArialNarrow8pt"/>
                      </w:rPr>
                      <w:t>Окончание табл. 4.11</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59BB" w14:textId="09116410" w:rsidR="00350D42" w:rsidRDefault="00A74D21">
    <w:pPr>
      <w:rPr>
        <w:sz w:val="2"/>
        <w:szCs w:val="2"/>
      </w:rPr>
    </w:pPr>
    <w:r>
      <w:rPr>
        <w:noProof/>
        <w:lang w:bidi="ar-SA"/>
      </w:rPr>
      <mc:AlternateContent>
        <mc:Choice Requires="wps">
          <w:drawing>
            <wp:anchor distT="0" distB="0" distL="63500" distR="63500" simplePos="0" relativeHeight="314572537" behindDoc="1" locked="0" layoutInCell="1" allowOverlap="1" wp14:anchorId="79AD25A1" wp14:editId="25E62475">
              <wp:simplePos x="0" y="0"/>
              <wp:positionH relativeFrom="page">
                <wp:posOffset>3965575</wp:posOffset>
              </wp:positionH>
              <wp:positionV relativeFrom="page">
                <wp:posOffset>655320</wp:posOffset>
              </wp:positionV>
              <wp:extent cx="1104900" cy="116840"/>
              <wp:effectExtent l="3175"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3D80" w14:textId="77777777" w:rsidR="00350D42" w:rsidRDefault="008E6F64">
                          <w:pPr>
                            <w:pStyle w:val="2fb"/>
                            <w:shd w:val="clear" w:color="auto" w:fill="auto"/>
                            <w:spacing w:line="240" w:lineRule="auto"/>
                          </w:pPr>
                          <w:r>
                            <w:rPr>
                              <w:rStyle w:val="2ArialNarrow8pt"/>
                            </w:rPr>
                            <w:t>Окончание табл. П.2.9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AD25A1" id="_x0000_t202" coordsize="21600,21600" o:spt="202" path="m,l,21600r21600,l21600,xe">
              <v:stroke joinstyle="miter"/>
              <v:path gradientshapeok="t" o:connecttype="rect"/>
            </v:shapetype>
            <v:shape id="Text Box 14" o:spid="_x0000_s1184" type="#_x0000_t202" style="position:absolute;left:0;text-align:left;margin-left:312.25pt;margin-top:51.6pt;width:87pt;height:9.2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" filled="f" stroked="f">
              <v:textbox style="mso-fit-shape-to-text:t" inset="0,0,0,0">
                <w:txbxContent>
                  <w:p w14:paraId="7E903D80" w14:textId="77777777" w:rsidR="00350D42" w:rsidRDefault="008E6F64">
                    <w:pPr>
                      <w:pStyle w:val="2fb"/>
                      <w:shd w:val="clear" w:color="auto" w:fill="auto"/>
                      <w:spacing w:line="240" w:lineRule="auto"/>
                    </w:pPr>
                    <w:r>
                      <w:rPr>
                        <w:rStyle w:val="2ArialNarrow8pt"/>
                      </w:rPr>
                      <w:t>Окончание табл. П.2.9</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4696" w14:textId="77777777" w:rsidR="00350D42" w:rsidRDefault="00350D4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4302" w14:textId="34441F17" w:rsidR="00350D42" w:rsidRDefault="00A74D21">
    <w:pPr>
      <w:rPr>
        <w:sz w:val="2"/>
        <w:szCs w:val="2"/>
      </w:rPr>
    </w:pPr>
    <w:r>
      <w:rPr>
        <w:noProof/>
        <w:lang w:bidi="ar-SA"/>
      </w:rPr>
      <mc:AlternateContent>
        <mc:Choice Requires="wps">
          <w:drawing>
            <wp:anchor distT="0" distB="0" distL="63500" distR="63500" simplePos="0" relativeHeight="314572540" behindDoc="1" locked="0" layoutInCell="1" allowOverlap="1" wp14:anchorId="1101F47E" wp14:editId="2150CFE4">
              <wp:simplePos x="0" y="0"/>
              <wp:positionH relativeFrom="page">
                <wp:posOffset>3970655</wp:posOffset>
              </wp:positionH>
              <wp:positionV relativeFrom="page">
                <wp:posOffset>673100</wp:posOffset>
              </wp:positionV>
              <wp:extent cx="1105535" cy="116840"/>
              <wp:effectExtent l="0" t="0" r="635"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63AA" w14:textId="77777777" w:rsidR="00350D42" w:rsidRDefault="008E6F64">
                          <w:pPr>
                            <w:pStyle w:val="2fb"/>
                            <w:shd w:val="clear" w:color="auto" w:fill="auto"/>
                            <w:spacing w:line="240" w:lineRule="auto"/>
                          </w:pPr>
                          <w:r>
                            <w:rPr>
                              <w:rStyle w:val="2ArialNarrow8pt"/>
                            </w:rPr>
                            <w:t>Окончание табл. П.2.8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01F47E" id="_x0000_t202" coordsize="21600,21600" o:spt="202" path="m,l,21600r21600,l21600,xe">
              <v:stroke joinstyle="miter"/>
              <v:path gradientshapeok="t" o:connecttype="rect"/>
            </v:shapetype>
            <v:shape id="Text Box 11" o:spid="_x0000_s1187" type="#_x0000_t202" style="position:absolute;left:0;text-align:left;margin-left:312.65pt;margin-top:53pt;width:87.05pt;height:9.2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" filled="f" stroked="f">
              <v:textbox style="mso-fit-shape-to-text:t" inset="0,0,0,0">
                <w:txbxContent>
                  <w:p w14:paraId="425663AA" w14:textId="77777777" w:rsidR="00350D42" w:rsidRDefault="008E6F64">
                    <w:pPr>
                      <w:pStyle w:val="2fb"/>
                      <w:shd w:val="clear" w:color="auto" w:fill="auto"/>
                      <w:spacing w:line="240" w:lineRule="auto"/>
                    </w:pPr>
                    <w:r>
                      <w:rPr>
                        <w:rStyle w:val="2ArialNarrow8pt"/>
                      </w:rPr>
                      <w:t>Окончание табл. П.2.8</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26CF" w14:textId="77777777" w:rsidR="00350D42" w:rsidRDefault="00350D42"/>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2228" w14:textId="2194C8E3" w:rsidR="00350D42" w:rsidRDefault="00A74D21">
    <w:pPr>
      <w:rPr>
        <w:sz w:val="2"/>
        <w:szCs w:val="2"/>
      </w:rPr>
    </w:pPr>
    <w:r>
      <w:rPr>
        <w:noProof/>
        <w:lang w:bidi="ar-SA"/>
      </w:rPr>
      <mc:AlternateContent>
        <mc:Choice Requires="wps">
          <w:drawing>
            <wp:anchor distT="0" distB="0" distL="63500" distR="63500" simplePos="0" relativeHeight="314572544" behindDoc="1" locked="0" layoutInCell="1" allowOverlap="1" wp14:anchorId="4B0722D9" wp14:editId="34905EE2">
              <wp:simplePos x="0" y="0"/>
              <wp:positionH relativeFrom="page">
                <wp:posOffset>3916680</wp:posOffset>
              </wp:positionH>
              <wp:positionV relativeFrom="page">
                <wp:posOffset>655320</wp:posOffset>
              </wp:positionV>
              <wp:extent cx="1151890" cy="116840"/>
              <wp:effectExtent l="190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A6AD6" w14:textId="77777777" w:rsidR="00350D42" w:rsidRDefault="008E6F64">
                          <w:pPr>
                            <w:pStyle w:val="2fb"/>
                            <w:shd w:val="clear" w:color="auto" w:fill="auto"/>
                            <w:spacing w:line="240" w:lineRule="auto"/>
                          </w:pPr>
                          <w:r>
                            <w:rPr>
                              <w:rStyle w:val="2ArialNarrow8pt"/>
                            </w:rPr>
                            <w:t>Окончание табл. П.2.10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0722D9" id="_x0000_t202" coordsize="21600,21600" o:spt="202" path="m,l,21600r21600,l21600,xe">
              <v:stroke joinstyle="miter"/>
              <v:path gradientshapeok="t" o:connecttype="rect"/>
            </v:shapetype>
            <v:shape id="_x0000_s1191" type="#_x0000_t202" style="position:absolute;left:0;text-align:left;margin-left:308.4pt;margin-top:51.6pt;width:90.7pt;height:9.2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" filled="f" stroked="f">
              <v:textbox style="mso-fit-shape-to-text:t" inset="0,0,0,0">
                <w:txbxContent>
                  <w:p w14:paraId="0A6A6AD6" w14:textId="77777777" w:rsidR="00350D42" w:rsidRDefault="008E6F64">
                    <w:pPr>
                      <w:pStyle w:val="2fb"/>
                      <w:shd w:val="clear" w:color="auto" w:fill="auto"/>
                      <w:spacing w:line="240" w:lineRule="auto"/>
                    </w:pPr>
                    <w:r>
                      <w:rPr>
                        <w:rStyle w:val="2ArialNarrow8pt"/>
                      </w:rPr>
                      <w:t>Окончание табл. П.2.10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6CC3" w14:textId="22B89B34" w:rsidR="00350D42" w:rsidRDefault="00A74D21">
    <w:pPr>
      <w:rPr>
        <w:sz w:val="2"/>
        <w:szCs w:val="2"/>
      </w:rPr>
    </w:pPr>
    <w:r>
      <w:rPr>
        <w:noProof/>
        <w:lang w:bidi="ar-SA"/>
      </w:rPr>
      <mc:AlternateContent>
        <mc:Choice Requires="wps">
          <w:drawing>
            <wp:anchor distT="0" distB="0" distL="63500" distR="63500" simplePos="0" relativeHeight="314572546" behindDoc="1" locked="0" layoutInCell="1" allowOverlap="1" wp14:anchorId="4001BEE6" wp14:editId="6E468711">
              <wp:simplePos x="0" y="0"/>
              <wp:positionH relativeFrom="page">
                <wp:posOffset>3916680</wp:posOffset>
              </wp:positionH>
              <wp:positionV relativeFrom="page">
                <wp:posOffset>655320</wp:posOffset>
              </wp:positionV>
              <wp:extent cx="1151255" cy="116840"/>
              <wp:effectExtent l="190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2ABB" w14:textId="77777777" w:rsidR="00350D42" w:rsidRDefault="008E6F64">
                          <w:pPr>
                            <w:pStyle w:val="2fb"/>
                            <w:shd w:val="clear" w:color="auto" w:fill="auto"/>
                            <w:spacing w:line="240" w:lineRule="auto"/>
                          </w:pPr>
                          <w:r>
                            <w:rPr>
                              <w:rStyle w:val="2ArialNarrow8pt"/>
                            </w:rPr>
                            <w:t>Окончание табл. П.2.10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01BEE6" id="_x0000_t202" coordsize="21600,21600" o:spt="202" path="m,l,21600r21600,l21600,xe">
              <v:stroke joinstyle="miter"/>
              <v:path gradientshapeok="t" o:connecttype="rect"/>
            </v:shapetype>
            <v:shape id="Text Box 5" o:spid="_x0000_s1193" type="#_x0000_t202" style="position:absolute;left:0;text-align:left;margin-left:308.4pt;margin-top:51.6pt;width:90.65pt;height:9.2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" filled="f" stroked="f">
              <v:textbox style="mso-fit-shape-to-text:t" inset="0,0,0,0">
                <w:txbxContent>
                  <w:p w14:paraId="02152ABB" w14:textId="77777777" w:rsidR="00350D42" w:rsidRDefault="008E6F64">
                    <w:pPr>
                      <w:pStyle w:val="2fb"/>
                      <w:shd w:val="clear" w:color="auto" w:fill="auto"/>
                      <w:spacing w:line="240" w:lineRule="auto"/>
                    </w:pPr>
                    <w:r>
                      <w:rPr>
                        <w:rStyle w:val="2ArialNarrow8pt"/>
                      </w:rPr>
                      <w:t>Окончание табл. П.2.10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1935" w14:textId="5074A623" w:rsidR="00350D42" w:rsidRDefault="00A74D21">
    <w:pPr>
      <w:rPr>
        <w:sz w:val="2"/>
        <w:szCs w:val="2"/>
      </w:rPr>
    </w:pPr>
    <w:r>
      <w:rPr>
        <w:noProof/>
        <w:lang w:bidi="ar-SA"/>
      </w:rPr>
      <mc:AlternateContent>
        <mc:Choice Requires="wps">
          <w:drawing>
            <wp:anchor distT="0" distB="0" distL="63500" distR="63500" simplePos="0" relativeHeight="314572549" behindDoc="1" locked="0" layoutInCell="1" allowOverlap="1" wp14:anchorId="37E85F0E" wp14:editId="45FB3031">
              <wp:simplePos x="0" y="0"/>
              <wp:positionH relativeFrom="page">
                <wp:posOffset>3916045</wp:posOffset>
              </wp:positionH>
              <wp:positionV relativeFrom="page">
                <wp:posOffset>645160</wp:posOffset>
              </wp:positionV>
              <wp:extent cx="1151255" cy="116840"/>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9DB0" w14:textId="77777777" w:rsidR="00350D42" w:rsidRDefault="008E6F64">
                          <w:pPr>
                            <w:pStyle w:val="2fb"/>
                            <w:shd w:val="clear" w:color="auto" w:fill="auto"/>
                            <w:spacing w:line="240" w:lineRule="auto"/>
                          </w:pPr>
                          <w:r>
                            <w:rPr>
                              <w:rStyle w:val="2ArialNarrow8pt"/>
                            </w:rPr>
                            <w:t>Окончание табл. П.2.13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E85F0E" id="_x0000_t202" coordsize="21600,21600" o:spt="202" path="m,l,21600r21600,l21600,xe">
              <v:stroke joinstyle="miter"/>
              <v:path gradientshapeok="t" o:connecttype="rect"/>
            </v:shapetype>
            <v:shape id="_x0000_s1196" type="#_x0000_t202" style="position:absolute;left:0;text-align:left;margin-left:308.35pt;margin-top:50.8pt;width:90.65pt;height:9.2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" filled="f" stroked="f">
              <v:textbox style="mso-fit-shape-to-text:t" inset="0,0,0,0">
                <w:txbxContent>
                  <w:p w14:paraId="63E89DB0" w14:textId="77777777" w:rsidR="00350D42" w:rsidRDefault="008E6F64">
                    <w:pPr>
                      <w:pStyle w:val="2fb"/>
                      <w:shd w:val="clear" w:color="auto" w:fill="auto"/>
                      <w:spacing w:line="240" w:lineRule="auto"/>
                    </w:pPr>
                    <w:r>
                      <w:rPr>
                        <w:rStyle w:val="2ArialNarrow8pt"/>
                      </w:rPr>
                      <w:t>Окончание табл. П.2.13</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88619" w14:textId="77777777" w:rsidR="00350D42" w:rsidRDefault="00350D42"/>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56D3" w14:textId="77777777" w:rsidR="00350D42" w:rsidRDefault="00350D4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CA9C6" w14:textId="77777777" w:rsidR="00350396" w:rsidRDefault="0035039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4C0E" w14:textId="5C1D0487" w:rsidR="00350396" w:rsidRDefault="00350396">
    <w:pPr>
      <w:rPr>
        <w:sz w:val="2"/>
        <w:szCs w:val="2"/>
      </w:rPr>
    </w:pPr>
    <w:r>
      <w:rPr>
        <w:noProof/>
        <w:lang w:bidi="ar-SA"/>
      </w:rPr>
      <mc:AlternateContent>
        <mc:Choice Requires="wps">
          <w:drawing>
            <wp:anchor distT="0" distB="0" distL="63500" distR="63500" simplePos="0" relativeHeight="314604294" behindDoc="1" locked="0" layoutInCell="1" allowOverlap="1" wp14:anchorId="618E49BC" wp14:editId="19DA05CB">
              <wp:simplePos x="0" y="0"/>
              <wp:positionH relativeFrom="page">
                <wp:posOffset>3881120</wp:posOffset>
              </wp:positionH>
              <wp:positionV relativeFrom="page">
                <wp:posOffset>632460</wp:posOffset>
              </wp:positionV>
              <wp:extent cx="975995" cy="116840"/>
              <wp:effectExtent l="4445" t="3810" r="635" b="3175"/>
              <wp:wrapNone/>
              <wp:docPr id="315" name="Надпись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4809" w14:textId="77777777" w:rsidR="00350396" w:rsidRDefault="00350396">
                          <w:r>
                            <w:rPr>
                              <w:rStyle w:val="2ArialNarrow8pt"/>
                            </w:rPr>
                            <w:t>Продолжение табл. 4.13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8E49BC" id="_x0000_t202" coordsize="21600,21600" o:spt="202" path="m,l,21600r21600,l21600,xe">
              <v:stroke joinstyle="miter"/>
              <v:path gradientshapeok="t" o:connecttype="rect"/>
            </v:shapetype>
            <v:shape id="Надпись 315" o:spid="_x0000_s1111" type="#_x0000_t202" style="position:absolute;left:0;text-align:left;margin-left:305.6pt;margin-top:49.8pt;width:76.85pt;height:9.2pt;z-index:-188712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" filled="f" stroked="f">
              <v:textbox style="mso-fit-shape-to-text:t" inset="0,0,0,0">
                <w:txbxContent>
                  <w:p w14:paraId="274B4809" w14:textId="77777777" w:rsidR="00350396" w:rsidRDefault="00350396">
                    <w:r>
                      <w:rPr>
                        <w:rStyle w:val="2ArialNarrow8pt"/>
                      </w:rPr>
                      <w:t>Продолжение табл. 4.13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CB10" w14:textId="77777777" w:rsidR="00350396" w:rsidRDefault="0035039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158E" w14:textId="5F0D8B03" w:rsidR="00350396" w:rsidRDefault="00350396">
    <w:pPr>
      <w:rPr>
        <w:sz w:val="2"/>
        <w:szCs w:val="2"/>
      </w:rPr>
    </w:pPr>
    <w:r>
      <w:rPr>
        <w:noProof/>
        <w:lang w:bidi="ar-SA"/>
      </w:rPr>
      <mc:AlternateContent>
        <mc:Choice Requires="wps">
          <w:drawing>
            <wp:anchor distT="0" distB="0" distL="63500" distR="63500" simplePos="0" relativeHeight="314609414" behindDoc="1" locked="0" layoutInCell="1" allowOverlap="1" wp14:anchorId="5273E453" wp14:editId="451F5BB2">
              <wp:simplePos x="0" y="0"/>
              <wp:positionH relativeFrom="page">
                <wp:posOffset>3956050</wp:posOffset>
              </wp:positionH>
              <wp:positionV relativeFrom="page">
                <wp:posOffset>641350</wp:posOffset>
              </wp:positionV>
              <wp:extent cx="914400" cy="113030"/>
              <wp:effectExtent l="3175" t="3175" r="0" b="0"/>
              <wp:wrapNone/>
              <wp:docPr id="310" name="Надпись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AB52" w14:textId="77777777" w:rsidR="00350396" w:rsidRDefault="00350396">
                          <w:r>
                            <w:rPr>
                              <w:rStyle w:val="2ArialNarrow8pt"/>
                            </w:rPr>
                            <w:t>Продолжение табл. К1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73E453" id="_x0000_t202" coordsize="21600,21600" o:spt="202" path="m,l,21600r21600,l21600,xe">
              <v:stroke joinstyle="miter"/>
              <v:path gradientshapeok="t" o:connecttype="rect"/>
            </v:shapetype>
            <v:shape id="Надпись 310" o:spid="_x0000_s1116" type="#_x0000_t202" style="position:absolute;left:0;text-align:left;margin-left:311.5pt;margin-top:50.5pt;width:1in;height:8.9pt;z-index:-188707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" filled="f" stroked="f">
              <v:textbox style="mso-fit-shape-to-text:t" inset="0,0,0,0">
                <w:txbxContent>
                  <w:p w14:paraId="3846AB52" w14:textId="77777777" w:rsidR="00350396" w:rsidRDefault="00350396">
                    <w:r>
                      <w:rPr>
                        <w:rStyle w:val="2ArialNarrow8pt"/>
                      </w:rPr>
                      <w:t>Продолжение табл. К1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1C9D" w14:textId="160D74CA" w:rsidR="00350396" w:rsidRDefault="00350396">
    <w:pPr>
      <w:rPr>
        <w:sz w:val="2"/>
        <w:szCs w:val="2"/>
      </w:rPr>
    </w:pPr>
    <w:r>
      <w:rPr>
        <w:noProof/>
        <w:lang w:bidi="ar-SA"/>
      </w:rPr>
      <mc:AlternateContent>
        <mc:Choice Requires="wps">
          <w:drawing>
            <wp:anchor distT="0" distB="0" distL="63500" distR="63500" simplePos="0" relativeHeight="314610438" behindDoc="1" locked="0" layoutInCell="1" allowOverlap="1" wp14:anchorId="430B202A" wp14:editId="37BAD86C">
              <wp:simplePos x="0" y="0"/>
              <wp:positionH relativeFrom="page">
                <wp:posOffset>3956050</wp:posOffset>
              </wp:positionH>
              <wp:positionV relativeFrom="page">
                <wp:posOffset>641350</wp:posOffset>
              </wp:positionV>
              <wp:extent cx="909320" cy="116840"/>
              <wp:effectExtent l="3175" t="3175" r="1905" b="3810"/>
              <wp:wrapNone/>
              <wp:docPr id="309" name="Надпись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4508" w14:textId="77777777" w:rsidR="00350396" w:rsidRDefault="00350396">
                          <w:r>
                            <w:rPr>
                              <w:rStyle w:val="2ArialNarrow8pt"/>
                            </w:rPr>
                            <w:t>Продолжение табл. К1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0B202A" id="_x0000_t202" coordsize="21600,21600" o:spt="202" path="m,l,21600r21600,l21600,xe">
              <v:stroke joinstyle="miter"/>
              <v:path gradientshapeok="t" o:connecttype="rect"/>
            </v:shapetype>
            <v:shape id="Надпись 309" o:spid="_x0000_s1117" type="#_x0000_t202" style="position:absolute;left:0;text-align:left;margin-left:311.5pt;margin-top:50.5pt;width:71.6pt;height:9.2pt;z-index:-188706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" filled="f" stroked="f">
              <v:textbox style="mso-fit-shape-to-text:t" inset="0,0,0,0">
                <w:txbxContent>
                  <w:p w14:paraId="0A274508" w14:textId="77777777" w:rsidR="00350396" w:rsidRDefault="00350396">
                    <w:r>
                      <w:rPr>
                        <w:rStyle w:val="2ArialNarrow8pt"/>
                      </w:rPr>
                      <w:t>Продолжение табл. К1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BD03" w14:textId="5FC5BB3A" w:rsidR="00350396" w:rsidRDefault="00350396">
    <w:pPr>
      <w:rPr>
        <w:sz w:val="2"/>
        <w:szCs w:val="2"/>
      </w:rPr>
    </w:pPr>
    <w:r>
      <w:rPr>
        <w:noProof/>
        <w:lang w:bidi="ar-SA"/>
      </w:rPr>
      <mc:AlternateContent>
        <mc:Choice Requires="wps">
          <w:drawing>
            <wp:anchor distT="0" distB="0" distL="63500" distR="63500" simplePos="0" relativeHeight="314614534" behindDoc="1" locked="0" layoutInCell="1" allowOverlap="1" wp14:anchorId="247162C5" wp14:editId="240B4794">
              <wp:simplePos x="0" y="0"/>
              <wp:positionH relativeFrom="page">
                <wp:posOffset>3956050</wp:posOffset>
              </wp:positionH>
              <wp:positionV relativeFrom="page">
                <wp:posOffset>641350</wp:posOffset>
              </wp:positionV>
              <wp:extent cx="914400" cy="113030"/>
              <wp:effectExtent l="3175" t="3175" r="0" b="0"/>
              <wp:wrapNone/>
              <wp:docPr id="305" name="Надпись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85EE9" w14:textId="77777777" w:rsidR="00350396" w:rsidRDefault="00350396">
                          <w:r>
                            <w:rPr>
                              <w:rStyle w:val="2ArialNarrow8pt"/>
                            </w:rPr>
                            <w:t>Продолжение табл. К1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7162C5" id="_x0000_t202" coordsize="21600,21600" o:spt="202" path="m,l,21600r21600,l21600,xe">
              <v:stroke joinstyle="miter"/>
              <v:path gradientshapeok="t" o:connecttype="rect"/>
            </v:shapetype>
            <v:shape id="Надпись 305" o:spid="_x0000_s1121" type="#_x0000_t202" style="position:absolute;left:0;text-align:left;margin-left:311.5pt;margin-top:50.5pt;width:1in;height:8.9pt;z-index:-188701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" filled="f" stroked="f">
              <v:textbox style="mso-fit-shape-to-text:t" inset="0,0,0,0">
                <w:txbxContent>
                  <w:p w14:paraId="5C085EE9" w14:textId="77777777" w:rsidR="00350396" w:rsidRDefault="00350396">
                    <w:r>
                      <w:rPr>
                        <w:rStyle w:val="2ArialNarrow8pt"/>
                      </w:rPr>
                      <w:t>Продолжение табл. К1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F49"/>
    <w:multiLevelType w:val="multilevel"/>
    <w:tmpl w:val="BD3C497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start w:val="2"/>
      <w:numFmt w:val="decimal"/>
      <w:lvlText w:val="%1.%2."/>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0E5F26"/>
    <w:multiLevelType w:val="multilevel"/>
    <w:tmpl w:val="EED275A6"/>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406EDA"/>
    <w:multiLevelType w:val="multilevel"/>
    <w:tmpl w:val="F3B2746E"/>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812335"/>
    <w:multiLevelType w:val="multilevel"/>
    <w:tmpl w:val="A34ABA56"/>
    <w:lvl w:ilvl="0">
      <w:start w:val="1"/>
      <w:numFmt w:val="decimal"/>
      <w:lvlText w:val="1.%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90480B"/>
    <w:multiLevelType w:val="multilevel"/>
    <w:tmpl w:val="19EAAE2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A3405D"/>
    <w:multiLevelType w:val="multilevel"/>
    <w:tmpl w:val="BEF085D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A45750"/>
    <w:multiLevelType w:val="multilevel"/>
    <w:tmpl w:val="E6BC5B1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782E0B"/>
    <w:multiLevelType w:val="multilevel"/>
    <w:tmpl w:val="2E8C1C26"/>
    <w:lvl w:ilvl="0">
      <w:start w:val="1"/>
      <w:numFmt w:val="decimal"/>
      <w:lvlText w:val="8.3.%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F2729F"/>
    <w:multiLevelType w:val="multilevel"/>
    <w:tmpl w:val="2D707386"/>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442A3C"/>
    <w:multiLevelType w:val="multilevel"/>
    <w:tmpl w:val="FB8CB6C4"/>
    <w:lvl w:ilvl="0">
      <w:start w:val="2"/>
      <w:numFmt w:val="decimal"/>
      <w:lvlText w:val="6.%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BC1BDD"/>
    <w:multiLevelType w:val="multilevel"/>
    <w:tmpl w:val="3D868D54"/>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E67EB2"/>
    <w:multiLevelType w:val="hybridMultilevel"/>
    <w:tmpl w:val="9ED27E3A"/>
    <w:lvl w:ilvl="0" w:tplc="8FA06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2D14C1"/>
    <w:multiLevelType w:val="multilevel"/>
    <w:tmpl w:val="D4241F3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6B7981"/>
    <w:multiLevelType w:val="multilevel"/>
    <w:tmpl w:val="35508BE6"/>
    <w:lvl w:ilvl="0">
      <w:start w:val="5"/>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F62139"/>
    <w:multiLevelType w:val="multilevel"/>
    <w:tmpl w:val="8DE8A17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147E82"/>
    <w:multiLevelType w:val="multilevel"/>
    <w:tmpl w:val="2BB04466"/>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5C358E"/>
    <w:multiLevelType w:val="multilevel"/>
    <w:tmpl w:val="6BBC6AC0"/>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B0451D"/>
    <w:multiLevelType w:val="multilevel"/>
    <w:tmpl w:val="5706F8EA"/>
    <w:lvl w:ilvl="0">
      <w:start w:val="2"/>
      <w:numFmt w:val="decimal"/>
      <w:lvlText w:val="7.%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CF6CEF"/>
    <w:multiLevelType w:val="multilevel"/>
    <w:tmpl w:val="B1E0576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0522BB"/>
    <w:multiLevelType w:val="multilevel"/>
    <w:tmpl w:val="1798814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B6509A"/>
    <w:multiLevelType w:val="multilevel"/>
    <w:tmpl w:val="B5341BA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6F1B80"/>
    <w:multiLevelType w:val="multilevel"/>
    <w:tmpl w:val="82BA82DA"/>
    <w:lvl w:ilvl="0">
      <w:start w:val="1"/>
      <w:numFmt w:val="decimal"/>
      <w:lvlText w:val="8.2.%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E358F1"/>
    <w:multiLevelType w:val="multilevel"/>
    <w:tmpl w:val="D5D61720"/>
    <w:lvl w:ilvl="0">
      <w:start w:val="1"/>
      <w:numFmt w:val="decimal"/>
      <w:lvlText w:val="6.%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7F31F6"/>
    <w:multiLevelType w:val="multilevel"/>
    <w:tmpl w:val="D2327F36"/>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A54CFC"/>
    <w:multiLevelType w:val="multilevel"/>
    <w:tmpl w:val="399A4252"/>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A7267C"/>
    <w:multiLevelType w:val="multilevel"/>
    <w:tmpl w:val="2AB4B3D6"/>
    <w:lvl w:ilvl="0">
      <w:start w:val="5"/>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F261C7"/>
    <w:multiLevelType w:val="multilevel"/>
    <w:tmpl w:val="9D0C50F6"/>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BF4E7A"/>
    <w:multiLevelType w:val="multilevel"/>
    <w:tmpl w:val="D9A406D2"/>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76E0DB2"/>
    <w:multiLevelType w:val="multilevel"/>
    <w:tmpl w:val="3A38D90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82E4E83"/>
    <w:multiLevelType w:val="multilevel"/>
    <w:tmpl w:val="6446376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87B5416"/>
    <w:multiLevelType w:val="multilevel"/>
    <w:tmpl w:val="1AAC88F8"/>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88A0A59"/>
    <w:multiLevelType w:val="multilevel"/>
    <w:tmpl w:val="776852B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95D3196"/>
    <w:multiLevelType w:val="multilevel"/>
    <w:tmpl w:val="F1A00ECA"/>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0D2BBF"/>
    <w:multiLevelType w:val="multilevel"/>
    <w:tmpl w:val="06507A9A"/>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4D3704"/>
    <w:multiLevelType w:val="multilevel"/>
    <w:tmpl w:val="C252619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A684DE0"/>
    <w:multiLevelType w:val="multilevel"/>
    <w:tmpl w:val="82FA158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AB421F4"/>
    <w:multiLevelType w:val="multilevel"/>
    <w:tmpl w:val="966A0016"/>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BD61DF9"/>
    <w:multiLevelType w:val="multilevel"/>
    <w:tmpl w:val="3CCA78E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3836C8"/>
    <w:multiLevelType w:val="multilevel"/>
    <w:tmpl w:val="CB369314"/>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D644D33"/>
    <w:multiLevelType w:val="multilevel"/>
    <w:tmpl w:val="A672E3D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DE3521C"/>
    <w:multiLevelType w:val="hybridMultilevel"/>
    <w:tmpl w:val="1E529ED4"/>
    <w:lvl w:ilvl="0" w:tplc="F4B0A6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1DEE6126"/>
    <w:multiLevelType w:val="multilevel"/>
    <w:tmpl w:val="64AC85BE"/>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640F12"/>
    <w:multiLevelType w:val="hybridMultilevel"/>
    <w:tmpl w:val="39A82FFE"/>
    <w:lvl w:ilvl="0" w:tplc="EE90BDF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06E532F"/>
    <w:multiLevelType w:val="multilevel"/>
    <w:tmpl w:val="FE0A514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0A16D39"/>
    <w:multiLevelType w:val="multilevel"/>
    <w:tmpl w:val="EE306D2E"/>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10576C7"/>
    <w:multiLevelType w:val="multilevel"/>
    <w:tmpl w:val="96C2180E"/>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46" w15:restartNumberingAfterBreak="0">
    <w:nsid w:val="214B0180"/>
    <w:multiLevelType w:val="multilevel"/>
    <w:tmpl w:val="69706F8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15036EE"/>
    <w:multiLevelType w:val="multilevel"/>
    <w:tmpl w:val="C966F108"/>
    <w:lvl w:ilvl="0">
      <w:start w:val="1"/>
      <w:numFmt w:val="decimal"/>
      <w:lvlText w:val="1.%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30F3C5B"/>
    <w:multiLevelType w:val="multilevel"/>
    <w:tmpl w:val="81E0E7B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3116A09"/>
    <w:multiLevelType w:val="multilevel"/>
    <w:tmpl w:val="54F8FDAA"/>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3A413B1"/>
    <w:multiLevelType w:val="multilevel"/>
    <w:tmpl w:val="3896611C"/>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4337F89"/>
    <w:multiLevelType w:val="multilevel"/>
    <w:tmpl w:val="E6A0232A"/>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44B1C34"/>
    <w:multiLevelType w:val="multilevel"/>
    <w:tmpl w:val="3E9A0250"/>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53230B7"/>
    <w:multiLevelType w:val="multilevel"/>
    <w:tmpl w:val="4418B5D8"/>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5B677CD"/>
    <w:multiLevelType w:val="multilevel"/>
    <w:tmpl w:val="957EAEF8"/>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6194F29"/>
    <w:multiLevelType w:val="multilevel"/>
    <w:tmpl w:val="30DCD81A"/>
    <w:lvl w:ilvl="0">
      <w:start w:val="3"/>
      <w:numFmt w:val="decimal"/>
      <w:lvlText w:val="8.%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6FD6060"/>
    <w:multiLevelType w:val="multilevel"/>
    <w:tmpl w:val="20246E1A"/>
    <w:lvl w:ilvl="0">
      <w:start w:val="2"/>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7D54FEC"/>
    <w:multiLevelType w:val="multilevel"/>
    <w:tmpl w:val="BF3AC9A2"/>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8365B91"/>
    <w:multiLevelType w:val="multilevel"/>
    <w:tmpl w:val="13D0940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8661D9F"/>
    <w:multiLevelType w:val="multilevel"/>
    <w:tmpl w:val="37A87CE2"/>
    <w:lvl w:ilvl="0">
      <w:start w:val="2"/>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9625875"/>
    <w:multiLevelType w:val="multilevel"/>
    <w:tmpl w:val="B6DEF802"/>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9D63DD3"/>
    <w:multiLevelType w:val="multilevel"/>
    <w:tmpl w:val="091A773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B0B093E"/>
    <w:multiLevelType w:val="multilevel"/>
    <w:tmpl w:val="80107FB4"/>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BB85D4B"/>
    <w:multiLevelType w:val="multilevel"/>
    <w:tmpl w:val="B896C09C"/>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C6F6022"/>
    <w:multiLevelType w:val="multilevel"/>
    <w:tmpl w:val="8D72EC5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CCA0D79"/>
    <w:multiLevelType w:val="multilevel"/>
    <w:tmpl w:val="2A08FD4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D85079A"/>
    <w:multiLevelType w:val="multilevel"/>
    <w:tmpl w:val="BBD431CE"/>
    <w:lvl w:ilvl="0">
      <w:start w:val="2"/>
      <w:numFmt w:val="decimal"/>
      <w:lvlText w:val="4.%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D97294F"/>
    <w:multiLevelType w:val="multilevel"/>
    <w:tmpl w:val="E866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D9D1F5E"/>
    <w:multiLevelType w:val="multilevel"/>
    <w:tmpl w:val="081ECB6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D9F7416"/>
    <w:multiLevelType w:val="hybridMultilevel"/>
    <w:tmpl w:val="10086E9A"/>
    <w:lvl w:ilvl="0" w:tplc="6A16447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E8A1B39"/>
    <w:multiLevelType w:val="multilevel"/>
    <w:tmpl w:val="35382582"/>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EC44533"/>
    <w:multiLevelType w:val="hybridMultilevel"/>
    <w:tmpl w:val="E42ACAA6"/>
    <w:lvl w:ilvl="0" w:tplc="A3D836B4">
      <w:start w:val="1"/>
      <w:numFmt w:val="decimal"/>
      <w:lvlText w:val="%1)"/>
      <w:lvlJc w:val="left"/>
      <w:pPr>
        <w:ind w:left="720" w:hanging="360"/>
      </w:pPr>
      <w:rPr>
        <w:rFonts w:eastAsia="Calibri"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EF06457"/>
    <w:multiLevelType w:val="hybridMultilevel"/>
    <w:tmpl w:val="C0E22CCE"/>
    <w:lvl w:ilvl="0" w:tplc="36CEE272">
      <w:start w:val="1"/>
      <w:numFmt w:val="decimal"/>
      <w:lvlText w:val="%1."/>
      <w:lvlJc w:val="left"/>
      <w:pPr>
        <w:ind w:left="720" w:hanging="360"/>
      </w:pPr>
      <w:rPr>
        <w:rFonts w:hint="default"/>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F691DFE"/>
    <w:multiLevelType w:val="multilevel"/>
    <w:tmpl w:val="AB625DFA"/>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06428C9"/>
    <w:multiLevelType w:val="multilevel"/>
    <w:tmpl w:val="AF328532"/>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0CF37E4"/>
    <w:multiLevelType w:val="multilevel"/>
    <w:tmpl w:val="CF1885F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2AC2BB6"/>
    <w:multiLevelType w:val="multilevel"/>
    <w:tmpl w:val="2F7CF38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2F10CC6"/>
    <w:multiLevelType w:val="multilevel"/>
    <w:tmpl w:val="98EAE104"/>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2F34695"/>
    <w:multiLevelType w:val="hybridMultilevel"/>
    <w:tmpl w:val="3000E88E"/>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9" w15:restartNumberingAfterBreak="0">
    <w:nsid w:val="33613B83"/>
    <w:multiLevelType w:val="multilevel"/>
    <w:tmpl w:val="8398BF1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37F457E"/>
    <w:multiLevelType w:val="multilevel"/>
    <w:tmpl w:val="5660FA3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15625"/>
    <w:multiLevelType w:val="multilevel"/>
    <w:tmpl w:val="05FCF84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16714B"/>
    <w:multiLevelType w:val="multilevel"/>
    <w:tmpl w:val="2C5E7F44"/>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BA74C2"/>
    <w:multiLevelType w:val="multilevel"/>
    <w:tmpl w:val="2BA4BB2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5FB2B25"/>
    <w:multiLevelType w:val="multilevel"/>
    <w:tmpl w:val="A820631C"/>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68D0696"/>
    <w:multiLevelType w:val="multilevel"/>
    <w:tmpl w:val="8D9E87E6"/>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6BD240D"/>
    <w:multiLevelType w:val="multilevel"/>
    <w:tmpl w:val="84648494"/>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725412B"/>
    <w:multiLevelType w:val="multilevel"/>
    <w:tmpl w:val="C07CEFC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4F0499"/>
    <w:multiLevelType w:val="multilevel"/>
    <w:tmpl w:val="1E4EF8CA"/>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A4C3D84"/>
    <w:multiLevelType w:val="multilevel"/>
    <w:tmpl w:val="7B30788A"/>
    <w:lvl w:ilvl="0">
      <w:start w:val="1"/>
      <w:numFmt w:val="decimal"/>
      <w:lvlText w:val="2.%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start w:val="1"/>
      <w:numFmt w:val="decimal"/>
      <w:lvlText w:val="%1.%2."/>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D25030D"/>
    <w:multiLevelType w:val="multilevel"/>
    <w:tmpl w:val="530EB84A"/>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D8131E7"/>
    <w:multiLevelType w:val="multilevel"/>
    <w:tmpl w:val="34A2748A"/>
    <w:lvl w:ilvl="0">
      <w:start w:val="1"/>
      <w:numFmt w:val="decimal"/>
      <w:lvlText w:val="%1."/>
      <w:lvlJc w:val="left"/>
      <w:pPr>
        <w:ind w:left="360" w:hanging="360"/>
      </w:pPr>
      <w:rPr>
        <w:rFonts w:hint="default"/>
        <w:color w:val="231F20"/>
      </w:rPr>
    </w:lvl>
    <w:lvl w:ilvl="1">
      <w:start w:val="4"/>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92" w15:restartNumberingAfterBreak="0">
    <w:nsid w:val="3D8145D5"/>
    <w:multiLevelType w:val="multilevel"/>
    <w:tmpl w:val="60CE265A"/>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D9A0618"/>
    <w:multiLevelType w:val="multilevel"/>
    <w:tmpl w:val="D254717A"/>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BD21B1"/>
    <w:multiLevelType w:val="multilevel"/>
    <w:tmpl w:val="95F6842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00823CB"/>
    <w:multiLevelType w:val="multilevel"/>
    <w:tmpl w:val="9F82DD1E"/>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1C42D21"/>
    <w:multiLevelType w:val="multilevel"/>
    <w:tmpl w:val="2C34403E"/>
    <w:lvl w:ilvl="0">
      <w:start w:val="2"/>
      <w:numFmt w:val="upperLetter"/>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1E668D0"/>
    <w:multiLevelType w:val="multilevel"/>
    <w:tmpl w:val="9B2C5C9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3606C69"/>
    <w:multiLevelType w:val="multilevel"/>
    <w:tmpl w:val="AADE725C"/>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5185F77"/>
    <w:multiLevelType w:val="multilevel"/>
    <w:tmpl w:val="31448898"/>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52B5715"/>
    <w:multiLevelType w:val="multilevel"/>
    <w:tmpl w:val="1C94AD3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57569F2"/>
    <w:multiLevelType w:val="hybridMultilevel"/>
    <w:tmpl w:val="45A40D62"/>
    <w:lvl w:ilvl="0" w:tplc="500EA8C0">
      <w:start w:val="1"/>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02" w15:restartNumberingAfterBreak="0">
    <w:nsid w:val="45A9322E"/>
    <w:multiLevelType w:val="multilevel"/>
    <w:tmpl w:val="A7C252C2"/>
    <w:lvl w:ilvl="0">
      <w:start w:val="1"/>
      <w:numFmt w:val="bullet"/>
      <w:lvlText w:val="•"/>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627119B"/>
    <w:multiLevelType w:val="multilevel"/>
    <w:tmpl w:val="12A48536"/>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6B307FA"/>
    <w:multiLevelType w:val="hybridMultilevel"/>
    <w:tmpl w:val="0978A7CC"/>
    <w:lvl w:ilvl="0" w:tplc="04190011">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05" w15:restartNumberingAfterBreak="0">
    <w:nsid w:val="48F0663A"/>
    <w:multiLevelType w:val="multilevel"/>
    <w:tmpl w:val="1C206E5E"/>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A28171D"/>
    <w:multiLevelType w:val="hybridMultilevel"/>
    <w:tmpl w:val="B608E606"/>
    <w:lvl w:ilvl="0" w:tplc="E6FCD7E4">
      <w:start w:val="1"/>
      <w:numFmt w:val="bullet"/>
      <w:lvlText w:val="•"/>
      <w:lvlJc w:val="left"/>
      <w:pPr>
        <w:tabs>
          <w:tab w:val="num" w:pos="720"/>
        </w:tabs>
        <w:ind w:left="720" w:hanging="360"/>
      </w:pPr>
      <w:rPr>
        <w:rFonts w:ascii="Arial" w:hAnsi="Arial"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75F234D2">
      <w:start w:val="1"/>
      <w:numFmt w:val="decimal"/>
      <w:lvlText w:val="%3."/>
      <w:lvlJc w:val="left"/>
      <w:pPr>
        <w:tabs>
          <w:tab w:val="num" w:pos="2160"/>
        </w:tabs>
        <w:ind w:left="2160" w:hanging="360"/>
      </w:pPr>
    </w:lvl>
    <w:lvl w:ilvl="3" w:tplc="C6960246">
      <w:start w:val="1"/>
      <w:numFmt w:val="decimal"/>
      <w:lvlText w:val="%4."/>
      <w:lvlJc w:val="left"/>
      <w:pPr>
        <w:tabs>
          <w:tab w:val="num" w:pos="2880"/>
        </w:tabs>
        <w:ind w:left="2880" w:hanging="360"/>
      </w:pPr>
    </w:lvl>
    <w:lvl w:ilvl="4" w:tplc="76CCDA62">
      <w:start w:val="1"/>
      <w:numFmt w:val="decimal"/>
      <w:lvlText w:val="%5."/>
      <w:lvlJc w:val="left"/>
      <w:pPr>
        <w:tabs>
          <w:tab w:val="num" w:pos="3600"/>
        </w:tabs>
        <w:ind w:left="3600" w:hanging="360"/>
      </w:pPr>
    </w:lvl>
    <w:lvl w:ilvl="5" w:tplc="7A2ECC5C">
      <w:start w:val="1"/>
      <w:numFmt w:val="decimal"/>
      <w:lvlText w:val="%6."/>
      <w:lvlJc w:val="left"/>
      <w:pPr>
        <w:tabs>
          <w:tab w:val="num" w:pos="4320"/>
        </w:tabs>
        <w:ind w:left="4320" w:hanging="360"/>
      </w:pPr>
    </w:lvl>
    <w:lvl w:ilvl="6" w:tplc="A50C6DEE">
      <w:start w:val="1"/>
      <w:numFmt w:val="decimal"/>
      <w:lvlText w:val="%7."/>
      <w:lvlJc w:val="left"/>
      <w:pPr>
        <w:tabs>
          <w:tab w:val="num" w:pos="5040"/>
        </w:tabs>
        <w:ind w:left="5040" w:hanging="360"/>
      </w:pPr>
    </w:lvl>
    <w:lvl w:ilvl="7" w:tplc="B5F4EB98">
      <w:start w:val="1"/>
      <w:numFmt w:val="decimal"/>
      <w:lvlText w:val="%8."/>
      <w:lvlJc w:val="left"/>
      <w:pPr>
        <w:tabs>
          <w:tab w:val="num" w:pos="5760"/>
        </w:tabs>
        <w:ind w:left="5760" w:hanging="360"/>
      </w:pPr>
    </w:lvl>
    <w:lvl w:ilvl="8" w:tplc="E63C138A">
      <w:start w:val="1"/>
      <w:numFmt w:val="decimal"/>
      <w:lvlText w:val="%9."/>
      <w:lvlJc w:val="left"/>
      <w:pPr>
        <w:tabs>
          <w:tab w:val="num" w:pos="6480"/>
        </w:tabs>
        <w:ind w:left="6480" w:hanging="360"/>
      </w:pPr>
    </w:lvl>
  </w:abstractNum>
  <w:abstractNum w:abstractNumId="107" w15:restartNumberingAfterBreak="0">
    <w:nsid w:val="4BF943A5"/>
    <w:multiLevelType w:val="multilevel"/>
    <w:tmpl w:val="BC523B3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C7A1FED"/>
    <w:multiLevelType w:val="multilevel"/>
    <w:tmpl w:val="F448314A"/>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C7F66DF"/>
    <w:multiLevelType w:val="multilevel"/>
    <w:tmpl w:val="6BD8A980"/>
    <w:lvl w:ilvl="0">
      <w:start w:val="6"/>
      <w:numFmt w:val="decimal"/>
      <w:lvlText w:val="5.%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F134D3C"/>
    <w:multiLevelType w:val="multilevel"/>
    <w:tmpl w:val="98C8CE4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F327C4F"/>
    <w:multiLevelType w:val="multilevel"/>
    <w:tmpl w:val="8EA84D6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F373D32"/>
    <w:multiLevelType w:val="multilevel"/>
    <w:tmpl w:val="F5C07E3C"/>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F7620E8"/>
    <w:multiLevelType w:val="multilevel"/>
    <w:tmpl w:val="4DF8918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FD85AD0"/>
    <w:multiLevelType w:val="multilevel"/>
    <w:tmpl w:val="2C9E231C"/>
    <w:lvl w:ilvl="0">
      <w:start w:val="1"/>
      <w:numFmt w:val="decimal"/>
      <w:lvlText w:val="7.%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01211F7"/>
    <w:multiLevelType w:val="multilevel"/>
    <w:tmpl w:val="C71AAB72"/>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188054D"/>
    <w:multiLevelType w:val="multilevel"/>
    <w:tmpl w:val="2488CDD6"/>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31769A7"/>
    <w:multiLevelType w:val="multilevel"/>
    <w:tmpl w:val="1160F84A"/>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3774A1C"/>
    <w:multiLevelType w:val="multilevel"/>
    <w:tmpl w:val="B62C5E42"/>
    <w:lvl w:ilvl="0">
      <w:start w:val="5"/>
      <w:numFmt w:val="decimal"/>
      <w:lvlText w:val="4.%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40A4C6A"/>
    <w:multiLevelType w:val="multilevel"/>
    <w:tmpl w:val="A6A240DE"/>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50A26D4"/>
    <w:multiLevelType w:val="multilevel"/>
    <w:tmpl w:val="7768540E"/>
    <w:lvl w:ilvl="0">
      <w:start w:val="3"/>
      <w:numFmt w:val="decimal"/>
      <w:lvlText w:val="2.%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6763718"/>
    <w:multiLevelType w:val="multilevel"/>
    <w:tmpl w:val="9392BBA8"/>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6F23B12"/>
    <w:multiLevelType w:val="multilevel"/>
    <w:tmpl w:val="CD04CD5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74527BA"/>
    <w:multiLevelType w:val="multilevel"/>
    <w:tmpl w:val="6CEC1C8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8004912"/>
    <w:multiLevelType w:val="multilevel"/>
    <w:tmpl w:val="FA4A9E40"/>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9282BCD"/>
    <w:multiLevelType w:val="multilevel"/>
    <w:tmpl w:val="390851CA"/>
    <w:lvl w:ilvl="0">
      <w:start w:val="1"/>
      <w:numFmt w:val="decimal"/>
      <w:lvlText w:val="3.%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A0A0446"/>
    <w:multiLevelType w:val="multilevel"/>
    <w:tmpl w:val="48FEB2E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A0A7845"/>
    <w:multiLevelType w:val="multilevel"/>
    <w:tmpl w:val="8A1A981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AFB286F"/>
    <w:multiLevelType w:val="multilevel"/>
    <w:tmpl w:val="D5641C6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BC02CAB"/>
    <w:multiLevelType w:val="multilevel"/>
    <w:tmpl w:val="A470D112"/>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D2F2F4D"/>
    <w:multiLevelType w:val="multilevel"/>
    <w:tmpl w:val="961E7674"/>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E2877FC"/>
    <w:multiLevelType w:val="multilevel"/>
    <w:tmpl w:val="BF6ACD16"/>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EC56827"/>
    <w:multiLevelType w:val="multilevel"/>
    <w:tmpl w:val="E8EE7E4A"/>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11825B9"/>
    <w:multiLevelType w:val="multilevel"/>
    <w:tmpl w:val="AA12DF3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start w:val="1"/>
      <w:numFmt w:val="decimal"/>
      <w:lvlText w:val="%1.%2."/>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2">
      <w:start w:val="1"/>
      <w:numFmt w:val="decimal"/>
      <w:lvlText w:val="%1.%2.%3."/>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19C6F60"/>
    <w:multiLevelType w:val="multilevel"/>
    <w:tmpl w:val="29CE35B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1BB1FA9"/>
    <w:multiLevelType w:val="multilevel"/>
    <w:tmpl w:val="9A94953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1C208FB"/>
    <w:multiLevelType w:val="multilevel"/>
    <w:tmpl w:val="65DC2E98"/>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2DA0A7C"/>
    <w:multiLevelType w:val="multilevel"/>
    <w:tmpl w:val="F3C69CE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36D133B"/>
    <w:multiLevelType w:val="multilevel"/>
    <w:tmpl w:val="C3A2D26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49F0260"/>
    <w:multiLevelType w:val="multilevel"/>
    <w:tmpl w:val="884C3E7A"/>
    <w:lvl w:ilvl="0">
      <w:start w:val="3"/>
      <w:numFmt w:val="decimal"/>
      <w:lvlText w:val="1.%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4EA3F24"/>
    <w:multiLevelType w:val="multilevel"/>
    <w:tmpl w:val="1A822C7A"/>
    <w:lvl w:ilvl="0">
      <w:start w:val="1"/>
      <w:numFmt w:val="decimal"/>
      <w:lvlText w:val="5.%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5582A89"/>
    <w:multiLevelType w:val="multilevel"/>
    <w:tmpl w:val="128613C4"/>
    <w:lvl w:ilvl="0">
      <w:start w:val="1"/>
      <w:numFmt w:val="decimal"/>
      <w:lvlText w:val="4.%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59003A4"/>
    <w:multiLevelType w:val="multilevel"/>
    <w:tmpl w:val="D794D98E"/>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75C0949"/>
    <w:multiLevelType w:val="multilevel"/>
    <w:tmpl w:val="B7D88BF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7725D03"/>
    <w:multiLevelType w:val="multilevel"/>
    <w:tmpl w:val="1166D6D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849140D"/>
    <w:multiLevelType w:val="multilevel"/>
    <w:tmpl w:val="DDE646DC"/>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9BE77A3"/>
    <w:multiLevelType w:val="multilevel"/>
    <w:tmpl w:val="FE56EF5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9CD3D5F"/>
    <w:multiLevelType w:val="multilevel"/>
    <w:tmpl w:val="3D50B97A"/>
    <w:lvl w:ilvl="0">
      <w:start w:val="1"/>
      <w:numFmt w:val="bullet"/>
      <w:lvlText w:val="•"/>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A5510BC"/>
    <w:multiLevelType w:val="multilevel"/>
    <w:tmpl w:val="6428B46C"/>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A871E2A"/>
    <w:multiLevelType w:val="multilevel"/>
    <w:tmpl w:val="D434479C"/>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B462E73"/>
    <w:multiLevelType w:val="multilevel"/>
    <w:tmpl w:val="49BE7D0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B915A22"/>
    <w:multiLevelType w:val="multilevel"/>
    <w:tmpl w:val="0ED2CA50"/>
    <w:lvl w:ilvl="0">
      <w:start w:val="8"/>
      <w:numFmt w:val="decimal"/>
      <w:lvlText w:val="4.%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BBE20D0"/>
    <w:multiLevelType w:val="multilevel"/>
    <w:tmpl w:val="208012DE"/>
    <w:lvl w:ilvl="0">
      <w:start w:val="5"/>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start w:val="1"/>
      <w:numFmt w:val="decimal"/>
      <w:lvlText w:val="%1.%2."/>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F0908F0"/>
    <w:multiLevelType w:val="multilevel"/>
    <w:tmpl w:val="0E7ACEA2"/>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F927FC5"/>
    <w:multiLevelType w:val="multilevel"/>
    <w:tmpl w:val="0B6A4A4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00D7609"/>
    <w:multiLevelType w:val="multilevel"/>
    <w:tmpl w:val="377AC05C"/>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0431521"/>
    <w:multiLevelType w:val="multilevel"/>
    <w:tmpl w:val="8E7C940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16C1B30"/>
    <w:multiLevelType w:val="multilevel"/>
    <w:tmpl w:val="8232405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1732950"/>
    <w:multiLevelType w:val="multilevel"/>
    <w:tmpl w:val="242AC860"/>
    <w:lvl w:ilvl="0">
      <w:start w:val="1"/>
      <w:numFmt w:val="bullet"/>
      <w:lvlText w:val="—"/>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21A0DCC"/>
    <w:multiLevelType w:val="hybridMultilevel"/>
    <w:tmpl w:val="CA2A37CE"/>
    <w:lvl w:ilvl="0" w:tplc="CCDA5A6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0" w15:restartNumberingAfterBreak="0">
    <w:nsid w:val="72394D94"/>
    <w:multiLevelType w:val="multilevel"/>
    <w:tmpl w:val="B8401E6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28E77CC"/>
    <w:multiLevelType w:val="multilevel"/>
    <w:tmpl w:val="18EEBBA8"/>
    <w:lvl w:ilvl="0">
      <w:start w:val="3"/>
      <w:numFmt w:val="decimal"/>
      <w:lvlText w:val="3.%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35F498F"/>
    <w:multiLevelType w:val="multilevel"/>
    <w:tmpl w:val="6F86F082"/>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4292C06"/>
    <w:multiLevelType w:val="multilevel"/>
    <w:tmpl w:val="381AA63E"/>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5510824"/>
    <w:multiLevelType w:val="multilevel"/>
    <w:tmpl w:val="FED8555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56D1BE4"/>
    <w:multiLevelType w:val="multilevel"/>
    <w:tmpl w:val="66764FB6"/>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5811E7C"/>
    <w:multiLevelType w:val="multilevel"/>
    <w:tmpl w:val="64D8523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5C0205D"/>
    <w:multiLevelType w:val="multilevel"/>
    <w:tmpl w:val="A83A42C4"/>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6420B75"/>
    <w:multiLevelType w:val="multilevel"/>
    <w:tmpl w:val="871492C2"/>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6695E29"/>
    <w:multiLevelType w:val="multilevel"/>
    <w:tmpl w:val="1EDC4C50"/>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7D61AFE"/>
    <w:multiLevelType w:val="multilevel"/>
    <w:tmpl w:val="7C649F5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9464A08"/>
    <w:multiLevelType w:val="multilevel"/>
    <w:tmpl w:val="AF98103A"/>
    <w:lvl w:ilvl="0">
      <w:start w:val="6"/>
      <w:numFmt w:val="decimal"/>
      <w:lvlText w:val="5.%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962765C"/>
    <w:multiLevelType w:val="multilevel"/>
    <w:tmpl w:val="065C3812"/>
    <w:lvl w:ilvl="0">
      <w:start w:val="1"/>
      <w:numFmt w:val="decimal"/>
      <w:lvlText w:val="4.%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9E75751"/>
    <w:multiLevelType w:val="multilevel"/>
    <w:tmpl w:val="EEBEAA10"/>
    <w:lvl w:ilvl="0">
      <w:start w:val="2"/>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AA27BA8"/>
    <w:multiLevelType w:val="multilevel"/>
    <w:tmpl w:val="5A82B916"/>
    <w:lvl w:ilvl="0">
      <w:start w:val="1"/>
      <w:numFmt w:val="decimal"/>
      <w:lvlText w:val="2.%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ADA4B9E"/>
    <w:multiLevelType w:val="multilevel"/>
    <w:tmpl w:val="60ACFFCE"/>
    <w:lvl w:ilvl="0">
      <w:start w:val="1"/>
      <w:numFmt w:val="decimal"/>
      <w:lvlText w:val="%1."/>
      <w:lvlJc w:val="left"/>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B164E28"/>
    <w:multiLevelType w:val="hybridMultilevel"/>
    <w:tmpl w:val="17B86A6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7" w15:restartNumberingAfterBreak="0">
    <w:nsid w:val="7B525541"/>
    <w:multiLevelType w:val="multilevel"/>
    <w:tmpl w:val="E2DEFB44"/>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B6A6CF0"/>
    <w:multiLevelType w:val="multilevel"/>
    <w:tmpl w:val="09880540"/>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B76383A"/>
    <w:multiLevelType w:val="multilevel"/>
    <w:tmpl w:val="7BBAFE1E"/>
    <w:lvl w:ilvl="0">
      <w:start w:val="1"/>
      <w:numFmt w:val="decimal"/>
      <w:lvlText w:val="5.%1."/>
      <w:lvlJc w:val="left"/>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C7325D9"/>
    <w:multiLevelType w:val="multilevel"/>
    <w:tmpl w:val="47F29998"/>
    <w:lvl w:ilvl="0">
      <w:start w:val="1"/>
      <w:numFmt w:val="bullet"/>
      <w:lvlText w:val="•"/>
      <w:lvlJc w:val="left"/>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EE97A6C"/>
    <w:multiLevelType w:val="multilevel"/>
    <w:tmpl w:val="837CBDFC"/>
    <w:lvl w:ilvl="0">
      <w:start w:val="1"/>
      <w:numFmt w:val="decimal"/>
      <w:lvlText w:val="%1)"/>
      <w:lvlJc w:val="left"/>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8840198">
    <w:abstractNumId w:val="47"/>
  </w:num>
  <w:num w:numId="2" w16cid:durableId="1843232426">
    <w:abstractNumId w:val="89"/>
  </w:num>
  <w:num w:numId="3" w16cid:durableId="736435174">
    <w:abstractNumId w:val="141"/>
  </w:num>
  <w:num w:numId="4" w16cid:durableId="1274438325">
    <w:abstractNumId w:val="140"/>
  </w:num>
  <w:num w:numId="5" w16cid:durableId="1702439964">
    <w:abstractNumId w:val="109"/>
  </w:num>
  <w:num w:numId="6" w16cid:durableId="225922327">
    <w:abstractNumId w:val="22"/>
  </w:num>
  <w:num w:numId="7" w16cid:durableId="2114401253">
    <w:abstractNumId w:val="114"/>
  </w:num>
  <w:num w:numId="8" w16cid:durableId="1715888031">
    <w:abstractNumId w:val="54"/>
  </w:num>
  <w:num w:numId="9" w16cid:durableId="1213464769">
    <w:abstractNumId w:val="180"/>
  </w:num>
  <w:num w:numId="10" w16cid:durableId="72555100">
    <w:abstractNumId w:val="3"/>
  </w:num>
  <w:num w:numId="11" w16cid:durableId="489441878">
    <w:abstractNumId w:val="24"/>
  </w:num>
  <w:num w:numId="12" w16cid:durableId="234357363">
    <w:abstractNumId w:val="139"/>
  </w:num>
  <w:num w:numId="13" w16cid:durableId="1855265487">
    <w:abstractNumId w:val="49"/>
  </w:num>
  <w:num w:numId="14" w16cid:durableId="203834860">
    <w:abstractNumId w:val="8"/>
  </w:num>
  <w:num w:numId="15" w16cid:durableId="1759717195">
    <w:abstractNumId w:val="75"/>
  </w:num>
  <w:num w:numId="16" w16cid:durableId="1344818812">
    <w:abstractNumId w:val="174"/>
  </w:num>
  <w:num w:numId="17" w16cid:durableId="1575117197">
    <w:abstractNumId w:val="178"/>
  </w:num>
  <w:num w:numId="18" w16cid:durableId="2070761533">
    <w:abstractNumId w:val="138"/>
  </w:num>
  <w:num w:numId="19" w16cid:durableId="1882522189">
    <w:abstractNumId w:val="80"/>
  </w:num>
  <w:num w:numId="20" w16cid:durableId="301547240">
    <w:abstractNumId w:val="156"/>
  </w:num>
  <w:num w:numId="21" w16cid:durableId="1310093025">
    <w:abstractNumId w:val="81"/>
  </w:num>
  <w:num w:numId="22" w16cid:durableId="1226381991">
    <w:abstractNumId w:val="16"/>
  </w:num>
  <w:num w:numId="23" w16cid:durableId="1177111941">
    <w:abstractNumId w:val="160"/>
  </w:num>
  <w:num w:numId="24" w16cid:durableId="1728069277">
    <w:abstractNumId w:val="120"/>
  </w:num>
  <w:num w:numId="25" w16cid:durableId="616372575">
    <w:abstractNumId w:val="27"/>
  </w:num>
  <w:num w:numId="26" w16cid:durableId="1963725204">
    <w:abstractNumId w:val="181"/>
  </w:num>
  <w:num w:numId="27" w16cid:durableId="959995123">
    <w:abstractNumId w:val="19"/>
  </w:num>
  <w:num w:numId="28" w16cid:durableId="919681230">
    <w:abstractNumId w:val="122"/>
  </w:num>
  <w:num w:numId="29" w16cid:durableId="879509632">
    <w:abstractNumId w:val="26"/>
  </w:num>
  <w:num w:numId="30" w16cid:durableId="1851749344">
    <w:abstractNumId w:val="97"/>
  </w:num>
  <w:num w:numId="31" w16cid:durableId="97069465">
    <w:abstractNumId w:val="125"/>
  </w:num>
  <w:num w:numId="32" w16cid:durableId="1508788163">
    <w:abstractNumId w:val="0"/>
  </w:num>
  <w:num w:numId="33" w16cid:durableId="354116017">
    <w:abstractNumId w:val="87"/>
  </w:num>
  <w:num w:numId="34" w16cid:durableId="335620284">
    <w:abstractNumId w:val="130"/>
  </w:num>
  <w:num w:numId="35" w16cid:durableId="805970684">
    <w:abstractNumId w:val="161"/>
  </w:num>
  <w:num w:numId="36" w16cid:durableId="192228722">
    <w:abstractNumId w:val="108"/>
  </w:num>
  <w:num w:numId="37" w16cid:durableId="2088771871">
    <w:abstractNumId w:val="61"/>
  </w:num>
  <w:num w:numId="38" w16cid:durableId="2143375689">
    <w:abstractNumId w:val="136"/>
  </w:num>
  <w:num w:numId="39" w16cid:durableId="121777907">
    <w:abstractNumId w:val="150"/>
  </w:num>
  <w:num w:numId="40" w16cid:durableId="325208144">
    <w:abstractNumId w:val="128"/>
  </w:num>
  <w:num w:numId="41" w16cid:durableId="591473001">
    <w:abstractNumId w:val="92"/>
  </w:num>
  <w:num w:numId="42" w16cid:durableId="1193227194">
    <w:abstractNumId w:val="129"/>
  </w:num>
  <w:num w:numId="43" w16cid:durableId="394164029">
    <w:abstractNumId w:val="46"/>
  </w:num>
  <w:num w:numId="44" w16cid:durableId="1632124838">
    <w:abstractNumId w:val="51"/>
  </w:num>
  <w:num w:numId="45" w16cid:durableId="409545681">
    <w:abstractNumId w:val="94"/>
  </w:num>
  <w:num w:numId="46" w16cid:durableId="1874269472">
    <w:abstractNumId w:val="39"/>
  </w:num>
  <w:num w:numId="47" w16cid:durableId="1499691196">
    <w:abstractNumId w:val="172"/>
  </w:num>
  <w:num w:numId="48" w16cid:durableId="1779327159">
    <w:abstractNumId w:val="93"/>
  </w:num>
  <w:num w:numId="49" w16cid:durableId="600183079">
    <w:abstractNumId w:val="137"/>
  </w:num>
  <w:num w:numId="50" w16cid:durableId="1543320084">
    <w:abstractNumId w:val="66"/>
  </w:num>
  <w:num w:numId="51" w16cid:durableId="18971484">
    <w:abstractNumId w:val="20"/>
  </w:num>
  <w:num w:numId="52" w16cid:durableId="1153596116">
    <w:abstractNumId w:val="59"/>
  </w:num>
  <w:num w:numId="53" w16cid:durableId="1356227506">
    <w:abstractNumId w:val="48"/>
  </w:num>
  <w:num w:numId="54" w16cid:durableId="1749378960">
    <w:abstractNumId w:val="116"/>
  </w:num>
  <w:num w:numId="55" w16cid:durableId="866870549">
    <w:abstractNumId w:val="36"/>
  </w:num>
  <w:num w:numId="56" w16cid:durableId="944113250">
    <w:abstractNumId w:val="117"/>
  </w:num>
  <w:num w:numId="57" w16cid:durableId="612441056">
    <w:abstractNumId w:val="166"/>
  </w:num>
  <w:num w:numId="58" w16cid:durableId="598175989">
    <w:abstractNumId w:val="56"/>
  </w:num>
  <w:num w:numId="59" w16cid:durableId="998536002">
    <w:abstractNumId w:val="90"/>
  </w:num>
  <w:num w:numId="60" w16cid:durableId="1500538862">
    <w:abstractNumId w:val="113"/>
  </w:num>
  <w:num w:numId="61" w16cid:durableId="2143961367">
    <w:abstractNumId w:val="62"/>
  </w:num>
  <w:num w:numId="62" w16cid:durableId="860241783">
    <w:abstractNumId w:val="118"/>
  </w:num>
  <w:num w:numId="63" w16cid:durableId="99184355">
    <w:abstractNumId w:val="100"/>
  </w:num>
  <w:num w:numId="64" w16cid:durableId="41829440">
    <w:abstractNumId w:val="169"/>
  </w:num>
  <w:num w:numId="65" w16cid:durableId="1660501103">
    <w:abstractNumId w:val="31"/>
  </w:num>
  <w:num w:numId="66" w16cid:durableId="1829049574">
    <w:abstractNumId w:val="74"/>
  </w:num>
  <w:num w:numId="67" w16cid:durableId="817459548">
    <w:abstractNumId w:val="77"/>
  </w:num>
  <w:num w:numId="68" w16cid:durableId="2082211466">
    <w:abstractNumId w:val="170"/>
  </w:num>
  <w:num w:numId="69" w16cid:durableId="569195561">
    <w:abstractNumId w:val="29"/>
  </w:num>
  <w:num w:numId="70" w16cid:durableId="1489396386">
    <w:abstractNumId w:val="173"/>
  </w:num>
  <w:num w:numId="71" w16cid:durableId="1851722065">
    <w:abstractNumId w:val="151"/>
  </w:num>
  <w:num w:numId="72" w16cid:durableId="815562218">
    <w:abstractNumId w:val="154"/>
  </w:num>
  <w:num w:numId="73" w16cid:durableId="640500762">
    <w:abstractNumId w:val="132"/>
  </w:num>
  <w:num w:numId="74" w16cid:durableId="1288312900">
    <w:abstractNumId w:val="43"/>
  </w:num>
  <w:num w:numId="75" w16cid:durableId="777650432">
    <w:abstractNumId w:val="110"/>
  </w:num>
  <w:num w:numId="76" w16cid:durableId="478616568">
    <w:abstractNumId w:val="12"/>
  </w:num>
  <w:num w:numId="77" w16cid:durableId="489295603">
    <w:abstractNumId w:val="157"/>
  </w:num>
  <w:num w:numId="78" w16cid:durableId="678198926">
    <w:abstractNumId w:val="58"/>
  </w:num>
  <w:num w:numId="79" w16cid:durableId="280112022">
    <w:abstractNumId w:val="107"/>
  </w:num>
  <w:num w:numId="80" w16cid:durableId="1718551966">
    <w:abstractNumId w:val="28"/>
  </w:num>
  <w:num w:numId="81" w16cid:durableId="1425689722">
    <w:abstractNumId w:val="76"/>
  </w:num>
  <w:num w:numId="82" w16cid:durableId="313293113">
    <w:abstractNumId w:val="35"/>
  </w:num>
  <w:num w:numId="83" w16cid:durableId="993147869">
    <w:abstractNumId w:val="57"/>
  </w:num>
  <w:num w:numId="84" w16cid:durableId="1633973940">
    <w:abstractNumId w:val="164"/>
  </w:num>
  <w:num w:numId="85" w16cid:durableId="231501028">
    <w:abstractNumId w:val="13"/>
  </w:num>
  <w:num w:numId="86" w16cid:durableId="639846522">
    <w:abstractNumId w:val="65"/>
  </w:num>
  <w:num w:numId="87" w16cid:durableId="1131830137">
    <w:abstractNumId w:val="63"/>
  </w:num>
  <w:num w:numId="88" w16cid:durableId="944728208">
    <w:abstractNumId w:val="105"/>
  </w:num>
  <w:num w:numId="89" w16cid:durableId="478347351">
    <w:abstractNumId w:val="115"/>
  </w:num>
  <w:num w:numId="90" w16cid:durableId="356738595">
    <w:abstractNumId w:val="153"/>
  </w:num>
  <w:num w:numId="91" w16cid:durableId="1537769311">
    <w:abstractNumId w:val="148"/>
  </w:num>
  <w:num w:numId="92" w16cid:durableId="534318213">
    <w:abstractNumId w:val="50"/>
  </w:num>
  <w:num w:numId="93" w16cid:durableId="705132118">
    <w:abstractNumId w:val="167"/>
  </w:num>
  <w:num w:numId="94" w16cid:durableId="1966233109">
    <w:abstractNumId w:val="162"/>
  </w:num>
  <w:num w:numId="95" w16cid:durableId="286162519">
    <w:abstractNumId w:val="73"/>
  </w:num>
  <w:num w:numId="96" w16cid:durableId="2025932203">
    <w:abstractNumId w:val="111"/>
  </w:num>
  <w:num w:numId="97" w16cid:durableId="1480344143">
    <w:abstractNumId w:val="142"/>
  </w:num>
  <w:num w:numId="98" w16cid:durableId="1164054957">
    <w:abstractNumId w:val="149"/>
  </w:num>
  <w:num w:numId="99" w16cid:durableId="1234699791">
    <w:abstractNumId w:val="126"/>
  </w:num>
  <w:num w:numId="100" w16cid:durableId="2021006131">
    <w:abstractNumId w:val="146"/>
  </w:num>
  <w:num w:numId="101" w16cid:durableId="321130443">
    <w:abstractNumId w:val="88"/>
  </w:num>
  <w:num w:numId="102" w16cid:durableId="608973206">
    <w:abstractNumId w:val="179"/>
  </w:num>
  <w:num w:numId="103" w16cid:durableId="1099763062">
    <w:abstractNumId w:val="52"/>
  </w:num>
  <w:num w:numId="104" w16cid:durableId="74472668">
    <w:abstractNumId w:val="14"/>
  </w:num>
  <w:num w:numId="105" w16cid:durableId="1312559074">
    <w:abstractNumId w:val="163"/>
  </w:num>
  <w:num w:numId="106" w16cid:durableId="2006779955">
    <w:abstractNumId w:val="37"/>
  </w:num>
  <w:num w:numId="107" w16cid:durableId="1419911201">
    <w:abstractNumId w:val="165"/>
  </w:num>
  <w:num w:numId="108" w16cid:durableId="1660883424">
    <w:abstractNumId w:val="64"/>
  </w:num>
  <w:num w:numId="109" w16cid:durableId="63336056">
    <w:abstractNumId w:val="5"/>
  </w:num>
  <w:num w:numId="110" w16cid:durableId="1429152235">
    <w:abstractNumId w:val="60"/>
  </w:num>
  <w:num w:numId="111" w16cid:durableId="1748645230">
    <w:abstractNumId w:val="171"/>
  </w:num>
  <w:num w:numId="112" w16cid:durableId="1702314098">
    <w:abstractNumId w:val="144"/>
  </w:num>
  <w:num w:numId="113" w16cid:durableId="938490277">
    <w:abstractNumId w:val="68"/>
  </w:num>
  <w:num w:numId="114" w16cid:durableId="293293021">
    <w:abstractNumId w:val="70"/>
  </w:num>
  <w:num w:numId="115" w16cid:durableId="697894446">
    <w:abstractNumId w:val="83"/>
  </w:num>
  <w:num w:numId="116" w16cid:durableId="1894266773">
    <w:abstractNumId w:val="82"/>
  </w:num>
  <w:num w:numId="117" w16cid:durableId="37553430">
    <w:abstractNumId w:val="177"/>
  </w:num>
  <w:num w:numId="118" w16cid:durableId="32775716">
    <w:abstractNumId w:val="9"/>
  </w:num>
  <w:num w:numId="119" w16cid:durableId="296643349">
    <w:abstractNumId w:val="32"/>
  </w:num>
  <w:num w:numId="120" w16cid:durableId="1884517547">
    <w:abstractNumId w:val="123"/>
  </w:num>
  <w:num w:numId="121" w16cid:durableId="2001081680">
    <w:abstractNumId w:val="168"/>
  </w:num>
  <w:num w:numId="122" w16cid:durableId="1874465302">
    <w:abstractNumId w:val="133"/>
  </w:num>
  <w:num w:numId="123" w16cid:durableId="1661225790">
    <w:abstractNumId w:val="21"/>
  </w:num>
  <w:num w:numId="124" w16cid:durableId="959258706">
    <w:abstractNumId w:val="55"/>
  </w:num>
  <w:num w:numId="125" w16cid:durableId="252131891">
    <w:abstractNumId w:val="7"/>
  </w:num>
  <w:num w:numId="126" w16cid:durableId="440879313">
    <w:abstractNumId w:val="79"/>
  </w:num>
  <w:num w:numId="127" w16cid:durableId="1343895921">
    <w:abstractNumId w:val="1"/>
  </w:num>
  <w:num w:numId="128" w16cid:durableId="727873831">
    <w:abstractNumId w:val="134"/>
  </w:num>
  <w:num w:numId="129" w16cid:durableId="158233521">
    <w:abstractNumId w:val="96"/>
  </w:num>
  <w:num w:numId="130" w16cid:durableId="1772776716">
    <w:abstractNumId w:val="17"/>
  </w:num>
  <w:num w:numId="131" w16cid:durableId="1460344859">
    <w:abstractNumId w:val="158"/>
  </w:num>
  <w:num w:numId="132" w16cid:durableId="1783694278">
    <w:abstractNumId w:val="95"/>
  </w:num>
  <w:num w:numId="133" w16cid:durableId="2055231278">
    <w:abstractNumId w:val="103"/>
  </w:num>
  <w:num w:numId="134" w16cid:durableId="2084258617">
    <w:abstractNumId w:val="145"/>
  </w:num>
  <w:num w:numId="135" w16cid:durableId="926615329">
    <w:abstractNumId w:val="147"/>
  </w:num>
  <w:num w:numId="136" w16cid:durableId="520628647">
    <w:abstractNumId w:val="18"/>
  </w:num>
  <w:num w:numId="137" w16cid:durableId="175463837">
    <w:abstractNumId w:val="38"/>
  </w:num>
  <w:num w:numId="138" w16cid:durableId="1069697299">
    <w:abstractNumId w:val="4"/>
  </w:num>
  <w:num w:numId="139" w16cid:durableId="792018540">
    <w:abstractNumId w:val="124"/>
  </w:num>
  <w:num w:numId="140" w16cid:durableId="920023170">
    <w:abstractNumId w:val="99"/>
  </w:num>
  <w:num w:numId="141" w16cid:durableId="309479269">
    <w:abstractNumId w:val="152"/>
  </w:num>
  <w:num w:numId="142" w16cid:durableId="909118141">
    <w:abstractNumId w:val="53"/>
  </w:num>
  <w:num w:numId="143" w16cid:durableId="2017422703">
    <w:abstractNumId w:val="127"/>
  </w:num>
  <w:num w:numId="144" w16cid:durableId="2028173266">
    <w:abstractNumId w:val="15"/>
  </w:num>
  <w:num w:numId="145" w16cid:durableId="1871334905">
    <w:abstractNumId w:val="102"/>
  </w:num>
  <w:num w:numId="146" w16cid:durableId="2146043520">
    <w:abstractNumId w:val="84"/>
  </w:num>
  <w:num w:numId="147" w16cid:durableId="76173404">
    <w:abstractNumId w:val="98"/>
  </w:num>
  <w:num w:numId="148" w16cid:durableId="1695888392">
    <w:abstractNumId w:val="131"/>
  </w:num>
  <w:num w:numId="149" w16cid:durableId="321588962">
    <w:abstractNumId w:val="86"/>
  </w:num>
  <w:num w:numId="150" w16cid:durableId="807013272">
    <w:abstractNumId w:val="121"/>
  </w:num>
  <w:num w:numId="151" w16cid:durableId="1409424048">
    <w:abstractNumId w:val="119"/>
  </w:num>
  <w:num w:numId="152" w16cid:durableId="596908933">
    <w:abstractNumId w:val="175"/>
  </w:num>
  <w:num w:numId="153" w16cid:durableId="1034430301">
    <w:abstractNumId w:val="30"/>
  </w:num>
  <w:num w:numId="154" w16cid:durableId="285163176">
    <w:abstractNumId w:val="23"/>
  </w:num>
  <w:num w:numId="155" w16cid:durableId="631329445">
    <w:abstractNumId w:val="112"/>
  </w:num>
  <w:num w:numId="156" w16cid:durableId="998851194">
    <w:abstractNumId w:val="34"/>
  </w:num>
  <w:num w:numId="157" w16cid:durableId="923026511">
    <w:abstractNumId w:val="44"/>
  </w:num>
  <w:num w:numId="158" w16cid:durableId="1091896426">
    <w:abstractNumId w:val="155"/>
  </w:num>
  <w:num w:numId="159" w16cid:durableId="802623195">
    <w:abstractNumId w:val="6"/>
  </w:num>
  <w:num w:numId="160" w16cid:durableId="1600721434">
    <w:abstractNumId w:val="25"/>
  </w:num>
  <w:num w:numId="161" w16cid:durableId="1416240439">
    <w:abstractNumId w:val="135"/>
  </w:num>
  <w:num w:numId="162" w16cid:durableId="1601142618">
    <w:abstractNumId w:val="10"/>
  </w:num>
  <w:num w:numId="163" w16cid:durableId="1956979753">
    <w:abstractNumId w:val="85"/>
  </w:num>
  <w:num w:numId="164" w16cid:durableId="1788574642">
    <w:abstractNumId w:val="2"/>
  </w:num>
  <w:num w:numId="165" w16cid:durableId="683361225">
    <w:abstractNumId w:val="41"/>
  </w:num>
  <w:num w:numId="166" w16cid:durableId="1609121514">
    <w:abstractNumId w:val="33"/>
  </w:num>
  <w:num w:numId="167" w16cid:durableId="810633608">
    <w:abstractNumId w:val="143"/>
  </w:num>
  <w:num w:numId="168" w16cid:durableId="662852109">
    <w:abstractNumId w:val="11"/>
  </w:num>
  <w:num w:numId="169" w16cid:durableId="511073064">
    <w:abstractNumId w:val="106"/>
  </w:num>
  <w:num w:numId="170" w16cid:durableId="1625497003">
    <w:abstractNumId w:val="71"/>
  </w:num>
  <w:num w:numId="171" w16cid:durableId="546643975">
    <w:abstractNumId w:val="45"/>
  </w:num>
  <w:num w:numId="172" w16cid:durableId="623081044">
    <w:abstractNumId w:val="40"/>
  </w:num>
  <w:num w:numId="173" w16cid:durableId="1673799486">
    <w:abstractNumId w:val="159"/>
  </w:num>
  <w:num w:numId="174" w16cid:durableId="163932854">
    <w:abstractNumId w:val="42"/>
  </w:num>
  <w:num w:numId="175" w16cid:durableId="873539934">
    <w:abstractNumId w:val="104"/>
  </w:num>
  <w:num w:numId="176" w16cid:durableId="272054205">
    <w:abstractNumId w:val="72"/>
  </w:num>
  <w:num w:numId="177" w16cid:durableId="445582132">
    <w:abstractNumId w:val="69"/>
  </w:num>
  <w:num w:numId="178" w16cid:durableId="1971940395">
    <w:abstractNumId w:val="91"/>
  </w:num>
  <w:num w:numId="179" w16cid:durableId="982462904">
    <w:abstractNumId w:val="67"/>
  </w:num>
  <w:num w:numId="180" w16cid:durableId="1231306219">
    <w:abstractNumId w:val="176"/>
  </w:num>
  <w:num w:numId="181" w16cid:durableId="47993662">
    <w:abstractNumId w:val="78"/>
  </w:num>
  <w:num w:numId="182" w16cid:durableId="423037498">
    <w:abstractNumId w:val="101"/>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drawingGridHorizontalSpacing w:val="181"/>
  <w:drawingGridVerticalSpacing w:val="181"/>
  <w:characterSpacingControl w:val="compressPunctuation"/>
  <w:hdrShapeDefaults>
    <o:shapedefaults v:ext="edit" spidmax="2050"/>
    <o:shapelayout v:ext="edit">
      <o:idmap v:ext="edit" data="1"/>
    </o:shapelayout>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D42"/>
    <w:rsid w:val="00000919"/>
    <w:rsid w:val="000213E0"/>
    <w:rsid w:val="000645C1"/>
    <w:rsid w:val="00093686"/>
    <w:rsid w:val="000C10B4"/>
    <w:rsid w:val="000E0C7E"/>
    <w:rsid w:val="0017170D"/>
    <w:rsid w:val="001845CC"/>
    <w:rsid w:val="001C3DE9"/>
    <w:rsid w:val="001C6E6C"/>
    <w:rsid w:val="001E0F30"/>
    <w:rsid w:val="001F090F"/>
    <w:rsid w:val="00201E2D"/>
    <w:rsid w:val="00252399"/>
    <w:rsid w:val="00263B6E"/>
    <w:rsid w:val="002741C7"/>
    <w:rsid w:val="002767DC"/>
    <w:rsid w:val="00345A2C"/>
    <w:rsid w:val="00350396"/>
    <w:rsid w:val="0035089E"/>
    <w:rsid w:val="00350D42"/>
    <w:rsid w:val="003702B5"/>
    <w:rsid w:val="0037643E"/>
    <w:rsid w:val="003868D6"/>
    <w:rsid w:val="003877D0"/>
    <w:rsid w:val="003A76C2"/>
    <w:rsid w:val="003B5898"/>
    <w:rsid w:val="003D204C"/>
    <w:rsid w:val="00463552"/>
    <w:rsid w:val="0049016D"/>
    <w:rsid w:val="004910B4"/>
    <w:rsid w:val="004C2CD1"/>
    <w:rsid w:val="004E0FC4"/>
    <w:rsid w:val="0051302C"/>
    <w:rsid w:val="005160EB"/>
    <w:rsid w:val="00596E46"/>
    <w:rsid w:val="005C7F97"/>
    <w:rsid w:val="005D6809"/>
    <w:rsid w:val="00617ABD"/>
    <w:rsid w:val="006249CD"/>
    <w:rsid w:val="00636098"/>
    <w:rsid w:val="00677738"/>
    <w:rsid w:val="00713E35"/>
    <w:rsid w:val="00736C3B"/>
    <w:rsid w:val="007737D2"/>
    <w:rsid w:val="00787383"/>
    <w:rsid w:val="00791134"/>
    <w:rsid w:val="007C74F5"/>
    <w:rsid w:val="007D58AC"/>
    <w:rsid w:val="007D6045"/>
    <w:rsid w:val="0081474F"/>
    <w:rsid w:val="00845073"/>
    <w:rsid w:val="008957BD"/>
    <w:rsid w:val="008A7873"/>
    <w:rsid w:val="008E6F64"/>
    <w:rsid w:val="00960409"/>
    <w:rsid w:val="00984A08"/>
    <w:rsid w:val="00991440"/>
    <w:rsid w:val="00995420"/>
    <w:rsid w:val="00A405A0"/>
    <w:rsid w:val="00A43F18"/>
    <w:rsid w:val="00A4534D"/>
    <w:rsid w:val="00A74D21"/>
    <w:rsid w:val="00A952F9"/>
    <w:rsid w:val="00AA1368"/>
    <w:rsid w:val="00B01894"/>
    <w:rsid w:val="00B05627"/>
    <w:rsid w:val="00B23730"/>
    <w:rsid w:val="00B517C8"/>
    <w:rsid w:val="00B827B1"/>
    <w:rsid w:val="00B83D32"/>
    <w:rsid w:val="00C44692"/>
    <w:rsid w:val="00C93682"/>
    <w:rsid w:val="00D367BF"/>
    <w:rsid w:val="00D9132C"/>
    <w:rsid w:val="00DB7CE1"/>
    <w:rsid w:val="00DD5DE6"/>
    <w:rsid w:val="00E24F26"/>
    <w:rsid w:val="00E32807"/>
    <w:rsid w:val="00E861F0"/>
    <w:rsid w:val="00EC1D27"/>
    <w:rsid w:val="00EF481B"/>
    <w:rsid w:val="00F03FA7"/>
    <w:rsid w:val="00F45348"/>
    <w:rsid w:val="00F716E4"/>
    <w:rsid w:val="00FA3C54"/>
    <w:rsid w:val="00FE5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A9B2E7A"/>
  <w15:docId w15:val="{E68E6203-44C2-4427-976F-07AD317DB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spacing w:line="197" w:lineRule="exact"/>
        <w:ind w:firstLine="3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50D42"/>
    <w:rPr>
      <w:color w:val="000000"/>
    </w:rPr>
  </w:style>
  <w:style w:type="paragraph" w:styleId="1">
    <w:name w:val="heading 1"/>
    <w:basedOn w:val="a"/>
    <w:link w:val="10"/>
    <w:uiPriority w:val="9"/>
    <w:qFormat/>
    <w:rsid w:val="00093686"/>
    <w:pPr>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next w:val="a"/>
    <w:link w:val="20"/>
    <w:uiPriority w:val="9"/>
    <w:unhideWhenUsed/>
    <w:qFormat/>
    <w:rsid w:val="003503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50396"/>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qFormat/>
    <w:rsid w:val="00350396"/>
    <w:pPr>
      <w:keepNext/>
      <w:widowControl w:val="0"/>
      <w:spacing w:line="240" w:lineRule="auto"/>
      <w:ind w:firstLine="0"/>
      <w:jc w:val="center"/>
      <w:outlineLvl w:val="3"/>
    </w:pPr>
    <w:rPr>
      <w:b/>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350D42"/>
    <w:rPr>
      <w:rFonts w:ascii="Bookman Old Style" w:eastAsia="Bookman Old Style" w:hAnsi="Bookman Old Style" w:cs="Bookman Old Style"/>
      <w:b w:val="0"/>
      <w:bCs w:val="0"/>
      <w:i w:val="0"/>
      <w:iCs w:val="0"/>
      <w:smallCaps w:val="0"/>
      <w:strike w:val="0"/>
      <w:sz w:val="15"/>
      <w:szCs w:val="15"/>
      <w:u w:val="none"/>
    </w:rPr>
  </w:style>
  <w:style w:type="character" w:customStyle="1" w:styleId="a5">
    <w:name w:val="Сноска"/>
    <w:basedOn w:val="a3"/>
    <w:rsid w:val="00350D42"/>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style>
  <w:style w:type="character" w:customStyle="1" w:styleId="a6">
    <w:name w:val="Сноска + Курсив"/>
    <w:basedOn w:val="a3"/>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9pt">
    <w:name w:val="Сноска + 9 pt"/>
    <w:basedOn w:val="a3"/>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9pt0">
    <w:name w:val="Сноска + 9 pt"/>
    <w:basedOn w:val="a3"/>
    <w:rsid w:val="00350D42"/>
    <w:rPr>
      <w:rFonts w:ascii="Bookman Old Style" w:eastAsia="Bookman Old Style" w:hAnsi="Bookman Old Style" w:cs="Bookman Old Style"/>
      <w:b w:val="0"/>
      <w:bCs w:val="0"/>
      <w:i w:val="0"/>
      <w:iCs w:val="0"/>
      <w:smallCaps w:val="0"/>
      <w:strike w:val="0"/>
      <w:color w:val="000000"/>
      <w:spacing w:val="0"/>
      <w:w w:val="100"/>
      <w:position w:val="0"/>
      <w:sz w:val="18"/>
      <w:szCs w:val="18"/>
      <w:u w:val="none"/>
    </w:rPr>
  </w:style>
  <w:style w:type="character" w:customStyle="1" w:styleId="21">
    <w:name w:val="Сноска (2)_"/>
    <w:basedOn w:val="a0"/>
    <w:link w:val="22"/>
    <w:rsid w:val="00350D42"/>
    <w:rPr>
      <w:rFonts w:ascii="Bookman Old Style" w:eastAsia="Bookman Old Style" w:hAnsi="Bookman Old Style" w:cs="Bookman Old Style"/>
      <w:b w:val="0"/>
      <w:bCs w:val="0"/>
      <w:i/>
      <w:iCs/>
      <w:smallCaps w:val="0"/>
      <w:strike w:val="0"/>
      <w:sz w:val="15"/>
      <w:szCs w:val="15"/>
      <w:u w:val="none"/>
    </w:rPr>
  </w:style>
  <w:style w:type="character" w:customStyle="1" w:styleId="29pt">
    <w:name w:val="Сноска (2) + 9 pt;Не курсив"/>
    <w:basedOn w:val="21"/>
    <w:rsid w:val="00350D42"/>
    <w:rPr>
      <w:rFonts w:ascii="Bookman Old Style" w:eastAsia="Bookman Old Style" w:hAnsi="Bookman Old Style" w:cs="Bookman Old Style"/>
      <w:b w:val="0"/>
      <w:bCs w:val="0"/>
      <w:i/>
      <w:iCs/>
      <w:smallCaps w:val="0"/>
      <w:strike w:val="0"/>
      <w:color w:val="231F20"/>
      <w:spacing w:val="0"/>
      <w:w w:val="100"/>
      <w:position w:val="0"/>
      <w:sz w:val="18"/>
      <w:szCs w:val="18"/>
      <w:u w:val="none"/>
      <w:lang w:val="ru-RU" w:eastAsia="ru-RU" w:bidi="ru-RU"/>
    </w:rPr>
  </w:style>
  <w:style w:type="character" w:customStyle="1" w:styleId="23">
    <w:name w:val="Сноска (2)"/>
    <w:basedOn w:val="21"/>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24">
    <w:name w:val="Сноска (2) + Не курсив"/>
    <w:basedOn w:val="21"/>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31">
    <w:name w:val="Сноска (3)_"/>
    <w:basedOn w:val="a0"/>
    <w:link w:val="32"/>
    <w:rsid w:val="00350D42"/>
    <w:rPr>
      <w:rFonts w:ascii="Bookman Old Style" w:eastAsia="Bookman Old Style" w:hAnsi="Bookman Old Style" w:cs="Bookman Old Style"/>
      <w:b w:val="0"/>
      <w:bCs w:val="0"/>
      <w:i w:val="0"/>
      <w:iCs w:val="0"/>
      <w:smallCaps w:val="0"/>
      <w:strike w:val="0"/>
      <w:sz w:val="18"/>
      <w:szCs w:val="18"/>
      <w:u w:val="none"/>
    </w:rPr>
  </w:style>
  <w:style w:type="character" w:customStyle="1" w:styleId="33">
    <w:name w:val="Сноска (3)"/>
    <w:basedOn w:val="31"/>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41">
    <w:name w:val="Сноска (4)_"/>
    <w:basedOn w:val="a0"/>
    <w:link w:val="42"/>
    <w:rsid w:val="00350D42"/>
    <w:rPr>
      <w:rFonts w:ascii="Bookman Old Style" w:eastAsia="Bookman Old Style" w:hAnsi="Bookman Old Style" w:cs="Bookman Old Style"/>
      <w:b w:val="0"/>
      <w:bCs w:val="0"/>
      <w:i w:val="0"/>
      <w:iCs w:val="0"/>
      <w:smallCaps w:val="0"/>
      <w:strike w:val="0"/>
      <w:sz w:val="17"/>
      <w:szCs w:val="17"/>
      <w:u w:val="none"/>
    </w:rPr>
  </w:style>
  <w:style w:type="character" w:customStyle="1" w:styleId="43">
    <w:name w:val="Сноска (4)"/>
    <w:basedOn w:val="41"/>
    <w:rsid w:val="00350D42"/>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style>
  <w:style w:type="character" w:customStyle="1" w:styleId="a7">
    <w:name w:val="Сноска"/>
    <w:basedOn w:val="a3"/>
    <w:rsid w:val="00350D42"/>
    <w:rPr>
      <w:rFonts w:ascii="Bookman Old Style" w:eastAsia="Bookman Old Style" w:hAnsi="Bookman Old Style" w:cs="Bookman Old Style"/>
      <w:b w:val="0"/>
      <w:bCs w:val="0"/>
      <w:i w:val="0"/>
      <w:iCs w:val="0"/>
      <w:smallCaps w:val="0"/>
      <w:strike w:val="0"/>
      <w:color w:val="A09F9F"/>
      <w:spacing w:val="0"/>
      <w:w w:val="100"/>
      <w:position w:val="0"/>
      <w:sz w:val="15"/>
      <w:szCs w:val="15"/>
      <w:u w:val="none"/>
      <w:lang w:val="ru-RU" w:eastAsia="ru-RU" w:bidi="ru-RU"/>
    </w:rPr>
  </w:style>
  <w:style w:type="character" w:customStyle="1" w:styleId="25">
    <w:name w:val="Сноска (2) + Не курсив"/>
    <w:basedOn w:val="21"/>
    <w:rsid w:val="00350D42"/>
    <w:rPr>
      <w:rFonts w:ascii="Bookman Old Style" w:eastAsia="Bookman Old Style" w:hAnsi="Bookman Old Style" w:cs="Bookman Old Style"/>
      <w:b w:val="0"/>
      <w:bCs w:val="0"/>
      <w:i/>
      <w:iCs/>
      <w:smallCaps w:val="0"/>
      <w:strike w:val="0"/>
      <w:color w:val="000000"/>
      <w:spacing w:val="0"/>
      <w:w w:val="100"/>
      <w:position w:val="0"/>
      <w:sz w:val="15"/>
      <w:szCs w:val="15"/>
      <w:u w:val="none"/>
    </w:rPr>
  </w:style>
  <w:style w:type="character" w:customStyle="1" w:styleId="5">
    <w:name w:val="Сноска (5)_"/>
    <w:basedOn w:val="a0"/>
    <w:link w:val="50"/>
    <w:rsid w:val="00350D42"/>
    <w:rPr>
      <w:rFonts w:ascii="Arial Narrow" w:eastAsia="Arial Narrow" w:hAnsi="Arial Narrow" w:cs="Arial Narrow"/>
      <w:b/>
      <w:bCs/>
      <w:i w:val="0"/>
      <w:iCs w:val="0"/>
      <w:smallCaps w:val="0"/>
      <w:strike w:val="0"/>
      <w:sz w:val="17"/>
      <w:szCs w:val="17"/>
      <w:u w:val="none"/>
      <w:lang w:val="en-US" w:eastAsia="en-US" w:bidi="en-US"/>
    </w:rPr>
  </w:style>
  <w:style w:type="character" w:customStyle="1" w:styleId="51">
    <w:name w:val="Сноска (5)"/>
    <w:basedOn w:val="5"/>
    <w:rsid w:val="00350D42"/>
    <w:rPr>
      <w:rFonts w:ascii="Arial Narrow" w:eastAsia="Arial Narrow" w:hAnsi="Arial Narrow" w:cs="Arial Narrow"/>
      <w:b/>
      <w:bCs/>
      <w:i w:val="0"/>
      <w:iCs w:val="0"/>
      <w:smallCaps w:val="0"/>
      <w:strike w:val="0"/>
      <w:color w:val="231F20"/>
      <w:spacing w:val="0"/>
      <w:w w:val="100"/>
      <w:position w:val="0"/>
      <w:sz w:val="17"/>
      <w:szCs w:val="17"/>
      <w:u w:val="none"/>
      <w:lang w:val="en-US" w:eastAsia="en-US" w:bidi="en-US"/>
    </w:rPr>
  </w:style>
  <w:style w:type="character" w:customStyle="1" w:styleId="5BookmanOldStyle9pt">
    <w:name w:val="Сноска (5) + Bookman Old Style;9 pt;Не полужирный"/>
    <w:basedOn w:val="5"/>
    <w:rsid w:val="00350D42"/>
    <w:rPr>
      <w:rFonts w:ascii="Bookman Old Style" w:eastAsia="Bookman Old Style" w:hAnsi="Bookman Old Style" w:cs="Bookman Old Style"/>
      <w:b/>
      <w:bCs/>
      <w:i w:val="0"/>
      <w:iCs w:val="0"/>
      <w:smallCaps w:val="0"/>
      <w:strike w:val="0"/>
      <w:color w:val="231F20"/>
      <w:spacing w:val="0"/>
      <w:w w:val="100"/>
      <w:position w:val="0"/>
      <w:sz w:val="18"/>
      <w:szCs w:val="18"/>
      <w:u w:val="none"/>
      <w:lang w:val="ru-RU" w:eastAsia="ru-RU" w:bidi="ru-RU"/>
    </w:rPr>
  </w:style>
  <w:style w:type="character" w:customStyle="1" w:styleId="ArialNarrow85pt">
    <w:name w:val="Сноска + Arial Narrow;8.5 pt;Полужирный"/>
    <w:basedOn w:val="a3"/>
    <w:rsid w:val="00350D42"/>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style>
  <w:style w:type="character" w:customStyle="1" w:styleId="5BookmanOldStyle75pt">
    <w:name w:val="Сноска (5) + Bookman Old Style;7.5 pt;Не полужирный;Курсив"/>
    <w:basedOn w:val="5"/>
    <w:rsid w:val="00350D42"/>
    <w:rPr>
      <w:rFonts w:ascii="Bookman Old Style" w:eastAsia="Bookman Old Style" w:hAnsi="Bookman Old Style" w:cs="Bookman Old Style"/>
      <w:b/>
      <w:bCs/>
      <w:i/>
      <w:iCs/>
      <w:smallCaps w:val="0"/>
      <w:strike w:val="0"/>
      <w:color w:val="231F20"/>
      <w:spacing w:val="0"/>
      <w:w w:val="100"/>
      <w:position w:val="0"/>
      <w:sz w:val="15"/>
      <w:szCs w:val="15"/>
      <w:u w:val="none"/>
      <w:lang w:val="ru-RU" w:eastAsia="ru-RU" w:bidi="ru-RU"/>
    </w:rPr>
  </w:style>
  <w:style w:type="character" w:customStyle="1" w:styleId="52">
    <w:name w:val="Сноска (5) + Не полужирный;Курсив"/>
    <w:basedOn w:val="5"/>
    <w:rsid w:val="00350D42"/>
    <w:rPr>
      <w:rFonts w:ascii="Arial Narrow" w:eastAsia="Arial Narrow" w:hAnsi="Arial Narrow" w:cs="Arial Narrow"/>
      <w:b/>
      <w:bCs/>
      <w:i/>
      <w:iCs/>
      <w:smallCaps w:val="0"/>
      <w:strike w:val="0"/>
      <w:color w:val="231F20"/>
      <w:spacing w:val="0"/>
      <w:w w:val="100"/>
      <w:position w:val="0"/>
      <w:sz w:val="17"/>
      <w:szCs w:val="17"/>
      <w:u w:val="none"/>
      <w:lang w:val="ru-RU" w:eastAsia="ru-RU" w:bidi="ru-RU"/>
    </w:rPr>
  </w:style>
  <w:style w:type="character" w:customStyle="1" w:styleId="a8">
    <w:name w:val="Сноска"/>
    <w:basedOn w:val="a3"/>
    <w:rsid w:val="00350D42"/>
    <w:rPr>
      <w:rFonts w:ascii="Bookman Old Style" w:eastAsia="Bookman Old Style" w:hAnsi="Bookman Old Style" w:cs="Bookman Old Style"/>
      <w:b w:val="0"/>
      <w:bCs w:val="0"/>
      <w:i w:val="0"/>
      <w:iCs w:val="0"/>
      <w:smallCaps w:val="0"/>
      <w:strike w:val="0"/>
      <w:color w:val="B2B1B2"/>
      <w:spacing w:val="0"/>
      <w:w w:val="100"/>
      <w:position w:val="0"/>
      <w:sz w:val="15"/>
      <w:szCs w:val="15"/>
      <w:u w:val="none"/>
      <w:lang w:val="en-US" w:eastAsia="en-US" w:bidi="en-US"/>
    </w:rPr>
  </w:style>
  <w:style w:type="character" w:customStyle="1" w:styleId="6">
    <w:name w:val="Сноска (6)_"/>
    <w:basedOn w:val="a0"/>
    <w:link w:val="60"/>
    <w:rsid w:val="00350D42"/>
    <w:rPr>
      <w:rFonts w:ascii="Bookman Old Style" w:eastAsia="Bookman Old Style" w:hAnsi="Bookman Old Style" w:cs="Bookman Old Style"/>
      <w:b/>
      <w:bCs/>
      <w:i/>
      <w:iCs/>
      <w:smallCaps w:val="0"/>
      <w:strike w:val="0"/>
      <w:sz w:val="17"/>
      <w:szCs w:val="17"/>
      <w:u w:val="none"/>
    </w:rPr>
  </w:style>
  <w:style w:type="character" w:customStyle="1" w:styleId="61">
    <w:name w:val="Сноска (6)"/>
    <w:basedOn w:val="6"/>
    <w:rsid w:val="00350D42"/>
    <w:rPr>
      <w:rFonts w:ascii="Bookman Old Style" w:eastAsia="Bookman Old Style" w:hAnsi="Bookman Old Style" w:cs="Bookman Old Style"/>
      <w:b/>
      <w:bCs/>
      <w:i/>
      <w:iCs/>
      <w:smallCaps w:val="0"/>
      <w:strike w:val="0"/>
      <w:color w:val="231F20"/>
      <w:spacing w:val="0"/>
      <w:w w:val="100"/>
      <w:position w:val="0"/>
      <w:sz w:val="17"/>
      <w:szCs w:val="17"/>
      <w:u w:val="none"/>
      <w:lang w:val="ru-RU" w:eastAsia="ru-RU" w:bidi="ru-RU"/>
    </w:rPr>
  </w:style>
  <w:style w:type="character" w:customStyle="1" w:styleId="8Exact">
    <w:name w:val="Основной текст (8) Exact"/>
    <w:basedOn w:val="a0"/>
    <w:rsid w:val="00350D42"/>
    <w:rPr>
      <w:rFonts w:ascii="Bookman Old Style" w:eastAsia="Bookman Old Style" w:hAnsi="Bookman Old Style" w:cs="Bookman Old Style"/>
      <w:b w:val="0"/>
      <w:bCs w:val="0"/>
      <w:i w:val="0"/>
      <w:iCs w:val="0"/>
      <w:smallCaps w:val="0"/>
      <w:strike w:val="0"/>
      <w:sz w:val="17"/>
      <w:szCs w:val="17"/>
      <w:u w:val="none"/>
    </w:rPr>
  </w:style>
  <w:style w:type="character" w:customStyle="1" w:styleId="8Exact0">
    <w:name w:val="Основной текст (8) Exact"/>
    <w:basedOn w:val="8"/>
    <w:rsid w:val="00350D42"/>
    <w:rPr>
      <w:rFonts w:ascii="Bookman Old Style" w:eastAsia="Bookman Old Style" w:hAnsi="Bookman Old Style" w:cs="Bookman Old Style"/>
      <w:b w:val="0"/>
      <w:bCs w:val="0"/>
      <w:i w:val="0"/>
      <w:iCs w:val="0"/>
      <w:smallCaps w:val="0"/>
      <w:strike w:val="0"/>
      <w:color w:val="231F20"/>
      <w:sz w:val="17"/>
      <w:szCs w:val="17"/>
      <w:u w:val="none"/>
    </w:rPr>
  </w:style>
  <w:style w:type="character" w:customStyle="1" w:styleId="11">
    <w:name w:val="Заголовок №1_"/>
    <w:basedOn w:val="a0"/>
    <w:link w:val="12"/>
    <w:rsid w:val="00350D42"/>
    <w:rPr>
      <w:rFonts w:ascii="Impact" w:eastAsia="Impact" w:hAnsi="Impact" w:cs="Impact"/>
      <w:b w:val="0"/>
      <w:bCs w:val="0"/>
      <w:i w:val="0"/>
      <w:iCs w:val="0"/>
      <w:smallCaps w:val="0"/>
      <w:strike w:val="0"/>
      <w:sz w:val="56"/>
      <w:szCs w:val="56"/>
      <w:u w:val="none"/>
    </w:rPr>
  </w:style>
  <w:style w:type="character" w:customStyle="1" w:styleId="13">
    <w:name w:val="Заголовок №1"/>
    <w:basedOn w:val="11"/>
    <w:rsid w:val="00350D42"/>
    <w:rPr>
      <w:rFonts w:ascii="Impact" w:eastAsia="Impact" w:hAnsi="Impact" w:cs="Impact"/>
      <w:b w:val="0"/>
      <w:bCs w:val="0"/>
      <w:i w:val="0"/>
      <w:iCs w:val="0"/>
      <w:smallCaps w:val="0"/>
      <w:strike w:val="0"/>
      <w:color w:val="231F20"/>
      <w:spacing w:val="0"/>
      <w:w w:val="100"/>
      <w:position w:val="0"/>
      <w:sz w:val="56"/>
      <w:szCs w:val="56"/>
      <w:u w:val="none"/>
      <w:lang w:val="ru-RU" w:eastAsia="ru-RU" w:bidi="ru-RU"/>
    </w:rPr>
  </w:style>
  <w:style w:type="character" w:customStyle="1" w:styleId="34">
    <w:name w:val="Основной текст (3)_"/>
    <w:basedOn w:val="a0"/>
    <w:link w:val="35"/>
    <w:rsid w:val="00350D42"/>
    <w:rPr>
      <w:rFonts w:ascii="Segoe UI" w:eastAsia="Segoe UI" w:hAnsi="Segoe UI" w:cs="Segoe UI"/>
      <w:b w:val="0"/>
      <w:bCs w:val="0"/>
      <w:i w:val="0"/>
      <w:iCs w:val="0"/>
      <w:smallCaps w:val="0"/>
      <w:strike w:val="0"/>
      <w:sz w:val="26"/>
      <w:szCs w:val="26"/>
      <w:u w:val="none"/>
    </w:rPr>
  </w:style>
  <w:style w:type="character" w:customStyle="1" w:styleId="36">
    <w:name w:val="Основной текст (3)"/>
    <w:basedOn w:val="34"/>
    <w:rsid w:val="00350D42"/>
    <w:rPr>
      <w:rFonts w:ascii="Segoe UI" w:eastAsia="Segoe UI" w:hAnsi="Segoe UI" w:cs="Segoe UI"/>
      <w:b w:val="0"/>
      <w:bCs w:val="0"/>
      <w:i w:val="0"/>
      <w:iCs w:val="0"/>
      <w:smallCaps w:val="0"/>
      <w:strike w:val="0"/>
      <w:color w:val="231F20"/>
      <w:spacing w:val="0"/>
      <w:w w:val="100"/>
      <w:position w:val="0"/>
      <w:sz w:val="26"/>
      <w:szCs w:val="26"/>
      <w:u w:val="none"/>
      <w:lang w:val="ru-RU" w:eastAsia="ru-RU" w:bidi="ru-RU"/>
    </w:rPr>
  </w:style>
  <w:style w:type="character" w:customStyle="1" w:styleId="37">
    <w:name w:val="Основной текст (3) + Полужирный"/>
    <w:basedOn w:val="34"/>
    <w:rsid w:val="00350D42"/>
    <w:rPr>
      <w:rFonts w:ascii="Segoe UI" w:eastAsia="Segoe UI" w:hAnsi="Segoe UI" w:cs="Segoe UI"/>
      <w:b/>
      <w:bCs/>
      <w:i w:val="0"/>
      <w:iCs w:val="0"/>
      <w:smallCaps w:val="0"/>
      <w:strike w:val="0"/>
      <w:color w:val="231F20"/>
      <w:spacing w:val="0"/>
      <w:w w:val="100"/>
      <w:position w:val="0"/>
      <w:sz w:val="26"/>
      <w:szCs w:val="26"/>
      <w:u w:val="none"/>
      <w:lang w:val="ru-RU" w:eastAsia="ru-RU" w:bidi="ru-RU"/>
    </w:rPr>
  </w:style>
  <w:style w:type="character" w:customStyle="1" w:styleId="44">
    <w:name w:val="Основной текст (4)_"/>
    <w:basedOn w:val="a0"/>
    <w:link w:val="45"/>
    <w:rsid w:val="00350D42"/>
    <w:rPr>
      <w:rFonts w:ascii="Arial Narrow" w:eastAsia="Arial Narrow" w:hAnsi="Arial Narrow" w:cs="Arial Narrow"/>
      <w:b w:val="0"/>
      <w:bCs w:val="0"/>
      <w:i/>
      <w:iCs/>
      <w:smallCaps w:val="0"/>
      <w:strike w:val="0"/>
      <w:sz w:val="19"/>
      <w:szCs w:val="19"/>
      <w:u w:val="none"/>
    </w:rPr>
  </w:style>
  <w:style w:type="character" w:customStyle="1" w:styleId="46">
    <w:name w:val="Основной текст (4)"/>
    <w:basedOn w:val="44"/>
    <w:rsid w:val="00350D42"/>
    <w:rPr>
      <w:rFonts w:ascii="Arial Narrow" w:eastAsia="Arial Narrow" w:hAnsi="Arial Narrow" w:cs="Arial Narrow"/>
      <w:b w:val="0"/>
      <w:bCs w:val="0"/>
      <w:i/>
      <w:iCs/>
      <w:smallCaps w:val="0"/>
      <w:strike w:val="0"/>
      <w:color w:val="231F20"/>
      <w:spacing w:val="0"/>
      <w:w w:val="100"/>
      <w:position w:val="0"/>
      <w:sz w:val="19"/>
      <w:szCs w:val="19"/>
      <w:u w:val="none"/>
      <w:lang w:val="ru-RU" w:eastAsia="ru-RU" w:bidi="ru-RU"/>
    </w:rPr>
  </w:style>
  <w:style w:type="character" w:customStyle="1" w:styleId="53">
    <w:name w:val="Основной текст (5)_"/>
    <w:basedOn w:val="a0"/>
    <w:link w:val="54"/>
    <w:rsid w:val="00350D42"/>
    <w:rPr>
      <w:rFonts w:ascii="Arial Narrow" w:eastAsia="Arial Narrow" w:hAnsi="Arial Narrow" w:cs="Arial Narrow"/>
      <w:b/>
      <w:bCs/>
      <w:i w:val="0"/>
      <w:iCs w:val="0"/>
      <w:smallCaps w:val="0"/>
      <w:strike w:val="0"/>
      <w:sz w:val="19"/>
      <w:szCs w:val="19"/>
      <w:u w:val="none"/>
    </w:rPr>
  </w:style>
  <w:style w:type="character" w:customStyle="1" w:styleId="55">
    <w:name w:val="Основной текст (5)"/>
    <w:basedOn w:val="53"/>
    <w:rsid w:val="00350D42"/>
    <w:rPr>
      <w:rFonts w:ascii="Arial Narrow" w:eastAsia="Arial Narrow" w:hAnsi="Arial Narrow" w:cs="Arial Narrow"/>
      <w:b/>
      <w:bCs/>
      <w:i w:val="0"/>
      <w:iCs w:val="0"/>
      <w:smallCaps w:val="0"/>
      <w:strike w:val="0"/>
      <w:color w:val="231F20"/>
      <w:spacing w:val="0"/>
      <w:w w:val="100"/>
      <w:position w:val="0"/>
      <w:sz w:val="19"/>
      <w:szCs w:val="19"/>
      <w:u w:val="none"/>
      <w:lang w:val="ru-RU" w:eastAsia="ru-RU" w:bidi="ru-RU"/>
    </w:rPr>
  </w:style>
  <w:style w:type="character" w:customStyle="1" w:styleId="62">
    <w:name w:val="Основной текст (6)_"/>
    <w:basedOn w:val="a0"/>
    <w:link w:val="63"/>
    <w:rsid w:val="00350D42"/>
    <w:rPr>
      <w:rFonts w:ascii="Bookman Old Style" w:eastAsia="Bookman Old Style" w:hAnsi="Bookman Old Style" w:cs="Bookman Old Style"/>
      <w:b w:val="0"/>
      <w:bCs w:val="0"/>
      <w:i w:val="0"/>
      <w:iCs w:val="0"/>
      <w:smallCaps w:val="0"/>
      <w:strike w:val="0"/>
      <w:sz w:val="15"/>
      <w:szCs w:val="15"/>
      <w:u w:val="none"/>
    </w:rPr>
  </w:style>
  <w:style w:type="character" w:customStyle="1" w:styleId="64">
    <w:name w:val="Основной текст (6)"/>
    <w:basedOn w:val="62"/>
    <w:rsid w:val="00350D42"/>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style>
  <w:style w:type="character" w:customStyle="1" w:styleId="7">
    <w:name w:val="Основной текст (7)_"/>
    <w:basedOn w:val="a0"/>
    <w:link w:val="70"/>
    <w:rsid w:val="00350D42"/>
    <w:rPr>
      <w:rFonts w:ascii="Bookman Old Style" w:eastAsia="Bookman Old Style" w:hAnsi="Bookman Old Style" w:cs="Bookman Old Style"/>
      <w:b w:val="0"/>
      <w:bCs w:val="0"/>
      <w:i/>
      <w:iCs/>
      <w:smallCaps w:val="0"/>
      <w:strike w:val="0"/>
      <w:sz w:val="15"/>
      <w:szCs w:val="15"/>
      <w:u w:val="none"/>
    </w:rPr>
  </w:style>
  <w:style w:type="character" w:customStyle="1" w:styleId="71">
    <w:name w:val="Основной текст (7)"/>
    <w:basedOn w:val="7"/>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72">
    <w:name w:val="Основной текст (7) + Не курсив"/>
    <w:basedOn w:val="7"/>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65">
    <w:name w:val="Основной текст (6) + Курсив"/>
    <w:basedOn w:val="62"/>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38">
    <w:name w:val="Заголовок №3_"/>
    <w:basedOn w:val="a0"/>
    <w:link w:val="39"/>
    <w:rsid w:val="00350D42"/>
    <w:rPr>
      <w:rFonts w:ascii="Arial Narrow" w:eastAsia="Arial Narrow" w:hAnsi="Arial Narrow" w:cs="Arial Narrow"/>
      <w:b/>
      <w:bCs/>
      <w:i w:val="0"/>
      <w:iCs w:val="0"/>
      <w:smallCaps w:val="0"/>
      <w:strike w:val="0"/>
      <w:sz w:val="32"/>
      <w:szCs w:val="32"/>
      <w:u w:val="none"/>
    </w:rPr>
  </w:style>
  <w:style w:type="character" w:customStyle="1" w:styleId="3a">
    <w:name w:val="Заголовок №3"/>
    <w:basedOn w:val="38"/>
    <w:rsid w:val="00350D42"/>
    <w:rPr>
      <w:rFonts w:ascii="Arial Narrow" w:eastAsia="Arial Narrow" w:hAnsi="Arial Narrow" w:cs="Arial Narrow"/>
      <w:b/>
      <w:bCs/>
      <w:i w:val="0"/>
      <w:iCs w:val="0"/>
      <w:smallCaps w:val="0"/>
      <w:strike w:val="0"/>
      <w:color w:val="231F20"/>
      <w:spacing w:val="0"/>
      <w:w w:val="100"/>
      <w:position w:val="0"/>
      <w:sz w:val="32"/>
      <w:szCs w:val="32"/>
      <w:u w:val="none"/>
      <w:lang w:val="ru-RU" w:eastAsia="ru-RU" w:bidi="ru-RU"/>
    </w:rPr>
  </w:style>
  <w:style w:type="character" w:customStyle="1" w:styleId="a9">
    <w:name w:val="Колонтитул_"/>
    <w:basedOn w:val="a0"/>
    <w:link w:val="aa"/>
    <w:rsid w:val="00350D42"/>
    <w:rPr>
      <w:rFonts w:ascii="Microsoft Sans Serif" w:eastAsia="Microsoft Sans Serif" w:hAnsi="Microsoft Sans Serif" w:cs="Microsoft Sans Serif"/>
      <w:b/>
      <w:bCs/>
      <w:i w:val="0"/>
      <w:iCs w:val="0"/>
      <w:smallCaps w:val="0"/>
      <w:strike w:val="0"/>
      <w:sz w:val="16"/>
      <w:szCs w:val="16"/>
      <w:u w:val="none"/>
    </w:rPr>
  </w:style>
  <w:style w:type="character" w:customStyle="1" w:styleId="ab">
    <w:name w:val="Колонтитул"/>
    <w:basedOn w:val="a9"/>
    <w:rsid w:val="00350D42"/>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ru-RU" w:eastAsia="ru-RU" w:bidi="ru-RU"/>
    </w:rPr>
  </w:style>
  <w:style w:type="character" w:customStyle="1" w:styleId="26">
    <w:name w:val="Оглавление 2 Знак"/>
    <w:basedOn w:val="a0"/>
    <w:link w:val="27"/>
    <w:rsid w:val="00350D42"/>
    <w:rPr>
      <w:rFonts w:ascii="Bookman Old Style" w:eastAsia="Bookman Old Style" w:hAnsi="Bookman Old Style" w:cs="Bookman Old Style"/>
      <w:b/>
      <w:bCs/>
      <w:i w:val="0"/>
      <w:iCs w:val="0"/>
      <w:smallCaps w:val="0"/>
      <w:strike w:val="0"/>
      <w:sz w:val="18"/>
      <w:szCs w:val="18"/>
      <w:u w:val="none"/>
    </w:rPr>
  </w:style>
  <w:style w:type="character" w:customStyle="1" w:styleId="28">
    <w:name w:val="Оглавление (2)"/>
    <w:basedOn w:val="26"/>
    <w:rsid w:val="00350D42"/>
    <w:rPr>
      <w:rFonts w:ascii="Bookman Old Style" w:eastAsia="Bookman Old Style" w:hAnsi="Bookman Old Style" w:cs="Bookman Old Style"/>
      <w:b/>
      <w:bCs/>
      <w:i w:val="0"/>
      <w:iCs w:val="0"/>
      <w:smallCaps w:val="0"/>
      <w:strike w:val="0"/>
      <w:color w:val="231F20"/>
      <w:spacing w:val="0"/>
      <w:w w:val="100"/>
      <w:position w:val="0"/>
      <w:sz w:val="18"/>
      <w:szCs w:val="18"/>
      <w:u w:val="none"/>
      <w:lang w:val="ru-RU" w:eastAsia="ru-RU" w:bidi="ru-RU"/>
    </w:rPr>
  </w:style>
  <w:style w:type="character" w:customStyle="1" w:styleId="29">
    <w:name w:val="Оглавление (2)"/>
    <w:basedOn w:val="26"/>
    <w:rsid w:val="00350D42"/>
    <w:rPr>
      <w:rFonts w:ascii="Bookman Old Style" w:eastAsia="Bookman Old Style" w:hAnsi="Bookman Old Style" w:cs="Bookman Old Style"/>
      <w:b/>
      <w:bCs/>
      <w:i w:val="0"/>
      <w:iCs w:val="0"/>
      <w:smallCaps w:val="0"/>
      <w:strike w:val="0"/>
      <w:color w:val="B2B1B2"/>
      <w:spacing w:val="0"/>
      <w:w w:val="100"/>
      <w:position w:val="0"/>
      <w:sz w:val="18"/>
      <w:szCs w:val="18"/>
      <w:u w:val="none"/>
    </w:rPr>
  </w:style>
  <w:style w:type="character" w:customStyle="1" w:styleId="ac">
    <w:name w:val="Оглавление_"/>
    <w:basedOn w:val="a0"/>
    <w:link w:val="ad"/>
    <w:rsid w:val="00350D42"/>
    <w:rPr>
      <w:rFonts w:ascii="Bookman Old Style" w:eastAsia="Bookman Old Style" w:hAnsi="Bookman Old Style" w:cs="Bookman Old Style"/>
      <w:b w:val="0"/>
      <w:bCs w:val="0"/>
      <w:i w:val="0"/>
      <w:iCs w:val="0"/>
      <w:smallCaps w:val="0"/>
      <w:strike w:val="0"/>
      <w:sz w:val="17"/>
      <w:szCs w:val="17"/>
      <w:u w:val="none"/>
    </w:rPr>
  </w:style>
  <w:style w:type="character" w:customStyle="1" w:styleId="ae">
    <w:name w:val="Оглавление"/>
    <w:basedOn w:val="ac"/>
    <w:rsid w:val="00350D42"/>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style>
  <w:style w:type="character" w:customStyle="1" w:styleId="af">
    <w:name w:val="Оглавление"/>
    <w:basedOn w:val="ac"/>
    <w:rsid w:val="00350D42"/>
    <w:rPr>
      <w:rFonts w:ascii="Bookman Old Style" w:eastAsia="Bookman Old Style" w:hAnsi="Bookman Old Style" w:cs="Bookman Old Style"/>
      <w:b w:val="0"/>
      <w:bCs w:val="0"/>
      <w:i w:val="0"/>
      <w:iCs w:val="0"/>
      <w:smallCaps w:val="0"/>
      <w:strike w:val="0"/>
      <w:color w:val="B2B1B2"/>
      <w:spacing w:val="0"/>
      <w:w w:val="100"/>
      <w:position w:val="0"/>
      <w:sz w:val="17"/>
      <w:szCs w:val="17"/>
      <w:u w:val="none"/>
    </w:rPr>
  </w:style>
  <w:style w:type="character" w:customStyle="1" w:styleId="47">
    <w:name w:val="Оглавление 4 Знак"/>
    <w:basedOn w:val="a0"/>
    <w:link w:val="48"/>
    <w:rsid w:val="00350D42"/>
    <w:rPr>
      <w:rFonts w:ascii="Bookman Old Style" w:eastAsia="Bookman Old Style" w:hAnsi="Bookman Old Style" w:cs="Bookman Old Style"/>
      <w:b w:val="0"/>
      <w:bCs w:val="0"/>
      <w:i/>
      <w:iCs/>
      <w:smallCaps w:val="0"/>
      <w:strike w:val="0"/>
      <w:sz w:val="17"/>
      <w:szCs w:val="17"/>
      <w:u w:val="none"/>
    </w:rPr>
  </w:style>
  <w:style w:type="character" w:customStyle="1" w:styleId="3b">
    <w:name w:val="Оглавление (3)"/>
    <w:basedOn w:val="47"/>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ru-RU" w:eastAsia="ru-RU" w:bidi="ru-RU"/>
    </w:rPr>
  </w:style>
  <w:style w:type="character" w:customStyle="1" w:styleId="3c">
    <w:name w:val="Оглавление (3) + Не курсив"/>
    <w:basedOn w:val="47"/>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ru-RU" w:eastAsia="ru-RU" w:bidi="ru-RU"/>
    </w:rPr>
  </w:style>
  <w:style w:type="character" w:customStyle="1" w:styleId="3d">
    <w:name w:val="Оглавление (3) + Не курсив"/>
    <w:basedOn w:val="47"/>
    <w:rsid w:val="00350D42"/>
    <w:rPr>
      <w:rFonts w:ascii="Bookman Old Style" w:eastAsia="Bookman Old Style" w:hAnsi="Bookman Old Style" w:cs="Bookman Old Style"/>
      <w:b w:val="0"/>
      <w:bCs w:val="0"/>
      <w:i/>
      <w:iCs/>
      <w:smallCaps w:val="0"/>
      <w:strike w:val="0"/>
      <w:color w:val="B2B1B2"/>
      <w:spacing w:val="0"/>
      <w:w w:val="100"/>
      <w:position w:val="0"/>
      <w:sz w:val="17"/>
      <w:szCs w:val="17"/>
      <w:u w:val="none"/>
    </w:rPr>
  </w:style>
  <w:style w:type="character" w:customStyle="1" w:styleId="3e">
    <w:name w:val="Оглавление 3 Знак"/>
    <w:basedOn w:val="a0"/>
    <w:link w:val="3f"/>
    <w:rsid w:val="00350D42"/>
    <w:rPr>
      <w:rFonts w:ascii="Bookman Old Style" w:eastAsia="Bookman Old Style" w:hAnsi="Bookman Old Style" w:cs="Bookman Old Style"/>
      <w:b w:val="0"/>
      <w:bCs w:val="0"/>
      <w:i w:val="0"/>
      <w:iCs w:val="0"/>
      <w:smallCaps w:val="0"/>
      <w:strike w:val="0"/>
      <w:sz w:val="18"/>
      <w:szCs w:val="18"/>
      <w:u w:val="none"/>
    </w:rPr>
  </w:style>
  <w:style w:type="character" w:customStyle="1" w:styleId="49">
    <w:name w:val="Оглавление (4)"/>
    <w:basedOn w:val="3e"/>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2Exact">
    <w:name w:val="Подпись к картинке (2) Exact"/>
    <w:basedOn w:val="a0"/>
    <w:link w:val="2a"/>
    <w:rsid w:val="00350D42"/>
    <w:rPr>
      <w:rFonts w:ascii="Bookman Old Style" w:eastAsia="Bookman Old Style" w:hAnsi="Bookman Old Style" w:cs="Bookman Old Style"/>
      <w:b w:val="0"/>
      <w:bCs w:val="0"/>
      <w:i/>
      <w:iCs/>
      <w:smallCaps w:val="0"/>
      <w:strike w:val="0"/>
      <w:sz w:val="17"/>
      <w:szCs w:val="17"/>
      <w:u w:val="none"/>
    </w:rPr>
  </w:style>
  <w:style w:type="character" w:customStyle="1" w:styleId="2Exact0">
    <w:name w:val="Подпись к картинке (2) Exact"/>
    <w:basedOn w:val="2Exact"/>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ru-RU" w:eastAsia="ru-RU" w:bidi="ru-RU"/>
    </w:rPr>
  </w:style>
  <w:style w:type="character" w:customStyle="1" w:styleId="3Exact">
    <w:name w:val="Подпись к картинке (3) Exact"/>
    <w:basedOn w:val="a0"/>
    <w:rsid w:val="00350D42"/>
    <w:rPr>
      <w:rFonts w:ascii="Arial Narrow" w:eastAsia="Arial Narrow" w:hAnsi="Arial Narrow" w:cs="Arial Narrow"/>
      <w:b/>
      <w:bCs/>
      <w:i w:val="0"/>
      <w:iCs w:val="0"/>
      <w:smallCaps w:val="0"/>
      <w:strike w:val="0"/>
      <w:sz w:val="17"/>
      <w:szCs w:val="17"/>
      <w:u w:val="none"/>
    </w:rPr>
  </w:style>
  <w:style w:type="character" w:customStyle="1" w:styleId="3Exact0">
    <w:name w:val="Подпись к картинке (3) + Не полужирный;Курсив Exact"/>
    <w:basedOn w:val="3f0"/>
    <w:rsid w:val="00350D42"/>
    <w:rPr>
      <w:rFonts w:ascii="Arial Narrow" w:eastAsia="Arial Narrow" w:hAnsi="Arial Narrow" w:cs="Arial Narrow"/>
      <w:b/>
      <w:bCs/>
      <w:i/>
      <w:iCs/>
      <w:smallCaps w:val="0"/>
      <w:strike w:val="0"/>
      <w:color w:val="231F20"/>
      <w:sz w:val="17"/>
      <w:szCs w:val="17"/>
      <w:u w:val="none"/>
    </w:rPr>
  </w:style>
  <w:style w:type="character" w:customStyle="1" w:styleId="3Exact1">
    <w:name w:val="Подпись к картинке (3) Exact"/>
    <w:basedOn w:val="3f0"/>
    <w:rsid w:val="00350D42"/>
    <w:rPr>
      <w:rFonts w:ascii="Arial Narrow" w:eastAsia="Arial Narrow" w:hAnsi="Arial Narrow" w:cs="Arial Narrow"/>
      <w:b/>
      <w:bCs/>
      <w:i w:val="0"/>
      <w:iCs w:val="0"/>
      <w:smallCaps w:val="0"/>
      <w:strike w:val="0"/>
      <w:color w:val="231F20"/>
      <w:sz w:val="17"/>
      <w:szCs w:val="17"/>
      <w:u w:val="none"/>
    </w:rPr>
  </w:style>
  <w:style w:type="character" w:customStyle="1" w:styleId="Exact">
    <w:name w:val="Подпись к картинке Exact"/>
    <w:basedOn w:val="a0"/>
    <w:link w:val="af0"/>
    <w:rsid w:val="00350D42"/>
    <w:rPr>
      <w:rFonts w:ascii="Bookman Old Style" w:eastAsia="Bookman Old Style" w:hAnsi="Bookman Old Style" w:cs="Bookman Old Style"/>
      <w:b w:val="0"/>
      <w:bCs w:val="0"/>
      <w:i w:val="0"/>
      <w:iCs w:val="0"/>
      <w:smallCaps w:val="0"/>
      <w:strike w:val="0"/>
      <w:sz w:val="17"/>
      <w:szCs w:val="17"/>
      <w:u w:val="none"/>
    </w:rPr>
  </w:style>
  <w:style w:type="character" w:customStyle="1" w:styleId="Exact0">
    <w:name w:val="Подпись к картинке + Курсив Exact"/>
    <w:basedOn w:val="Exact"/>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en-US" w:eastAsia="en-US" w:bidi="en-US"/>
    </w:rPr>
  </w:style>
  <w:style w:type="character" w:customStyle="1" w:styleId="Exact1">
    <w:name w:val="Подпись к картинке Exact"/>
    <w:basedOn w:val="Exact"/>
    <w:rsid w:val="00350D42"/>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style>
  <w:style w:type="character" w:customStyle="1" w:styleId="13Exact">
    <w:name w:val="Основной текст (13) Exact"/>
    <w:basedOn w:val="a0"/>
    <w:link w:val="130"/>
    <w:rsid w:val="00350D42"/>
    <w:rPr>
      <w:rFonts w:ascii="Bookman Old Style" w:eastAsia="Bookman Old Style" w:hAnsi="Bookman Old Style" w:cs="Bookman Old Style"/>
      <w:b w:val="0"/>
      <w:bCs w:val="0"/>
      <w:i w:val="0"/>
      <w:iCs w:val="0"/>
      <w:smallCaps w:val="0"/>
      <w:strike w:val="0"/>
      <w:sz w:val="13"/>
      <w:szCs w:val="13"/>
      <w:u w:val="none"/>
    </w:rPr>
  </w:style>
  <w:style w:type="character" w:customStyle="1" w:styleId="13Exact0">
    <w:name w:val="Основной текст (13) Exact"/>
    <w:basedOn w:val="13Exact"/>
    <w:rsid w:val="00350D42"/>
    <w:rPr>
      <w:rFonts w:ascii="Bookman Old Style" w:eastAsia="Bookman Old Style" w:hAnsi="Bookman Old Style" w:cs="Bookman Old Style"/>
      <w:b w:val="0"/>
      <w:bCs w:val="0"/>
      <w:i w:val="0"/>
      <w:iCs w:val="0"/>
      <w:smallCaps w:val="0"/>
      <w:strike w:val="0"/>
      <w:color w:val="231F20"/>
      <w:spacing w:val="0"/>
      <w:w w:val="100"/>
      <w:position w:val="0"/>
      <w:sz w:val="13"/>
      <w:szCs w:val="13"/>
      <w:u w:val="none"/>
      <w:lang w:val="ru-RU" w:eastAsia="ru-RU" w:bidi="ru-RU"/>
    </w:rPr>
  </w:style>
  <w:style w:type="character" w:customStyle="1" w:styleId="14Exact">
    <w:name w:val="Основной текст (14) Exact"/>
    <w:basedOn w:val="a0"/>
    <w:link w:val="14"/>
    <w:rsid w:val="00350D42"/>
    <w:rPr>
      <w:rFonts w:ascii="Arial Narrow" w:eastAsia="Arial Narrow" w:hAnsi="Arial Narrow" w:cs="Arial Narrow"/>
      <w:b w:val="0"/>
      <w:bCs w:val="0"/>
      <w:i w:val="0"/>
      <w:iCs w:val="0"/>
      <w:smallCaps w:val="0"/>
      <w:strike w:val="0"/>
      <w:sz w:val="12"/>
      <w:szCs w:val="12"/>
      <w:u w:val="none"/>
    </w:rPr>
  </w:style>
  <w:style w:type="character" w:customStyle="1" w:styleId="14Exact0">
    <w:name w:val="Основной текст (14) Exact"/>
    <w:basedOn w:val="14Exact"/>
    <w:rsid w:val="00350D42"/>
    <w:rPr>
      <w:rFonts w:ascii="Arial Narrow" w:eastAsia="Arial Narrow" w:hAnsi="Arial Narrow" w:cs="Arial Narrow"/>
      <w:b w:val="0"/>
      <w:bCs w:val="0"/>
      <w:i w:val="0"/>
      <w:iCs w:val="0"/>
      <w:smallCaps w:val="0"/>
      <w:strike w:val="0"/>
      <w:color w:val="231F20"/>
      <w:spacing w:val="0"/>
      <w:w w:val="100"/>
      <w:position w:val="0"/>
      <w:sz w:val="12"/>
      <w:szCs w:val="12"/>
      <w:u w:val="none"/>
      <w:lang w:val="ru-RU" w:eastAsia="ru-RU" w:bidi="ru-RU"/>
    </w:rPr>
  </w:style>
  <w:style w:type="character" w:customStyle="1" w:styleId="4Exact">
    <w:name w:val="Подпись к картинке (4) Exact"/>
    <w:basedOn w:val="a0"/>
    <w:rsid w:val="00350D42"/>
    <w:rPr>
      <w:rFonts w:ascii="Bookman Old Style" w:eastAsia="Bookman Old Style" w:hAnsi="Bookman Old Style" w:cs="Bookman Old Style"/>
      <w:b w:val="0"/>
      <w:bCs w:val="0"/>
      <w:i w:val="0"/>
      <w:iCs w:val="0"/>
      <w:smallCaps w:val="0"/>
      <w:strike w:val="0"/>
      <w:sz w:val="18"/>
      <w:szCs w:val="18"/>
      <w:u w:val="none"/>
    </w:rPr>
  </w:style>
  <w:style w:type="character" w:customStyle="1" w:styleId="4Exact0">
    <w:name w:val="Подпись к картинке (4) Exact"/>
    <w:basedOn w:val="4a"/>
    <w:rsid w:val="00350D42"/>
    <w:rPr>
      <w:rFonts w:ascii="Bookman Old Style" w:eastAsia="Bookman Old Style" w:hAnsi="Bookman Old Style" w:cs="Bookman Old Style"/>
      <w:b w:val="0"/>
      <w:bCs w:val="0"/>
      <w:i w:val="0"/>
      <w:iCs w:val="0"/>
      <w:smallCaps w:val="0"/>
      <w:strike w:val="0"/>
      <w:color w:val="231F20"/>
      <w:sz w:val="18"/>
      <w:szCs w:val="18"/>
      <w:u w:val="none"/>
    </w:rPr>
  </w:style>
  <w:style w:type="character" w:customStyle="1" w:styleId="5Exact">
    <w:name w:val="Подпись к картинке (5) Exact"/>
    <w:basedOn w:val="a0"/>
    <w:rsid w:val="00350D42"/>
    <w:rPr>
      <w:rFonts w:ascii="Bookman Old Style" w:eastAsia="Bookman Old Style" w:hAnsi="Bookman Old Style" w:cs="Bookman Old Style"/>
      <w:b w:val="0"/>
      <w:bCs w:val="0"/>
      <w:i w:val="0"/>
      <w:iCs w:val="0"/>
      <w:smallCaps w:val="0"/>
      <w:strike w:val="0"/>
      <w:sz w:val="15"/>
      <w:szCs w:val="15"/>
      <w:u w:val="none"/>
    </w:rPr>
  </w:style>
  <w:style w:type="character" w:customStyle="1" w:styleId="5Exact0">
    <w:name w:val="Подпись к картинке (5) Exact"/>
    <w:basedOn w:val="56"/>
    <w:rsid w:val="00350D42"/>
    <w:rPr>
      <w:rFonts w:ascii="Bookman Old Style" w:eastAsia="Bookman Old Style" w:hAnsi="Bookman Old Style" w:cs="Bookman Old Style"/>
      <w:b w:val="0"/>
      <w:bCs w:val="0"/>
      <w:i w:val="0"/>
      <w:iCs w:val="0"/>
      <w:smallCaps w:val="0"/>
      <w:strike w:val="0"/>
      <w:color w:val="231F20"/>
      <w:sz w:val="15"/>
      <w:szCs w:val="15"/>
      <w:u w:val="none"/>
    </w:rPr>
  </w:style>
  <w:style w:type="character" w:customStyle="1" w:styleId="3BookmanOldStyle9ptExact">
    <w:name w:val="Подпись к картинке (3) + Bookman Old Style;9 pt;Не полужирный;Курсив Exact"/>
    <w:basedOn w:val="3f0"/>
    <w:rsid w:val="00350D42"/>
    <w:rPr>
      <w:rFonts w:ascii="Bookman Old Style" w:eastAsia="Bookman Old Style" w:hAnsi="Bookman Old Style" w:cs="Bookman Old Style"/>
      <w:b/>
      <w:bCs/>
      <w:i/>
      <w:iCs/>
      <w:smallCaps w:val="0"/>
      <w:strike w:val="0"/>
      <w:color w:val="231F20"/>
      <w:sz w:val="18"/>
      <w:szCs w:val="18"/>
      <w:u w:val="none"/>
    </w:rPr>
  </w:style>
  <w:style w:type="character" w:customStyle="1" w:styleId="3BookmanOldStyle9ptExact0">
    <w:name w:val="Подпись к картинке (3) + Bookman Old Style;9 pt;Не полужирный Exact"/>
    <w:basedOn w:val="3f0"/>
    <w:rsid w:val="00350D42"/>
    <w:rPr>
      <w:rFonts w:ascii="Bookman Old Style" w:eastAsia="Bookman Old Style" w:hAnsi="Bookman Old Style" w:cs="Bookman Old Style"/>
      <w:b/>
      <w:bCs/>
      <w:i w:val="0"/>
      <w:iCs w:val="0"/>
      <w:smallCaps w:val="0"/>
      <w:strike w:val="0"/>
      <w:color w:val="231F20"/>
      <w:sz w:val="18"/>
      <w:szCs w:val="18"/>
      <w:u w:val="none"/>
    </w:rPr>
  </w:style>
  <w:style w:type="character" w:customStyle="1" w:styleId="3BookmanOldStyle75ptExact">
    <w:name w:val="Подпись к картинке (3) + Bookman Old Style;7.5 pt;Не полужирный Exact"/>
    <w:basedOn w:val="3f0"/>
    <w:rsid w:val="00350D42"/>
    <w:rPr>
      <w:rFonts w:ascii="Bookman Old Style" w:eastAsia="Bookman Old Style" w:hAnsi="Bookman Old Style" w:cs="Bookman Old Style"/>
      <w:b/>
      <w:bCs/>
      <w:i w:val="0"/>
      <w:iCs w:val="0"/>
      <w:smallCaps w:val="0"/>
      <w:strike w:val="0"/>
      <w:color w:val="231F20"/>
      <w:sz w:val="15"/>
      <w:szCs w:val="15"/>
      <w:u w:val="none"/>
    </w:rPr>
  </w:style>
  <w:style w:type="character" w:customStyle="1" w:styleId="2b">
    <w:name w:val="Основной текст (2)_"/>
    <w:basedOn w:val="a0"/>
    <w:link w:val="2c"/>
    <w:rsid w:val="00350D42"/>
    <w:rPr>
      <w:rFonts w:ascii="Bookman Old Style" w:eastAsia="Bookman Old Style" w:hAnsi="Bookman Old Style" w:cs="Bookman Old Style"/>
      <w:b w:val="0"/>
      <w:bCs w:val="0"/>
      <w:i w:val="0"/>
      <w:iCs w:val="0"/>
      <w:smallCaps w:val="0"/>
      <w:strike w:val="0"/>
      <w:sz w:val="18"/>
      <w:szCs w:val="18"/>
      <w:u w:val="none"/>
    </w:rPr>
  </w:style>
  <w:style w:type="character" w:customStyle="1" w:styleId="275pt">
    <w:name w:val="Основной текст (2) + 7.5 pt;Полужирный"/>
    <w:basedOn w:val="2b"/>
    <w:rsid w:val="00350D42"/>
    <w:rPr>
      <w:rFonts w:ascii="Bookman Old Style" w:eastAsia="Bookman Old Style" w:hAnsi="Bookman Old Style" w:cs="Bookman Old Style"/>
      <w:b/>
      <w:bCs/>
      <w:i w:val="0"/>
      <w:iCs w:val="0"/>
      <w:smallCaps w:val="0"/>
      <w:strike w:val="0"/>
      <w:color w:val="231F20"/>
      <w:spacing w:val="0"/>
      <w:w w:val="100"/>
      <w:position w:val="0"/>
      <w:sz w:val="15"/>
      <w:szCs w:val="15"/>
      <w:u w:val="none"/>
      <w:lang w:val="ru-RU" w:eastAsia="ru-RU" w:bidi="ru-RU"/>
    </w:rPr>
  </w:style>
  <w:style w:type="character" w:customStyle="1" w:styleId="285pt">
    <w:name w:val="Основной текст (2) + 8.5 pt"/>
    <w:basedOn w:val="2b"/>
    <w:rsid w:val="00350D42"/>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style>
  <w:style w:type="character" w:customStyle="1" w:styleId="2Exact1">
    <w:name w:val="Основной текст (2) Exact"/>
    <w:basedOn w:val="a0"/>
    <w:rsid w:val="00350D42"/>
    <w:rPr>
      <w:rFonts w:ascii="Bookman Old Style" w:eastAsia="Bookman Old Style" w:hAnsi="Bookman Old Style" w:cs="Bookman Old Style"/>
      <w:b w:val="0"/>
      <w:bCs w:val="0"/>
      <w:i w:val="0"/>
      <w:iCs w:val="0"/>
      <w:smallCaps w:val="0"/>
      <w:strike w:val="0"/>
      <w:sz w:val="18"/>
      <w:szCs w:val="18"/>
      <w:u w:val="none"/>
    </w:rPr>
  </w:style>
  <w:style w:type="character" w:customStyle="1" w:styleId="2Exact2">
    <w:name w:val="Основной текст (2) Exact"/>
    <w:basedOn w:val="2b"/>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2d">
    <w:name w:val="Основной текст (2)"/>
    <w:basedOn w:val="2b"/>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9">
    <w:name w:val="Основной текст (9)_"/>
    <w:basedOn w:val="a0"/>
    <w:link w:val="90"/>
    <w:rsid w:val="00350D42"/>
    <w:rPr>
      <w:rFonts w:ascii="Bookman Old Style" w:eastAsia="Bookman Old Style" w:hAnsi="Bookman Old Style" w:cs="Bookman Old Style"/>
      <w:b/>
      <w:bCs/>
      <w:i/>
      <w:iCs/>
      <w:smallCaps w:val="0"/>
      <w:strike w:val="0"/>
      <w:sz w:val="17"/>
      <w:szCs w:val="17"/>
      <w:u w:val="none"/>
    </w:rPr>
  </w:style>
  <w:style w:type="character" w:customStyle="1" w:styleId="91">
    <w:name w:val="Основной текст (9)"/>
    <w:basedOn w:val="9"/>
    <w:rsid w:val="00350D42"/>
    <w:rPr>
      <w:rFonts w:ascii="Bookman Old Style" w:eastAsia="Bookman Old Style" w:hAnsi="Bookman Old Style" w:cs="Bookman Old Style"/>
      <w:b/>
      <w:bCs/>
      <w:i/>
      <w:iCs/>
      <w:smallCaps w:val="0"/>
      <w:strike w:val="0"/>
      <w:color w:val="231F20"/>
      <w:spacing w:val="0"/>
      <w:w w:val="100"/>
      <w:position w:val="0"/>
      <w:sz w:val="17"/>
      <w:szCs w:val="17"/>
      <w:u w:val="none"/>
      <w:lang w:val="ru-RU" w:eastAsia="ru-RU" w:bidi="ru-RU"/>
    </w:rPr>
  </w:style>
  <w:style w:type="character" w:customStyle="1" w:styleId="2e">
    <w:name w:val="Номер заголовка №2_"/>
    <w:basedOn w:val="a0"/>
    <w:link w:val="2f"/>
    <w:rsid w:val="00350D42"/>
    <w:rPr>
      <w:rFonts w:ascii="Arial Narrow" w:eastAsia="Arial Narrow" w:hAnsi="Arial Narrow" w:cs="Arial Narrow"/>
      <w:b/>
      <w:bCs/>
      <w:i w:val="0"/>
      <w:iCs w:val="0"/>
      <w:smallCaps w:val="0"/>
      <w:strike w:val="0"/>
      <w:sz w:val="32"/>
      <w:szCs w:val="32"/>
      <w:u w:val="none"/>
    </w:rPr>
  </w:style>
  <w:style w:type="character" w:customStyle="1" w:styleId="2f0">
    <w:name w:val="Номер заголовка №2"/>
    <w:basedOn w:val="2e"/>
    <w:rsid w:val="00350D42"/>
    <w:rPr>
      <w:rFonts w:ascii="Arial Narrow" w:eastAsia="Arial Narrow" w:hAnsi="Arial Narrow" w:cs="Arial Narrow"/>
      <w:b/>
      <w:bCs/>
      <w:i w:val="0"/>
      <w:iCs w:val="0"/>
      <w:smallCaps w:val="0"/>
      <w:strike w:val="0"/>
      <w:color w:val="231F20"/>
      <w:spacing w:val="0"/>
      <w:w w:val="100"/>
      <w:position w:val="0"/>
      <w:sz w:val="32"/>
      <w:szCs w:val="32"/>
      <w:u w:val="none"/>
      <w:lang w:val="ru-RU" w:eastAsia="ru-RU" w:bidi="ru-RU"/>
    </w:rPr>
  </w:style>
  <w:style w:type="character" w:customStyle="1" w:styleId="2f1">
    <w:name w:val="Заголовок №2_"/>
    <w:basedOn w:val="a0"/>
    <w:link w:val="2f2"/>
    <w:rsid w:val="00350D42"/>
    <w:rPr>
      <w:rFonts w:ascii="Arial Narrow" w:eastAsia="Arial Narrow" w:hAnsi="Arial Narrow" w:cs="Arial Narrow"/>
      <w:b/>
      <w:bCs/>
      <w:i w:val="0"/>
      <w:iCs w:val="0"/>
      <w:smallCaps w:val="0"/>
      <w:strike w:val="0"/>
      <w:sz w:val="32"/>
      <w:szCs w:val="32"/>
      <w:u w:val="none"/>
    </w:rPr>
  </w:style>
  <w:style w:type="character" w:customStyle="1" w:styleId="2f3">
    <w:name w:val="Заголовок №2"/>
    <w:basedOn w:val="2f1"/>
    <w:rsid w:val="00350D42"/>
    <w:rPr>
      <w:rFonts w:ascii="Arial Narrow" w:eastAsia="Arial Narrow" w:hAnsi="Arial Narrow" w:cs="Arial Narrow"/>
      <w:b/>
      <w:bCs/>
      <w:i w:val="0"/>
      <w:iCs w:val="0"/>
      <w:smallCaps w:val="0"/>
      <w:strike w:val="0"/>
      <w:color w:val="231F20"/>
      <w:spacing w:val="0"/>
      <w:w w:val="100"/>
      <w:position w:val="0"/>
      <w:sz w:val="32"/>
      <w:szCs w:val="32"/>
      <w:u w:val="none"/>
      <w:lang w:val="ru-RU" w:eastAsia="ru-RU" w:bidi="ru-RU"/>
    </w:rPr>
  </w:style>
  <w:style w:type="character" w:customStyle="1" w:styleId="8">
    <w:name w:val="Основной текст (8)_"/>
    <w:basedOn w:val="a0"/>
    <w:link w:val="80"/>
    <w:rsid w:val="00350D42"/>
    <w:rPr>
      <w:rFonts w:ascii="Bookman Old Style" w:eastAsia="Bookman Old Style" w:hAnsi="Bookman Old Style" w:cs="Bookman Old Style"/>
      <w:b w:val="0"/>
      <w:bCs w:val="0"/>
      <w:i w:val="0"/>
      <w:iCs w:val="0"/>
      <w:smallCaps w:val="0"/>
      <w:strike w:val="0"/>
      <w:sz w:val="17"/>
      <w:szCs w:val="17"/>
      <w:u w:val="none"/>
    </w:rPr>
  </w:style>
  <w:style w:type="character" w:customStyle="1" w:styleId="81">
    <w:name w:val="Основной текст (8)"/>
    <w:basedOn w:val="8"/>
    <w:rsid w:val="00350D42"/>
    <w:rPr>
      <w:rFonts w:ascii="Bookman Old Style" w:eastAsia="Bookman Old Style" w:hAnsi="Bookman Old Style" w:cs="Bookman Old Style"/>
      <w:b w:val="0"/>
      <w:bCs w:val="0"/>
      <w:i w:val="0"/>
      <w:iCs w:val="0"/>
      <w:smallCaps w:val="0"/>
      <w:strike w:val="0"/>
      <w:color w:val="231F20"/>
      <w:spacing w:val="0"/>
      <w:w w:val="100"/>
      <w:position w:val="0"/>
      <w:sz w:val="17"/>
      <w:szCs w:val="17"/>
      <w:u w:val="none"/>
      <w:lang w:val="ru-RU" w:eastAsia="ru-RU" w:bidi="ru-RU"/>
    </w:rPr>
  </w:style>
  <w:style w:type="character" w:customStyle="1" w:styleId="100">
    <w:name w:val="Основной текст (10)_"/>
    <w:basedOn w:val="a0"/>
    <w:link w:val="101"/>
    <w:rsid w:val="00350D42"/>
    <w:rPr>
      <w:rFonts w:ascii="Bookman Old Style" w:eastAsia="Bookman Old Style" w:hAnsi="Bookman Old Style" w:cs="Bookman Old Style"/>
      <w:b/>
      <w:bCs/>
      <w:i/>
      <w:iCs/>
      <w:smallCaps w:val="0"/>
      <w:strike w:val="0"/>
      <w:sz w:val="16"/>
      <w:szCs w:val="16"/>
      <w:u w:val="none"/>
    </w:rPr>
  </w:style>
  <w:style w:type="character" w:customStyle="1" w:styleId="102">
    <w:name w:val="Основной текст (10)"/>
    <w:basedOn w:val="100"/>
    <w:rsid w:val="00350D42"/>
    <w:rPr>
      <w:rFonts w:ascii="Bookman Old Style" w:eastAsia="Bookman Old Style" w:hAnsi="Bookman Old Style" w:cs="Bookman Old Style"/>
      <w:b/>
      <w:bCs/>
      <w:i/>
      <w:iCs/>
      <w:smallCaps w:val="0"/>
      <w:strike w:val="0"/>
      <w:color w:val="231F20"/>
      <w:spacing w:val="0"/>
      <w:w w:val="100"/>
      <w:position w:val="0"/>
      <w:sz w:val="16"/>
      <w:szCs w:val="16"/>
      <w:u w:val="none"/>
      <w:lang w:val="ru-RU" w:eastAsia="ru-RU" w:bidi="ru-RU"/>
    </w:rPr>
  </w:style>
  <w:style w:type="character" w:customStyle="1" w:styleId="4b">
    <w:name w:val="Заголовок №4_"/>
    <w:basedOn w:val="a0"/>
    <w:link w:val="4c"/>
    <w:rsid w:val="00350D42"/>
    <w:rPr>
      <w:rFonts w:ascii="Arial Narrow" w:eastAsia="Arial Narrow" w:hAnsi="Arial Narrow" w:cs="Arial Narrow"/>
      <w:b/>
      <w:bCs/>
      <w:i w:val="0"/>
      <w:iCs w:val="0"/>
      <w:smallCaps w:val="0"/>
      <w:strike w:val="0"/>
      <w:u w:val="none"/>
    </w:rPr>
  </w:style>
  <w:style w:type="character" w:customStyle="1" w:styleId="4d">
    <w:name w:val="Заголовок №4"/>
    <w:basedOn w:val="4b"/>
    <w:rsid w:val="00350D42"/>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style>
  <w:style w:type="character" w:customStyle="1" w:styleId="69pt">
    <w:name w:val="Основной текст (6) + 9 pt"/>
    <w:basedOn w:val="62"/>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2f4">
    <w:name w:val="Основной текст (2) + Курсив"/>
    <w:basedOn w:val="2b"/>
    <w:rsid w:val="00350D42"/>
    <w:rPr>
      <w:rFonts w:ascii="Bookman Old Style" w:eastAsia="Bookman Old Style" w:hAnsi="Bookman Old Style" w:cs="Bookman Old Style"/>
      <w:b w:val="0"/>
      <w:bCs w:val="0"/>
      <w:i/>
      <w:iCs/>
      <w:smallCaps w:val="0"/>
      <w:strike w:val="0"/>
      <w:color w:val="231F20"/>
      <w:spacing w:val="0"/>
      <w:w w:val="100"/>
      <w:position w:val="0"/>
      <w:sz w:val="18"/>
      <w:szCs w:val="18"/>
      <w:u w:val="none"/>
      <w:lang w:val="ru-RU" w:eastAsia="ru-RU" w:bidi="ru-RU"/>
    </w:rPr>
  </w:style>
  <w:style w:type="character" w:customStyle="1" w:styleId="82">
    <w:name w:val="Основной текст (8) + Курсив"/>
    <w:basedOn w:val="8"/>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ru-RU" w:eastAsia="ru-RU" w:bidi="ru-RU"/>
    </w:rPr>
  </w:style>
  <w:style w:type="character" w:customStyle="1" w:styleId="2f5">
    <w:name w:val="Подпись к таблице (2)_"/>
    <w:basedOn w:val="a0"/>
    <w:link w:val="2f6"/>
    <w:rsid w:val="00350D42"/>
    <w:rPr>
      <w:rFonts w:ascii="Arial Narrow" w:eastAsia="Arial Narrow" w:hAnsi="Arial Narrow" w:cs="Arial Narrow"/>
      <w:b w:val="0"/>
      <w:bCs w:val="0"/>
      <w:i/>
      <w:iCs/>
      <w:smallCaps w:val="0"/>
      <w:strike w:val="0"/>
      <w:sz w:val="17"/>
      <w:szCs w:val="17"/>
      <w:u w:val="none"/>
    </w:rPr>
  </w:style>
  <w:style w:type="character" w:customStyle="1" w:styleId="2f7">
    <w:name w:val="Подпись к таблице (2)"/>
    <w:basedOn w:val="2f5"/>
    <w:rsid w:val="00350D42"/>
    <w:rPr>
      <w:rFonts w:ascii="Arial Narrow" w:eastAsia="Arial Narrow" w:hAnsi="Arial Narrow" w:cs="Arial Narrow"/>
      <w:b w:val="0"/>
      <w:bCs w:val="0"/>
      <w:i/>
      <w:iCs/>
      <w:smallCaps w:val="0"/>
      <w:strike w:val="0"/>
      <w:color w:val="231F20"/>
      <w:spacing w:val="0"/>
      <w:w w:val="100"/>
      <w:position w:val="0"/>
      <w:sz w:val="17"/>
      <w:szCs w:val="17"/>
      <w:u w:val="none"/>
      <w:lang w:val="ru-RU" w:eastAsia="ru-RU" w:bidi="ru-RU"/>
    </w:rPr>
  </w:style>
  <w:style w:type="character" w:customStyle="1" w:styleId="3f1">
    <w:name w:val="Подпись к таблице (3)_"/>
    <w:basedOn w:val="a0"/>
    <w:link w:val="3f2"/>
    <w:rsid w:val="00350D42"/>
    <w:rPr>
      <w:rFonts w:ascii="Arial Narrow" w:eastAsia="Arial Narrow" w:hAnsi="Arial Narrow" w:cs="Arial Narrow"/>
      <w:b/>
      <w:bCs/>
      <w:i w:val="0"/>
      <w:iCs w:val="0"/>
      <w:smallCaps w:val="0"/>
      <w:strike w:val="0"/>
      <w:sz w:val="17"/>
      <w:szCs w:val="17"/>
      <w:u w:val="none"/>
    </w:rPr>
  </w:style>
  <w:style w:type="character" w:customStyle="1" w:styleId="3f3">
    <w:name w:val="Подпись к таблице (3)"/>
    <w:basedOn w:val="3f1"/>
    <w:rsid w:val="00350D42"/>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style>
  <w:style w:type="character" w:customStyle="1" w:styleId="af1">
    <w:name w:val="Подпись к таблице_"/>
    <w:basedOn w:val="a0"/>
    <w:link w:val="af2"/>
    <w:rsid w:val="00350D42"/>
    <w:rPr>
      <w:rFonts w:ascii="Bookman Old Style" w:eastAsia="Bookman Old Style" w:hAnsi="Bookman Old Style" w:cs="Bookman Old Style"/>
      <w:b w:val="0"/>
      <w:bCs w:val="0"/>
      <w:i w:val="0"/>
      <w:iCs w:val="0"/>
      <w:smallCaps w:val="0"/>
      <w:strike w:val="0"/>
      <w:sz w:val="15"/>
      <w:szCs w:val="15"/>
      <w:u w:val="none"/>
    </w:rPr>
  </w:style>
  <w:style w:type="character" w:customStyle="1" w:styleId="af3">
    <w:name w:val="Подпись к таблице"/>
    <w:basedOn w:val="af1"/>
    <w:rsid w:val="00350D42"/>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style>
  <w:style w:type="character" w:customStyle="1" w:styleId="af4">
    <w:name w:val="Подпись к таблице + Курсив"/>
    <w:basedOn w:val="af1"/>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3f0">
    <w:name w:val="Подпись к картинке (3)_"/>
    <w:basedOn w:val="a0"/>
    <w:link w:val="3f4"/>
    <w:rsid w:val="00350D42"/>
    <w:rPr>
      <w:rFonts w:ascii="Arial Narrow" w:eastAsia="Arial Narrow" w:hAnsi="Arial Narrow" w:cs="Arial Narrow"/>
      <w:b/>
      <w:bCs/>
      <w:i w:val="0"/>
      <w:iCs w:val="0"/>
      <w:smallCaps w:val="0"/>
      <w:strike w:val="0"/>
      <w:sz w:val="17"/>
      <w:szCs w:val="17"/>
      <w:u w:val="none"/>
    </w:rPr>
  </w:style>
  <w:style w:type="character" w:customStyle="1" w:styleId="3f5">
    <w:name w:val="Подпись к картинке (3) + Не полужирный;Курсив"/>
    <w:basedOn w:val="3f0"/>
    <w:rsid w:val="00350D42"/>
    <w:rPr>
      <w:rFonts w:ascii="Arial Narrow" w:eastAsia="Arial Narrow" w:hAnsi="Arial Narrow" w:cs="Arial Narrow"/>
      <w:b/>
      <w:bCs/>
      <w:i/>
      <w:iCs/>
      <w:smallCaps w:val="0"/>
      <w:strike w:val="0"/>
      <w:color w:val="231F20"/>
      <w:spacing w:val="0"/>
      <w:w w:val="100"/>
      <w:position w:val="0"/>
      <w:sz w:val="17"/>
      <w:szCs w:val="17"/>
      <w:u w:val="none"/>
      <w:lang w:val="ru-RU" w:eastAsia="ru-RU" w:bidi="ru-RU"/>
    </w:rPr>
  </w:style>
  <w:style w:type="character" w:customStyle="1" w:styleId="3f6">
    <w:name w:val="Подпись к картинке (3)"/>
    <w:basedOn w:val="3f0"/>
    <w:rsid w:val="00350D42"/>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style>
  <w:style w:type="character" w:customStyle="1" w:styleId="110">
    <w:name w:val="Основной текст (11)_"/>
    <w:basedOn w:val="a0"/>
    <w:link w:val="111"/>
    <w:rsid w:val="00350D42"/>
    <w:rPr>
      <w:rFonts w:ascii="Arial Narrow" w:eastAsia="Arial Narrow" w:hAnsi="Arial Narrow" w:cs="Arial Narrow"/>
      <w:b/>
      <w:bCs/>
      <w:i w:val="0"/>
      <w:iCs w:val="0"/>
      <w:smallCaps w:val="0"/>
      <w:strike w:val="0"/>
      <w:sz w:val="17"/>
      <w:szCs w:val="17"/>
      <w:u w:val="none"/>
    </w:rPr>
  </w:style>
  <w:style w:type="character" w:customStyle="1" w:styleId="112">
    <w:name w:val="Основной текст (11) + Не полужирный;Курсив"/>
    <w:basedOn w:val="110"/>
    <w:rsid w:val="00350D42"/>
    <w:rPr>
      <w:rFonts w:ascii="Arial Narrow" w:eastAsia="Arial Narrow" w:hAnsi="Arial Narrow" w:cs="Arial Narrow"/>
      <w:b/>
      <w:bCs/>
      <w:i/>
      <w:iCs/>
      <w:smallCaps w:val="0"/>
      <w:strike w:val="0"/>
      <w:color w:val="231F20"/>
      <w:spacing w:val="0"/>
      <w:w w:val="100"/>
      <w:position w:val="0"/>
      <w:sz w:val="17"/>
      <w:szCs w:val="17"/>
      <w:u w:val="none"/>
      <w:lang w:val="ru-RU" w:eastAsia="ru-RU" w:bidi="ru-RU"/>
    </w:rPr>
  </w:style>
  <w:style w:type="character" w:customStyle="1" w:styleId="113">
    <w:name w:val="Основной текст (11)"/>
    <w:basedOn w:val="110"/>
    <w:rsid w:val="00350D42"/>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style>
  <w:style w:type="character" w:customStyle="1" w:styleId="120">
    <w:name w:val="Основной текст (12)_"/>
    <w:basedOn w:val="a0"/>
    <w:link w:val="121"/>
    <w:rsid w:val="00350D42"/>
    <w:rPr>
      <w:rFonts w:ascii="Arial Narrow" w:eastAsia="Arial Narrow" w:hAnsi="Arial Narrow" w:cs="Arial Narrow"/>
      <w:b/>
      <w:bCs/>
      <w:i w:val="0"/>
      <w:iCs w:val="0"/>
      <w:smallCaps w:val="0"/>
      <w:strike w:val="0"/>
      <w:sz w:val="21"/>
      <w:szCs w:val="21"/>
      <w:u w:val="none"/>
    </w:rPr>
  </w:style>
  <w:style w:type="character" w:customStyle="1" w:styleId="122">
    <w:name w:val="Основной текст (12)"/>
    <w:basedOn w:val="120"/>
    <w:rsid w:val="00350D42"/>
    <w:rPr>
      <w:rFonts w:ascii="Arial Narrow" w:eastAsia="Arial Narrow" w:hAnsi="Arial Narrow" w:cs="Arial Narrow"/>
      <w:b/>
      <w:bCs/>
      <w:i w:val="0"/>
      <w:iCs w:val="0"/>
      <w:smallCaps w:val="0"/>
      <w:strike w:val="0"/>
      <w:color w:val="231F20"/>
      <w:spacing w:val="0"/>
      <w:w w:val="100"/>
      <w:position w:val="0"/>
      <w:sz w:val="21"/>
      <w:szCs w:val="21"/>
      <w:u w:val="none"/>
      <w:lang w:val="ru-RU" w:eastAsia="ru-RU" w:bidi="ru-RU"/>
    </w:rPr>
  </w:style>
  <w:style w:type="character" w:customStyle="1" w:styleId="15">
    <w:name w:val="Основной текст (15)_"/>
    <w:basedOn w:val="a0"/>
    <w:link w:val="150"/>
    <w:rsid w:val="00350D42"/>
    <w:rPr>
      <w:rFonts w:ascii="Bookman Old Style" w:eastAsia="Bookman Old Style" w:hAnsi="Bookman Old Style" w:cs="Bookman Old Style"/>
      <w:b w:val="0"/>
      <w:bCs w:val="0"/>
      <w:i/>
      <w:iCs/>
      <w:smallCaps w:val="0"/>
      <w:strike w:val="0"/>
      <w:sz w:val="17"/>
      <w:szCs w:val="17"/>
      <w:u w:val="none"/>
    </w:rPr>
  </w:style>
  <w:style w:type="character" w:customStyle="1" w:styleId="151">
    <w:name w:val="Основной текст (15)"/>
    <w:basedOn w:val="15"/>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ru-RU" w:eastAsia="ru-RU" w:bidi="ru-RU"/>
    </w:rPr>
  </w:style>
  <w:style w:type="character" w:customStyle="1" w:styleId="152">
    <w:name w:val="Основной текст (15) + Не курсив"/>
    <w:basedOn w:val="15"/>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ru-RU" w:eastAsia="ru-RU" w:bidi="ru-RU"/>
    </w:rPr>
  </w:style>
  <w:style w:type="character" w:customStyle="1" w:styleId="2f8">
    <w:name w:val="Основной текст (2)"/>
    <w:basedOn w:val="2b"/>
    <w:rsid w:val="00350D42"/>
    <w:rPr>
      <w:rFonts w:ascii="Bookman Old Style" w:eastAsia="Bookman Old Style" w:hAnsi="Bookman Old Style" w:cs="Bookman Old Style"/>
      <w:b w:val="0"/>
      <w:bCs w:val="0"/>
      <w:i w:val="0"/>
      <w:iCs w:val="0"/>
      <w:smallCaps w:val="0"/>
      <w:strike w:val="0"/>
      <w:color w:val="595657"/>
      <w:spacing w:val="0"/>
      <w:w w:val="100"/>
      <w:position w:val="0"/>
      <w:sz w:val="18"/>
      <w:szCs w:val="18"/>
      <w:u w:val="none"/>
      <w:lang w:val="ru-RU" w:eastAsia="ru-RU" w:bidi="ru-RU"/>
    </w:rPr>
  </w:style>
  <w:style w:type="character" w:customStyle="1" w:styleId="2f9">
    <w:name w:val="Основной текст (2) + Курсив"/>
    <w:basedOn w:val="2b"/>
    <w:rsid w:val="00350D42"/>
    <w:rPr>
      <w:rFonts w:ascii="Bookman Old Style" w:eastAsia="Bookman Old Style" w:hAnsi="Bookman Old Style" w:cs="Bookman Old Style"/>
      <w:b w:val="0"/>
      <w:bCs w:val="0"/>
      <w:i/>
      <w:iCs/>
      <w:smallCaps w:val="0"/>
      <w:strike w:val="0"/>
      <w:color w:val="B2B1B2"/>
      <w:spacing w:val="0"/>
      <w:w w:val="100"/>
      <w:position w:val="0"/>
      <w:sz w:val="18"/>
      <w:szCs w:val="18"/>
      <w:u w:val="none"/>
      <w:lang w:val="ru-RU" w:eastAsia="ru-RU" w:bidi="ru-RU"/>
    </w:rPr>
  </w:style>
  <w:style w:type="character" w:customStyle="1" w:styleId="16">
    <w:name w:val="Основной текст (16)_"/>
    <w:basedOn w:val="a0"/>
    <w:link w:val="160"/>
    <w:rsid w:val="00350D42"/>
    <w:rPr>
      <w:rFonts w:ascii="Segoe UI" w:eastAsia="Segoe UI" w:hAnsi="Segoe UI" w:cs="Segoe UI"/>
      <w:b w:val="0"/>
      <w:bCs w:val="0"/>
      <w:i w:val="0"/>
      <w:iCs w:val="0"/>
      <w:smallCaps w:val="0"/>
      <w:strike w:val="0"/>
      <w:sz w:val="19"/>
      <w:szCs w:val="19"/>
      <w:u w:val="none"/>
    </w:rPr>
  </w:style>
  <w:style w:type="character" w:customStyle="1" w:styleId="161">
    <w:name w:val="Основной текст (16) + Полужирный"/>
    <w:basedOn w:val="16"/>
    <w:rsid w:val="00350D42"/>
    <w:rPr>
      <w:rFonts w:ascii="Segoe UI" w:eastAsia="Segoe UI" w:hAnsi="Segoe UI" w:cs="Segoe UI"/>
      <w:b/>
      <w:bCs/>
      <w:i w:val="0"/>
      <w:iCs w:val="0"/>
      <w:smallCaps w:val="0"/>
      <w:strike w:val="0"/>
      <w:color w:val="231F20"/>
      <w:spacing w:val="0"/>
      <w:w w:val="100"/>
      <w:position w:val="0"/>
      <w:sz w:val="19"/>
      <w:szCs w:val="19"/>
      <w:u w:val="none"/>
      <w:lang w:val="ru-RU" w:eastAsia="ru-RU" w:bidi="ru-RU"/>
    </w:rPr>
  </w:style>
  <w:style w:type="character" w:customStyle="1" w:styleId="162">
    <w:name w:val="Основной текст (16)"/>
    <w:basedOn w:val="16"/>
    <w:rsid w:val="00350D42"/>
    <w:rPr>
      <w:rFonts w:ascii="Segoe UI" w:eastAsia="Segoe UI" w:hAnsi="Segoe UI" w:cs="Segoe UI"/>
      <w:b w:val="0"/>
      <w:bCs w:val="0"/>
      <w:i w:val="0"/>
      <w:iCs w:val="0"/>
      <w:smallCaps w:val="0"/>
      <w:strike w:val="0"/>
      <w:color w:val="231F20"/>
      <w:spacing w:val="0"/>
      <w:w w:val="100"/>
      <w:position w:val="0"/>
      <w:sz w:val="19"/>
      <w:szCs w:val="19"/>
      <w:u w:val="none"/>
      <w:lang w:val="ru-RU" w:eastAsia="ru-RU" w:bidi="ru-RU"/>
    </w:rPr>
  </w:style>
  <w:style w:type="character" w:customStyle="1" w:styleId="af5">
    <w:name w:val="Колонтитул"/>
    <w:basedOn w:val="a9"/>
    <w:rsid w:val="00350D42"/>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ru-RU" w:eastAsia="ru-RU" w:bidi="ru-RU"/>
    </w:rPr>
  </w:style>
  <w:style w:type="character" w:customStyle="1" w:styleId="BookmanOldStyle75pt">
    <w:name w:val="Колонтитул + Bookman Old Style;7.5 pt;Не полужирный"/>
    <w:basedOn w:val="a9"/>
    <w:rsid w:val="00350D42"/>
    <w:rPr>
      <w:rFonts w:ascii="Bookman Old Style" w:eastAsia="Bookman Old Style" w:hAnsi="Bookman Old Style" w:cs="Bookman Old Style"/>
      <w:b/>
      <w:bCs/>
      <w:i w:val="0"/>
      <w:iCs w:val="0"/>
      <w:smallCaps w:val="0"/>
      <w:strike w:val="0"/>
      <w:color w:val="231F20"/>
      <w:spacing w:val="0"/>
      <w:w w:val="100"/>
      <w:position w:val="0"/>
      <w:sz w:val="15"/>
      <w:szCs w:val="15"/>
      <w:u w:val="none"/>
      <w:lang w:val="ru-RU" w:eastAsia="ru-RU" w:bidi="ru-RU"/>
    </w:rPr>
  </w:style>
  <w:style w:type="character" w:customStyle="1" w:styleId="BookmanOldStyle75pt0">
    <w:name w:val="Колонтитул + Bookman Old Style;7.5 pt;Не полужирный;Курсив"/>
    <w:basedOn w:val="a9"/>
    <w:rsid w:val="00350D42"/>
    <w:rPr>
      <w:rFonts w:ascii="Bookman Old Style" w:eastAsia="Bookman Old Style" w:hAnsi="Bookman Old Style" w:cs="Bookman Old Style"/>
      <w:b/>
      <w:bCs/>
      <w:i/>
      <w:iCs/>
      <w:smallCaps w:val="0"/>
      <w:strike w:val="0"/>
      <w:color w:val="231F20"/>
      <w:spacing w:val="0"/>
      <w:w w:val="100"/>
      <w:position w:val="0"/>
      <w:sz w:val="15"/>
      <w:szCs w:val="15"/>
      <w:u w:val="none"/>
      <w:lang w:val="ru-RU" w:eastAsia="ru-RU" w:bidi="ru-RU"/>
    </w:rPr>
  </w:style>
  <w:style w:type="character" w:customStyle="1" w:styleId="17">
    <w:name w:val="Основной текст (17)_"/>
    <w:basedOn w:val="a0"/>
    <w:link w:val="170"/>
    <w:rsid w:val="00350D42"/>
    <w:rPr>
      <w:rFonts w:ascii="Segoe UI" w:eastAsia="Segoe UI" w:hAnsi="Segoe UI" w:cs="Segoe UI"/>
      <w:b/>
      <w:bCs/>
      <w:i w:val="0"/>
      <w:iCs w:val="0"/>
      <w:smallCaps w:val="0"/>
      <w:strike w:val="0"/>
      <w:sz w:val="19"/>
      <w:szCs w:val="19"/>
      <w:u w:val="none"/>
    </w:rPr>
  </w:style>
  <w:style w:type="character" w:customStyle="1" w:styleId="171">
    <w:name w:val="Основной текст (17) + Не полужирный"/>
    <w:basedOn w:val="17"/>
    <w:rsid w:val="00350D42"/>
    <w:rPr>
      <w:rFonts w:ascii="Segoe UI" w:eastAsia="Segoe UI" w:hAnsi="Segoe UI" w:cs="Segoe UI"/>
      <w:b/>
      <w:bCs/>
      <w:i w:val="0"/>
      <w:iCs w:val="0"/>
      <w:smallCaps w:val="0"/>
      <w:strike w:val="0"/>
      <w:color w:val="231F20"/>
      <w:spacing w:val="0"/>
      <w:w w:val="100"/>
      <w:position w:val="0"/>
      <w:sz w:val="19"/>
      <w:szCs w:val="19"/>
      <w:u w:val="none"/>
      <w:lang w:val="ru-RU" w:eastAsia="ru-RU" w:bidi="ru-RU"/>
    </w:rPr>
  </w:style>
  <w:style w:type="character" w:customStyle="1" w:styleId="172">
    <w:name w:val="Основной текст (17)"/>
    <w:basedOn w:val="17"/>
    <w:rsid w:val="00350D42"/>
    <w:rPr>
      <w:rFonts w:ascii="Segoe UI" w:eastAsia="Segoe UI" w:hAnsi="Segoe UI" w:cs="Segoe UI"/>
      <w:b/>
      <w:bCs/>
      <w:i w:val="0"/>
      <w:iCs w:val="0"/>
      <w:smallCaps w:val="0"/>
      <w:strike w:val="0"/>
      <w:color w:val="231F20"/>
      <w:spacing w:val="0"/>
      <w:w w:val="100"/>
      <w:position w:val="0"/>
      <w:sz w:val="19"/>
      <w:szCs w:val="19"/>
      <w:u w:val="none"/>
      <w:lang w:val="ru-RU" w:eastAsia="ru-RU" w:bidi="ru-RU"/>
    </w:rPr>
  </w:style>
  <w:style w:type="character" w:customStyle="1" w:styleId="3BookmanOldStyle75pt">
    <w:name w:val="Подпись к картинке (3) + Bookman Old Style;7.5 pt;Не полужирный"/>
    <w:basedOn w:val="3f0"/>
    <w:rsid w:val="00350D42"/>
    <w:rPr>
      <w:rFonts w:ascii="Bookman Old Style" w:eastAsia="Bookman Old Style" w:hAnsi="Bookman Old Style" w:cs="Bookman Old Style"/>
      <w:b/>
      <w:bCs/>
      <w:i w:val="0"/>
      <w:iCs w:val="0"/>
      <w:smallCaps w:val="0"/>
      <w:strike w:val="0"/>
      <w:color w:val="231F20"/>
      <w:spacing w:val="0"/>
      <w:w w:val="100"/>
      <w:position w:val="0"/>
      <w:sz w:val="15"/>
      <w:szCs w:val="15"/>
      <w:u w:val="none"/>
      <w:lang w:val="ru-RU" w:eastAsia="ru-RU" w:bidi="ru-RU"/>
    </w:rPr>
  </w:style>
  <w:style w:type="character" w:customStyle="1" w:styleId="285pt0">
    <w:name w:val="Основной текст (2) + 8.5 pt;Курсив"/>
    <w:basedOn w:val="2b"/>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en-US" w:eastAsia="en-US" w:bidi="en-US"/>
    </w:rPr>
  </w:style>
  <w:style w:type="character" w:customStyle="1" w:styleId="18">
    <w:name w:val="Основной текст (18)_"/>
    <w:basedOn w:val="a0"/>
    <w:link w:val="180"/>
    <w:rsid w:val="00350D42"/>
    <w:rPr>
      <w:rFonts w:ascii="Bookman Old Style" w:eastAsia="Bookman Old Style" w:hAnsi="Bookman Old Style" w:cs="Bookman Old Style"/>
      <w:b w:val="0"/>
      <w:bCs w:val="0"/>
      <w:i/>
      <w:iCs/>
      <w:smallCaps w:val="0"/>
      <w:strike w:val="0"/>
      <w:sz w:val="18"/>
      <w:szCs w:val="18"/>
      <w:u w:val="none"/>
    </w:rPr>
  </w:style>
  <w:style w:type="character" w:customStyle="1" w:styleId="181">
    <w:name w:val="Основной текст (18)"/>
    <w:basedOn w:val="18"/>
    <w:rsid w:val="00350D42"/>
    <w:rPr>
      <w:rFonts w:ascii="Bookman Old Style" w:eastAsia="Bookman Old Style" w:hAnsi="Bookman Old Style" w:cs="Bookman Old Style"/>
      <w:b w:val="0"/>
      <w:bCs w:val="0"/>
      <w:i/>
      <w:iCs/>
      <w:smallCaps w:val="0"/>
      <w:strike w:val="0"/>
      <w:color w:val="231F20"/>
      <w:spacing w:val="0"/>
      <w:w w:val="100"/>
      <w:position w:val="0"/>
      <w:sz w:val="18"/>
      <w:szCs w:val="18"/>
      <w:u w:val="none"/>
      <w:lang w:val="ru-RU" w:eastAsia="ru-RU" w:bidi="ru-RU"/>
    </w:rPr>
  </w:style>
  <w:style w:type="character" w:customStyle="1" w:styleId="275pt0">
    <w:name w:val="Основной текст (2) + 7.5 pt"/>
    <w:basedOn w:val="2b"/>
    <w:rsid w:val="00350D42"/>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style>
  <w:style w:type="character" w:customStyle="1" w:styleId="221pt">
    <w:name w:val="Основной текст (2) + 21 pt;Полужирный"/>
    <w:basedOn w:val="2b"/>
    <w:rsid w:val="00350D42"/>
    <w:rPr>
      <w:rFonts w:ascii="Bookman Old Style" w:eastAsia="Bookman Old Style" w:hAnsi="Bookman Old Style" w:cs="Bookman Old Style"/>
      <w:b/>
      <w:bCs/>
      <w:i w:val="0"/>
      <w:iCs w:val="0"/>
      <w:smallCaps w:val="0"/>
      <w:strike w:val="0"/>
      <w:color w:val="231F20"/>
      <w:spacing w:val="0"/>
      <w:w w:val="100"/>
      <w:position w:val="0"/>
      <w:sz w:val="42"/>
      <w:szCs w:val="42"/>
      <w:u w:val="none"/>
      <w:lang w:val="ru-RU" w:eastAsia="ru-RU" w:bidi="ru-RU"/>
    </w:rPr>
  </w:style>
  <w:style w:type="character" w:customStyle="1" w:styleId="19">
    <w:name w:val="Основной текст (19)_"/>
    <w:basedOn w:val="a0"/>
    <w:link w:val="190"/>
    <w:rsid w:val="00350D42"/>
    <w:rPr>
      <w:rFonts w:ascii="Arial Narrow" w:eastAsia="Arial Narrow" w:hAnsi="Arial Narrow" w:cs="Arial Narrow"/>
      <w:b w:val="0"/>
      <w:bCs w:val="0"/>
      <w:i/>
      <w:iCs/>
      <w:smallCaps w:val="0"/>
      <w:strike w:val="0"/>
      <w:sz w:val="17"/>
      <w:szCs w:val="17"/>
      <w:u w:val="none"/>
    </w:rPr>
  </w:style>
  <w:style w:type="character" w:customStyle="1" w:styleId="191">
    <w:name w:val="Основной текст (19)"/>
    <w:basedOn w:val="19"/>
    <w:rsid w:val="00350D42"/>
    <w:rPr>
      <w:rFonts w:ascii="Arial Narrow" w:eastAsia="Arial Narrow" w:hAnsi="Arial Narrow" w:cs="Arial Narrow"/>
      <w:b w:val="0"/>
      <w:bCs w:val="0"/>
      <w:i/>
      <w:iCs/>
      <w:smallCaps w:val="0"/>
      <w:strike w:val="0"/>
      <w:color w:val="231F20"/>
      <w:spacing w:val="0"/>
      <w:w w:val="100"/>
      <w:position w:val="0"/>
      <w:sz w:val="17"/>
      <w:szCs w:val="17"/>
      <w:u w:val="none"/>
      <w:lang w:val="ru-RU" w:eastAsia="ru-RU" w:bidi="ru-RU"/>
    </w:rPr>
  </w:style>
  <w:style w:type="character" w:customStyle="1" w:styleId="2fa">
    <w:name w:val="Колонтитул (2)_"/>
    <w:basedOn w:val="a0"/>
    <w:link w:val="2fb"/>
    <w:rsid w:val="00350D42"/>
    <w:rPr>
      <w:rFonts w:ascii="Bookman Old Style" w:eastAsia="Bookman Old Style" w:hAnsi="Bookman Old Style" w:cs="Bookman Old Style"/>
      <w:b w:val="0"/>
      <w:bCs w:val="0"/>
      <w:i w:val="0"/>
      <w:iCs w:val="0"/>
      <w:smallCaps w:val="0"/>
      <w:strike w:val="0"/>
      <w:sz w:val="15"/>
      <w:szCs w:val="15"/>
      <w:u w:val="none"/>
    </w:rPr>
  </w:style>
  <w:style w:type="character" w:customStyle="1" w:styleId="2ArialNarrow8pt">
    <w:name w:val="Колонтитул (2) + Arial Narrow;8 pt;Курсив"/>
    <w:basedOn w:val="2fa"/>
    <w:rsid w:val="00350D42"/>
    <w:rPr>
      <w:rFonts w:ascii="Arial Narrow" w:eastAsia="Arial Narrow" w:hAnsi="Arial Narrow" w:cs="Arial Narrow"/>
      <w:b w:val="0"/>
      <w:bCs w:val="0"/>
      <w:i/>
      <w:iCs/>
      <w:smallCaps w:val="0"/>
      <w:strike w:val="0"/>
      <w:color w:val="231F20"/>
      <w:spacing w:val="0"/>
      <w:w w:val="100"/>
      <w:position w:val="0"/>
      <w:sz w:val="16"/>
      <w:szCs w:val="16"/>
      <w:u w:val="none"/>
      <w:lang w:val="ru-RU" w:eastAsia="ru-RU" w:bidi="ru-RU"/>
    </w:rPr>
  </w:style>
  <w:style w:type="character" w:customStyle="1" w:styleId="2MicrosoftSansSerif8pt">
    <w:name w:val="Колонтитул (2) + Microsoft Sans Serif;8 pt;Полужирный"/>
    <w:basedOn w:val="2fa"/>
    <w:rsid w:val="00350D42"/>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ru-RU" w:eastAsia="ru-RU" w:bidi="ru-RU"/>
    </w:rPr>
  </w:style>
  <w:style w:type="character" w:customStyle="1" w:styleId="4e">
    <w:name w:val="Подпись к таблице (4)_"/>
    <w:basedOn w:val="a0"/>
    <w:link w:val="4f"/>
    <w:rsid w:val="00350D42"/>
    <w:rPr>
      <w:rFonts w:ascii="Bookman Old Style" w:eastAsia="Bookman Old Style" w:hAnsi="Bookman Old Style" w:cs="Bookman Old Style"/>
      <w:b w:val="0"/>
      <w:bCs w:val="0"/>
      <w:i/>
      <w:iCs/>
      <w:smallCaps w:val="0"/>
      <w:strike w:val="0"/>
      <w:sz w:val="17"/>
      <w:szCs w:val="17"/>
      <w:u w:val="none"/>
    </w:rPr>
  </w:style>
  <w:style w:type="character" w:customStyle="1" w:styleId="4f0">
    <w:name w:val="Подпись к таблице (4)"/>
    <w:basedOn w:val="4e"/>
    <w:rsid w:val="00350D42"/>
    <w:rPr>
      <w:rFonts w:ascii="Bookman Old Style" w:eastAsia="Bookman Old Style" w:hAnsi="Bookman Old Style" w:cs="Bookman Old Style"/>
      <w:b w:val="0"/>
      <w:bCs w:val="0"/>
      <w:i/>
      <w:iCs/>
      <w:smallCaps w:val="0"/>
      <w:strike w:val="0"/>
      <w:color w:val="231F20"/>
      <w:spacing w:val="0"/>
      <w:w w:val="100"/>
      <w:position w:val="0"/>
      <w:sz w:val="17"/>
      <w:szCs w:val="17"/>
      <w:u w:val="none"/>
      <w:lang w:val="ru-RU" w:eastAsia="ru-RU" w:bidi="ru-RU"/>
    </w:rPr>
  </w:style>
  <w:style w:type="character" w:customStyle="1" w:styleId="11BookmanOldStyle">
    <w:name w:val="Основной текст (11) + Bookman Old Style;Не полужирный;Курсив"/>
    <w:basedOn w:val="110"/>
    <w:rsid w:val="00350D42"/>
    <w:rPr>
      <w:rFonts w:ascii="Bookman Old Style" w:eastAsia="Bookman Old Style" w:hAnsi="Bookman Old Style" w:cs="Bookman Old Style"/>
      <w:b/>
      <w:bCs/>
      <w:i/>
      <w:iCs/>
      <w:smallCaps w:val="0"/>
      <w:strike w:val="0"/>
      <w:color w:val="231F20"/>
      <w:spacing w:val="0"/>
      <w:w w:val="100"/>
      <w:position w:val="0"/>
      <w:sz w:val="17"/>
      <w:szCs w:val="17"/>
      <w:u w:val="none"/>
      <w:lang w:val="ru-RU" w:eastAsia="ru-RU" w:bidi="ru-RU"/>
    </w:rPr>
  </w:style>
  <w:style w:type="character" w:customStyle="1" w:styleId="11BookmanOldStyle0">
    <w:name w:val="Основной текст (11) + Bookman Old Style;Не полужирный"/>
    <w:basedOn w:val="110"/>
    <w:rsid w:val="00350D42"/>
    <w:rPr>
      <w:rFonts w:ascii="Bookman Old Style" w:eastAsia="Bookman Old Style" w:hAnsi="Bookman Old Style" w:cs="Bookman Old Style"/>
      <w:b/>
      <w:bCs/>
      <w:i w:val="0"/>
      <w:iCs w:val="0"/>
      <w:smallCaps w:val="0"/>
      <w:strike w:val="0"/>
      <w:color w:val="231F20"/>
      <w:spacing w:val="0"/>
      <w:w w:val="100"/>
      <w:position w:val="0"/>
      <w:sz w:val="17"/>
      <w:szCs w:val="17"/>
      <w:u w:val="none"/>
      <w:lang w:val="ru-RU" w:eastAsia="ru-RU" w:bidi="ru-RU"/>
    </w:rPr>
  </w:style>
  <w:style w:type="character" w:customStyle="1" w:styleId="21Exact">
    <w:name w:val="Основной текст (21) Exact"/>
    <w:basedOn w:val="a0"/>
    <w:link w:val="210"/>
    <w:rsid w:val="00350D42"/>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21Exact0">
    <w:name w:val="Основной текст (21) Exact"/>
    <w:basedOn w:val="21Exact"/>
    <w:rsid w:val="00350D42"/>
    <w:rPr>
      <w:rFonts w:ascii="Franklin Gothic Heavy" w:eastAsia="Franklin Gothic Heavy" w:hAnsi="Franklin Gothic Heavy" w:cs="Franklin Gothic Heavy"/>
      <w:b w:val="0"/>
      <w:bCs w:val="0"/>
      <w:i w:val="0"/>
      <w:iCs w:val="0"/>
      <w:smallCaps w:val="0"/>
      <w:strike w:val="0"/>
      <w:color w:val="231F20"/>
      <w:spacing w:val="0"/>
      <w:w w:val="100"/>
      <w:position w:val="0"/>
      <w:sz w:val="16"/>
      <w:szCs w:val="16"/>
      <w:u w:val="none"/>
      <w:lang w:val="ru-RU" w:eastAsia="ru-RU" w:bidi="ru-RU"/>
    </w:rPr>
  </w:style>
  <w:style w:type="character" w:customStyle="1" w:styleId="22Exact">
    <w:name w:val="Основной текст (22) Exact"/>
    <w:basedOn w:val="a0"/>
    <w:link w:val="220"/>
    <w:rsid w:val="00350D42"/>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22Exact0">
    <w:name w:val="Основной текст (22) Exact"/>
    <w:basedOn w:val="22Exact"/>
    <w:rsid w:val="00350D42"/>
    <w:rPr>
      <w:rFonts w:ascii="Franklin Gothic Heavy" w:eastAsia="Franklin Gothic Heavy" w:hAnsi="Franklin Gothic Heavy" w:cs="Franklin Gothic Heavy"/>
      <w:b w:val="0"/>
      <w:bCs w:val="0"/>
      <w:i w:val="0"/>
      <w:iCs w:val="0"/>
      <w:smallCaps w:val="0"/>
      <w:strike w:val="0"/>
      <w:color w:val="231F20"/>
      <w:spacing w:val="0"/>
      <w:w w:val="100"/>
      <w:position w:val="0"/>
      <w:sz w:val="15"/>
      <w:szCs w:val="15"/>
      <w:u w:val="none"/>
      <w:lang w:val="ru-RU" w:eastAsia="ru-RU" w:bidi="ru-RU"/>
    </w:rPr>
  </w:style>
  <w:style w:type="character" w:customStyle="1" w:styleId="23Exact">
    <w:name w:val="Основной текст (23) Exact"/>
    <w:basedOn w:val="a0"/>
    <w:link w:val="230"/>
    <w:rsid w:val="00350D42"/>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3Exact0">
    <w:name w:val="Основной текст (23) Exact"/>
    <w:basedOn w:val="23Exact"/>
    <w:rsid w:val="00350D42"/>
    <w:rPr>
      <w:rFonts w:ascii="Franklin Gothic Heavy" w:eastAsia="Franklin Gothic Heavy" w:hAnsi="Franklin Gothic Heavy" w:cs="Franklin Gothic Heavy"/>
      <w:b w:val="0"/>
      <w:bCs w:val="0"/>
      <w:i w:val="0"/>
      <w:iCs w:val="0"/>
      <w:smallCaps w:val="0"/>
      <w:strike w:val="0"/>
      <w:color w:val="231F20"/>
      <w:spacing w:val="0"/>
      <w:w w:val="100"/>
      <w:position w:val="0"/>
      <w:sz w:val="19"/>
      <w:szCs w:val="19"/>
      <w:u w:val="none"/>
      <w:lang w:val="ru-RU" w:eastAsia="ru-RU" w:bidi="ru-RU"/>
    </w:rPr>
  </w:style>
  <w:style w:type="character" w:customStyle="1" w:styleId="24Exact">
    <w:name w:val="Основной текст (24) Exact"/>
    <w:basedOn w:val="a0"/>
    <w:link w:val="240"/>
    <w:rsid w:val="00350D42"/>
    <w:rPr>
      <w:rFonts w:ascii="Bookman Old Style" w:eastAsia="Bookman Old Style" w:hAnsi="Bookman Old Style" w:cs="Bookman Old Style"/>
      <w:b w:val="0"/>
      <w:bCs w:val="0"/>
      <w:i w:val="0"/>
      <w:iCs w:val="0"/>
      <w:smallCaps w:val="0"/>
      <w:strike w:val="0"/>
      <w:sz w:val="12"/>
      <w:szCs w:val="12"/>
      <w:u w:val="none"/>
    </w:rPr>
  </w:style>
  <w:style w:type="character" w:customStyle="1" w:styleId="24Exact0">
    <w:name w:val="Основной текст (24) Exact"/>
    <w:basedOn w:val="24Exact"/>
    <w:rsid w:val="00350D42"/>
    <w:rPr>
      <w:rFonts w:ascii="Bookman Old Style" w:eastAsia="Bookman Old Style" w:hAnsi="Bookman Old Style" w:cs="Bookman Old Style"/>
      <w:b w:val="0"/>
      <w:bCs w:val="0"/>
      <w:i w:val="0"/>
      <w:iCs w:val="0"/>
      <w:smallCaps w:val="0"/>
      <w:strike w:val="0"/>
      <w:color w:val="231F20"/>
      <w:spacing w:val="0"/>
      <w:w w:val="100"/>
      <w:position w:val="0"/>
      <w:sz w:val="12"/>
      <w:szCs w:val="12"/>
      <w:u w:val="none"/>
      <w:lang w:val="ru-RU" w:eastAsia="ru-RU" w:bidi="ru-RU"/>
    </w:rPr>
  </w:style>
  <w:style w:type="character" w:customStyle="1" w:styleId="200">
    <w:name w:val="Основной текст (20)_"/>
    <w:basedOn w:val="a0"/>
    <w:link w:val="201"/>
    <w:rsid w:val="00350D42"/>
    <w:rPr>
      <w:rFonts w:ascii="Bookman Old Style" w:eastAsia="Bookman Old Style" w:hAnsi="Bookman Old Style" w:cs="Bookman Old Style"/>
      <w:b w:val="0"/>
      <w:bCs w:val="0"/>
      <w:i w:val="0"/>
      <w:iCs w:val="0"/>
      <w:smallCaps w:val="0"/>
      <w:strike w:val="0"/>
      <w:sz w:val="18"/>
      <w:szCs w:val="18"/>
      <w:u w:val="none"/>
    </w:rPr>
  </w:style>
  <w:style w:type="character" w:customStyle="1" w:styleId="202">
    <w:name w:val="Основной текст (20)"/>
    <w:basedOn w:val="200"/>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99pt">
    <w:name w:val="Основной текст (9) + 9 pt;Не полужирный;Не курсив"/>
    <w:basedOn w:val="9"/>
    <w:rsid w:val="00350D42"/>
    <w:rPr>
      <w:rFonts w:ascii="Bookman Old Style" w:eastAsia="Bookman Old Style" w:hAnsi="Bookman Old Style" w:cs="Bookman Old Style"/>
      <w:b/>
      <w:bCs/>
      <w:i/>
      <w:iCs/>
      <w:smallCaps w:val="0"/>
      <w:strike w:val="0"/>
      <w:color w:val="231F20"/>
      <w:spacing w:val="0"/>
      <w:w w:val="100"/>
      <w:position w:val="0"/>
      <w:sz w:val="18"/>
      <w:szCs w:val="18"/>
      <w:u w:val="none"/>
      <w:lang w:val="ru-RU" w:eastAsia="ru-RU" w:bidi="ru-RU"/>
    </w:rPr>
  </w:style>
  <w:style w:type="character" w:customStyle="1" w:styleId="99pt0">
    <w:name w:val="Основной текст (9) + 9 pt;Не полужирный;Не курсив"/>
    <w:basedOn w:val="9"/>
    <w:rsid w:val="00350D42"/>
    <w:rPr>
      <w:rFonts w:ascii="Bookman Old Style" w:eastAsia="Bookman Old Style" w:hAnsi="Bookman Old Style" w:cs="Bookman Old Style"/>
      <w:b/>
      <w:bCs/>
      <w:i/>
      <w:iCs/>
      <w:smallCaps w:val="0"/>
      <w:strike w:val="0"/>
      <w:color w:val="000000"/>
      <w:spacing w:val="0"/>
      <w:w w:val="100"/>
      <w:position w:val="0"/>
      <w:sz w:val="18"/>
      <w:szCs w:val="18"/>
      <w:u w:val="none"/>
    </w:rPr>
  </w:style>
  <w:style w:type="character" w:customStyle="1" w:styleId="203">
    <w:name w:val="Основной текст (20) + Курсив"/>
    <w:basedOn w:val="200"/>
    <w:rsid w:val="00350D42"/>
    <w:rPr>
      <w:rFonts w:ascii="Bookman Old Style" w:eastAsia="Bookman Old Style" w:hAnsi="Bookman Old Style" w:cs="Bookman Old Style"/>
      <w:b w:val="0"/>
      <w:bCs w:val="0"/>
      <w:i/>
      <w:iCs/>
      <w:smallCaps w:val="0"/>
      <w:strike w:val="0"/>
      <w:color w:val="231F20"/>
      <w:spacing w:val="0"/>
      <w:w w:val="100"/>
      <w:position w:val="0"/>
      <w:sz w:val="18"/>
      <w:szCs w:val="18"/>
      <w:u w:val="none"/>
      <w:lang w:val="ru-RU" w:eastAsia="ru-RU" w:bidi="ru-RU"/>
    </w:rPr>
  </w:style>
  <w:style w:type="character" w:customStyle="1" w:styleId="204">
    <w:name w:val="Основной текст (20)"/>
    <w:basedOn w:val="200"/>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57">
    <w:name w:val="Подпись к таблице (5)_"/>
    <w:basedOn w:val="a0"/>
    <w:link w:val="58"/>
    <w:rsid w:val="00350D42"/>
    <w:rPr>
      <w:rFonts w:ascii="Bookman Old Style" w:eastAsia="Bookman Old Style" w:hAnsi="Bookman Old Style" w:cs="Bookman Old Style"/>
      <w:b w:val="0"/>
      <w:bCs w:val="0"/>
      <w:i/>
      <w:iCs/>
      <w:smallCaps w:val="0"/>
      <w:strike w:val="0"/>
      <w:sz w:val="18"/>
      <w:szCs w:val="18"/>
      <w:u w:val="none"/>
    </w:rPr>
  </w:style>
  <w:style w:type="character" w:customStyle="1" w:styleId="59">
    <w:name w:val="Подпись к таблице (5)"/>
    <w:basedOn w:val="57"/>
    <w:rsid w:val="00350D42"/>
    <w:rPr>
      <w:rFonts w:ascii="Bookman Old Style" w:eastAsia="Bookman Old Style" w:hAnsi="Bookman Old Style" w:cs="Bookman Old Style"/>
      <w:b w:val="0"/>
      <w:bCs w:val="0"/>
      <w:i/>
      <w:iCs/>
      <w:smallCaps w:val="0"/>
      <w:strike w:val="0"/>
      <w:color w:val="231F20"/>
      <w:spacing w:val="0"/>
      <w:w w:val="100"/>
      <w:position w:val="0"/>
      <w:sz w:val="18"/>
      <w:szCs w:val="18"/>
      <w:u w:val="none"/>
      <w:lang w:val="ru-RU" w:eastAsia="ru-RU" w:bidi="ru-RU"/>
    </w:rPr>
  </w:style>
  <w:style w:type="character" w:customStyle="1" w:styleId="25Exact">
    <w:name w:val="Основной текст (25) Exact"/>
    <w:basedOn w:val="a0"/>
    <w:link w:val="250"/>
    <w:rsid w:val="00350D42"/>
    <w:rPr>
      <w:rFonts w:ascii="Georgia" w:eastAsia="Georgia" w:hAnsi="Georgia" w:cs="Georgia"/>
      <w:b w:val="0"/>
      <w:bCs w:val="0"/>
      <w:i w:val="0"/>
      <w:iCs w:val="0"/>
      <w:smallCaps w:val="0"/>
      <w:strike w:val="0"/>
      <w:sz w:val="16"/>
      <w:szCs w:val="16"/>
      <w:u w:val="none"/>
    </w:rPr>
  </w:style>
  <w:style w:type="character" w:customStyle="1" w:styleId="25Exact0">
    <w:name w:val="Основной текст (25) Exact"/>
    <w:basedOn w:val="25Exact"/>
    <w:rsid w:val="00350D42"/>
    <w:rPr>
      <w:rFonts w:ascii="Georgia" w:eastAsia="Georgia" w:hAnsi="Georgia" w:cs="Georgia"/>
      <w:b w:val="0"/>
      <w:bCs w:val="0"/>
      <w:i w:val="0"/>
      <w:iCs w:val="0"/>
      <w:smallCaps w:val="0"/>
      <w:strike w:val="0"/>
      <w:color w:val="231F20"/>
      <w:spacing w:val="0"/>
      <w:w w:val="100"/>
      <w:position w:val="0"/>
      <w:sz w:val="16"/>
      <w:szCs w:val="16"/>
      <w:u w:val="none"/>
      <w:lang w:val="en-US" w:eastAsia="en-US" w:bidi="en-US"/>
    </w:rPr>
  </w:style>
  <w:style w:type="character" w:customStyle="1" w:styleId="25BookmanOldStyleExact">
    <w:name w:val="Основной текст (25) + Bookman Old Style;Курсив Exact"/>
    <w:basedOn w:val="25Exact"/>
    <w:rsid w:val="00350D42"/>
    <w:rPr>
      <w:rFonts w:ascii="Bookman Old Style" w:eastAsia="Bookman Old Style" w:hAnsi="Bookman Old Style" w:cs="Bookman Old Style"/>
      <w:b w:val="0"/>
      <w:bCs w:val="0"/>
      <w:i/>
      <w:iCs/>
      <w:smallCaps w:val="0"/>
      <w:strike w:val="0"/>
      <w:color w:val="231F20"/>
      <w:spacing w:val="0"/>
      <w:w w:val="100"/>
      <w:position w:val="0"/>
      <w:sz w:val="16"/>
      <w:szCs w:val="16"/>
      <w:u w:val="none"/>
      <w:lang w:val="ru-RU" w:eastAsia="ru-RU" w:bidi="ru-RU"/>
    </w:rPr>
  </w:style>
  <w:style w:type="character" w:customStyle="1" w:styleId="6Exact">
    <w:name w:val="Подпись к картинке (6) Exact"/>
    <w:basedOn w:val="a0"/>
    <w:link w:val="66"/>
    <w:rsid w:val="00350D42"/>
    <w:rPr>
      <w:rFonts w:ascii="Garamond" w:eastAsia="Garamond" w:hAnsi="Garamond" w:cs="Garamond"/>
      <w:b w:val="0"/>
      <w:bCs w:val="0"/>
      <w:i w:val="0"/>
      <w:iCs w:val="0"/>
      <w:smallCaps w:val="0"/>
      <w:strike w:val="0"/>
      <w:sz w:val="17"/>
      <w:szCs w:val="17"/>
      <w:u w:val="none"/>
      <w:lang w:val="en-US" w:eastAsia="en-US" w:bidi="en-US"/>
    </w:rPr>
  </w:style>
  <w:style w:type="character" w:customStyle="1" w:styleId="6Exact0">
    <w:name w:val="Подпись к картинке (6) Exact"/>
    <w:basedOn w:val="6Exact"/>
    <w:rsid w:val="00350D42"/>
    <w:rPr>
      <w:rFonts w:ascii="Garamond" w:eastAsia="Garamond" w:hAnsi="Garamond" w:cs="Garamond"/>
      <w:b w:val="0"/>
      <w:bCs w:val="0"/>
      <w:i w:val="0"/>
      <w:iCs w:val="0"/>
      <w:smallCaps w:val="0"/>
      <w:strike w:val="0"/>
      <w:color w:val="231F20"/>
      <w:spacing w:val="0"/>
      <w:w w:val="100"/>
      <w:position w:val="0"/>
      <w:sz w:val="17"/>
      <w:szCs w:val="17"/>
      <w:u w:val="none"/>
      <w:lang w:val="en-US" w:eastAsia="en-US" w:bidi="en-US"/>
    </w:rPr>
  </w:style>
  <w:style w:type="character" w:customStyle="1" w:styleId="26Exact">
    <w:name w:val="Основной текст (26) Exact"/>
    <w:basedOn w:val="a0"/>
    <w:link w:val="260"/>
    <w:rsid w:val="00350D42"/>
    <w:rPr>
      <w:rFonts w:ascii="Microsoft Sans Serif" w:eastAsia="Microsoft Sans Serif" w:hAnsi="Microsoft Sans Serif" w:cs="Microsoft Sans Serif"/>
      <w:b w:val="0"/>
      <w:bCs w:val="0"/>
      <w:i w:val="0"/>
      <w:iCs w:val="0"/>
      <w:smallCaps w:val="0"/>
      <w:strike w:val="0"/>
      <w:sz w:val="10"/>
      <w:szCs w:val="10"/>
      <w:u w:val="none"/>
      <w:lang w:val="en-US" w:eastAsia="en-US" w:bidi="en-US"/>
    </w:rPr>
  </w:style>
  <w:style w:type="character" w:customStyle="1" w:styleId="26Exact0">
    <w:name w:val="Основной текст (26) Exact"/>
    <w:basedOn w:val="26Exact"/>
    <w:rsid w:val="00350D42"/>
    <w:rPr>
      <w:rFonts w:ascii="Microsoft Sans Serif" w:eastAsia="Microsoft Sans Serif" w:hAnsi="Microsoft Sans Serif" w:cs="Microsoft Sans Serif"/>
      <w:b w:val="0"/>
      <w:bCs w:val="0"/>
      <w:i w:val="0"/>
      <w:iCs w:val="0"/>
      <w:smallCaps w:val="0"/>
      <w:strike w:val="0"/>
      <w:color w:val="231F20"/>
      <w:spacing w:val="0"/>
      <w:w w:val="100"/>
      <w:position w:val="0"/>
      <w:sz w:val="10"/>
      <w:szCs w:val="10"/>
      <w:u w:val="none"/>
      <w:lang w:val="en-US" w:eastAsia="en-US" w:bidi="en-US"/>
    </w:rPr>
  </w:style>
  <w:style w:type="character" w:customStyle="1" w:styleId="27Exact">
    <w:name w:val="Основной текст (27) Exact"/>
    <w:basedOn w:val="a0"/>
    <w:link w:val="270"/>
    <w:rsid w:val="00350D42"/>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7Exact0">
    <w:name w:val="Основной текст (27) Exact"/>
    <w:basedOn w:val="27Exact"/>
    <w:rsid w:val="00350D42"/>
    <w:rPr>
      <w:rFonts w:ascii="Franklin Gothic Heavy" w:eastAsia="Franklin Gothic Heavy" w:hAnsi="Franklin Gothic Heavy" w:cs="Franklin Gothic Heavy"/>
      <w:b w:val="0"/>
      <w:bCs w:val="0"/>
      <w:i w:val="0"/>
      <w:iCs w:val="0"/>
      <w:smallCaps w:val="0"/>
      <w:strike w:val="0"/>
      <w:color w:val="231F20"/>
      <w:spacing w:val="0"/>
      <w:w w:val="100"/>
      <w:position w:val="0"/>
      <w:sz w:val="19"/>
      <w:szCs w:val="19"/>
      <w:u w:val="none"/>
      <w:lang w:val="ru-RU" w:eastAsia="ru-RU" w:bidi="ru-RU"/>
    </w:rPr>
  </w:style>
  <w:style w:type="character" w:customStyle="1" w:styleId="2Exact3">
    <w:name w:val="Основной текст (2) Exact"/>
    <w:basedOn w:val="2b"/>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single"/>
      <w:lang w:val="ru-RU" w:eastAsia="ru-RU" w:bidi="ru-RU"/>
    </w:rPr>
  </w:style>
  <w:style w:type="character" w:customStyle="1" w:styleId="28Exact">
    <w:name w:val="Основной текст (28) Exact"/>
    <w:basedOn w:val="a0"/>
    <w:link w:val="280"/>
    <w:rsid w:val="00350D42"/>
    <w:rPr>
      <w:rFonts w:ascii="Franklin Gothic Heavy" w:eastAsia="Franklin Gothic Heavy" w:hAnsi="Franklin Gothic Heavy" w:cs="Franklin Gothic Heavy"/>
      <w:b w:val="0"/>
      <w:bCs w:val="0"/>
      <w:i w:val="0"/>
      <w:iCs w:val="0"/>
      <w:smallCaps w:val="0"/>
      <w:strike w:val="0"/>
      <w:spacing w:val="110"/>
      <w:sz w:val="144"/>
      <w:szCs w:val="144"/>
      <w:u w:val="none"/>
    </w:rPr>
  </w:style>
  <w:style w:type="character" w:customStyle="1" w:styleId="28Exact0">
    <w:name w:val="Основной текст (28) Exact"/>
    <w:basedOn w:val="28Exact"/>
    <w:rsid w:val="00350D42"/>
    <w:rPr>
      <w:rFonts w:ascii="Franklin Gothic Heavy" w:eastAsia="Franklin Gothic Heavy" w:hAnsi="Franklin Gothic Heavy" w:cs="Franklin Gothic Heavy"/>
      <w:b w:val="0"/>
      <w:bCs w:val="0"/>
      <w:i w:val="0"/>
      <w:iCs w:val="0"/>
      <w:smallCaps w:val="0"/>
      <w:strike w:val="0"/>
      <w:color w:val="231F20"/>
      <w:spacing w:val="110"/>
      <w:w w:val="100"/>
      <w:position w:val="0"/>
      <w:sz w:val="144"/>
      <w:szCs w:val="144"/>
      <w:u w:val="single"/>
      <w:lang w:val="ru-RU" w:eastAsia="ru-RU" w:bidi="ru-RU"/>
    </w:rPr>
  </w:style>
  <w:style w:type="character" w:customStyle="1" w:styleId="7Exact">
    <w:name w:val="Подпись к картинке (7) Exact"/>
    <w:basedOn w:val="a0"/>
    <w:link w:val="73"/>
    <w:rsid w:val="00350D42"/>
    <w:rPr>
      <w:rFonts w:ascii="Bookman Old Style" w:eastAsia="Bookman Old Style" w:hAnsi="Bookman Old Style" w:cs="Bookman Old Style"/>
      <w:b w:val="0"/>
      <w:bCs w:val="0"/>
      <w:i w:val="0"/>
      <w:iCs w:val="0"/>
      <w:smallCaps w:val="0"/>
      <w:strike w:val="0"/>
      <w:spacing w:val="50"/>
      <w:sz w:val="13"/>
      <w:szCs w:val="13"/>
      <w:u w:val="none"/>
    </w:rPr>
  </w:style>
  <w:style w:type="character" w:customStyle="1" w:styleId="7Exact0">
    <w:name w:val="Подпись к картинке (7) Exact"/>
    <w:basedOn w:val="7Exact"/>
    <w:rsid w:val="00350D42"/>
    <w:rPr>
      <w:rFonts w:ascii="Bookman Old Style" w:eastAsia="Bookman Old Style" w:hAnsi="Bookman Old Style" w:cs="Bookman Old Style"/>
      <w:b w:val="0"/>
      <w:bCs w:val="0"/>
      <w:i w:val="0"/>
      <w:iCs w:val="0"/>
      <w:smallCaps w:val="0"/>
      <w:strike w:val="0"/>
      <w:color w:val="231F20"/>
      <w:spacing w:val="50"/>
      <w:w w:val="100"/>
      <w:position w:val="0"/>
      <w:sz w:val="13"/>
      <w:szCs w:val="13"/>
      <w:u w:val="none"/>
      <w:lang w:val="ru-RU" w:eastAsia="ru-RU" w:bidi="ru-RU"/>
    </w:rPr>
  </w:style>
  <w:style w:type="character" w:customStyle="1" w:styleId="56">
    <w:name w:val="Подпись к картинке (5)_"/>
    <w:basedOn w:val="a0"/>
    <w:link w:val="5a"/>
    <w:rsid w:val="00350D42"/>
    <w:rPr>
      <w:rFonts w:ascii="Bookman Old Style" w:eastAsia="Bookman Old Style" w:hAnsi="Bookman Old Style" w:cs="Bookman Old Style"/>
      <w:b w:val="0"/>
      <w:bCs w:val="0"/>
      <w:i w:val="0"/>
      <w:iCs w:val="0"/>
      <w:smallCaps w:val="0"/>
      <w:strike w:val="0"/>
      <w:sz w:val="15"/>
      <w:szCs w:val="15"/>
      <w:u w:val="none"/>
    </w:rPr>
  </w:style>
  <w:style w:type="character" w:customStyle="1" w:styleId="5b">
    <w:name w:val="Подпись к картинке (5) + Курсив"/>
    <w:basedOn w:val="56"/>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en-US" w:eastAsia="en-US" w:bidi="en-US"/>
    </w:rPr>
  </w:style>
  <w:style w:type="character" w:customStyle="1" w:styleId="5c">
    <w:name w:val="Подпись к картинке (5)"/>
    <w:basedOn w:val="56"/>
    <w:rsid w:val="00350D42"/>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style>
  <w:style w:type="character" w:customStyle="1" w:styleId="5d">
    <w:name w:val="Подпись к картинке (5)"/>
    <w:basedOn w:val="56"/>
    <w:rsid w:val="00350D42"/>
    <w:rPr>
      <w:rFonts w:ascii="Bookman Old Style" w:eastAsia="Bookman Old Style" w:hAnsi="Bookman Old Style" w:cs="Bookman Old Style"/>
      <w:b w:val="0"/>
      <w:bCs w:val="0"/>
      <w:i w:val="0"/>
      <w:iCs w:val="0"/>
      <w:smallCaps w:val="0"/>
      <w:strike w:val="0"/>
      <w:color w:val="B2B1B2"/>
      <w:spacing w:val="0"/>
      <w:w w:val="100"/>
      <w:position w:val="0"/>
      <w:sz w:val="15"/>
      <w:szCs w:val="15"/>
      <w:u w:val="none"/>
      <w:lang w:val="ru-RU" w:eastAsia="ru-RU" w:bidi="ru-RU"/>
    </w:rPr>
  </w:style>
  <w:style w:type="character" w:customStyle="1" w:styleId="182">
    <w:name w:val="Основной текст (18) + Не курсив"/>
    <w:basedOn w:val="18"/>
    <w:rsid w:val="00350D42"/>
    <w:rPr>
      <w:rFonts w:ascii="Bookman Old Style" w:eastAsia="Bookman Old Style" w:hAnsi="Bookman Old Style" w:cs="Bookman Old Style"/>
      <w:b w:val="0"/>
      <w:bCs w:val="0"/>
      <w:i/>
      <w:iCs/>
      <w:smallCaps w:val="0"/>
      <w:strike w:val="0"/>
      <w:color w:val="000000"/>
      <w:spacing w:val="0"/>
      <w:w w:val="100"/>
      <w:position w:val="0"/>
      <w:sz w:val="18"/>
      <w:szCs w:val="18"/>
      <w:u w:val="none"/>
      <w:lang w:val="ru-RU" w:eastAsia="ru-RU" w:bidi="ru-RU"/>
    </w:rPr>
  </w:style>
  <w:style w:type="character" w:customStyle="1" w:styleId="183">
    <w:name w:val="Основной текст (18) + Не курсив"/>
    <w:basedOn w:val="18"/>
    <w:rsid w:val="00350D42"/>
    <w:rPr>
      <w:rFonts w:ascii="Bookman Old Style" w:eastAsia="Bookman Old Style" w:hAnsi="Bookman Old Style" w:cs="Bookman Old Style"/>
      <w:b w:val="0"/>
      <w:bCs w:val="0"/>
      <w:i/>
      <w:iCs/>
      <w:smallCaps w:val="0"/>
      <w:strike w:val="0"/>
      <w:color w:val="231F20"/>
      <w:spacing w:val="0"/>
      <w:w w:val="100"/>
      <w:position w:val="0"/>
      <w:sz w:val="18"/>
      <w:szCs w:val="18"/>
      <w:u w:val="none"/>
      <w:lang w:val="ru-RU" w:eastAsia="ru-RU" w:bidi="ru-RU"/>
    </w:rPr>
  </w:style>
  <w:style w:type="character" w:customStyle="1" w:styleId="2fc">
    <w:name w:val="Основной текст (2) + Курсив"/>
    <w:basedOn w:val="2b"/>
    <w:rsid w:val="00350D4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5e">
    <w:name w:val="Оглавление (5)_"/>
    <w:basedOn w:val="a0"/>
    <w:link w:val="5f"/>
    <w:rsid w:val="00350D42"/>
    <w:rPr>
      <w:rFonts w:ascii="Bookman Old Style" w:eastAsia="Bookman Old Style" w:hAnsi="Bookman Old Style" w:cs="Bookman Old Style"/>
      <w:b w:val="0"/>
      <w:bCs w:val="0"/>
      <w:i/>
      <w:iCs/>
      <w:smallCaps w:val="0"/>
      <w:strike w:val="0"/>
      <w:sz w:val="18"/>
      <w:szCs w:val="18"/>
      <w:u w:val="none"/>
      <w:lang w:val="en-US" w:eastAsia="en-US" w:bidi="en-US"/>
    </w:rPr>
  </w:style>
  <w:style w:type="character" w:customStyle="1" w:styleId="4f1">
    <w:name w:val="Оглавление (4) + Курсив"/>
    <w:basedOn w:val="3e"/>
    <w:rsid w:val="00350D42"/>
    <w:rPr>
      <w:rFonts w:ascii="Bookman Old Style" w:eastAsia="Bookman Old Style" w:hAnsi="Bookman Old Style" w:cs="Bookman Old Style"/>
      <w:b w:val="0"/>
      <w:bCs w:val="0"/>
      <w:i/>
      <w:iCs/>
      <w:smallCaps w:val="0"/>
      <w:strike w:val="0"/>
      <w:color w:val="000000"/>
      <w:spacing w:val="0"/>
      <w:w w:val="100"/>
      <w:position w:val="0"/>
      <w:sz w:val="18"/>
      <w:szCs w:val="18"/>
      <w:u w:val="none"/>
      <w:lang w:val="en-US" w:eastAsia="en-US" w:bidi="en-US"/>
    </w:rPr>
  </w:style>
  <w:style w:type="character" w:customStyle="1" w:styleId="1885pt">
    <w:name w:val="Основной текст (18) + 8.5 pt;Не курсив"/>
    <w:basedOn w:val="18"/>
    <w:rsid w:val="00350D4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75pt1">
    <w:name w:val="Основной текст (2) + 7.5 pt;Курсив"/>
    <w:basedOn w:val="2b"/>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26pt">
    <w:name w:val="Основной текст (2) + 6 pt"/>
    <w:basedOn w:val="2b"/>
    <w:rsid w:val="00350D42"/>
    <w:rPr>
      <w:rFonts w:ascii="Bookman Old Style" w:eastAsia="Bookman Old Style" w:hAnsi="Bookman Old Style" w:cs="Bookman Old Style"/>
      <w:b w:val="0"/>
      <w:bCs w:val="0"/>
      <w:i w:val="0"/>
      <w:iCs w:val="0"/>
      <w:smallCaps w:val="0"/>
      <w:strike w:val="0"/>
      <w:color w:val="231F20"/>
      <w:spacing w:val="0"/>
      <w:w w:val="100"/>
      <w:position w:val="0"/>
      <w:sz w:val="12"/>
      <w:szCs w:val="12"/>
      <w:u w:val="none"/>
      <w:lang w:val="ru-RU" w:eastAsia="ru-RU" w:bidi="ru-RU"/>
    </w:rPr>
  </w:style>
  <w:style w:type="character" w:customStyle="1" w:styleId="11BookmanOldStyle9pt">
    <w:name w:val="Основной текст (11) + Bookman Old Style;9 pt;Не полужирный"/>
    <w:basedOn w:val="110"/>
    <w:rsid w:val="00350D42"/>
    <w:rPr>
      <w:rFonts w:ascii="Bookman Old Style" w:eastAsia="Bookman Old Style" w:hAnsi="Bookman Old Style" w:cs="Bookman Old Style"/>
      <w:b/>
      <w:bCs/>
      <w:i w:val="0"/>
      <w:iCs w:val="0"/>
      <w:smallCaps w:val="0"/>
      <w:strike w:val="0"/>
      <w:color w:val="231F20"/>
      <w:spacing w:val="0"/>
      <w:w w:val="100"/>
      <w:position w:val="0"/>
      <w:sz w:val="18"/>
      <w:szCs w:val="18"/>
      <w:u w:val="none"/>
      <w:lang w:val="ru-RU" w:eastAsia="ru-RU" w:bidi="ru-RU"/>
    </w:rPr>
  </w:style>
  <w:style w:type="character" w:customStyle="1" w:styleId="3BookmanOldStyle9pt">
    <w:name w:val="Подпись к картинке (3) + Bookman Old Style;9 pt;Не полужирный"/>
    <w:basedOn w:val="3f0"/>
    <w:rsid w:val="00350D42"/>
    <w:rPr>
      <w:rFonts w:ascii="Bookman Old Style" w:eastAsia="Bookman Old Style" w:hAnsi="Bookman Old Style" w:cs="Bookman Old Style"/>
      <w:b/>
      <w:bCs/>
      <w:i w:val="0"/>
      <w:iCs w:val="0"/>
      <w:smallCaps w:val="0"/>
      <w:strike w:val="0"/>
      <w:color w:val="231F20"/>
      <w:spacing w:val="0"/>
      <w:w w:val="100"/>
      <w:position w:val="0"/>
      <w:sz w:val="18"/>
      <w:szCs w:val="18"/>
      <w:u w:val="none"/>
      <w:lang w:val="ru-RU" w:eastAsia="ru-RU" w:bidi="ru-RU"/>
    </w:rPr>
  </w:style>
  <w:style w:type="character" w:customStyle="1" w:styleId="275pt2">
    <w:name w:val="Основной текст (2) + 7.5 pt;Полужирный"/>
    <w:basedOn w:val="2b"/>
    <w:rsid w:val="00350D42"/>
    <w:rPr>
      <w:rFonts w:ascii="Bookman Old Style" w:eastAsia="Bookman Old Style" w:hAnsi="Bookman Old Style" w:cs="Bookman Old Style"/>
      <w:b/>
      <w:bCs/>
      <w:i w:val="0"/>
      <w:iCs w:val="0"/>
      <w:smallCaps w:val="0"/>
      <w:strike w:val="0"/>
      <w:color w:val="FFFFFF"/>
      <w:spacing w:val="0"/>
      <w:w w:val="100"/>
      <w:position w:val="0"/>
      <w:sz w:val="15"/>
      <w:szCs w:val="15"/>
      <w:u w:val="none"/>
      <w:lang w:val="ru-RU" w:eastAsia="ru-RU" w:bidi="ru-RU"/>
    </w:rPr>
  </w:style>
  <w:style w:type="character" w:customStyle="1" w:styleId="67">
    <w:name w:val="Подпись к таблице (6)_"/>
    <w:basedOn w:val="a0"/>
    <w:link w:val="68"/>
    <w:rsid w:val="00350D42"/>
    <w:rPr>
      <w:rFonts w:ascii="Bookman Old Style" w:eastAsia="Bookman Old Style" w:hAnsi="Bookman Old Style" w:cs="Bookman Old Style"/>
      <w:b w:val="0"/>
      <w:bCs w:val="0"/>
      <w:i w:val="0"/>
      <w:iCs w:val="0"/>
      <w:smallCaps w:val="0"/>
      <w:strike w:val="0"/>
      <w:sz w:val="18"/>
      <w:szCs w:val="18"/>
      <w:u w:val="none"/>
    </w:rPr>
  </w:style>
  <w:style w:type="character" w:customStyle="1" w:styleId="69">
    <w:name w:val="Подпись к таблице (6)"/>
    <w:basedOn w:val="67"/>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5Exact1">
    <w:name w:val="Подпись к картинке (5) Exact"/>
    <w:basedOn w:val="56"/>
    <w:rsid w:val="00350D42"/>
    <w:rPr>
      <w:rFonts w:ascii="Bookman Old Style" w:eastAsia="Bookman Old Style" w:hAnsi="Bookman Old Style" w:cs="Bookman Old Style"/>
      <w:b w:val="0"/>
      <w:bCs w:val="0"/>
      <w:i w:val="0"/>
      <w:iCs w:val="0"/>
      <w:smallCaps w:val="0"/>
      <w:strike w:val="0"/>
      <w:color w:val="231F20"/>
      <w:spacing w:val="0"/>
      <w:w w:val="100"/>
      <w:position w:val="0"/>
      <w:sz w:val="15"/>
      <w:szCs w:val="15"/>
      <w:u w:val="single"/>
      <w:lang w:val="ru-RU" w:eastAsia="ru-RU" w:bidi="ru-RU"/>
    </w:rPr>
  </w:style>
  <w:style w:type="character" w:customStyle="1" w:styleId="2fd">
    <w:name w:val="Колонтитул (2)"/>
    <w:basedOn w:val="2fa"/>
    <w:rsid w:val="00350D42"/>
    <w:rPr>
      <w:rFonts w:ascii="Bookman Old Style" w:eastAsia="Bookman Old Style" w:hAnsi="Bookman Old Style" w:cs="Bookman Old Style"/>
      <w:b w:val="0"/>
      <w:bCs w:val="0"/>
      <w:i w:val="0"/>
      <w:iCs w:val="0"/>
      <w:smallCaps w:val="0"/>
      <w:strike w:val="0"/>
      <w:color w:val="231F20"/>
      <w:spacing w:val="0"/>
      <w:w w:val="100"/>
      <w:position w:val="0"/>
      <w:sz w:val="15"/>
      <w:szCs w:val="15"/>
      <w:u w:val="none"/>
      <w:lang w:val="ru-RU" w:eastAsia="ru-RU" w:bidi="ru-RU"/>
    </w:rPr>
  </w:style>
  <w:style w:type="character" w:customStyle="1" w:styleId="2fe">
    <w:name w:val="Колонтитул (2) + Курсив"/>
    <w:basedOn w:val="2fa"/>
    <w:rsid w:val="00350D42"/>
    <w:rPr>
      <w:rFonts w:ascii="Bookman Old Style" w:eastAsia="Bookman Old Style" w:hAnsi="Bookman Old Style" w:cs="Bookman Old Style"/>
      <w:b w:val="0"/>
      <w:bCs w:val="0"/>
      <w:i/>
      <w:iCs/>
      <w:smallCaps w:val="0"/>
      <w:strike w:val="0"/>
      <w:color w:val="231F20"/>
      <w:spacing w:val="0"/>
      <w:w w:val="100"/>
      <w:position w:val="0"/>
      <w:sz w:val="15"/>
      <w:szCs w:val="15"/>
      <w:u w:val="none"/>
      <w:lang w:val="ru-RU" w:eastAsia="ru-RU" w:bidi="ru-RU"/>
    </w:rPr>
  </w:style>
  <w:style w:type="character" w:customStyle="1" w:styleId="2ArialNarrow85pt">
    <w:name w:val="Основной текст (2) + Arial Narrow;8.5 pt;Полужирный"/>
    <w:basedOn w:val="2b"/>
    <w:rsid w:val="00350D42"/>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style>
  <w:style w:type="character" w:customStyle="1" w:styleId="4a">
    <w:name w:val="Подпись к картинке (4)_"/>
    <w:basedOn w:val="a0"/>
    <w:link w:val="4f2"/>
    <w:rsid w:val="00350D42"/>
    <w:rPr>
      <w:rFonts w:ascii="Bookman Old Style" w:eastAsia="Bookman Old Style" w:hAnsi="Bookman Old Style" w:cs="Bookman Old Style"/>
      <w:b w:val="0"/>
      <w:bCs w:val="0"/>
      <w:i w:val="0"/>
      <w:iCs w:val="0"/>
      <w:smallCaps w:val="0"/>
      <w:strike w:val="0"/>
      <w:sz w:val="18"/>
      <w:szCs w:val="18"/>
      <w:u w:val="none"/>
    </w:rPr>
  </w:style>
  <w:style w:type="character" w:customStyle="1" w:styleId="4f3">
    <w:name w:val="Подпись к картинке (4)"/>
    <w:basedOn w:val="4a"/>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2ff">
    <w:name w:val="Основной текст (2)"/>
    <w:basedOn w:val="2b"/>
    <w:rsid w:val="00350D42"/>
    <w:rPr>
      <w:rFonts w:ascii="Bookman Old Style" w:eastAsia="Bookman Old Style" w:hAnsi="Bookman Old Style" w:cs="Bookman Old Style"/>
      <w:b w:val="0"/>
      <w:bCs w:val="0"/>
      <w:i w:val="0"/>
      <w:iCs w:val="0"/>
      <w:smallCaps w:val="0"/>
      <w:strike w:val="0"/>
      <w:color w:val="B2B1B2"/>
      <w:spacing w:val="0"/>
      <w:w w:val="100"/>
      <w:position w:val="0"/>
      <w:sz w:val="18"/>
      <w:szCs w:val="18"/>
      <w:u w:val="none"/>
      <w:lang w:val="ru-RU" w:eastAsia="ru-RU" w:bidi="ru-RU"/>
    </w:rPr>
  </w:style>
  <w:style w:type="character" w:customStyle="1" w:styleId="2MicrosoftSansSerif8pt0">
    <w:name w:val="Колонтитул (2) + Microsoft Sans Serif;8 pt;Полужирный;Курсив"/>
    <w:basedOn w:val="2fa"/>
    <w:rsid w:val="00350D42"/>
    <w:rPr>
      <w:rFonts w:ascii="Microsoft Sans Serif" w:eastAsia="Microsoft Sans Serif" w:hAnsi="Microsoft Sans Serif" w:cs="Microsoft Sans Serif"/>
      <w:b/>
      <w:bCs/>
      <w:i/>
      <w:iCs/>
      <w:smallCaps w:val="0"/>
      <w:strike w:val="0"/>
      <w:color w:val="231F20"/>
      <w:spacing w:val="0"/>
      <w:w w:val="100"/>
      <w:position w:val="0"/>
      <w:sz w:val="16"/>
      <w:szCs w:val="16"/>
      <w:u w:val="none"/>
      <w:lang w:val="ru-RU" w:eastAsia="ru-RU" w:bidi="ru-RU"/>
    </w:rPr>
  </w:style>
  <w:style w:type="character" w:customStyle="1" w:styleId="2MicrosoftSansSerif8pt1">
    <w:name w:val="Колонтитул (2) + Microsoft Sans Serif;8 pt;Полужирный;Курсив"/>
    <w:basedOn w:val="2fa"/>
    <w:rsid w:val="00350D42"/>
    <w:rPr>
      <w:rFonts w:ascii="Microsoft Sans Serif" w:eastAsia="Microsoft Sans Serif" w:hAnsi="Microsoft Sans Serif" w:cs="Microsoft Sans Serif"/>
      <w:b/>
      <w:bCs/>
      <w:i/>
      <w:iCs/>
      <w:smallCaps w:val="0"/>
      <w:strike w:val="0"/>
      <w:color w:val="231F20"/>
      <w:spacing w:val="0"/>
      <w:w w:val="100"/>
      <w:position w:val="0"/>
      <w:sz w:val="16"/>
      <w:szCs w:val="16"/>
      <w:u w:val="none"/>
      <w:lang w:val="ru-RU" w:eastAsia="ru-RU" w:bidi="ru-RU"/>
    </w:rPr>
  </w:style>
  <w:style w:type="character" w:customStyle="1" w:styleId="290">
    <w:name w:val="Основной текст (29)_"/>
    <w:basedOn w:val="a0"/>
    <w:link w:val="291"/>
    <w:rsid w:val="00350D42"/>
    <w:rPr>
      <w:rFonts w:ascii="Arial Narrow" w:eastAsia="Arial Narrow" w:hAnsi="Arial Narrow" w:cs="Arial Narrow"/>
      <w:b/>
      <w:bCs/>
      <w:i w:val="0"/>
      <w:iCs w:val="0"/>
      <w:smallCaps w:val="0"/>
      <w:strike w:val="0"/>
      <w:u w:val="none"/>
    </w:rPr>
  </w:style>
  <w:style w:type="character" w:customStyle="1" w:styleId="292">
    <w:name w:val="Основной текст (29)"/>
    <w:basedOn w:val="290"/>
    <w:rsid w:val="00350D42"/>
    <w:rPr>
      <w:rFonts w:ascii="Arial Narrow" w:eastAsia="Arial Narrow" w:hAnsi="Arial Narrow" w:cs="Arial Narrow"/>
      <w:b/>
      <w:bCs/>
      <w:i w:val="0"/>
      <w:iCs w:val="0"/>
      <w:smallCaps w:val="0"/>
      <w:strike w:val="0"/>
      <w:color w:val="231F20"/>
      <w:spacing w:val="0"/>
      <w:w w:val="100"/>
      <w:position w:val="0"/>
      <w:sz w:val="24"/>
      <w:szCs w:val="24"/>
      <w:u w:val="none"/>
      <w:lang w:val="ru-RU" w:eastAsia="ru-RU" w:bidi="ru-RU"/>
    </w:rPr>
  </w:style>
  <w:style w:type="character" w:customStyle="1" w:styleId="300">
    <w:name w:val="Основной текст (30)_"/>
    <w:basedOn w:val="a0"/>
    <w:link w:val="301"/>
    <w:rsid w:val="00350D42"/>
    <w:rPr>
      <w:rFonts w:ascii="Arial Narrow" w:eastAsia="Arial Narrow" w:hAnsi="Arial Narrow" w:cs="Arial Narrow"/>
      <w:b/>
      <w:bCs/>
      <w:i w:val="0"/>
      <w:iCs w:val="0"/>
      <w:smallCaps w:val="0"/>
      <w:strike w:val="0"/>
      <w:sz w:val="32"/>
      <w:szCs w:val="32"/>
      <w:u w:val="none"/>
    </w:rPr>
  </w:style>
  <w:style w:type="character" w:customStyle="1" w:styleId="302">
    <w:name w:val="Основной текст (30)"/>
    <w:basedOn w:val="300"/>
    <w:rsid w:val="00350D42"/>
    <w:rPr>
      <w:rFonts w:ascii="Arial Narrow" w:eastAsia="Arial Narrow" w:hAnsi="Arial Narrow" w:cs="Arial Narrow"/>
      <w:b/>
      <w:bCs/>
      <w:i w:val="0"/>
      <w:iCs w:val="0"/>
      <w:smallCaps w:val="0"/>
      <w:strike w:val="0"/>
      <w:color w:val="231F20"/>
      <w:spacing w:val="0"/>
      <w:w w:val="100"/>
      <w:position w:val="0"/>
      <w:sz w:val="32"/>
      <w:szCs w:val="32"/>
      <w:u w:val="none"/>
      <w:lang w:val="ru-RU" w:eastAsia="ru-RU" w:bidi="ru-RU"/>
    </w:rPr>
  </w:style>
  <w:style w:type="character" w:customStyle="1" w:styleId="11BookmanOldStyle9pt0">
    <w:name w:val="Основной текст (11) + Bookman Old Style;9 pt;Не полужирный;Курсив"/>
    <w:basedOn w:val="110"/>
    <w:rsid w:val="00350D42"/>
    <w:rPr>
      <w:rFonts w:ascii="Bookman Old Style" w:eastAsia="Bookman Old Style" w:hAnsi="Bookman Old Style" w:cs="Bookman Old Style"/>
      <w:b/>
      <w:bCs/>
      <w:i/>
      <w:iCs/>
      <w:smallCaps w:val="0"/>
      <w:strike w:val="0"/>
      <w:color w:val="231F20"/>
      <w:spacing w:val="0"/>
      <w:w w:val="100"/>
      <w:position w:val="0"/>
      <w:sz w:val="18"/>
      <w:szCs w:val="18"/>
      <w:u w:val="none"/>
      <w:lang w:val="ru-RU" w:eastAsia="ru-RU" w:bidi="ru-RU"/>
    </w:rPr>
  </w:style>
  <w:style w:type="character" w:customStyle="1" w:styleId="2ff0">
    <w:name w:val="Колонтитул (2)"/>
    <w:basedOn w:val="2fa"/>
    <w:rsid w:val="00350D42"/>
    <w:rPr>
      <w:rFonts w:ascii="Bookman Old Style" w:eastAsia="Bookman Old Style" w:hAnsi="Bookman Old Style" w:cs="Bookman Old Style"/>
      <w:b w:val="0"/>
      <w:bCs w:val="0"/>
      <w:i w:val="0"/>
      <w:iCs w:val="0"/>
      <w:smallCaps w:val="0"/>
      <w:strike w:val="0"/>
      <w:color w:val="686667"/>
      <w:spacing w:val="0"/>
      <w:w w:val="100"/>
      <w:position w:val="0"/>
      <w:sz w:val="15"/>
      <w:szCs w:val="15"/>
      <w:u w:val="none"/>
      <w:lang w:val="ru-RU" w:eastAsia="ru-RU" w:bidi="ru-RU"/>
    </w:rPr>
  </w:style>
  <w:style w:type="character" w:customStyle="1" w:styleId="3f7">
    <w:name w:val="Номер заголовка №3_"/>
    <w:basedOn w:val="a0"/>
    <w:link w:val="3f8"/>
    <w:rsid w:val="00350D42"/>
    <w:rPr>
      <w:rFonts w:ascii="Arial Narrow" w:eastAsia="Arial Narrow" w:hAnsi="Arial Narrow" w:cs="Arial Narrow"/>
      <w:b w:val="0"/>
      <w:bCs w:val="0"/>
      <w:i/>
      <w:iCs/>
      <w:smallCaps w:val="0"/>
      <w:strike w:val="0"/>
      <w:sz w:val="28"/>
      <w:szCs w:val="28"/>
      <w:u w:val="none"/>
    </w:rPr>
  </w:style>
  <w:style w:type="character" w:customStyle="1" w:styleId="3f9">
    <w:name w:val="Номер заголовка №3"/>
    <w:basedOn w:val="3f7"/>
    <w:rsid w:val="00350D42"/>
    <w:rPr>
      <w:rFonts w:ascii="Arial Narrow" w:eastAsia="Arial Narrow" w:hAnsi="Arial Narrow" w:cs="Arial Narrow"/>
      <w:b w:val="0"/>
      <w:bCs w:val="0"/>
      <w:i/>
      <w:iCs/>
      <w:smallCaps w:val="0"/>
      <w:strike w:val="0"/>
      <w:color w:val="231F20"/>
      <w:spacing w:val="0"/>
      <w:w w:val="100"/>
      <w:position w:val="0"/>
      <w:sz w:val="28"/>
      <w:szCs w:val="28"/>
      <w:u w:val="none"/>
      <w:lang w:val="ru-RU" w:eastAsia="ru-RU" w:bidi="ru-RU"/>
    </w:rPr>
  </w:style>
  <w:style w:type="character" w:customStyle="1" w:styleId="285pt1">
    <w:name w:val="Основной текст (2) + 8.5 pt;Полужирный;Курсив"/>
    <w:basedOn w:val="2b"/>
    <w:rsid w:val="00350D42"/>
    <w:rPr>
      <w:rFonts w:ascii="Bookman Old Style" w:eastAsia="Bookman Old Style" w:hAnsi="Bookman Old Style" w:cs="Bookman Old Style"/>
      <w:b/>
      <w:bCs/>
      <w:i/>
      <w:iCs/>
      <w:smallCaps w:val="0"/>
      <w:strike w:val="0"/>
      <w:color w:val="231F20"/>
      <w:spacing w:val="0"/>
      <w:w w:val="100"/>
      <w:position w:val="0"/>
      <w:sz w:val="17"/>
      <w:szCs w:val="17"/>
      <w:u w:val="none"/>
      <w:lang w:val="ru-RU" w:eastAsia="ru-RU" w:bidi="ru-RU"/>
    </w:rPr>
  </w:style>
  <w:style w:type="character" w:customStyle="1" w:styleId="2ff1">
    <w:name w:val="Основной текст (2)"/>
    <w:basedOn w:val="2b"/>
    <w:rsid w:val="00350D42"/>
    <w:rPr>
      <w:rFonts w:ascii="Bookman Old Style" w:eastAsia="Bookman Old Style" w:hAnsi="Bookman Old Style" w:cs="Bookman Old Style"/>
      <w:b w:val="0"/>
      <w:bCs w:val="0"/>
      <w:i w:val="0"/>
      <w:iCs w:val="0"/>
      <w:smallCaps w:val="0"/>
      <w:strike w:val="0"/>
      <w:color w:val="231F20"/>
      <w:spacing w:val="0"/>
      <w:w w:val="100"/>
      <w:position w:val="0"/>
      <w:sz w:val="18"/>
      <w:szCs w:val="18"/>
      <w:u w:val="none"/>
      <w:lang w:val="ru-RU" w:eastAsia="ru-RU" w:bidi="ru-RU"/>
    </w:rPr>
  </w:style>
  <w:style w:type="character" w:customStyle="1" w:styleId="2085pt">
    <w:name w:val="Основной текст (20) + 8.5 pt;Полужирный;Курсив"/>
    <w:basedOn w:val="200"/>
    <w:rsid w:val="00350D42"/>
    <w:rPr>
      <w:rFonts w:ascii="Bookman Old Style" w:eastAsia="Bookman Old Style" w:hAnsi="Bookman Old Style" w:cs="Bookman Old Style"/>
      <w:b/>
      <w:bCs/>
      <w:i/>
      <w:iCs/>
      <w:smallCaps w:val="0"/>
      <w:strike w:val="0"/>
      <w:color w:val="231F20"/>
      <w:spacing w:val="0"/>
      <w:w w:val="100"/>
      <w:position w:val="0"/>
      <w:sz w:val="17"/>
      <w:szCs w:val="17"/>
      <w:u w:val="none"/>
      <w:lang w:val="ru-RU" w:eastAsia="ru-RU" w:bidi="ru-RU"/>
    </w:rPr>
  </w:style>
  <w:style w:type="character" w:customStyle="1" w:styleId="20ArialNarrow85pt">
    <w:name w:val="Основной текст (20) + Arial Narrow;8.5 pt;Курсив"/>
    <w:basedOn w:val="200"/>
    <w:rsid w:val="00350D42"/>
    <w:rPr>
      <w:rFonts w:ascii="Arial Narrow" w:eastAsia="Arial Narrow" w:hAnsi="Arial Narrow" w:cs="Arial Narrow"/>
      <w:b w:val="0"/>
      <w:bCs w:val="0"/>
      <w:i/>
      <w:iCs/>
      <w:smallCaps w:val="0"/>
      <w:strike w:val="0"/>
      <w:color w:val="231F20"/>
      <w:spacing w:val="0"/>
      <w:w w:val="100"/>
      <w:position w:val="0"/>
      <w:sz w:val="17"/>
      <w:szCs w:val="17"/>
      <w:u w:val="none"/>
      <w:lang w:val="ru-RU" w:eastAsia="ru-RU" w:bidi="ru-RU"/>
    </w:rPr>
  </w:style>
  <w:style w:type="character" w:customStyle="1" w:styleId="20ArialNarrow85pt0">
    <w:name w:val="Основной текст (20) + Arial Narrow;8.5 pt;Полужирный"/>
    <w:basedOn w:val="200"/>
    <w:rsid w:val="00350D42"/>
    <w:rPr>
      <w:rFonts w:ascii="Arial Narrow" w:eastAsia="Arial Narrow" w:hAnsi="Arial Narrow" w:cs="Arial Narrow"/>
      <w:b/>
      <w:bCs/>
      <w:i w:val="0"/>
      <w:iCs w:val="0"/>
      <w:smallCaps w:val="0"/>
      <w:strike w:val="0"/>
      <w:color w:val="231F20"/>
      <w:spacing w:val="0"/>
      <w:w w:val="100"/>
      <w:position w:val="0"/>
      <w:sz w:val="17"/>
      <w:szCs w:val="17"/>
      <w:u w:val="none"/>
      <w:lang w:val="ru-RU" w:eastAsia="ru-RU" w:bidi="ru-RU"/>
    </w:rPr>
  </w:style>
  <w:style w:type="character" w:customStyle="1" w:styleId="192">
    <w:name w:val="Основной текст (19) + Полужирный;Не курсив"/>
    <w:basedOn w:val="19"/>
    <w:rsid w:val="00350D42"/>
    <w:rPr>
      <w:rFonts w:ascii="Arial Narrow" w:eastAsia="Arial Narrow" w:hAnsi="Arial Narrow" w:cs="Arial Narrow"/>
      <w:b/>
      <w:bCs/>
      <w:i/>
      <w:iCs/>
      <w:smallCaps w:val="0"/>
      <w:strike w:val="0"/>
      <w:color w:val="231F20"/>
      <w:spacing w:val="0"/>
      <w:w w:val="100"/>
      <w:position w:val="0"/>
      <w:sz w:val="17"/>
      <w:szCs w:val="17"/>
      <w:u w:val="none"/>
      <w:lang w:val="ru-RU" w:eastAsia="ru-RU" w:bidi="ru-RU"/>
    </w:rPr>
  </w:style>
  <w:style w:type="character" w:customStyle="1" w:styleId="193">
    <w:name w:val="Основной текст (19) + Полужирный;Не курсив"/>
    <w:basedOn w:val="19"/>
    <w:rsid w:val="00350D42"/>
    <w:rPr>
      <w:rFonts w:ascii="Arial Narrow" w:eastAsia="Arial Narrow" w:hAnsi="Arial Narrow" w:cs="Arial Narrow"/>
      <w:b/>
      <w:bCs/>
      <w:i/>
      <w:iCs/>
      <w:smallCaps w:val="0"/>
      <w:strike w:val="0"/>
      <w:color w:val="000000"/>
      <w:spacing w:val="0"/>
      <w:w w:val="100"/>
      <w:position w:val="0"/>
      <w:sz w:val="17"/>
      <w:szCs w:val="17"/>
      <w:u w:val="none"/>
    </w:rPr>
  </w:style>
  <w:style w:type="character" w:customStyle="1" w:styleId="18ArialNarrow85pt">
    <w:name w:val="Основной текст (18) + Arial Narrow;8.5 pt;Полужирный;Не курсив"/>
    <w:basedOn w:val="18"/>
    <w:rsid w:val="00350D42"/>
    <w:rPr>
      <w:rFonts w:ascii="Arial Narrow" w:eastAsia="Arial Narrow" w:hAnsi="Arial Narrow" w:cs="Arial Narrow"/>
      <w:b/>
      <w:bCs/>
      <w:i/>
      <w:iCs/>
      <w:smallCaps w:val="0"/>
      <w:strike w:val="0"/>
      <w:color w:val="231F20"/>
      <w:spacing w:val="0"/>
      <w:w w:val="100"/>
      <w:position w:val="0"/>
      <w:sz w:val="17"/>
      <w:szCs w:val="17"/>
      <w:u w:val="none"/>
      <w:lang w:val="ru-RU" w:eastAsia="ru-RU" w:bidi="ru-RU"/>
    </w:rPr>
  </w:style>
  <w:style w:type="character" w:customStyle="1" w:styleId="18ArialNarrow85pt0">
    <w:name w:val="Основной текст (18) + Arial Narrow;8.5 pt;Полужирный;Не курсив"/>
    <w:basedOn w:val="18"/>
    <w:rsid w:val="00350D42"/>
    <w:rPr>
      <w:rFonts w:ascii="Arial Narrow" w:eastAsia="Arial Narrow" w:hAnsi="Arial Narrow" w:cs="Arial Narrow"/>
      <w:b/>
      <w:bCs/>
      <w:i/>
      <w:iCs/>
      <w:smallCaps w:val="0"/>
      <w:strike w:val="0"/>
      <w:color w:val="000000"/>
      <w:spacing w:val="0"/>
      <w:w w:val="100"/>
      <w:position w:val="0"/>
      <w:sz w:val="17"/>
      <w:szCs w:val="17"/>
      <w:u w:val="none"/>
    </w:rPr>
  </w:style>
  <w:style w:type="character" w:customStyle="1" w:styleId="3fa">
    <w:name w:val="Подпись к таблице (3) + Не полужирный;Курсив"/>
    <w:basedOn w:val="3f1"/>
    <w:rsid w:val="00350D42"/>
    <w:rPr>
      <w:rFonts w:ascii="Arial Narrow" w:eastAsia="Arial Narrow" w:hAnsi="Arial Narrow" w:cs="Arial Narrow"/>
      <w:b/>
      <w:bCs/>
      <w:i/>
      <w:iCs/>
      <w:smallCaps w:val="0"/>
      <w:strike w:val="0"/>
      <w:color w:val="231F20"/>
      <w:spacing w:val="0"/>
      <w:w w:val="100"/>
      <w:position w:val="0"/>
      <w:sz w:val="17"/>
      <w:szCs w:val="17"/>
      <w:u w:val="none"/>
      <w:lang w:val="en-US" w:eastAsia="en-US" w:bidi="en-US"/>
    </w:rPr>
  </w:style>
  <w:style w:type="character" w:customStyle="1" w:styleId="275pt1pt">
    <w:name w:val="Основной текст (2) + 7.5 pt;Курсив;Интервал 1 pt"/>
    <w:basedOn w:val="2b"/>
    <w:rsid w:val="00350D42"/>
    <w:rPr>
      <w:rFonts w:ascii="Bookman Old Style" w:eastAsia="Bookman Old Style" w:hAnsi="Bookman Old Style" w:cs="Bookman Old Style"/>
      <w:b w:val="0"/>
      <w:bCs w:val="0"/>
      <w:i/>
      <w:iCs/>
      <w:smallCaps w:val="0"/>
      <w:strike w:val="0"/>
      <w:color w:val="231F20"/>
      <w:spacing w:val="20"/>
      <w:w w:val="100"/>
      <w:position w:val="0"/>
      <w:sz w:val="15"/>
      <w:szCs w:val="15"/>
      <w:u w:val="none"/>
      <w:lang w:val="ru-RU" w:eastAsia="ru-RU" w:bidi="ru-RU"/>
    </w:rPr>
  </w:style>
  <w:style w:type="character" w:customStyle="1" w:styleId="310">
    <w:name w:val="Основной текст (31)_"/>
    <w:basedOn w:val="a0"/>
    <w:link w:val="311"/>
    <w:rsid w:val="00350D42"/>
    <w:rPr>
      <w:rFonts w:ascii="Bookman Old Style" w:eastAsia="Bookman Old Style" w:hAnsi="Bookman Old Style" w:cs="Bookman Old Style"/>
      <w:b/>
      <w:bCs/>
      <w:i w:val="0"/>
      <w:iCs w:val="0"/>
      <w:smallCaps w:val="0"/>
      <w:strike w:val="0"/>
      <w:sz w:val="15"/>
      <w:szCs w:val="15"/>
      <w:u w:val="none"/>
    </w:rPr>
  </w:style>
  <w:style w:type="character" w:customStyle="1" w:styleId="312">
    <w:name w:val="Основной текст (31)"/>
    <w:basedOn w:val="310"/>
    <w:rsid w:val="00350D42"/>
    <w:rPr>
      <w:rFonts w:ascii="Bookman Old Style" w:eastAsia="Bookman Old Style" w:hAnsi="Bookman Old Style" w:cs="Bookman Old Style"/>
      <w:b/>
      <w:bCs/>
      <w:i w:val="0"/>
      <w:iCs w:val="0"/>
      <w:smallCaps w:val="0"/>
      <w:strike w:val="0"/>
      <w:color w:val="231F20"/>
      <w:spacing w:val="0"/>
      <w:w w:val="100"/>
      <w:position w:val="0"/>
      <w:sz w:val="15"/>
      <w:szCs w:val="15"/>
      <w:u w:val="none"/>
      <w:lang w:val="ru-RU" w:eastAsia="ru-RU" w:bidi="ru-RU"/>
    </w:rPr>
  </w:style>
  <w:style w:type="character" w:customStyle="1" w:styleId="313">
    <w:name w:val="Основной текст (31) + Не полужирный"/>
    <w:basedOn w:val="310"/>
    <w:rsid w:val="00350D42"/>
    <w:rPr>
      <w:rFonts w:ascii="Bookman Old Style" w:eastAsia="Bookman Old Style" w:hAnsi="Bookman Old Style" w:cs="Bookman Old Style"/>
      <w:b/>
      <w:bCs/>
      <w:i w:val="0"/>
      <w:iCs w:val="0"/>
      <w:smallCaps w:val="0"/>
      <w:strike w:val="0"/>
      <w:color w:val="231F20"/>
      <w:spacing w:val="0"/>
      <w:w w:val="100"/>
      <w:position w:val="0"/>
      <w:sz w:val="15"/>
      <w:szCs w:val="15"/>
      <w:u w:val="none"/>
      <w:lang w:val="ru-RU" w:eastAsia="ru-RU" w:bidi="ru-RU"/>
    </w:rPr>
  </w:style>
  <w:style w:type="character" w:customStyle="1" w:styleId="320">
    <w:name w:val="Основной текст (32)_"/>
    <w:basedOn w:val="a0"/>
    <w:link w:val="321"/>
    <w:rsid w:val="00350D42"/>
    <w:rPr>
      <w:rFonts w:ascii="Bookman Old Style" w:eastAsia="Bookman Old Style" w:hAnsi="Bookman Old Style" w:cs="Bookman Old Style"/>
      <w:b/>
      <w:bCs/>
      <w:i w:val="0"/>
      <w:iCs w:val="0"/>
      <w:smallCaps w:val="0"/>
      <w:strike w:val="0"/>
      <w:sz w:val="28"/>
      <w:szCs w:val="28"/>
      <w:u w:val="none"/>
    </w:rPr>
  </w:style>
  <w:style w:type="character" w:customStyle="1" w:styleId="322">
    <w:name w:val="Основной текст (32)"/>
    <w:basedOn w:val="320"/>
    <w:rsid w:val="00350D42"/>
    <w:rPr>
      <w:rFonts w:ascii="Bookman Old Style" w:eastAsia="Bookman Old Style" w:hAnsi="Bookman Old Style" w:cs="Bookman Old Style"/>
      <w:b/>
      <w:bCs/>
      <w:i w:val="0"/>
      <w:iCs w:val="0"/>
      <w:smallCaps w:val="0"/>
      <w:strike w:val="0"/>
      <w:color w:val="231F20"/>
      <w:spacing w:val="0"/>
      <w:w w:val="100"/>
      <w:position w:val="0"/>
      <w:sz w:val="28"/>
      <w:szCs w:val="28"/>
      <w:u w:val="none"/>
      <w:lang w:val="ru-RU" w:eastAsia="ru-RU" w:bidi="ru-RU"/>
    </w:rPr>
  </w:style>
  <w:style w:type="paragraph" w:customStyle="1" w:styleId="a4">
    <w:name w:val="Сноска"/>
    <w:basedOn w:val="a"/>
    <w:link w:val="a3"/>
    <w:rsid w:val="00350D42"/>
    <w:pPr>
      <w:shd w:val="clear" w:color="auto" w:fill="FFFFFF"/>
      <w:ind w:firstLine="340"/>
    </w:pPr>
    <w:rPr>
      <w:rFonts w:ascii="Bookman Old Style" w:eastAsia="Bookman Old Style" w:hAnsi="Bookman Old Style" w:cs="Bookman Old Style"/>
      <w:sz w:val="15"/>
      <w:szCs w:val="15"/>
    </w:rPr>
  </w:style>
  <w:style w:type="paragraph" w:customStyle="1" w:styleId="22">
    <w:name w:val="Сноска (2)"/>
    <w:basedOn w:val="a"/>
    <w:link w:val="21"/>
    <w:rsid w:val="00350D42"/>
    <w:pPr>
      <w:shd w:val="clear" w:color="auto" w:fill="FFFFFF"/>
      <w:spacing w:line="202" w:lineRule="exact"/>
    </w:pPr>
    <w:rPr>
      <w:rFonts w:ascii="Bookman Old Style" w:eastAsia="Bookman Old Style" w:hAnsi="Bookman Old Style" w:cs="Bookman Old Style"/>
      <w:i/>
      <w:iCs/>
      <w:sz w:val="15"/>
      <w:szCs w:val="15"/>
    </w:rPr>
  </w:style>
  <w:style w:type="paragraph" w:customStyle="1" w:styleId="32">
    <w:name w:val="Сноска (3)"/>
    <w:basedOn w:val="a"/>
    <w:link w:val="31"/>
    <w:rsid w:val="00350D42"/>
    <w:pPr>
      <w:shd w:val="clear" w:color="auto" w:fill="FFFFFF"/>
    </w:pPr>
    <w:rPr>
      <w:rFonts w:ascii="Bookman Old Style" w:eastAsia="Bookman Old Style" w:hAnsi="Bookman Old Style" w:cs="Bookman Old Style"/>
      <w:sz w:val="18"/>
      <w:szCs w:val="18"/>
    </w:rPr>
  </w:style>
  <w:style w:type="paragraph" w:customStyle="1" w:styleId="42">
    <w:name w:val="Сноска (4)"/>
    <w:basedOn w:val="a"/>
    <w:link w:val="41"/>
    <w:rsid w:val="00350D42"/>
    <w:pPr>
      <w:shd w:val="clear" w:color="auto" w:fill="FFFFFF"/>
      <w:ind w:firstLine="340"/>
    </w:pPr>
    <w:rPr>
      <w:rFonts w:ascii="Bookman Old Style" w:eastAsia="Bookman Old Style" w:hAnsi="Bookman Old Style" w:cs="Bookman Old Style"/>
      <w:sz w:val="17"/>
      <w:szCs w:val="17"/>
    </w:rPr>
  </w:style>
  <w:style w:type="paragraph" w:customStyle="1" w:styleId="50">
    <w:name w:val="Сноска (5)"/>
    <w:basedOn w:val="a"/>
    <w:link w:val="5"/>
    <w:rsid w:val="00350D42"/>
    <w:pPr>
      <w:shd w:val="clear" w:color="auto" w:fill="FFFFFF"/>
      <w:spacing w:line="202" w:lineRule="exact"/>
      <w:ind w:firstLine="320"/>
    </w:pPr>
    <w:rPr>
      <w:rFonts w:ascii="Arial Narrow" w:eastAsia="Arial Narrow" w:hAnsi="Arial Narrow" w:cs="Arial Narrow"/>
      <w:b/>
      <w:bCs/>
      <w:sz w:val="17"/>
      <w:szCs w:val="17"/>
      <w:lang w:val="en-US" w:eastAsia="en-US" w:bidi="en-US"/>
    </w:rPr>
  </w:style>
  <w:style w:type="paragraph" w:customStyle="1" w:styleId="60">
    <w:name w:val="Сноска (6)"/>
    <w:basedOn w:val="a"/>
    <w:link w:val="6"/>
    <w:rsid w:val="00350D42"/>
    <w:pPr>
      <w:shd w:val="clear" w:color="auto" w:fill="FFFFFF"/>
      <w:spacing w:line="245" w:lineRule="exact"/>
      <w:ind w:firstLine="320"/>
    </w:pPr>
    <w:rPr>
      <w:rFonts w:ascii="Bookman Old Style" w:eastAsia="Bookman Old Style" w:hAnsi="Bookman Old Style" w:cs="Bookman Old Style"/>
      <w:b/>
      <w:bCs/>
      <w:i/>
      <w:iCs/>
      <w:sz w:val="17"/>
      <w:szCs w:val="17"/>
    </w:rPr>
  </w:style>
  <w:style w:type="paragraph" w:customStyle="1" w:styleId="80">
    <w:name w:val="Основной текст (8)"/>
    <w:basedOn w:val="a"/>
    <w:link w:val="8"/>
    <w:rsid w:val="00350D42"/>
    <w:pPr>
      <w:shd w:val="clear" w:color="auto" w:fill="FFFFFF"/>
      <w:spacing w:line="226" w:lineRule="exact"/>
      <w:ind w:hanging="360"/>
    </w:pPr>
    <w:rPr>
      <w:rFonts w:ascii="Bookman Old Style" w:eastAsia="Bookman Old Style" w:hAnsi="Bookman Old Style" w:cs="Bookman Old Style"/>
      <w:sz w:val="17"/>
      <w:szCs w:val="17"/>
    </w:rPr>
  </w:style>
  <w:style w:type="paragraph" w:customStyle="1" w:styleId="12">
    <w:name w:val="Заголовок №1"/>
    <w:basedOn w:val="a"/>
    <w:link w:val="11"/>
    <w:rsid w:val="00350D42"/>
    <w:pPr>
      <w:shd w:val="clear" w:color="auto" w:fill="FFFFFF"/>
      <w:spacing w:after="340" w:line="682" w:lineRule="exact"/>
      <w:jc w:val="center"/>
      <w:outlineLvl w:val="0"/>
    </w:pPr>
    <w:rPr>
      <w:rFonts w:ascii="Impact" w:eastAsia="Impact" w:hAnsi="Impact" w:cs="Impact"/>
      <w:sz w:val="56"/>
      <w:szCs w:val="56"/>
    </w:rPr>
  </w:style>
  <w:style w:type="paragraph" w:customStyle="1" w:styleId="35">
    <w:name w:val="Основной текст (3)"/>
    <w:basedOn w:val="a"/>
    <w:link w:val="34"/>
    <w:rsid w:val="00350D42"/>
    <w:pPr>
      <w:shd w:val="clear" w:color="auto" w:fill="FFFFFF"/>
      <w:spacing w:before="440" w:line="509" w:lineRule="exact"/>
      <w:jc w:val="center"/>
    </w:pPr>
    <w:rPr>
      <w:rFonts w:ascii="Segoe UI" w:eastAsia="Segoe UI" w:hAnsi="Segoe UI" w:cs="Segoe UI"/>
      <w:sz w:val="26"/>
      <w:szCs w:val="26"/>
    </w:rPr>
  </w:style>
  <w:style w:type="paragraph" w:customStyle="1" w:styleId="45">
    <w:name w:val="Основной текст (4)"/>
    <w:basedOn w:val="a"/>
    <w:link w:val="44"/>
    <w:rsid w:val="00350D42"/>
    <w:pPr>
      <w:shd w:val="clear" w:color="auto" w:fill="FFFFFF"/>
      <w:spacing w:before="840" w:after="1000" w:line="288" w:lineRule="exact"/>
      <w:jc w:val="center"/>
    </w:pPr>
    <w:rPr>
      <w:rFonts w:ascii="Arial Narrow" w:eastAsia="Arial Narrow" w:hAnsi="Arial Narrow" w:cs="Arial Narrow"/>
      <w:i/>
      <w:iCs/>
      <w:sz w:val="19"/>
      <w:szCs w:val="19"/>
    </w:rPr>
  </w:style>
  <w:style w:type="paragraph" w:customStyle="1" w:styleId="54">
    <w:name w:val="Основной текст (5)"/>
    <w:basedOn w:val="a"/>
    <w:link w:val="53"/>
    <w:rsid w:val="00350D42"/>
    <w:pPr>
      <w:shd w:val="clear" w:color="auto" w:fill="FFFFFF"/>
      <w:spacing w:before="1000" w:after="700" w:line="264" w:lineRule="exact"/>
      <w:jc w:val="center"/>
    </w:pPr>
    <w:rPr>
      <w:rFonts w:ascii="Arial Narrow" w:eastAsia="Arial Narrow" w:hAnsi="Arial Narrow" w:cs="Arial Narrow"/>
      <w:b/>
      <w:bCs/>
      <w:sz w:val="19"/>
      <w:szCs w:val="19"/>
    </w:rPr>
  </w:style>
  <w:style w:type="paragraph" w:customStyle="1" w:styleId="63">
    <w:name w:val="Основной текст (6)"/>
    <w:basedOn w:val="a"/>
    <w:link w:val="62"/>
    <w:rsid w:val="00350D42"/>
    <w:pPr>
      <w:shd w:val="clear" w:color="auto" w:fill="FFFFFF"/>
      <w:spacing w:line="206" w:lineRule="exact"/>
    </w:pPr>
    <w:rPr>
      <w:rFonts w:ascii="Bookman Old Style" w:eastAsia="Bookman Old Style" w:hAnsi="Bookman Old Style" w:cs="Bookman Old Style"/>
      <w:sz w:val="15"/>
      <w:szCs w:val="15"/>
    </w:rPr>
  </w:style>
  <w:style w:type="paragraph" w:customStyle="1" w:styleId="70">
    <w:name w:val="Основной текст (7)"/>
    <w:basedOn w:val="a"/>
    <w:link w:val="7"/>
    <w:rsid w:val="00350D42"/>
    <w:pPr>
      <w:shd w:val="clear" w:color="auto" w:fill="FFFFFF"/>
      <w:spacing w:line="202" w:lineRule="exact"/>
    </w:pPr>
    <w:rPr>
      <w:rFonts w:ascii="Bookman Old Style" w:eastAsia="Bookman Old Style" w:hAnsi="Bookman Old Style" w:cs="Bookman Old Style"/>
      <w:i/>
      <w:iCs/>
      <w:sz w:val="15"/>
      <w:szCs w:val="15"/>
    </w:rPr>
  </w:style>
  <w:style w:type="paragraph" w:customStyle="1" w:styleId="39">
    <w:name w:val="Заголовок №3"/>
    <w:basedOn w:val="a"/>
    <w:link w:val="38"/>
    <w:rsid w:val="00350D42"/>
    <w:pPr>
      <w:shd w:val="clear" w:color="auto" w:fill="FFFFFF"/>
      <w:spacing w:after="340" w:line="366" w:lineRule="exact"/>
      <w:jc w:val="center"/>
      <w:outlineLvl w:val="2"/>
    </w:pPr>
    <w:rPr>
      <w:rFonts w:ascii="Arial Narrow" w:eastAsia="Arial Narrow" w:hAnsi="Arial Narrow" w:cs="Arial Narrow"/>
      <w:b/>
      <w:bCs/>
      <w:sz w:val="32"/>
      <w:szCs w:val="32"/>
    </w:rPr>
  </w:style>
  <w:style w:type="paragraph" w:customStyle="1" w:styleId="aa">
    <w:name w:val="Колонтитул"/>
    <w:basedOn w:val="a"/>
    <w:link w:val="a9"/>
    <w:rsid w:val="00350D42"/>
    <w:pPr>
      <w:shd w:val="clear" w:color="auto" w:fill="FFFFFF"/>
      <w:spacing w:line="180" w:lineRule="exact"/>
    </w:pPr>
    <w:rPr>
      <w:rFonts w:ascii="Microsoft Sans Serif" w:eastAsia="Microsoft Sans Serif" w:hAnsi="Microsoft Sans Serif" w:cs="Microsoft Sans Serif"/>
      <w:b/>
      <w:bCs/>
      <w:sz w:val="16"/>
      <w:szCs w:val="16"/>
    </w:rPr>
  </w:style>
  <w:style w:type="paragraph" w:styleId="27">
    <w:name w:val="toc 2"/>
    <w:basedOn w:val="a"/>
    <w:link w:val="26"/>
    <w:autoRedefine/>
    <w:uiPriority w:val="39"/>
    <w:rsid w:val="00350D42"/>
    <w:pPr>
      <w:shd w:val="clear" w:color="auto" w:fill="FFFFFF"/>
      <w:spacing w:before="340" w:after="120" w:line="210" w:lineRule="exact"/>
    </w:pPr>
    <w:rPr>
      <w:rFonts w:ascii="Bookman Old Style" w:eastAsia="Bookman Old Style" w:hAnsi="Bookman Old Style" w:cs="Bookman Old Style"/>
      <w:b/>
      <w:bCs/>
      <w:sz w:val="18"/>
      <w:szCs w:val="18"/>
    </w:rPr>
  </w:style>
  <w:style w:type="paragraph" w:customStyle="1" w:styleId="ad">
    <w:name w:val="Оглавление"/>
    <w:basedOn w:val="a"/>
    <w:link w:val="ac"/>
    <w:rsid w:val="00350D42"/>
    <w:pPr>
      <w:shd w:val="clear" w:color="auto" w:fill="FFFFFF"/>
      <w:spacing w:line="230" w:lineRule="exact"/>
      <w:ind w:hanging="360"/>
    </w:pPr>
    <w:rPr>
      <w:rFonts w:ascii="Bookman Old Style" w:eastAsia="Bookman Old Style" w:hAnsi="Bookman Old Style" w:cs="Bookman Old Style"/>
      <w:sz w:val="17"/>
      <w:szCs w:val="17"/>
    </w:rPr>
  </w:style>
  <w:style w:type="paragraph" w:styleId="48">
    <w:name w:val="toc 4"/>
    <w:basedOn w:val="a"/>
    <w:link w:val="47"/>
    <w:autoRedefine/>
    <w:rsid w:val="00350D42"/>
    <w:pPr>
      <w:shd w:val="clear" w:color="auto" w:fill="FFFFFF"/>
      <w:spacing w:line="226" w:lineRule="exact"/>
    </w:pPr>
    <w:rPr>
      <w:rFonts w:ascii="Bookman Old Style" w:eastAsia="Bookman Old Style" w:hAnsi="Bookman Old Style" w:cs="Bookman Old Style"/>
      <w:i/>
      <w:iCs/>
      <w:sz w:val="17"/>
      <w:szCs w:val="17"/>
    </w:rPr>
  </w:style>
  <w:style w:type="paragraph" w:styleId="3f">
    <w:name w:val="toc 3"/>
    <w:basedOn w:val="a"/>
    <w:link w:val="3e"/>
    <w:autoRedefine/>
    <w:rsid w:val="00350D42"/>
    <w:pPr>
      <w:shd w:val="clear" w:color="auto" w:fill="FFFFFF"/>
      <w:spacing w:line="254" w:lineRule="exact"/>
    </w:pPr>
    <w:rPr>
      <w:rFonts w:ascii="Bookman Old Style" w:eastAsia="Bookman Old Style" w:hAnsi="Bookman Old Style" w:cs="Bookman Old Style"/>
      <w:sz w:val="18"/>
      <w:szCs w:val="18"/>
    </w:rPr>
  </w:style>
  <w:style w:type="paragraph" w:customStyle="1" w:styleId="2a">
    <w:name w:val="Подпись к картинке (2)"/>
    <w:basedOn w:val="a"/>
    <w:link w:val="2Exact"/>
    <w:rsid w:val="00350D42"/>
    <w:pPr>
      <w:shd w:val="clear" w:color="auto" w:fill="FFFFFF"/>
      <w:spacing w:line="188" w:lineRule="exact"/>
    </w:pPr>
    <w:rPr>
      <w:rFonts w:ascii="Bookman Old Style" w:eastAsia="Bookman Old Style" w:hAnsi="Bookman Old Style" w:cs="Bookman Old Style"/>
      <w:i/>
      <w:iCs/>
      <w:sz w:val="17"/>
      <w:szCs w:val="17"/>
    </w:rPr>
  </w:style>
  <w:style w:type="paragraph" w:customStyle="1" w:styleId="3f4">
    <w:name w:val="Подпись к картинке (3)"/>
    <w:basedOn w:val="a"/>
    <w:link w:val="3f0"/>
    <w:rsid w:val="00350D42"/>
    <w:pPr>
      <w:shd w:val="clear" w:color="auto" w:fill="FFFFFF"/>
      <w:spacing w:line="216" w:lineRule="exact"/>
      <w:jc w:val="center"/>
    </w:pPr>
    <w:rPr>
      <w:rFonts w:ascii="Arial Narrow" w:eastAsia="Arial Narrow" w:hAnsi="Arial Narrow" w:cs="Arial Narrow"/>
      <w:b/>
      <w:bCs/>
      <w:sz w:val="17"/>
      <w:szCs w:val="17"/>
    </w:rPr>
  </w:style>
  <w:style w:type="paragraph" w:customStyle="1" w:styleId="af0">
    <w:name w:val="Подпись к картинке"/>
    <w:basedOn w:val="a"/>
    <w:link w:val="Exact"/>
    <w:rsid w:val="00350D42"/>
    <w:pPr>
      <w:shd w:val="clear" w:color="auto" w:fill="FFFFFF"/>
      <w:spacing w:line="216" w:lineRule="exact"/>
      <w:jc w:val="center"/>
    </w:pPr>
    <w:rPr>
      <w:rFonts w:ascii="Bookman Old Style" w:eastAsia="Bookman Old Style" w:hAnsi="Bookman Old Style" w:cs="Bookman Old Style"/>
      <w:sz w:val="17"/>
      <w:szCs w:val="17"/>
    </w:rPr>
  </w:style>
  <w:style w:type="paragraph" w:customStyle="1" w:styleId="130">
    <w:name w:val="Основной текст (13)"/>
    <w:basedOn w:val="a"/>
    <w:link w:val="13Exact"/>
    <w:rsid w:val="00350D42"/>
    <w:pPr>
      <w:shd w:val="clear" w:color="auto" w:fill="FFFFFF"/>
      <w:spacing w:line="146" w:lineRule="exact"/>
    </w:pPr>
    <w:rPr>
      <w:rFonts w:ascii="Bookman Old Style" w:eastAsia="Bookman Old Style" w:hAnsi="Bookman Old Style" w:cs="Bookman Old Style"/>
      <w:sz w:val="13"/>
      <w:szCs w:val="13"/>
    </w:rPr>
  </w:style>
  <w:style w:type="paragraph" w:customStyle="1" w:styleId="14">
    <w:name w:val="Основной текст (14)"/>
    <w:basedOn w:val="a"/>
    <w:link w:val="14Exact"/>
    <w:rsid w:val="00350D42"/>
    <w:pPr>
      <w:shd w:val="clear" w:color="auto" w:fill="FFFFFF"/>
      <w:spacing w:line="136" w:lineRule="exact"/>
    </w:pPr>
    <w:rPr>
      <w:rFonts w:ascii="Arial Narrow" w:eastAsia="Arial Narrow" w:hAnsi="Arial Narrow" w:cs="Arial Narrow"/>
      <w:sz w:val="12"/>
      <w:szCs w:val="12"/>
    </w:rPr>
  </w:style>
  <w:style w:type="paragraph" w:customStyle="1" w:styleId="4f2">
    <w:name w:val="Подпись к картинке (4)"/>
    <w:basedOn w:val="a"/>
    <w:link w:val="4a"/>
    <w:rsid w:val="00350D42"/>
    <w:pPr>
      <w:shd w:val="clear" w:color="auto" w:fill="FFFFFF"/>
      <w:spacing w:line="202" w:lineRule="exact"/>
    </w:pPr>
    <w:rPr>
      <w:rFonts w:ascii="Bookman Old Style" w:eastAsia="Bookman Old Style" w:hAnsi="Bookman Old Style" w:cs="Bookman Old Style"/>
      <w:sz w:val="18"/>
      <w:szCs w:val="18"/>
    </w:rPr>
  </w:style>
  <w:style w:type="paragraph" w:customStyle="1" w:styleId="5a">
    <w:name w:val="Подпись к картинке (5)"/>
    <w:basedOn w:val="a"/>
    <w:link w:val="56"/>
    <w:rsid w:val="00350D42"/>
    <w:pPr>
      <w:shd w:val="clear" w:color="auto" w:fill="FFFFFF"/>
      <w:spacing w:line="202" w:lineRule="exact"/>
      <w:jc w:val="center"/>
    </w:pPr>
    <w:rPr>
      <w:rFonts w:ascii="Bookman Old Style" w:eastAsia="Bookman Old Style" w:hAnsi="Bookman Old Style" w:cs="Bookman Old Style"/>
      <w:sz w:val="15"/>
      <w:szCs w:val="15"/>
    </w:rPr>
  </w:style>
  <w:style w:type="paragraph" w:customStyle="1" w:styleId="2c">
    <w:name w:val="Основной текст (2)"/>
    <w:basedOn w:val="a"/>
    <w:link w:val="2b"/>
    <w:rsid w:val="00350D42"/>
    <w:pPr>
      <w:shd w:val="clear" w:color="auto" w:fill="FFFFFF"/>
      <w:spacing w:before="340" w:line="250" w:lineRule="exact"/>
    </w:pPr>
    <w:rPr>
      <w:rFonts w:ascii="Bookman Old Style" w:eastAsia="Bookman Old Style" w:hAnsi="Bookman Old Style" w:cs="Bookman Old Style"/>
      <w:sz w:val="18"/>
      <w:szCs w:val="18"/>
    </w:rPr>
  </w:style>
  <w:style w:type="paragraph" w:customStyle="1" w:styleId="90">
    <w:name w:val="Основной текст (9)"/>
    <w:basedOn w:val="a"/>
    <w:link w:val="9"/>
    <w:rsid w:val="00350D42"/>
    <w:pPr>
      <w:shd w:val="clear" w:color="auto" w:fill="FFFFFF"/>
      <w:spacing w:line="245" w:lineRule="exact"/>
      <w:ind w:firstLine="320"/>
    </w:pPr>
    <w:rPr>
      <w:rFonts w:ascii="Bookman Old Style" w:eastAsia="Bookman Old Style" w:hAnsi="Bookman Old Style" w:cs="Bookman Old Style"/>
      <w:b/>
      <w:bCs/>
      <w:i/>
      <w:iCs/>
      <w:sz w:val="17"/>
      <w:szCs w:val="17"/>
    </w:rPr>
  </w:style>
  <w:style w:type="paragraph" w:customStyle="1" w:styleId="2f">
    <w:name w:val="Номер заголовка №2"/>
    <w:basedOn w:val="a"/>
    <w:link w:val="2e"/>
    <w:rsid w:val="00350D42"/>
    <w:pPr>
      <w:shd w:val="clear" w:color="auto" w:fill="FFFFFF"/>
      <w:spacing w:line="475" w:lineRule="exact"/>
      <w:jc w:val="center"/>
      <w:outlineLvl w:val="1"/>
    </w:pPr>
    <w:rPr>
      <w:rFonts w:ascii="Arial Narrow" w:eastAsia="Arial Narrow" w:hAnsi="Arial Narrow" w:cs="Arial Narrow"/>
      <w:b/>
      <w:bCs/>
      <w:sz w:val="32"/>
      <w:szCs w:val="32"/>
    </w:rPr>
  </w:style>
  <w:style w:type="paragraph" w:customStyle="1" w:styleId="2f2">
    <w:name w:val="Заголовок №2"/>
    <w:basedOn w:val="a"/>
    <w:link w:val="2f1"/>
    <w:rsid w:val="00350D42"/>
    <w:pPr>
      <w:shd w:val="clear" w:color="auto" w:fill="FFFFFF"/>
      <w:spacing w:line="475" w:lineRule="exact"/>
      <w:jc w:val="center"/>
      <w:outlineLvl w:val="1"/>
    </w:pPr>
    <w:rPr>
      <w:rFonts w:ascii="Arial Narrow" w:eastAsia="Arial Narrow" w:hAnsi="Arial Narrow" w:cs="Arial Narrow"/>
      <w:b/>
      <w:bCs/>
      <w:sz w:val="32"/>
      <w:szCs w:val="32"/>
    </w:rPr>
  </w:style>
  <w:style w:type="paragraph" w:customStyle="1" w:styleId="101">
    <w:name w:val="Основной текст (10)"/>
    <w:basedOn w:val="a"/>
    <w:link w:val="100"/>
    <w:rsid w:val="00350D42"/>
    <w:pPr>
      <w:shd w:val="clear" w:color="auto" w:fill="FFFFFF"/>
      <w:spacing w:line="226" w:lineRule="exact"/>
      <w:ind w:firstLine="320"/>
    </w:pPr>
    <w:rPr>
      <w:rFonts w:ascii="Bookman Old Style" w:eastAsia="Bookman Old Style" w:hAnsi="Bookman Old Style" w:cs="Bookman Old Style"/>
      <w:b/>
      <w:bCs/>
      <w:i/>
      <w:iCs/>
      <w:sz w:val="16"/>
      <w:szCs w:val="16"/>
    </w:rPr>
  </w:style>
  <w:style w:type="paragraph" w:customStyle="1" w:styleId="4c">
    <w:name w:val="Заголовок №4"/>
    <w:basedOn w:val="a"/>
    <w:link w:val="4b"/>
    <w:rsid w:val="00350D42"/>
    <w:pPr>
      <w:shd w:val="clear" w:color="auto" w:fill="FFFFFF"/>
      <w:spacing w:before="500" w:after="120" w:line="331" w:lineRule="exact"/>
      <w:ind w:hanging="220"/>
      <w:outlineLvl w:val="3"/>
    </w:pPr>
    <w:rPr>
      <w:rFonts w:ascii="Arial Narrow" w:eastAsia="Arial Narrow" w:hAnsi="Arial Narrow" w:cs="Arial Narrow"/>
      <w:b/>
      <w:bCs/>
    </w:rPr>
  </w:style>
  <w:style w:type="paragraph" w:customStyle="1" w:styleId="2f6">
    <w:name w:val="Подпись к таблице (2)"/>
    <w:basedOn w:val="a"/>
    <w:link w:val="2f5"/>
    <w:rsid w:val="00350D42"/>
    <w:pPr>
      <w:shd w:val="clear" w:color="auto" w:fill="FFFFFF"/>
      <w:spacing w:line="192" w:lineRule="exact"/>
      <w:jc w:val="right"/>
    </w:pPr>
    <w:rPr>
      <w:rFonts w:ascii="Arial Narrow" w:eastAsia="Arial Narrow" w:hAnsi="Arial Narrow" w:cs="Arial Narrow"/>
      <w:i/>
      <w:iCs/>
      <w:sz w:val="17"/>
      <w:szCs w:val="17"/>
    </w:rPr>
  </w:style>
  <w:style w:type="paragraph" w:customStyle="1" w:styleId="3f2">
    <w:name w:val="Подпись к таблице (3)"/>
    <w:basedOn w:val="a"/>
    <w:link w:val="3f1"/>
    <w:rsid w:val="00350D42"/>
    <w:pPr>
      <w:shd w:val="clear" w:color="auto" w:fill="FFFFFF"/>
      <w:spacing w:line="235" w:lineRule="exact"/>
      <w:jc w:val="center"/>
    </w:pPr>
    <w:rPr>
      <w:rFonts w:ascii="Arial Narrow" w:eastAsia="Arial Narrow" w:hAnsi="Arial Narrow" w:cs="Arial Narrow"/>
      <w:b/>
      <w:bCs/>
      <w:sz w:val="17"/>
      <w:szCs w:val="17"/>
    </w:rPr>
  </w:style>
  <w:style w:type="paragraph" w:customStyle="1" w:styleId="af2">
    <w:name w:val="Подпись к таблице"/>
    <w:basedOn w:val="a"/>
    <w:link w:val="af1"/>
    <w:rsid w:val="00350D42"/>
    <w:pPr>
      <w:shd w:val="clear" w:color="auto" w:fill="FFFFFF"/>
      <w:ind w:firstLine="320"/>
    </w:pPr>
    <w:rPr>
      <w:rFonts w:ascii="Bookman Old Style" w:eastAsia="Bookman Old Style" w:hAnsi="Bookman Old Style" w:cs="Bookman Old Style"/>
      <w:sz w:val="15"/>
      <w:szCs w:val="15"/>
    </w:rPr>
  </w:style>
  <w:style w:type="paragraph" w:customStyle="1" w:styleId="111">
    <w:name w:val="Основной текст (11)"/>
    <w:basedOn w:val="a"/>
    <w:link w:val="110"/>
    <w:rsid w:val="00350D42"/>
    <w:pPr>
      <w:shd w:val="clear" w:color="auto" w:fill="FFFFFF"/>
      <w:spacing w:before="540" w:after="240" w:line="240" w:lineRule="exact"/>
      <w:jc w:val="center"/>
    </w:pPr>
    <w:rPr>
      <w:rFonts w:ascii="Arial Narrow" w:eastAsia="Arial Narrow" w:hAnsi="Arial Narrow" w:cs="Arial Narrow"/>
      <w:b/>
      <w:bCs/>
      <w:sz w:val="17"/>
      <w:szCs w:val="17"/>
    </w:rPr>
  </w:style>
  <w:style w:type="paragraph" w:customStyle="1" w:styleId="121">
    <w:name w:val="Основной текст (12)"/>
    <w:basedOn w:val="a"/>
    <w:link w:val="120"/>
    <w:rsid w:val="00350D42"/>
    <w:pPr>
      <w:shd w:val="clear" w:color="auto" w:fill="FFFFFF"/>
      <w:spacing w:before="120" w:line="240" w:lineRule="exact"/>
    </w:pPr>
    <w:rPr>
      <w:rFonts w:ascii="Arial Narrow" w:eastAsia="Arial Narrow" w:hAnsi="Arial Narrow" w:cs="Arial Narrow"/>
      <w:b/>
      <w:bCs/>
      <w:sz w:val="21"/>
      <w:szCs w:val="21"/>
    </w:rPr>
  </w:style>
  <w:style w:type="paragraph" w:customStyle="1" w:styleId="150">
    <w:name w:val="Основной текст (15)"/>
    <w:basedOn w:val="a"/>
    <w:link w:val="15"/>
    <w:rsid w:val="00350D42"/>
    <w:pPr>
      <w:shd w:val="clear" w:color="auto" w:fill="FFFFFF"/>
      <w:spacing w:line="216" w:lineRule="exact"/>
      <w:ind w:firstLine="320"/>
    </w:pPr>
    <w:rPr>
      <w:rFonts w:ascii="Bookman Old Style" w:eastAsia="Bookman Old Style" w:hAnsi="Bookman Old Style" w:cs="Bookman Old Style"/>
      <w:i/>
      <w:iCs/>
      <w:sz w:val="17"/>
      <w:szCs w:val="17"/>
    </w:rPr>
  </w:style>
  <w:style w:type="paragraph" w:customStyle="1" w:styleId="160">
    <w:name w:val="Основной текст (16)"/>
    <w:basedOn w:val="a"/>
    <w:link w:val="16"/>
    <w:rsid w:val="00350D42"/>
    <w:pPr>
      <w:shd w:val="clear" w:color="auto" w:fill="FFFFFF"/>
      <w:spacing w:before="280" w:after="280" w:line="254" w:lineRule="exact"/>
    </w:pPr>
    <w:rPr>
      <w:rFonts w:ascii="Segoe UI" w:eastAsia="Segoe UI" w:hAnsi="Segoe UI" w:cs="Segoe UI"/>
      <w:sz w:val="19"/>
      <w:szCs w:val="19"/>
    </w:rPr>
  </w:style>
  <w:style w:type="paragraph" w:customStyle="1" w:styleId="170">
    <w:name w:val="Основной текст (17)"/>
    <w:basedOn w:val="a"/>
    <w:link w:val="17"/>
    <w:rsid w:val="00350D42"/>
    <w:pPr>
      <w:shd w:val="clear" w:color="auto" w:fill="FFFFFF"/>
      <w:spacing w:before="280" w:line="250" w:lineRule="exact"/>
      <w:ind w:firstLine="320"/>
    </w:pPr>
    <w:rPr>
      <w:rFonts w:ascii="Segoe UI" w:eastAsia="Segoe UI" w:hAnsi="Segoe UI" w:cs="Segoe UI"/>
      <w:b/>
      <w:bCs/>
      <w:sz w:val="19"/>
      <w:szCs w:val="19"/>
    </w:rPr>
  </w:style>
  <w:style w:type="paragraph" w:customStyle="1" w:styleId="180">
    <w:name w:val="Основной текст (18)"/>
    <w:basedOn w:val="a"/>
    <w:link w:val="18"/>
    <w:rsid w:val="00350D42"/>
    <w:pPr>
      <w:shd w:val="clear" w:color="auto" w:fill="FFFFFF"/>
      <w:spacing w:line="200" w:lineRule="exact"/>
      <w:jc w:val="right"/>
    </w:pPr>
    <w:rPr>
      <w:rFonts w:ascii="Bookman Old Style" w:eastAsia="Bookman Old Style" w:hAnsi="Bookman Old Style" w:cs="Bookman Old Style"/>
      <w:i/>
      <w:iCs/>
      <w:sz w:val="18"/>
      <w:szCs w:val="18"/>
    </w:rPr>
  </w:style>
  <w:style w:type="paragraph" w:customStyle="1" w:styleId="190">
    <w:name w:val="Основной текст (19)"/>
    <w:basedOn w:val="a"/>
    <w:link w:val="19"/>
    <w:rsid w:val="00350D42"/>
    <w:pPr>
      <w:shd w:val="clear" w:color="auto" w:fill="FFFFFF"/>
      <w:spacing w:line="192" w:lineRule="exact"/>
      <w:jc w:val="right"/>
    </w:pPr>
    <w:rPr>
      <w:rFonts w:ascii="Arial Narrow" w:eastAsia="Arial Narrow" w:hAnsi="Arial Narrow" w:cs="Arial Narrow"/>
      <w:i/>
      <w:iCs/>
      <w:sz w:val="17"/>
      <w:szCs w:val="17"/>
    </w:rPr>
  </w:style>
  <w:style w:type="paragraph" w:customStyle="1" w:styleId="2fb">
    <w:name w:val="Колонтитул (2)"/>
    <w:basedOn w:val="a"/>
    <w:link w:val="2fa"/>
    <w:rsid w:val="00350D42"/>
    <w:pPr>
      <w:shd w:val="clear" w:color="auto" w:fill="FFFFFF"/>
      <w:spacing w:line="168" w:lineRule="exact"/>
    </w:pPr>
    <w:rPr>
      <w:rFonts w:ascii="Bookman Old Style" w:eastAsia="Bookman Old Style" w:hAnsi="Bookman Old Style" w:cs="Bookman Old Style"/>
      <w:sz w:val="15"/>
      <w:szCs w:val="15"/>
    </w:rPr>
  </w:style>
  <w:style w:type="paragraph" w:customStyle="1" w:styleId="4f">
    <w:name w:val="Подпись к таблице (4)"/>
    <w:basedOn w:val="a"/>
    <w:link w:val="4e"/>
    <w:rsid w:val="00350D42"/>
    <w:pPr>
      <w:shd w:val="clear" w:color="auto" w:fill="FFFFFF"/>
      <w:spacing w:line="188" w:lineRule="exact"/>
      <w:jc w:val="right"/>
    </w:pPr>
    <w:rPr>
      <w:rFonts w:ascii="Bookman Old Style" w:eastAsia="Bookman Old Style" w:hAnsi="Bookman Old Style" w:cs="Bookman Old Style"/>
      <w:i/>
      <w:iCs/>
      <w:sz w:val="17"/>
      <w:szCs w:val="17"/>
    </w:rPr>
  </w:style>
  <w:style w:type="paragraph" w:customStyle="1" w:styleId="210">
    <w:name w:val="Основной текст (21)"/>
    <w:basedOn w:val="a"/>
    <w:link w:val="21Exact"/>
    <w:rsid w:val="00350D42"/>
    <w:pPr>
      <w:shd w:val="clear" w:color="auto" w:fill="FFFFFF"/>
      <w:spacing w:line="182" w:lineRule="exact"/>
    </w:pPr>
    <w:rPr>
      <w:rFonts w:ascii="Franklin Gothic Heavy" w:eastAsia="Franklin Gothic Heavy" w:hAnsi="Franklin Gothic Heavy" w:cs="Franklin Gothic Heavy"/>
      <w:sz w:val="16"/>
      <w:szCs w:val="16"/>
    </w:rPr>
  </w:style>
  <w:style w:type="paragraph" w:customStyle="1" w:styleId="220">
    <w:name w:val="Основной текст (22)"/>
    <w:basedOn w:val="a"/>
    <w:link w:val="22Exact"/>
    <w:rsid w:val="00350D42"/>
    <w:pPr>
      <w:shd w:val="clear" w:color="auto" w:fill="FFFFFF"/>
      <w:spacing w:line="170" w:lineRule="exact"/>
    </w:pPr>
    <w:rPr>
      <w:rFonts w:ascii="Franklin Gothic Heavy" w:eastAsia="Franklin Gothic Heavy" w:hAnsi="Franklin Gothic Heavy" w:cs="Franklin Gothic Heavy"/>
      <w:sz w:val="15"/>
      <w:szCs w:val="15"/>
    </w:rPr>
  </w:style>
  <w:style w:type="paragraph" w:customStyle="1" w:styleId="230">
    <w:name w:val="Основной текст (23)"/>
    <w:basedOn w:val="a"/>
    <w:link w:val="23Exact"/>
    <w:rsid w:val="00350D42"/>
    <w:pPr>
      <w:shd w:val="clear" w:color="auto" w:fill="FFFFFF"/>
      <w:spacing w:line="216" w:lineRule="exact"/>
    </w:pPr>
    <w:rPr>
      <w:rFonts w:ascii="Franklin Gothic Heavy" w:eastAsia="Franklin Gothic Heavy" w:hAnsi="Franklin Gothic Heavy" w:cs="Franklin Gothic Heavy"/>
      <w:sz w:val="19"/>
      <w:szCs w:val="19"/>
    </w:rPr>
  </w:style>
  <w:style w:type="paragraph" w:customStyle="1" w:styleId="240">
    <w:name w:val="Основной текст (24)"/>
    <w:basedOn w:val="a"/>
    <w:link w:val="24Exact"/>
    <w:rsid w:val="00350D42"/>
    <w:pPr>
      <w:shd w:val="clear" w:color="auto" w:fill="FFFFFF"/>
      <w:spacing w:line="134" w:lineRule="exact"/>
    </w:pPr>
    <w:rPr>
      <w:rFonts w:ascii="Bookman Old Style" w:eastAsia="Bookman Old Style" w:hAnsi="Bookman Old Style" w:cs="Bookman Old Style"/>
      <w:sz w:val="12"/>
      <w:szCs w:val="12"/>
    </w:rPr>
  </w:style>
  <w:style w:type="paragraph" w:customStyle="1" w:styleId="201">
    <w:name w:val="Основной текст (20)"/>
    <w:basedOn w:val="a"/>
    <w:link w:val="200"/>
    <w:rsid w:val="00350D42"/>
    <w:pPr>
      <w:shd w:val="clear" w:color="auto" w:fill="FFFFFF"/>
      <w:spacing w:line="250" w:lineRule="exact"/>
      <w:ind w:firstLine="340"/>
    </w:pPr>
    <w:rPr>
      <w:rFonts w:ascii="Bookman Old Style" w:eastAsia="Bookman Old Style" w:hAnsi="Bookman Old Style" w:cs="Bookman Old Style"/>
      <w:sz w:val="18"/>
      <w:szCs w:val="18"/>
    </w:rPr>
  </w:style>
  <w:style w:type="paragraph" w:customStyle="1" w:styleId="58">
    <w:name w:val="Подпись к таблице (5)"/>
    <w:basedOn w:val="a"/>
    <w:link w:val="57"/>
    <w:rsid w:val="00350D42"/>
    <w:pPr>
      <w:shd w:val="clear" w:color="auto" w:fill="FFFFFF"/>
      <w:spacing w:line="200" w:lineRule="exact"/>
      <w:jc w:val="right"/>
    </w:pPr>
    <w:rPr>
      <w:rFonts w:ascii="Bookman Old Style" w:eastAsia="Bookman Old Style" w:hAnsi="Bookman Old Style" w:cs="Bookman Old Style"/>
      <w:i/>
      <w:iCs/>
      <w:sz w:val="18"/>
      <w:szCs w:val="18"/>
    </w:rPr>
  </w:style>
  <w:style w:type="paragraph" w:customStyle="1" w:styleId="250">
    <w:name w:val="Основной текст (25)"/>
    <w:basedOn w:val="a"/>
    <w:link w:val="25Exact"/>
    <w:rsid w:val="00350D42"/>
    <w:pPr>
      <w:shd w:val="clear" w:color="auto" w:fill="FFFFFF"/>
      <w:spacing w:line="14" w:lineRule="exact"/>
    </w:pPr>
    <w:rPr>
      <w:rFonts w:ascii="Georgia" w:eastAsia="Georgia" w:hAnsi="Georgia" w:cs="Georgia"/>
      <w:sz w:val="16"/>
      <w:szCs w:val="16"/>
    </w:rPr>
  </w:style>
  <w:style w:type="paragraph" w:customStyle="1" w:styleId="66">
    <w:name w:val="Подпись к картинке (6)"/>
    <w:basedOn w:val="a"/>
    <w:link w:val="6Exact"/>
    <w:rsid w:val="00350D42"/>
    <w:pPr>
      <w:shd w:val="clear" w:color="auto" w:fill="FFFFFF"/>
      <w:spacing w:line="192" w:lineRule="exact"/>
    </w:pPr>
    <w:rPr>
      <w:rFonts w:ascii="Garamond" w:eastAsia="Garamond" w:hAnsi="Garamond" w:cs="Garamond"/>
      <w:sz w:val="17"/>
      <w:szCs w:val="17"/>
      <w:lang w:val="en-US" w:eastAsia="en-US" w:bidi="en-US"/>
    </w:rPr>
  </w:style>
  <w:style w:type="paragraph" w:customStyle="1" w:styleId="260">
    <w:name w:val="Основной текст (26)"/>
    <w:basedOn w:val="a"/>
    <w:link w:val="26Exact"/>
    <w:rsid w:val="00350D42"/>
    <w:pPr>
      <w:shd w:val="clear" w:color="auto" w:fill="FFFFFF"/>
      <w:spacing w:after="220" w:line="112" w:lineRule="exact"/>
    </w:pPr>
    <w:rPr>
      <w:rFonts w:ascii="Microsoft Sans Serif" w:eastAsia="Microsoft Sans Serif" w:hAnsi="Microsoft Sans Serif" w:cs="Microsoft Sans Serif"/>
      <w:sz w:val="10"/>
      <w:szCs w:val="10"/>
      <w:lang w:val="en-US" w:eastAsia="en-US" w:bidi="en-US"/>
    </w:rPr>
  </w:style>
  <w:style w:type="paragraph" w:customStyle="1" w:styleId="270">
    <w:name w:val="Основной текст (27)"/>
    <w:basedOn w:val="a"/>
    <w:link w:val="27Exact"/>
    <w:rsid w:val="00350D42"/>
    <w:pPr>
      <w:shd w:val="clear" w:color="auto" w:fill="FFFFFF"/>
      <w:spacing w:line="115" w:lineRule="exact"/>
    </w:pPr>
    <w:rPr>
      <w:rFonts w:ascii="Franklin Gothic Heavy" w:eastAsia="Franklin Gothic Heavy" w:hAnsi="Franklin Gothic Heavy" w:cs="Franklin Gothic Heavy"/>
      <w:sz w:val="19"/>
      <w:szCs w:val="19"/>
    </w:rPr>
  </w:style>
  <w:style w:type="paragraph" w:customStyle="1" w:styleId="280">
    <w:name w:val="Основной текст (28)"/>
    <w:basedOn w:val="a"/>
    <w:link w:val="28Exact"/>
    <w:rsid w:val="00350D42"/>
    <w:pPr>
      <w:shd w:val="clear" w:color="auto" w:fill="FFFFFF"/>
      <w:spacing w:before="640" w:line="1632" w:lineRule="exact"/>
    </w:pPr>
    <w:rPr>
      <w:rFonts w:ascii="Franklin Gothic Heavy" w:eastAsia="Franklin Gothic Heavy" w:hAnsi="Franklin Gothic Heavy" w:cs="Franklin Gothic Heavy"/>
      <w:spacing w:val="110"/>
      <w:sz w:val="144"/>
      <w:szCs w:val="144"/>
    </w:rPr>
  </w:style>
  <w:style w:type="paragraph" w:customStyle="1" w:styleId="73">
    <w:name w:val="Подпись к картинке (7)"/>
    <w:basedOn w:val="a"/>
    <w:link w:val="7Exact"/>
    <w:rsid w:val="00350D42"/>
    <w:pPr>
      <w:shd w:val="clear" w:color="auto" w:fill="FFFFFF"/>
      <w:spacing w:line="146" w:lineRule="exact"/>
      <w:jc w:val="right"/>
    </w:pPr>
    <w:rPr>
      <w:rFonts w:ascii="Bookman Old Style" w:eastAsia="Bookman Old Style" w:hAnsi="Bookman Old Style" w:cs="Bookman Old Style"/>
      <w:spacing w:val="50"/>
      <w:sz w:val="13"/>
      <w:szCs w:val="13"/>
    </w:rPr>
  </w:style>
  <w:style w:type="paragraph" w:customStyle="1" w:styleId="5f">
    <w:name w:val="Оглавление (5)"/>
    <w:basedOn w:val="a"/>
    <w:link w:val="5e"/>
    <w:rsid w:val="00350D42"/>
    <w:pPr>
      <w:shd w:val="clear" w:color="auto" w:fill="FFFFFF"/>
      <w:spacing w:before="120" w:line="200" w:lineRule="exact"/>
    </w:pPr>
    <w:rPr>
      <w:rFonts w:ascii="Bookman Old Style" w:eastAsia="Bookman Old Style" w:hAnsi="Bookman Old Style" w:cs="Bookman Old Style"/>
      <w:i/>
      <w:iCs/>
      <w:sz w:val="18"/>
      <w:szCs w:val="18"/>
      <w:lang w:val="en-US" w:eastAsia="en-US" w:bidi="en-US"/>
    </w:rPr>
  </w:style>
  <w:style w:type="paragraph" w:customStyle="1" w:styleId="68">
    <w:name w:val="Подпись к таблице (6)"/>
    <w:basedOn w:val="a"/>
    <w:link w:val="67"/>
    <w:rsid w:val="00350D42"/>
    <w:pPr>
      <w:shd w:val="clear" w:color="auto" w:fill="FFFFFF"/>
      <w:spacing w:line="202" w:lineRule="exact"/>
    </w:pPr>
    <w:rPr>
      <w:rFonts w:ascii="Bookman Old Style" w:eastAsia="Bookman Old Style" w:hAnsi="Bookman Old Style" w:cs="Bookman Old Style"/>
      <w:sz w:val="18"/>
      <w:szCs w:val="18"/>
    </w:rPr>
  </w:style>
  <w:style w:type="paragraph" w:customStyle="1" w:styleId="291">
    <w:name w:val="Основной текст (29)"/>
    <w:basedOn w:val="a"/>
    <w:link w:val="290"/>
    <w:rsid w:val="00350D42"/>
    <w:pPr>
      <w:shd w:val="clear" w:color="auto" w:fill="FFFFFF"/>
      <w:spacing w:before="540" w:after="140" w:line="336" w:lineRule="exact"/>
      <w:ind w:firstLine="360"/>
    </w:pPr>
    <w:rPr>
      <w:rFonts w:ascii="Arial Narrow" w:eastAsia="Arial Narrow" w:hAnsi="Arial Narrow" w:cs="Arial Narrow"/>
      <w:b/>
      <w:bCs/>
    </w:rPr>
  </w:style>
  <w:style w:type="paragraph" w:customStyle="1" w:styleId="301">
    <w:name w:val="Основной текст (30)"/>
    <w:basedOn w:val="a"/>
    <w:link w:val="300"/>
    <w:rsid w:val="00350D42"/>
    <w:pPr>
      <w:shd w:val="clear" w:color="auto" w:fill="FFFFFF"/>
      <w:spacing w:line="475" w:lineRule="exact"/>
      <w:jc w:val="center"/>
    </w:pPr>
    <w:rPr>
      <w:rFonts w:ascii="Arial Narrow" w:eastAsia="Arial Narrow" w:hAnsi="Arial Narrow" w:cs="Arial Narrow"/>
      <w:b/>
      <w:bCs/>
      <w:sz w:val="32"/>
      <w:szCs w:val="32"/>
    </w:rPr>
  </w:style>
  <w:style w:type="paragraph" w:customStyle="1" w:styleId="3f8">
    <w:name w:val="Номер заголовка №3"/>
    <w:basedOn w:val="a"/>
    <w:link w:val="3f7"/>
    <w:rsid w:val="00350D42"/>
    <w:pPr>
      <w:shd w:val="clear" w:color="auto" w:fill="FFFFFF"/>
      <w:spacing w:line="432" w:lineRule="exact"/>
      <w:jc w:val="right"/>
      <w:outlineLvl w:val="2"/>
    </w:pPr>
    <w:rPr>
      <w:rFonts w:ascii="Arial Narrow" w:eastAsia="Arial Narrow" w:hAnsi="Arial Narrow" w:cs="Arial Narrow"/>
      <w:i/>
      <w:iCs/>
      <w:sz w:val="28"/>
      <w:szCs w:val="28"/>
    </w:rPr>
  </w:style>
  <w:style w:type="paragraph" w:customStyle="1" w:styleId="311">
    <w:name w:val="Основной текст (31)"/>
    <w:basedOn w:val="a"/>
    <w:link w:val="310"/>
    <w:rsid w:val="00350D42"/>
    <w:pPr>
      <w:shd w:val="clear" w:color="auto" w:fill="FFFFFF"/>
      <w:spacing w:after="180" w:line="176" w:lineRule="exact"/>
      <w:jc w:val="center"/>
    </w:pPr>
    <w:rPr>
      <w:rFonts w:ascii="Bookman Old Style" w:eastAsia="Bookman Old Style" w:hAnsi="Bookman Old Style" w:cs="Bookman Old Style"/>
      <w:b/>
      <w:bCs/>
      <w:sz w:val="15"/>
      <w:szCs w:val="15"/>
    </w:rPr>
  </w:style>
  <w:style w:type="paragraph" w:customStyle="1" w:styleId="321">
    <w:name w:val="Основной текст (32)"/>
    <w:basedOn w:val="a"/>
    <w:link w:val="320"/>
    <w:rsid w:val="00350D42"/>
    <w:pPr>
      <w:shd w:val="clear" w:color="auto" w:fill="FFFFFF"/>
      <w:spacing w:before="760" w:line="360" w:lineRule="exact"/>
      <w:jc w:val="center"/>
    </w:pPr>
    <w:rPr>
      <w:rFonts w:ascii="Bookman Old Style" w:eastAsia="Bookman Old Style" w:hAnsi="Bookman Old Style" w:cs="Bookman Old Style"/>
      <w:b/>
      <w:bCs/>
      <w:sz w:val="28"/>
      <w:szCs w:val="28"/>
    </w:rPr>
  </w:style>
  <w:style w:type="paragraph" w:styleId="af6">
    <w:name w:val="footnote text"/>
    <w:basedOn w:val="a"/>
    <w:link w:val="af7"/>
    <w:uiPriority w:val="99"/>
    <w:semiHidden/>
    <w:unhideWhenUsed/>
    <w:rsid w:val="00E32807"/>
    <w:rPr>
      <w:sz w:val="20"/>
      <w:szCs w:val="20"/>
    </w:rPr>
  </w:style>
  <w:style w:type="character" w:customStyle="1" w:styleId="af7">
    <w:name w:val="Текст сноски Знак"/>
    <w:basedOn w:val="a0"/>
    <w:link w:val="af6"/>
    <w:uiPriority w:val="99"/>
    <w:semiHidden/>
    <w:rsid w:val="00E32807"/>
    <w:rPr>
      <w:color w:val="000000"/>
      <w:sz w:val="20"/>
      <w:szCs w:val="20"/>
    </w:rPr>
  </w:style>
  <w:style w:type="character" w:styleId="af8">
    <w:name w:val="footnote reference"/>
    <w:aliases w:val="16 Point,Superscript 6 Point,Знак сноски-FN,Ciae niinee-FN,Знак сноски 1,SUPERS"/>
    <w:basedOn w:val="a0"/>
    <w:uiPriority w:val="99"/>
    <w:unhideWhenUsed/>
    <w:rsid w:val="00E32807"/>
    <w:rPr>
      <w:vertAlign w:val="superscript"/>
    </w:rPr>
  </w:style>
  <w:style w:type="character" w:customStyle="1" w:styleId="10">
    <w:name w:val="Заголовок 1 Знак"/>
    <w:basedOn w:val="a0"/>
    <w:link w:val="1"/>
    <w:uiPriority w:val="9"/>
    <w:rsid w:val="00093686"/>
    <w:rPr>
      <w:rFonts w:ascii="Times New Roman" w:eastAsia="Times New Roman" w:hAnsi="Times New Roman" w:cs="Times New Roman"/>
      <w:b/>
      <w:bCs/>
      <w:kern w:val="36"/>
      <w:sz w:val="48"/>
      <w:szCs w:val="48"/>
      <w:lang w:bidi="ar-SA"/>
    </w:rPr>
  </w:style>
  <w:style w:type="character" w:styleId="af9">
    <w:name w:val="Hyperlink"/>
    <w:basedOn w:val="a0"/>
    <w:uiPriority w:val="99"/>
    <w:unhideWhenUsed/>
    <w:rsid w:val="00093686"/>
    <w:rPr>
      <w:color w:val="0000FF" w:themeColor="hyperlink"/>
      <w:u w:val="single"/>
    </w:rPr>
  </w:style>
  <w:style w:type="paragraph" w:customStyle="1" w:styleId="99pt1">
    <w:name w:val="Основной текст (9) + 9 pt"/>
    <w:aliases w:val="Не полужирный,Не курсив"/>
    <w:basedOn w:val="2c"/>
    <w:rsid w:val="00093686"/>
    <w:pPr>
      <w:shd w:val="clear" w:color="auto" w:fill="auto"/>
      <w:spacing w:before="0"/>
      <w:ind w:firstLine="320"/>
    </w:pPr>
  </w:style>
  <w:style w:type="paragraph" w:styleId="afa">
    <w:name w:val="Normal (Web)"/>
    <w:basedOn w:val="a"/>
    <w:uiPriority w:val="99"/>
    <w:unhideWhenUsed/>
    <w:rsid w:val="008957BD"/>
    <w:pPr>
      <w:spacing w:before="100" w:beforeAutospacing="1" w:after="100" w:afterAutospacing="1" w:line="240" w:lineRule="auto"/>
      <w:ind w:firstLine="0"/>
      <w:jc w:val="left"/>
    </w:pPr>
    <w:rPr>
      <w:rFonts w:ascii="Times New Roman" w:eastAsia="Times New Roman" w:hAnsi="Times New Roman" w:cs="Times New Roman"/>
      <w:color w:val="auto"/>
      <w:lang w:bidi="ar-SA"/>
    </w:rPr>
  </w:style>
  <w:style w:type="paragraph" w:customStyle="1" w:styleId="header-singleitem">
    <w:name w:val="header-single__item"/>
    <w:basedOn w:val="a"/>
    <w:rsid w:val="005D6809"/>
    <w:pPr>
      <w:spacing w:before="100" w:beforeAutospacing="1" w:after="100" w:afterAutospacing="1" w:line="240" w:lineRule="auto"/>
      <w:ind w:firstLine="0"/>
      <w:jc w:val="left"/>
    </w:pPr>
    <w:rPr>
      <w:rFonts w:ascii="Times New Roman" w:eastAsia="Times New Roman" w:hAnsi="Times New Roman" w:cs="Times New Roman"/>
      <w:color w:val="auto"/>
      <w:lang w:bidi="ar-SA"/>
    </w:rPr>
  </w:style>
  <w:style w:type="character" w:customStyle="1" w:styleId="1a">
    <w:name w:val="Неразрешенное упоминание1"/>
    <w:basedOn w:val="a0"/>
    <w:uiPriority w:val="99"/>
    <w:semiHidden/>
    <w:unhideWhenUsed/>
    <w:rsid w:val="00DB7CE1"/>
    <w:rPr>
      <w:color w:val="605E5C"/>
      <w:shd w:val="clear" w:color="auto" w:fill="E1DFDD"/>
    </w:rPr>
  </w:style>
  <w:style w:type="paragraph" w:styleId="afb">
    <w:name w:val="List Paragraph"/>
    <w:basedOn w:val="a"/>
    <w:uiPriority w:val="34"/>
    <w:qFormat/>
    <w:rsid w:val="000213E0"/>
    <w:pPr>
      <w:spacing w:after="200" w:line="276" w:lineRule="auto"/>
      <w:ind w:left="720" w:firstLine="0"/>
      <w:contextualSpacing/>
      <w:jc w:val="left"/>
    </w:pPr>
    <w:rPr>
      <w:rFonts w:asciiTheme="minorHAnsi" w:eastAsiaTheme="minorHAnsi" w:hAnsiTheme="minorHAnsi" w:cstheme="minorBidi"/>
      <w:color w:val="auto"/>
      <w:sz w:val="22"/>
      <w:szCs w:val="22"/>
      <w:lang w:eastAsia="en-US" w:bidi="ar-SA"/>
    </w:rPr>
  </w:style>
  <w:style w:type="table" w:styleId="afc">
    <w:name w:val="Table Grid"/>
    <w:basedOn w:val="a1"/>
    <w:uiPriority w:val="59"/>
    <w:rsid w:val="000213E0"/>
    <w:pPr>
      <w:spacing w:line="240" w:lineRule="auto"/>
      <w:ind w:firstLine="0"/>
      <w:jc w:val="left"/>
    </w:pPr>
    <w:rPr>
      <w:rFonts w:asciiTheme="minorHAnsi" w:eastAsia="Times New Roman" w:hAnsiTheme="minorHAnsi" w:cstheme="minorBidi"/>
      <w:sz w:val="22"/>
      <w:szCs w:val="22"/>
      <w:lang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semiHidden/>
    <w:rsid w:val="00350396"/>
    <w:rPr>
      <w:rFonts w:asciiTheme="majorHAnsi" w:eastAsiaTheme="majorEastAsia" w:hAnsiTheme="majorHAnsi" w:cstheme="majorBidi"/>
      <w:color w:val="243F60" w:themeColor="accent1" w:themeShade="7F"/>
    </w:rPr>
  </w:style>
  <w:style w:type="character" w:customStyle="1" w:styleId="20">
    <w:name w:val="Заголовок 2 Знак"/>
    <w:basedOn w:val="a0"/>
    <w:link w:val="2"/>
    <w:uiPriority w:val="9"/>
    <w:rsid w:val="00350396"/>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rsid w:val="00350396"/>
    <w:rPr>
      <w:b/>
      <w:noProof/>
      <w:color w:val="000000"/>
    </w:rPr>
  </w:style>
  <w:style w:type="numbering" w:customStyle="1" w:styleId="1b">
    <w:name w:val="Нет списка1"/>
    <w:next w:val="a2"/>
    <w:uiPriority w:val="99"/>
    <w:semiHidden/>
    <w:unhideWhenUsed/>
    <w:rsid w:val="00350396"/>
  </w:style>
  <w:style w:type="paragraph" w:styleId="afd">
    <w:name w:val="Subtitle"/>
    <w:basedOn w:val="a"/>
    <w:next w:val="a"/>
    <w:link w:val="afe"/>
    <w:qFormat/>
    <w:rsid w:val="00350396"/>
    <w:pPr>
      <w:widowControl w:val="0"/>
      <w:spacing w:after="60" w:line="240" w:lineRule="auto"/>
      <w:ind w:firstLine="0"/>
      <w:jc w:val="center"/>
      <w:outlineLvl w:val="1"/>
    </w:pPr>
    <w:rPr>
      <w:rFonts w:asciiTheme="minorHAnsi" w:eastAsiaTheme="majorEastAsia" w:hAnsiTheme="minorHAnsi" w:cstheme="majorBidi"/>
      <w:lang w:eastAsia="en-US"/>
    </w:rPr>
  </w:style>
  <w:style w:type="character" w:customStyle="1" w:styleId="afe">
    <w:name w:val="Подзаголовок Знак"/>
    <w:basedOn w:val="a0"/>
    <w:link w:val="afd"/>
    <w:rsid w:val="00350396"/>
    <w:rPr>
      <w:rFonts w:asciiTheme="minorHAnsi" w:eastAsiaTheme="majorEastAsia" w:hAnsiTheme="minorHAnsi" w:cstheme="majorBidi"/>
      <w:color w:val="000000"/>
      <w:lang w:eastAsia="en-US"/>
    </w:rPr>
  </w:style>
  <w:style w:type="paragraph" w:styleId="aff">
    <w:name w:val="Balloon Text"/>
    <w:basedOn w:val="a"/>
    <w:link w:val="aff0"/>
    <w:uiPriority w:val="99"/>
    <w:semiHidden/>
    <w:unhideWhenUsed/>
    <w:rsid w:val="00350396"/>
    <w:pPr>
      <w:widowControl w:val="0"/>
      <w:spacing w:line="240" w:lineRule="auto"/>
      <w:ind w:firstLine="0"/>
      <w:jc w:val="left"/>
    </w:pPr>
    <w:rPr>
      <w:rFonts w:ascii="Tahoma" w:hAnsi="Tahoma" w:cs="Tahoma"/>
      <w:sz w:val="16"/>
      <w:szCs w:val="16"/>
    </w:rPr>
  </w:style>
  <w:style w:type="character" w:customStyle="1" w:styleId="aff0">
    <w:name w:val="Текст выноски Знак"/>
    <w:basedOn w:val="a0"/>
    <w:link w:val="aff"/>
    <w:uiPriority w:val="99"/>
    <w:semiHidden/>
    <w:rsid w:val="00350396"/>
    <w:rPr>
      <w:rFonts w:ascii="Tahoma" w:hAnsi="Tahoma" w:cs="Tahoma"/>
      <w:color w:val="000000"/>
      <w:sz w:val="16"/>
      <w:szCs w:val="16"/>
    </w:rPr>
  </w:style>
  <w:style w:type="paragraph" w:styleId="aff1">
    <w:name w:val="TOC Heading"/>
    <w:basedOn w:val="1"/>
    <w:next w:val="a"/>
    <w:uiPriority w:val="39"/>
    <w:semiHidden/>
    <w:unhideWhenUsed/>
    <w:qFormat/>
    <w:rsid w:val="00350396"/>
    <w:pPr>
      <w:keepNext/>
      <w:keepLines/>
      <w:spacing w:before="480" w:beforeAutospacing="0" w:after="0" w:afterAutospacing="0" w:line="276" w:lineRule="auto"/>
      <w:ind w:firstLine="0"/>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aff2">
    <w:name w:val="header"/>
    <w:basedOn w:val="a"/>
    <w:link w:val="aff3"/>
    <w:uiPriority w:val="99"/>
    <w:unhideWhenUsed/>
    <w:rsid w:val="00350396"/>
    <w:pPr>
      <w:widowControl w:val="0"/>
      <w:tabs>
        <w:tab w:val="center" w:pos="4677"/>
        <w:tab w:val="right" w:pos="9355"/>
      </w:tabs>
      <w:spacing w:line="240" w:lineRule="auto"/>
      <w:ind w:firstLine="0"/>
      <w:jc w:val="left"/>
    </w:pPr>
  </w:style>
  <w:style w:type="character" w:customStyle="1" w:styleId="aff3">
    <w:name w:val="Верхний колонтитул Знак"/>
    <w:basedOn w:val="a0"/>
    <w:link w:val="aff2"/>
    <w:uiPriority w:val="99"/>
    <w:rsid w:val="00350396"/>
    <w:rPr>
      <w:color w:val="000000"/>
    </w:rPr>
  </w:style>
  <w:style w:type="paragraph" w:styleId="aff4">
    <w:name w:val="Document Map"/>
    <w:basedOn w:val="a"/>
    <w:link w:val="aff5"/>
    <w:uiPriority w:val="99"/>
    <w:semiHidden/>
    <w:unhideWhenUsed/>
    <w:rsid w:val="00350396"/>
    <w:pPr>
      <w:widowControl w:val="0"/>
      <w:spacing w:line="240" w:lineRule="auto"/>
      <w:ind w:firstLine="0"/>
      <w:jc w:val="left"/>
    </w:pPr>
    <w:rPr>
      <w:rFonts w:ascii="Tahoma" w:hAnsi="Tahoma" w:cs="Tahoma"/>
      <w:sz w:val="16"/>
      <w:szCs w:val="16"/>
    </w:rPr>
  </w:style>
  <w:style w:type="character" w:customStyle="1" w:styleId="aff5">
    <w:name w:val="Схема документа Знак"/>
    <w:basedOn w:val="a0"/>
    <w:link w:val="aff4"/>
    <w:uiPriority w:val="99"/>
    <w:semiHidden/>
    <w:rsid w:val="00350396"/>
    <w:rPr>
      <w:rFonts w:ascii="Tahoma" w:hAnsi="Tahoma" w:cs="Tahoma"/>
      <w:color w:val="000000"/>
      <w:sz w:val="16"/>
      <w:szCs w:val="16"/>
    </w:rPr>
  </w:style>
  <w:style w:type="table" w:customStyle="1" w:styleId="1c">
    <w:name w:val="Сетка таблицы1"/>
    <w:basedOn w:val="a1"/>
    <w:next w:val="afc"/>
    <w:uiPriority w:val="59"/>
    <w:rsid w:val="00350396"/>
    <w:pPr>
      <w:spacing w:line="240" w:lineRule="auto"/>
      <w:ind w:firstLine="0"/>
      <w:jc w:val="left"/>
    </w:pPr>
    <w:rPr>
      <w:rFonts w:ascii="Times New Roman" w:eastAsia="Calibri" w:hAnsi="Times New Roman"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basedOn w:val="a0"/>
    <w:uiPriority w:val="22"/>
    <w:qFormat/>
    <w:rsid w:val="00350396"/>
    <w:rPr>
      <w:b/>
      <w:bCs/>
    </w:rPr>
  </w:style>
  <w:style w:type="character" w:customStyle="1" w:styleId="rynqvb">
    <w:name w:val="rynqvb"/>
    <w:basedOn w:val="a0"/>
    <w:rsid w:val="00350396"/>
  </w:style>
  <w:style w:type="paragraph" w:styleId="aff7">
    <w:name w:val="footer"/>
    <w:basedOn w:val="a"/>
    <w:link w:val="aff8"/>
    <w:uiPriority w:val="99"/>
    <w:unhideWhenUsed/>
    <w:rsid w:val="004E0FC4"/>
    <w:pPr>
      <w:tabs>
        <w:tab w:val="center" w:pos="4677"/>
        <w:tab w:val="right" w:pos="9355"/>
      </w:tabs>
      <w:spacing w:line="240" w:lineRule="auto"/>
    </w:pPr>
  </w:style>
  <w:style w:type="character" w:customStyle="1" w:styleId="aff8">
    <w:name w:val="Нижний колонтитул Знак"/>
    <w:basedOn w:val="a0"/>
    <w:link w:val="aff7"/>
    <w:uiPriority w:val="99"/>
    <w:rsid w:val="004E0FC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ibrary.ru/author_items.asp?refid=935621584&amp;fam=%D0%90%D0%B2%D1%80%D0%B0%D0%BC%D1%87%D0%B8%D0%BA%D0%BE%D0%B2%D0%B0&amp;init=%D0%9D+%D0%A2" TargetMode="External"/><Relationship Id="rId21" Type="http://schemas.openxmlformats.org/officeDocument/2006/relationships/image" Target="media/image7.jpeg"/><Relationship Id="rId42" Type="http://schemas.openxmlformats.org/officeDocument/2006/relationships/image" Target="media/image13.jpeg"/><Relationship Id="rId63" Type="http://schemas.openxmlformats.org/officeDocument/2006/relationships/hyperlink" Target="http://www" TargetMode="External"/><Relationship Id="rId84" Type="http://schemas.openxmlformats.org/officeDocument/2006/relationships/footer" Target="footer34.xml"/><Relationship Id="rId138" Type="http://schemas.openxmlformats.org/officeDocument/2006/relationships/footer" Target="footer55.xml"/><Relationship Id="rId159" Type="http://schemas.openxmlformats.org/officeDocument/2006/relationships/footer" Target="footer62.xml"/><Relationship Id="rId170" Type="http://schemas.openxmlformats.org/officeDocument/2006/relationships/header" Target="header20.xml"/><Relationship Id="rId191" Type="http://schemas.openxmlformats.org/officeDocument/2006/relationships/header" Target="header26.xml"/><Relationship Id="rId205" Type="http://schemas.openxmlformats.org/officeDocument/2006/relationships/header" Target="header32.xml"/><Relationship Id="rId226" Type="http://schemas.openxmlformats.org/officeDocument/2006/relationships/hyperlink" Target="http://www.urait.ru" TargetMode="External"/><Relationship Id="rId107" Type="http://schemas.openxmlformats.org/officeDocument/2006/relationships/hyperlink" Target="http://globalsib" TargetMode="External"/><Relationship Id="rId11" Type="http://schemas.openxmlformats.org/officeDocument/2006/relationships/footer" Target="footer4.xml"/><Relationship Id="rId32" Type="http://schemas.openxmlformats.org/officeDocument/2006/relationships/image" Target="media/image8.jpeg"/><Relationship Id="rId53" Type="http://schemas.openxmlformats.org/officeDocument/2006/relationships/image" Target="media/image16.png"/><Relationship Id="rId74" Type="http://schemas.openxmlformats.org/officeDocument/2006/relationships/footer" Target="footer26.xml"/><Relationship Id="rId128" Type="http://schemas.openxmlformats.org/officeDocument/2006/relationships/hyperlink" Target="http://pppcenter" TargetMode="External"/><Relationship Id="rId149" Type="http://schemas.openxmlformats.org/officeDocument/2006/relationships/hyperlink" Target="http://www.pravcons.ru/articles/publ/novaya-sistema-goszakupok-zarabotaet-do-2016-goda/" TargetMode="External"/><Relationship Id="rId5" Type="http://schemas.openxmlformats.org/officeDocument/2006/relationships/webSettings" Target="webSettings.xml"/><Relationship Id="rId95" Type="http://schemas.openxmlformats.org/officeDocument/2006/relationships/footer" Target="footer40.xml"/><Relationship Id="rId160" Type="http://schemas.openxmlformats.org/officeDocument/2006/relationships/footer" Target="footer63.xml"/><Relationship Id="rId181" Type="http://schemas.openxmlformats.org/officeDocument/2006/relationships/footer" Target="footer79.xml"/><Relationship Id="rId216" Type="http://schemas.openxmlformats.org/officeDocument/2006/relationships/footer" Target="footer101.xml"/><Relationship Id="rId211" Type="http://schemas.openxmlformats.org/officeDocument/2006/relationships/footer" Target="footer98.xml"/><Relationship Id="rId22" Type="http://schemas.openxmlformats.org/officeDocument/2006/relationships/hyperlink" Target="http://www.gks.ru" TargetMode="Externa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21.xml"/><Relationship Id="rId64" Type="http://schemas.openxmlformats.org/officeDocument/2006/relationships/header" Target="header3.xml"/><Relationship Id="rId69" Type="http://schemas.openxmlformats.org/officeDocument/2006/relationships/image" Target="media/image26.png"/><Relationship Id="rId113" Type="http://schemas.openxmlformats.org/officeDocument/2006/relationships/header" Target="header17.xml"/><Relationship Id="rId118" Type="http://schemas.openxmlformats.org/officeDocument/2006/relationships/hyperlink" Target="https://doi.org/10.24833/2071-8160-2022-1-82-143-173" TargetMode="External"/><Relationship Id="rId134" Type="http://schemas.openxmlformats.org/officeDocument/2006/relationships/footer" Target="footer51.xml"/><Relationship Id="rId139" Type="http://schemas.openxmlformats.org/officeDocument/2006/relationships/footer" Target="footer56.xml"/><Relationship Id="rId80" Type="http://schemas.openxmlformats.org/officeDocument/2006/relationships/footer" Target="footer31.xml"/><Relationship Id="rId85" Type="http://schemas.openxmlformats.org/officeDocument/2006/relationships/header" Target="header7.xml"/><Relationship Id="rId150" Type="http://schemas.openxmlformats.org/officeDocument/2006/relationships/hyperlink" Target="http://goszakupki.open" TargetMode="External"/><Relationship Id="rId155" Type="http://schemas.openxmlformats.org/officeDocument/2006/relationships/footer" Target="footer59.xml"/><Relationship Id="rId171" Type="http://schemas.openxmlformats.org/officeDocument/2006/relationships/header" Target="header21.xml"/><Relationship Id="rId176" Type="http://schemas.openxmlformats.org/officeDocument/2006/relationships/footer" Target="footer75.xml"/><Relationship Id="rId192" Type="http://schemas.openxmlformats.org/officeDocument/2006/relationships/footer" Target="footer87.xml"/><Relationship Id="rId197" Type="http://schemas.openxmlformats.org/officeDocument/2006/relationships/footer" Target="footer90.xml"/><Relationship Id="rId206" Type="http://schemas.openxmlformats.org/officeDocument/2006/relationships/footer" Target="footer95.xml"/><Relationship Id="rId227" Type="http://schemas.openxmlformats.org/officeDocument/2006/relationships/fontTable" Target="fontTable.xml"/><Relationship Id="rId201" Type="http://schemas.openxmlformats.org/officeDocument/2006/relationships/header" Target="header30.xml"/><Relationship Id="rId222" Type="http://schemas.openxmlformats.org/officeDocument/2006/relationships/hyperlink" Target="mailto:vuz@urait.ru" TargetMode="External"/><Relationship Id="rId12" Type="http://schemas.openxmlformats.org/officeDocument/2006/relationships/footer" Target="footer5.xml"/><Relationship Id="rId17"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image" Target="media/image12.jpeg"/><Relationship Id="rId59" Type="http://schemas.openxmlformats.org/officeDocument/2006/relationships/image" Target="media/image22.png"/><Relationship Id="rId103" Type="http://schemas.openxmlformats.org/officeDocument/2006/relationships/footer" Target="footer43.xml"/><Relationship Id="rId108" Type="http://schemas.openxmlformats.org/officeDocument/2006/relationships/hyperlink" Target="http://www" TargetMode="External"/><Relationship Id="rId124" Type="http://schemas.openxmlformats.org/officeDocument/2006/relationships/hyperlink" Target="http://pppcenter.ru/proektyi-czentra/rejting-regionov-po-gchp.html" TargetMode="External"/><Relationship Id="rId129" Type="http://schemas.openxmlformats.org/officeDocument/2006/relationships/footer" Target="footer47.xml"/><Relationship Id="rId54" Type="http://schemas.openxmlformats.org/officeDocument/2006/relationships/image" Target="media/image17.png"/><Relationship Id="rId70" Type="http://schemas.openxmlformats.org/officeDocument/2006/relationships/hyperlink" Target="https://www.acra-ratings.ru/criteria/115/" TargetMode="External"/><Relationship Id="rId75" Type="http://schemas.openxmlformats.org/officeDocument/2006/relationships/footer" Target="footer27.xml"/><Relationship Id="rId91" Type="http://schemas.openxmlformats.org/officeDocument/2006/relationships/header" Target="header10.xml"/><Relationship Id="rId96" Type="http://schemas.openxmlformats.org/officeDocument/2006/relationships/hyperlink" Target="http://www.pppi.ru/projects" TargetMode="External"/><Relationship Id="rId140" Type="http://schemas.openxmlformats.org/officeDocument/2006/relationships/footer" Target="footer57.xml"/><Relationship Id="rId145" Type="http://schemas.openxmlformats.org/officeDocument/2006/relationships/hyperlink" Target="http://www" TargetMode="External"/><Relationship Id="rId161" Type="http://schemas.openxmlformats.org/officeDocument/2006/relationships/footer" Target="footer64.xml"/><Relationship Id="rId166" Type="http://schemas.openxmlformats.org/officeDocument/2006/relationships/header" Target="header19.xml"/><Relationship Id="rId182" Type="http://schemas.openxmlformats.org/officeDocument/2006/relationships/header" Target="header24.xml"/><Relationship Id="rId187" Type="http://schemas.openxmlformats.org/officeDocument/2006/relationships/footer" Target="footer84.xml"/><Relationship Id="rId217"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35.xml"/><Relationship Id="rId23" Type="http://schemas.openxmlformats.org/officeDocument/2006/relationships/hyperlink" Target="http://www.unctad.org" TargetMode="External"/><Relationship Id="rId28" Type="http://schemas.openxmlformats.org/officeDocument/2006/relationships/footer" Target="footer10.xml"/><Relationship Id="rId49" Type="http://schemas.openxmlformats.org/officeDocument/2006/relationships/header" Target="header2.xml"/><Relationship Id="rId114" Type="http://schemas.openxmlformats.org/officeDocument/2006/relationships/footer" Target="footer46.xml"/><Relationship Id="rId119" Type="http://schemas.openxmlformats.org/officeDocument/2006/relationships/hyperlink" Target="https://www.elibrary.ru/contents.asp?id=42579601" TargetMode="External"/><Relationship Id="rId44" Type="http://schemas.openxmlformats.org/officeDocument/2006/relationships/footer" Target="footer18.xml"/><Relationship Id="rId60" Type="http://schemas.openxmlformats.org/officeDocument/2006/relationships/image" Target="media/image23.jpeg"/><Relationship Id="rId65" Type="http://schemas.openxmlformats.org/officeDocument/2006/relationships/footer" Target="footer23.xml"/><Relationship Id="rId81" Type="http://schemas.openxmlformats.org/officeDocument/2006/relationships/footer" Target="footer32.xml"/><Relationship Id="rId86" Type="http://schemas.openxmlformats.org/officeDocument/2006/relationships/header" Target="header8.xml"/><Relationship Id="rId130" Type="http://schemas.openxmlformats.org/officeDocument/2006/relationships/footer" Target="footer48.xml"/><Relationship Id="rId135" Type="http://schemas.openxmlformats.org/officeDocument/2006/relationships/footer" Target="footer52.xml"/><Relationship Id="rId151" Type="http://schemas.openxmlformats.org/officeDocument/2006/relationships/hyperlink" Target="https://www.fcaudit.ru/blog/tablitsa-osnovnykh-izmeneniy-pravil-osushchestvleniya-zakupok/" TargetMode="External"/><Relationship Id="rId156" Type="http://schemas.openxmlformats.org/officeDocument/2006/relationships/footer" Target="footer60.xml"/><Relationship Id="rId177" Type="http://schemas.openxmlformats.org/officeDocument/2006/relationships/footer" Target="footer76.xml"/><Relationship Id="rId198" Type="http://schemas.openxmlformats.org/officeDocument/2006/relationships/footer" Target="footer91.xml"/><Relationship Id="rId172" Type="http://schemas.openxmlformats.org/officeDocument/2006/relationships/footer" Target="footer72.xml"/><Relationship Id="rId193" Type="http://schemas.openxmlformats.org/officeDocument/2006/relationships/footer" Target="footer88.xml"/><Relationship Id="rId202" Type="http://schemas.openxmlformats.org/officeDocument/2006/relationships/header" Target="header31.xml"/><Relationship Id="rId207" Type="http://schemas.openxmlformats.org/officeDocument/2006/relationships/header" Target="header33.xml"/><Relationship Id="rId223" Type="http://schemas.openxmlformats.org/officeDocument/2006/relationships/hyperlink" Target="mailto:sales@urait.ru" TargetMode="External"/><Relationship Id="rId228" Type="http://schemas.openxmlformats.org/officeDocument/2006/relationships/theme" Target="theme/theme1.xml"/><Relationship Id="rId13" Type="http://schemas.openxmlformats.org/officeDocument/2006/relationships/hyperlink" Target="http://www.cbr.ru/about_br/publ/god/" TargetMode="External"/><Relationship Id="rId18" Type="http://schemas.openxmlformats.org/officeDocument/2006/relationships/image" Target="media/image4.jpeg"/><Relationship Id="rId39" Type="http://schemas.openxmlformats.org/officeDocument/2006/relationships/footer" Target="footer14.xml"/><Relationship Id="rId109" Type="http://schemas.openxmlformats.org/officeDocument/2006/relationships/header" Target="header15.xml"/><Relationship Id="rId34" Type="http://schemas.openxmlformats.org/officeDocument/2006/relationships/image" Target="media/image10.png"/><Relationship Id="rId50" Type="http://schemas.openxmlformats.org/officeDocument/2006/relationships/footer" Target="footer22.xml"/><Relationship Id="rId55" Type="http://schemas.openxmlformats.org/officeDocument/2006/relationships/image" Target="media/image18.jpeg"/><Relationship Id="rId76" Type="http://schemas.openxmlformats.org/officeDocument/2006/relationships/footer" Target="footer28.xml"/><Relationship Id="rId97" Type="http://schemas.openxmlformats.org/officeDocument/2006/relationships/hyperlink" Target="http://www.gosbook.ru/node/72995" TargetMode="External"/><Relationship Id="rId104" Type="http://schemas.openxmlformats.org/officeDocument/2006/relationships/hyperlink" Target="http://www.rusnano.com/about/press-centre/news/75498" TargetMode="External"/><Relationship Id="rId120" Type="http://schemas.openxmlformats.org/officeDocument/2006/relationships/hyperlink" Target="https://www.elibrary.ru/contents.asp?id=42579601&amp;selid=42579605" TargetMode="External"/><Relationship Id="rId125" Type="http://schemas.openxmlformats.org/officeDocument/2006/relationships/hyperlink" Target="http://pppcenter" TargetMode="External"/><Relationship Id="rId141" Type="http://schemas.openxmlformats.org/officeDocument/2006/relationships/footer" Target="footer58.xml"/><Relationship Id="rId146" Type="http://schemas.openxmlformats.org/officeDocument/2006/relationships/hyperlink" Target="https://www.fcaudit.ru/blog/tablitsa-osnovnykh-izmeneniy-pravil-osushchestvleniya-zakupok/" TargetMode="External"/><Relationship Id="rId167" Type="http://schemas.openxmlformats.org/officeDocument/2006/relationships/footer" Target="footer69.xml"/><Relationship Id="rId188" Type="http://schemas.openxmlformats.org/officeDocument/2006/relationships/footer" Target="footer85.xml"/><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footer" Target="footer38.xml"/><Relationship Id="rId162" Type="http://schemas.openxmlformats.org/officeDocument/2006/relationships/footer" Target="footer65.xml"/><Relationship Id="rId183" Type="http://schemas.openxmlformats.org/officeDocument/2006/relationships/footer" Target="footer80.xml"/><Relationship Id="rId213" Type="http://schemas.openxmlformats.org/officeDocument/2006/relationships/footer" Target="footer99.xml"/><Relationship Id="rId218" Type="http://schemas.openxmlformats.org/officeDocument/2006/relationships/footer" Target="footer102.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6.xml"/><Relationship Id="rId40" Type="http://schemas.openxmlformats.org/officeDocument/2006/relationships/footer" Target="footer15.xml"/><Relationship Id="rId45" Type="http://schemas.openxmlformats.org/officeDocument/2006/relationships/header" Target="header1.xml"/><Relationship Id="rId66" Type="http://schemas.openxmlformats.org/officeDocument/2006/relationships/footer" Target="footer24.xml"/><Relationship Id="rId87" Type="http://schemas.openxmlformats.org/officeDocument/2006/relationships/footer" Target="footer35.xml"/><Relationship Id="rId110" Type="http://schemas.openxmlformats.org/officeDocument/2006/relationships/header" Target="header16.xml"/><Relationship Id="rId115" Type="http://schemas.openxmlformats.org/officeDocument/2006/relationships/hyperlink" Target="http://www.tasstelecom.ru/news/one/7083" TargetMode="External"/><Relationship Id="rId131" Type="http://schemas.openxmlformats.org/officeDocument/2006/relationships/header" Target="header18.xml"/><Relationship Id="rId136" Type="http://schemas.openxmlformats.org/officeDocument/2006/relationships/footer" Target="footer53.xml"/><Relationship Id="rId157" Type="http://schemas.openxmlformats.org/officeDocument/2006/relationships/hyperlink" Target="http://sevntu.com.ua/jspui/bitstream/123456789/5515/1/130_07.pdf" TargetMode="External"/><Relationship Id="rId178" Type="http://schemas.openxmlformats.org/officeDocument/2006/relationships/header" Target="header23.xml"/><Relationship Id="rId61" Type="http://schemas.openxmlformats.org/officeDocument/2006/relationships/image" Target="media/image24.jpeg"/><Relationship Id="rId82" Type="http://schemas.openxmlformats.org/officeDocument/2006/relationships/footer" Target="footer33.xml"/><Relationship Id="rId152" Type="http://schemas.openxmlformats.org/officeDocument/2006/relationships/hyperlink" Target="http://www.rbc.ru/" TargetMode="External"/><Relationship Id="rId173" Type="http://schemas.openxmlformats.org/officeDocument/2006/relationships/footer" Target="footer73.xml"/><Relationship Id="rId194" Type="http://schemas.openxmlformats.org/officeDocument/2006/relationships/header" Target="header27.xml"/><Relationship Id="rId199" Type="http://schemas.openxmlformats.org/officeDocument/2006/relationships/header" Target="header29.xml"/><Relationship Id="rId203" Type="http://schemas.openxmlformats.org/officeDocument/2006/relationships/footer" Target="footer93.xml"/><Relationship Id="rId208" Type="http://schemas.openxmlformats.org/officeDocument/2006/relationships/footer" Target="footer96.xml"/><Relationship Id="rId19" Type="http://schemas.openxmlformats.org/officeDocument/2006/relationships/image" Target="media/image5.jpeg"/><Relationship Id="rId224" Type="http://schemas.openxmlformats.org/officeDocument/2006/relationships/hyperlink" Target="mailto:gred@urait.ru" TargetMode="External"/><Relationship Id="rId14" Type="http://schemas.openxmlformats.org/officeDocument/2006/relationships/hyperlink" Target="https://www.doingbusiness.org" TargetMode="External"/><Relationship Id="rId30" Type="http://schemas.openxmlformats.org/officeDocument/2006/relationships/footer" Target="footer12.xml"/><Relationship Id="rId35" Type="http://schemas.openxmlformats.org/officeDocument/2006/relationships/hyperlink" Target="http://www" TargetMode="External"/><Relationship Id="rId56" Type="http://schemas.openxmlformats.org/officeDocument/2006/relationships/image" Target="media/image19.jpeg"/><Relationship Id="rId77" Type="http://schemas.openxmlformats.org/officeDocument/2006/relationships/footer" Target="footer29.xml"/><Relationship Id="rId100" Type="http://schemas.openxmlformats.org/officeDocument/2006/relationships/footer" Target="footer41.xml"/><Relationship Id="rId105" Type="http://schemas.openxmlformats.org/officeDocument/2006/relationships/hyperlink" Target="http://www.dubna-oez.ru/it/nudear_physical/designing-systems/bio_medical" TargetMode="External"/><Relationship Id="rId126" Type="http://schemas.openxmlformats.org/officeDocument/2006/relationships/hyperlink" Target="http://pppcenter" TargetMode="External"/><Relationship Id="rId147" Type="http://schemas.openxmlformats.org/officeDocument/2006/relationships/hyperlink" Target="https://gozakaz.ru/" TargetMode="External"/><Relationship Id="rId168" Type="http://schemas.openxmlformats.org/officeDocument/2006/relationships/footer" Target="footer70.xml"/><Relationship Id="rId8" Type="http://schemas.openxmlformats.org/officeDocument/2006/relationships/footer" Target="footer1.xml"/><Relationship Id="rId51" Type="http://schemas.openxmlformats.org/officeDocument/2006/relationships/image" Target="media/image14.jpeg"/><Relationship Id="rId72" Type="http://schemas.openxmlformats.org/officeDocument/2006/relationships/image" Target="media/image28.jpeg"/><Relationship Id="rId93" Type="http://schemas.openxmlformats.org/officeDocument/2006/relationships/footer" Target="footer39.xml"/><Relationship Id="rId98" Type="http://schemas.openxmlformats.org/officeDocument/2006/relationships/header" Target="header12.xml"/><Relationship Id="rId121" Type="http://schemas.openxmlformats.org/officeDocument/2006/relationships/hyperlink" Target="https://www.elibrary.ru/contents.asp?id=47969520" TargetMode="External"/><Relationship Id="rId142" Type="http://schemas.openxmlformats.org/officeDocument/2006/relationships/hyperlink" Target="https://buhguru.com/away2.php?req=doc&amp;base=LAW&amp;n=373477&amp;dst=100003&amp;date=05.07.2021" TargetMode="External"/><Relationship Id="rId163" Type="http://schemas.openxmlformats.org/officeDocument/2006/relationships/footer" Target="footer66.xml"/><Relationship Id="rId184" Type="http://schemas.openxmlformats.org/officeDocument/2006/relationships/footer" Target="footer81.xml"/><Relationship Id="rId189" Type="http://schemas.openxmlformats.org/officeDocument/2006/relationships/header" Target="header25.xml"/><Relationship Id="rId219" Type="http://schemas.openxmlformats.org/officeDocument/2006/relationships/footer" Target="footer103.xml"/><Relationship Id="rId3" Type="http://schemas.openxmlformats.org/officeDocument/2006/relationships/styles" Target="styles.xml"/><Relationship Id="rId214" Type="http://schemas.openxmlformats.org/officeDocument/2006/relationships/footer" Target="footer100.xml"/><Relationship Id="rId25" Type="http://schemas.openxmlformats.org/officeDocument/2006/relationships/footer" Target="footer7.xml"/><Relationship Id="rId46" Type="http://schemas.openxmlformats.org/officeDocument/2006/relationships/footer" Target="footer19.xml"/><Relationship Id="rId67" Type="http://schemas.openxmlformats.org/officeDocument/2006/relationships/header" Target="header4.xml"/><Relationship Id="rId116" Type="http://schemas.openxmlformats.org/officeDocument/2006/relationships/hyperlink" Target="https://www.economy.gov.ru/material/dokumenty/edinyy_plan_po_dostizheniyu_nacionalnyh_celey_razvitiya_rossiyskoy_federacii_na_period_do_2024_goda_i_na_planovyy_period_do_2030_goda.html" TargetMode="External"/><Relationship Id="rId137" Type="http://schemas.openxmlformats.org/officeDocument/2006/relationships/footer" Target="footer54.xml"/><Relationship Id="rId158" Type="http://schemas.openxmlformats.org/officeDocument/2006/relationships/footer" Target="footer61.xml"/><Relationship Id="rId20" Type="http://schemas.openxmlformats.org/officeDocument/2006/relationships/image" Target="media/image6.jpeg"/><Relationship Id="rId41" Type="http://schemas.openxmlformats.org/officeDocument/2006/relationships/footer" Target="footer16.xml"/><Relationship Id="rId62" Type="http://schemas.openxmlformats.org/officeDocument/2006/relationships/image" Target="media/image25.jpeg"/><Relationship Id="rId83" Type="http://schemas.openxmlformats.org/officeDocument/2006/relationships/header" Target="header6.xml"/><Relationship Id="rId88" Type="http://schemas.openxmlformats.org/officeDocument/2006/relationships/footer" Target="footer36.xml"/><Relationship Id="rId111" Type="http://schemas.openxmlformats.org/officeDocument/2006/relationships/footer" Target="footer44.xml"/><Relationship Id="rId132" Type="http://schemas.openxmlformats.org/officeDocument/2006/relationships/footer" Target="footer49.xml"/><Relationship Id="rId153" Type="http://schemas.openxmlformats.org/officeDocument/2006/relationships/hyperlink" Target="http://top.rbc.ru/economics/15/08/2013/870272.shtml/" TargetMode="External"/><Relationship Id="rId174" Type="http://schemas.openxmlformats.org/officeDocument/2006/relationships/footer" Target="footer74.xml"/><Relationship Id="rId179" Type="http://schemas.openxmlformats.org/officeDocument/2006/relationships/footer" Target="footer77.xml"/><Relationship Id="rId195" Type="http://schemas.openxmlformats.org/officeDocument/2006/relationships/footer" Target="footer89.xml"/><Relationship Id="rId209" Type="http://schemas.openxmlformats.org/officeDocument/2006/relationships/footer" Target="footer97.xml"/><Relationship Id="rId190" Type="http://schemas.openxmlformats.org/officeDocument/2006/relationships/footer" Target="footer86.xml"/><Relationship Id="rId204" Type="http://schemas.openxmlformats.org/officeDocument/2006/relationships/footer" Target="footer94.xml"/><Relationship Id="rId220" Type="http://schemas.openxmlformats.org/officeDocument/2006/relationships/header" Target="header38.xml"/><Relationship Id="rId225" Type="http://schemas.openxmlformats.org/officeDocument/2006/relationships/hyperlink" Target="mailto:izdat@urait.ru" TargetMode="External"/><Relationship Id="rId15" Type="http://schemas.openxmlformats.org/officeDocument/2006/relationships/image" Target="media/image1.jpeg"/><Relationship Id="rId36" Type="http://schemas.openxmlformats.org/officeDocument/2006/relationships/hyperlink" Target="http://www" TargetMode="External"/><Relationship Id="rId57" Type="http://schemas.openxmlformats.org/officeDocument/2006/relationships/image" Target="media/image20.png"/><Relationship Id="rId106" Type="http://schemas.openxmlformats.org/officeDocument/2006/relationships/hyperlink" Target="http://www.nanonewsnet.ru/blog/nikst/nanotekhnologicheskii-klaster-v-dubne" TargetMode="External"/><Relationship Id="rId127" Type="http://schemas.openxmlformats.org/officeDocument/2006/relationships/hyperlink" Target="http://pppcenter" TargetMode="External"/><Relationship Id="rId10" Type="http://schemas.openxmlformats.org/officeDocument/2006/relationships/footer" Target="footer3.xml"/><Relationship Id="rId31" Type="http://schemas.openxmlformats.org/officeDocument/2006/relationships/footer" Target="footer13.xml"/><Relationship Id="rId52" Type="http://schemas.openxmlformats.org/officeDocument/2006/relationships/image" Target="media/image15.png"/><Relationship Id="rId73" Type="http://schemas.openxmlformats.org/officeDocument/2006/relationships/image" Target="media/image29.jpeg"/><Relationship Id="rId78" Type="http://schemas.openxmlformats.org/officeDocument/2006/relationships/footer" Target="footer30.xml"/><Relationship Id="rId94" Type="http://schemas.openxmlformats.org/officeDocument/2006/relationships/header" Target="header11.xml"/><Relationship Id="rId99" Type="http://schemas.openxmlformats.org/officeDocument/2006/relationships/header" Target="header13.xml"/><Relationship Id="rId101" Type="http://schemas.openxmlformats.org/officeDocument/2006/relationships/footer" Target="footer42.xml"/><Relationship Id="rId122" Type="http://schemas.openxmlformats.org/officeDocument/2006/relationships/hyperlink" Target="https://www.elibrary.ru/contents.asp?id=47969520&amp;selid=47969527" TargetMode="External"/><Relationship Id="rId143" Type="http://schemas.openxmlformats.org/officeDocument/2006/relationships/hyperlink" Target="https://buhguru.com/away2.php?req=doc&amp;base=LAW&amp;n=372246&amp;dst=1000000001&amp;date=05.07.2021" TargetMode="External"/><Relationship Id="rId148" Type="http://schemas.openxmlformats.org/officeDocument/2006/relationships/hyperlink" Target="http://zakupkifks.ru/category" TargetMode="External"/><Relationship Id="rId164" Type="http://schemas.openxmlformats.org/officeDocument/2006/relationships/footer" Target="footer67.xml"/><Relationship Id="rId169" Type="http://schemas.openxmlformats.org/officeDocument/2006/relationships/footer" Target="footer71.xml"/><Relationship Id="rId185" Type="http://schemas.openxmlformats.org/officeDocument/2006/relationships/footer" Target="footer82.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78.xml"/><Relationship Id="rId210" Type="http://schemas.openxmlformats.org/officeDocument/2006/relationships/header" Target="header34.xml"/><Relationship Id="rId215" Type="http://schemas.openxmlformats.org/officeDocument/2006/relationships/header" Target="header36.xml"/><Relationship Id="rId26" Type="http://schemas.openxmlformats.org/officeDocument/2006/relationships/footer" Target="footer8.xml"/><Relationship Id="rId47" Type="http://schemas.openxmlformats.org/officeDocument/2006/relationships/footer" Target="footer20.xml"/><Relationship Id="rId68" Type="http://schemas.openxmlformats.org/officeDocument/2006/relationships/footer" Target="footer25.xml"/><Relationship Id="rId89" Type="http://schemas.openxmlformats.org/officeDocument/2006/relationships/footer" Target="footer37.xml"/><Relationship Id="rId112" Type="http://schemas.openxmlformats.org/officeDocument/2006/relationships/footer" Target="footer45.xml"/><Relationship Id="rId133" Type="http://schemas.openxmlformats.org/officeDocument/2006/relationships/footer" Target="footer50.xml"/><Relationship Id="rId154" Type="http://schemas.openxmlformats.org/officeDocument/2006/relationships/hyperlink" Target="https://gozakaz.ru/" TargetMode="External"/><Relationship Id="rId175" Type="http://schemas.openxmlformats.org/officeDocument/2006/relationships/header" Target="header22.xml"/><Relationship Id="rId196" Type="http://schemas.openxmlformats.org/officeDocument/2006/relationships/header" Target="header28.xml"/><Relationship Id="rId200" Type="http://schemas.openxmlformats.org/officeDocument/2006/relationships/footer" Target="footer92.xml"/><Relationship Id="rId16" Type="http://schemas.openxmlformats.org/officeDocument/2006/relationships/image" Target="media/image2.jpeg"/><Relationship Id="rId221" Type="http://schemas.openxmlformats.org/officeDocument/2006/relationships/footer" Target="footer104.xml"/><Relationship Id="rId37" Type="http://schemas.openxmlformats.org/officeDocument/2006/relationships/image" Target="media/image11.jpeg"/><Relationship Id="rId58" Type="http://schemas.openxmlformats.org/officeDocument/2006/relationships/image" Target="media/image21.png"/><Relationship Id="rId79" Type="http://schemas.openxmlformats.org/officeDocument/2006/relationships/header" Target="header5.xml"/><Relationship Id="rId102" Type="http://schemas.openxmlformats.org/officeDocument/2006/relationships/header" Target="header14.xml"/><Relationship Id="rId123" Type="http://schemas.openxmlformats.org/officeDocument/2006/relationships/hyperlink" Target="https://rosinfra.ru/project" TargetMode="External"/><Relationship Id="rId144" Type="http://schemas.openxmlformats.org/officeDocument/2006/relationships/hyperlink" Target="http://goszakupki.open.gov" TargetMode="External"/><Relationship Id="rId90" Type="http://schemas.openxmlformats.org/officeDocument/2006/relationships/header" Target="header9.xml"/><Relationship Id="rId165" Type="http://schemas.openxmlformats.org/officeDocument/2006/relationships/footer" Target="footer68.xml"/><Relationship Id="rId186" Type="http://schemas.openxmlformats.org/officeDocument/2006/relationships/footer" Target="footer83.xml"/></Relationships>
</file>

<file path=word/_rels/footnotes.xml.rels><?xml version="1.0" encoding="UTF-8" standalone="yes"?>
<Relationships xmlns="http://schemas.openxmlformats.org/package/2006/relationships"><Relationship Id="rId13" Type="http://schemas.openxmlformats.org/officeDocument/2006/relationships/hyperlink" Target="http://iam.duma.gov.ru/node/8/4669/16628" TargetMode="External"/><Relationship Id="rId18" Type="http://schemas.openxmlformats.org/officeDocument/2006/relationships/hyperlink" Target="http://www" TargetMode="External"/><Relationship Id="rId26" Type="http://schemas.openxmlformats.org/officeDocument/2006/relationships/hyperlink" Target="http://investinaustria.at/ru/downloads/factsheets-presse/" TargetMode="External"/><Relationship Id="rId39" Type="http://schemas.openxmlformats.org/officeDocument/2006/relationships/hyperlink" Target="http://top.rbc.ru/economics/15/08/2013/870272.shtml/" TargetMode="External"/><Relationship Id="rId3" Type="http://schemas.openxmlformats.org/officeDocument/2006/relationships/hyperlink" Target="http://magazines.russ.ru/nz/2006/50/" TargetMode="External"/><Relationship Id="rId21" Type="http://schemas.openxmlformats.org/officeDocument/2006/relationships/hyperlink" Target="http://economy.gov.ru/minec/activity/sections/privgovpartnerdev/201505222" TargetMode="External"/><Relationship Id="rId34" Type="http://schemas.openxmlformats.org/officeDocument/2006/relationships/hyperlink" Target="http://pronedra.ru/government/" TargetMode="External"/><Relationship Id="rId42" Type="http://schemas.openxmlformats.org/officeDocument/2006/relationships/hyperlink" Target="http://kapital-rus.ru/articles/artide/176697" TargetMode="External"/><Relationship Id="rId47" Type="http://schemas.openxmlformats.org/officeDocument/2006/relationships/hyperlink" Target="http://www.spa.msu.ru/uploads/flles/h8dissertazionnii_sovet_d_501.001" TargetMode="External"/><Relationship Id="rId50" Type="http://schemas.openxmlformats.org/officeDocument/2006/relationships/hyperlink" Target="http://www.rusnauka.com/30_NNM_2010/" TargetMode="External"/><Relationship Id="rId7" Type="http://schemas.openxmlformats.org/officeDocument/2006/relationships/hyperlink" Target="http://www.lib.ru/FILOSOF/RUSSO/prawo.txt" TargetMode="External"/><Relationship Id="rId12" Type="http://schemas.openxmlformats.org/officeDocument/2006/relationships/hyperlink" Target="http://institutiones.com/" TargetMode="External"/><Relationship Id="rId17" Type="http://schemas.openxmlformats.org/officeDocument/2006/relationships/hyperlink" Target="https://docs.cntd.ru/document/420321343" TargetMode="External"/><Relationship Id="rId25" Type="http://schemas.openxmlformats.org/officeDocument/2006/relationships/hyperlink" Target="http://base.garant.ru/70353464/" TargetMode="External"/><Relationship Id="rId33" Type="http://schemas.openxmlformats.org/officeDocument/2006/relationships/hyperlink" Target="http://www.garant.ru/article/616813/" TargetMode="External"/><Relationship Id="rId38" Type="http://schemas.openxmlformats.org/officeDocument/2006/relationships/hyperlink" Target="http://www.rbc.ru/spb/" TargetMode="External"/><Relationship Id="rId46" Type="http://schemas.openxmlformats.org/officeDocument/2006/relationships/hyperlink" Target="http://lawflrm.ru/pr/print.php?id=14070" TargetMode="External"/><Relationship Id="rId2" Type="http://schemas.openxmlformats.org/officeDocument/2006/relationships/hyperlink" Target="http://www.m-economy.ru/art.php?nArtId=945" TargetMode="External"/><Relationship Id="rId16" Type="http://schemas.openxmlformats.org/officeDocument/2006/relationships/hyperlink" Target="http://www" TargetMode="External"/><Relationship Id="rId20" Type="http://schemas.openxmlformats.org/officeDocument/2006/relationships/hyperlink" Target="http://www" TargetMode="External"/><Relationship Id="rId29" Type="http://schemas.openxmlformats.org/officeDocument/2006/relationships/hyperlink" Target="https://www.elibrary.ru/contents.asp?id=42579601" TargetMode="External"/><Relationship Id="rId41" Type="http://schemas.openxmlformats.org/officeDocument/2006/relationships/hyperlink" Target="http://content.ebscohost" TargetMode="External"/><Relationship Id="rId1" Type="http://schemas.openxmlformats.org/officeDocument/2006/relationships/hyperlink" Target="http://www.spa.msu.ru/uploads/flles/h8dissertazionnii_sovet_d_501.001.2" TargetMode="External"/><Relationship Id="rId6" Type="http://schemas.openxmlformats.org/officeDocument/2006/relationships/hyperlink" Target="http://www.pravo.gov.ru" TargetMode="External"/><Relationship Id="rId11" Type="http://schemas.openxmlformats.org/officeDocument/2006/relationships/hyperlink" Target="http://economy.gov.ru/minec/activity/sections/" TargetMode="External"/><Relationship Id="rId24" Type="http://schemas.openxmlformats.org/officeDocument/2006/relationships/hyperlink" Target="http://www.pppi.ru/projects?page=3&amp;form=11" TargetMode="External"/><Relationship Id="rId32" Type="http://schemas.openxmlformats.org/officeDocument/2006/relationships/hyperlink" Target="http://www.garant.ru/article/616813/%23ixzz3tCRxMVN3" TargetMode="External"/><Relationship Id="rId37" Type="http://schemas.openxmlformats.org/officeDocument/2006/relationships/hyperlink" Target="http://www.procurement.management/state-rost/2006/3.htm" TargetMode="External"/><Relationship Id="rId40" Type="http://schemas.openxmlformats.org/officeDocument/2006/relationships/hyperlink" Target="http://aetp.ru/" TargetMode="External"/><Relationship Id="rId45" Type="http://schemas.openxmlformats.org/officeDocument/2006/relationships/hyperlink" Target="http://pronedra.ru/government/" TargetMode="External"/><Relationship Id="rId5" Type="http://schemas.openxmlformats.org/officeDocument/2006/relationships/hyperlink" Target="http://www.unctad.org" TargetMode="External"/><Relationship Id="rId15" Type="http://schemas.openxmlformats.org/officeDocument/2006/relationships/hyperlink" Target="http://www.vegaslex.ru/analytics/publications/from_" TargetMode="External"/><Relationship Id="rId23" Type="http://schemas.openxmlformats.org/officeDocument/2006/relationships/hyperlink" Target="http://pppcenter.ru/29/novosti/pppcenter-news/v-2017-godu-ozhidaetsya-pyat-osnovnyix-trendov-gchp.html" TargetMode="External"/><Relationship Id="rId28" Type="http://schemas.openxmlformats.org/officeDocument/2006/relationships/hyperlink" Target="http://www.gosbook.ru/node/72995" TargetMode="External"/><Relationship Id="rId36" Type="http://schemas.openxmlformats.org/officeDocument/2006/relationships/hyperlink" Target="https://www.fcaudit.ru/blog/tablitsa-osnovnykh-izmeneniy-pravil-osushchestvleniya-zakupok/" TargetMode="External"/><Relationship Id="rId49" Type="http://schemas.openxmlformats.org/officeDocument/2006/relationships/hyperlink" Target="http://magazines" TargetMode="External"/><Relationship Id="rId10" Type="http://schemas.openxmlformats.org/officeDocument/2006/relationships/hyperlink" Target="http://economy.gov.ru/minec/activity/sections/" TargetMode="External"/><Relationship Id="rId19" Type="http://schemas.openxmlformats.org/officeDocument/2006/relationships/hyperlink" Target="https://www.oecd.org/" TargetMode="External"/><Relationship Id="rId31" Type="http://schemas.openxmlformats.org/officeDocument/2006/relationships/hyperlink" Target="http://www.fas.gov.ru/about/list-of-reports/list-of-reports_30077.html" TargetMode="External"/><Relationship Id="rId44" Type="http://schemas.openxmlformats.org/officeDocument/2006/relationships/hyperlink" Target="http://www.garant.ru/article/616813/" TargetMode="External"/><Relationship Id="rId4" Type="http://schemas.openxmlformats.org/officeDocument/2006/relationships/hyperlink" Target="http://www.rusnauka.com/30_NNM_2010/Economics/73161.doc.htm" TargetMode="External"/><Relationship Id="rId9" Type="http://schemas.openxmlformats.org/officeDocument/2006/relationships/hyperlink" Target="http://www" TargetMode="External"/><Relationship Id="rId14" Type="http://schemas.openxmlformats.org/officeDocument/2006/relationships/hyperlink" Target="https://www.eg-online.ru/article/367312/" TargetMode="External"/><Relationship Id="rId22" Type="http://schemas.openxmlformats.org/officeDocument/2006/relationships/hyperlink" Target="http://pppcenter.ru/29/novosti/pppcenter-news/v-2017-godu-ozhidaetsya-pyat-osnovnyix-trendov-gchp.html" TargetMode="External"/><Relationship Id="rId27" Type="http://schemas.openxmlformats.org/officeDocument/2006/relationships/hyperlink" Target="http://www.perspektivy.info/print.php?ID=243808" TargetMode="External"/><Relationship Id="rId30" Type="http://schemas.openxmlformats.org/officeDocument/2006/relationships/hyperlink" Target="https://www.elibrary.ru/contents.asp?id=42579601&amp;selid=42579605" TargetMode="External"/><Relationship Id="rId35" Type="http://schemas.openxmlformats.org/officeDocument/2006/relationships/hyperlink" Target="http://lawflrm.ru/pr/print.php?id=14070" TargetMode="External"/><Relationship Id="rId43" Type="http://schemas.openxmlformats.org/officeDocument/2006/relationships/hyperlink" Target="http://www" TargetMode="External"/><Relationship Id="rId48" Type="http://schemas.openxmlformats.org/officeDocument/2006/relationships/hyperlink" Target="http://www.m-economy.ru/art.php?nArtId=945" TargetMode="External"/><Relationship Id="rId8" Type="http://schemas.openxmlformats.org/officeDocument/2006/relationships/hyperlink" Target="http://www.garant.ru/hotlaw/federal/831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DF25C-0405-4439-B2B1-8914ACE6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415</Pages>
  <Words>130336</Words>
  <Characters>742920</Characters>
  <Application>Microsoft Office Word</Application>
  <DocSecurity>0</DocSecurity>
  <Lines>6191</Lines>
  <Paragraphs>1743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a.shilovskij</dc:creator>
  <cp:lastModifiedBy>Елизавета</cp:lastModifiedBy>
  <cp:revision>5</cp:revision>
  <dcterms:created xsi:type="dcterms:W3CDTF">2023-02-19T13:25:00Z</dcterms:created>
  <dcterms:modified xsi:type="dcterms:W3CDTF">2023-02-19T13:40:00Z</dcterms:modified>
</cp:coreProperties>
</file>