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D7" w:rsidRPr="009A39D7" w:rsidRDefault="009A39D7" w:rsidP="009A39D7">
      <w:pPr>
        <w:pStyle w:val="a8"/>
        <w:ind w:firstLine="0"/>
        <w:rPr>
          <w:i/>
        </w:rPr>
      </w:pPr>
      <w:r w:rsidRPr="00E15453">
        <w:rPr>
          <w:b/>
          <w:i/>
        </w:rPr>
        <w:t>Ключевые слова:</w:t>
      </w:r>
      <w:r w:rsidRPr="009A39D7">
        <w:rPr>
          <w:i/>
        </w:rPr>
        <w:t xml:space="preserve"> высокотехнологичные ПИИ, ЕС, китайские ПИИ, МНК, конкурентоспособность</w:t>
      </w:r>
    </w:p>
    <w:p w:rsidR="009A39D7" w:rsidRDefault="009A39D7" w:rsidP="009A39D7">
      <w:pPr>
        <w:pStyle w:val="a8"/>
      </w:pPr>
    </w:p>
    <w:p w:rsidR="008839CA" w:rsidRDefault="009A39D7">
      <w:pPr>
        <w:spacing w:line="240" w:lineRule="auto"/>
        <w:ind w:firstLine="0"/>
        <w:rPr>
          <w:sz w:val="24"/>
          <w:szCs w:val="24"/>
        </w:rPr>
      </w:pPr>
      <w:r w:rsidRPr="009A39D7">
        <w:rPr>
          <w:b/>
          <w:color w:val="000000"/>
        </w:rPr>
        <w:t xml:space="preserve">СРАВНЕНИЕ </w:t>
      </w:r>
      <w:r w:rsidR="00EC4CD5">
        <w:rPr>
          <w:b/>
          <w:color w:val="000000"/>
        </w:rPr>
        <w:t>ИНВЕСТИЦИОННОЙ ПРИВЛЕКАТЕЛЬНОСТИ</w:t>
      </w:r>
      <w:r w:rsidRPr="009A39D7">
        <w:rPr>
          <w:b/>
          <w:color w:val="000000"/>
        </w:rPr>
        <w:t xml:space="preserve"> СТРАН ЕС ДЛЯ ВХОДЯЩИХ ПИИ КИТАЙСКИХ ВЫСОКОТЕХНОЛОГИЧНЫХ МНК</w:t>
      </w:r>
    </w:p>
    <w:p w:rsidR="008839CA" w:rsidRDefault="008839CA">
      <w:pPr>
        <w:spacing w:line="240" w:lineRule="auto"/>
        <w:ind w:firstLine="0"/>
        <w:jc w:val="left"/>
        <w:rPr>
          <w:sz w:val="24"/>
          <w:szCs w:val="24"/>
        </w:rPr>
      </w:pPr>
      <w:bookmarkStart w:id="0" w:name="_GoBack"/>
    </w:p>
    <w:bookmarkEnd w:id="0"/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1. ВВЕДЕНИЕ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Беспрецедентный экономический рост Китая, продолжающийся уже 50 лет, не может не вызывать пристального научного интереса к своей модели, механизмам и инструментам. Трудно найти аналог страны, которая, начав в 1978 г</w:t>
      </w:r>
      <w:r w:rsidR="007413B3">
        <w:rPr>
          <w:color w:val="000000"/>
        </w:rPr>
        <w:t>.</w:t>
      </w:r>
      <w:r>
        <w:rPr>
          <w:color w:val="000000"/>
        </w:rPr>
        <w:t xml:space="preserve"> свой реформаторский путь с доходом порядка 200 долл. на душу, спустя 20 лет преодолеет психологический барьер в 1000 долл., ещё через 20 лет, в 2018-м, выйдет на уровень в 10.000 долл. В экономическом фокусе научного интереса к этому глобальному феномену находится эволюция капитальной основы такого роста, не прекращающегося ни в годы мирового финансово-экономического кризиса (2007-2009), ни в период пандемии COVID-19 в её наиболее драматичном 2020-м. Всё это указывает на высокую устойчивость и конкурентоспособность китайской экономики, находящейся в процессе непрерывной модернизации. И важнейшим инструментом такой модернизации стал трансфер западных инновационных технологий, осуществляемый посредством привлечения </w:t>
      </w:r>
      <w:r w:rsidR="007413B3">
        <w:rPr>
          <w:color w:val="000000"/>
        </w:rPr>
        <w:t xml:space="preserve">входящих </w:t>
      </w:r>
      <w:r>
        <w:rPr>
          <w:color w:val="000000"/>
        </w:rPr>
        <w:t>прямых иностранных инвестиций (ПИИ), особенно на начальных этапах реализации политики «реформ и открытости». Далее, с открытием новых возможностей, связанных с</w:t>
      </w:r>
      <w:r w:rsidR="00EE6E91">
        <w:rPr>
          <w:color w:val="000000"/>
        </w:rPr>
        <w:t>о</w:t>
      </w:r>
      <w:r>
        <w:rPr>
          <w:color w:val="000000"/>
        </w:rPr>
        <w:t xml:space="preserve"> вступлением КНР в ВТО в конце 2001 г</w:t>
      </w:r>
      <w:r w:rsidR="00EE6E91">
        <w:rPr>
          <w:color w:val="000000"/>
        </w:rPr>
        <w:t>.</w:t>
      </w:r>
      <w:r>
        <w:rPr>
          <w:color w:val="000000"/>
        </w:rPr>
        <w:t>, к этому добавился «захват» высокотехнологичных активов с помощью</w:t>
      </w:r>
      <w:r w:rsidR="00EE6E91">
        <w:rPr>
          <w:color w:val="000000"/>
        </w:rPr>
        <w:t xml:space="preserve"> исходящих</w:t>
      </w:r>
      <w:r>
        <w:rPr>
          <w:color w:val="000000"/>
        </w:rPr>
        <w:t xml:space="preserve"> прямых зарубежных инвестиций (ПЗИ) в развитые экономики мира, и прежде всего – </w:t>
      </w:r>
      <w:r w:rsidR="00EE6E91">
        <w:rPr>
          <w:color w:val="000000"/>
        </w:rPr>
        <w:t xml:space="preserve">страны </w:t>
      </w:r>
      <w:r>
        <w:rPr>
          <w:color w:val="000000"/>
        </w:rPr>
        <w:t xml:space="preserve">Европы. </w:t>
      </w:r>
    </w:p>
    <w:p w:rsidR="00A349CE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отличие от микроскопически-ориентированного пути инвестиционного развития, характерного для западных экономик, китайский путь «запоздалой» индустриализации отличали две существенные </w:t>
      </w:r>
      <w:r>
        <w:rPr>
          <w:color w:val="000000"/>
        </w:rPr>
        <w:lastRenderedPageBreak/>
        <w:t xml:space="preserve">особенности. Во-первых, первый в истории прецедент массовой индустриализации, начатой с деревни, а не города, и сельского хозяйства, а не промышленности, а также с построения в начале 1980-х гг. аграрной экономики с уникальной ролью поселково-сельских предприятий (ПСП) как первых концентраторов частного промышленного капитала на микроуровне и первых получателей </w:t>
      </w:r>
      <w:r w:rsidR="007413B3">
        <w:rPr>
          <w:color w:val="000000"/>
        </w:rPr>
        <w:t xml:space="preserve">входящих </w:t>
      </w:r>
      <w:r>
        <w:rPr>
          <w:color w:val="000000"/>
        </w:rPr>
        <w:t>ПИИ. Во-вторых, формирование прежде всего необходимых макроэкономических предпосылок, как для административного укрупнения в конце 1980-х – начале 1990-х</w:t>
      </w:r>
      <w:r w:rsidR="00EE6E91">
        <w:rPr>
          <w:color w:val="000000"/>
        </w:rPr>
        <w:t xml:space="preserve"> гг.</w:t>
      </w:r>
      <w:r>
        <w:rPr>
          <w:color w:val="000000"/>
        </w:rPr>
        <w:t xml:space="preserve"> перспективных промышленных предприятий и создания на их основе «национальных чемпионов» – будущих ведущих </w:t>
      </w:r>
      <w:r w:rsidR="009A39D7">
        <w:rPr>
          <w:color w:val="000000"/>
        </w:rPr>
        <w:t>много</w:t>
      </w:r>
      <w:r>
        <w:rPr>
          <w:color w:val="000000"/>
        </w:rPr>
        <w:t>национальных ко</w:t>
      </w:r>
      <w:r w:rsidR="009A39D7">
        <w:rPr>
          <w:color w:val="000000"/>
        </w:rPr>
        <w:t>рпораций (М</w:t>
      </w:r>
      <w:r>
        <w:rPr>
          <w:color w:val="000000"/>
        </w:rPr>
        <w:t>НК), так и для привлечения с помощью процессинговых особых экономических зон (ОЭЗ)</w:t>
      </w:r>
      <w:r w:rsidR="00EE6E91" w:rsidRPr="00EE6E91">
        <w:rPr>
          <w:color w:val="000000"/>
        </w:rPr>
        <w:t xml:space="preserve"> </w:t>
      </w:r>
      <w:r w:rsidR="00EE6E91">
        <w:rPr>
          <w:color w:val="000000"/>
        </w:rPr>
        <w:t>мотивированного невысокой стоимостью факторов и масштабом внутреннего рынка технологически-ориентированного иностранного капитала</w:t>
      </w:r>
      <w:r>
        <w:rPr>
          <w:color w:val="000000"/>
        </w:rPr>
        <w:t>, тщательно селектированного по критерию наибольшей доходности и производительности в рамках «градуалистской» инвестиционной политики постепенного приоткрывания китайской экономики внешнему миру (Сенюк, 2012). Принципиально важным результатом такой селекции стал факт постоянного наращивания создаваемой внутри КНР добавленной стоимости в экспортируемой далее продукции на фоне прямо противоположных процессов в остальных индустриально-ориентированных странах, последовательно, с конца 90-х уменьшающих долю таковой стоимости за счёт увеличения вклада импортной составляющей в экспорте промежуточных товаров (Kee and Tan, 2015). Характерно, что первая десятка целевых стран для китайского экспорта процессинговой продукции оставалась весь этот период практически неизменной: США, Гонконг, Япония, Нидерланды, Германия, Корея, Сингапур, Великобритания, Тайвань и Франция, причём на долю первых двух из них приходилось до 60% всего объёма поставок (указ. соч.). Эти же страны стали и ведущими инвесторами китайской промышленности. Совокупный мак</w:t>
      </w:r>
      <w:r w:rsidR="00A349CE">
        <w:rPr>
          <w:color w:val="000000"/>
        </w:rPr>
        <w:t xml:space="preserve">роэффект политики стратегически </w:t>
      </w:r>
      <w:r>
        <w:rPr>
          <w:color w:val="000000"/>
        </w:rPr>
        <w:t xml:space="preserve">управляемого постепенного открытия Китая внешнему миру, весьма значимо сказавшийся в опережающем росте </w:t>
      </w:r>
      <w:r>
        <w:rPr>
          <w:color w:val="000000"/>
        </w:rPr>
        <w:lastRenderedPageBreak/>
        <w:t xml:space="preserve">высокотехнологичной компоненты китайского экспорта уже в начале текущего столетия, не имел аналогов среди стран с сопоставимым уровнем доходов (Rodrik, 2006).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Не менее значимым и беспрецедентным оказался и эффект микроуровня, демонстрируемый ка</w:t>
      </w:r>
      <w:r w:rsidR="009A39D7">
        <w:rPr>
          <w:color w:val="000000"/>
        </w:rPr>
        <w:t>к бы «взявшимися из ниоткуда» «М</w:t>
      </w:r>
      <w:r>
        <w:rPr>
          <w:color w:val="000000"/>
        </w:rPr>
        <w:t xml:space="preserve">НК-драконами» и их ПЗИ (Mathews, 2006), </w:t>
      </w:r>
      <w:r w:rsidR="00EE6E91">
        <w:rPr>
          <w:color w:val="000000"/>
        </w:rPr>
        <w:t>который особенно проявился</w:t>
      </w:r>
      <w:r>
        <w:rPr>
          <w:color w:val="000000"/>
        </w:rPr>
        <w:t xml:space="preserve"> в период глобального финансово-экономического кризиса 2007-2009 гг. Как следствие, к его окончанию, Китай по индексу глобальной конкурентоспособности своей экономики с 54-й позиции в 2006 г. стремительно перемещается на 29-ю в 2009-м и 27-ю в 2010-м (WEF, 2010).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 этом этапе Китай занимает место в тройке мировых поставщиков капитала с претензией на лидерство. Разумеется, такие прете</w:t>
      </w:r>
      <w:r w:rsidR="00A349CE">
        <w:rPr>
          <w:color w:val="000000"/>
        </w:rPr>
        <w:t>нзии не могли не вызвать реакцию</w:t>
      </w:r>
      <w:r>
        <w:rPr>
          <w:color w:val="000000"/>
        </w:rPr>
        <w:t xml:space="preserve"> развитых экономик, проявивш</w:t>
      </w:r>
      <w:r w:rsidR="00A349CE">
        <w:rPr>
          <w:color w:val="000000"/>
        </w:rPr>
        <w:t>ую</w:t>
      </w:r>
      <w:r>
        <w:rPr>
          <w:color w:val="000000"/>
        </w:rPr>
        <w:t>ся во второй половине прошлого десятилетия протекционизмом и «техно-национализмом». Своего апогея она достигла в период американо-китайской тарифно-торговой войны, разразившейся в 2017-2018 гг.</w:t>
      </w:r>
      <w:r w:rsidR="00574BDC">
        <w:rPr>
          <w:color w:val="000000"/>
        </w:rPr>
        <w:t xml:space="preserve"> </w:t>
      </w:r>
      <w:r w:rsidR="00574BDC" w:rsidRPr="00574BDC">
        <w:rPr>
          <w:color w:val="000000"/>
        </w:rPr>
        <w:t>Вследствие этого, а также по причине приоритетов китайского правительства на развитие и иннновативную реструктуризацию внутреннего рынка при опережающем росте доходов населения и посткризисной неустойчивости, отношение внешней торговли к ВВП Китая снизилось с 65% в 2006 г. до 36% в 2019, а отношение экспорта уменьшилось, соответственно, с 36% до 18% (Всемирный Банк).</w:t>
      </w:r>
      <w:r>
        <w:rPr>
          <w:color w:val="000000"/>
        </w:rPr>
        <w:t xml:space="preserve"> Вместе с разрушительными для сформированных в период интенсификации процессов глобализации глобальных цепочек стоимости (ГЦС) действиями, вроде санкций против компании «Хуавэй», это привело к уменьшению потоков ПЗИ из КНР с $196 млрд. в 2016 г. до $133 млрд. в 2020 г. На этом фоне происходило усиление привлекательности китайского рынка для </w:t>
      </w:r>
      <w:r w:rsidR="007413B3">
        <w:rPr>
          <w:color w:val="000000"/>
        </w:rPr>
        <w:t xml:space="preserve">входящих </w:t>
      </w:r>
      <w:r>
        <w:rPr>
          <w:color w:val="000000"/>
        </w:rPr>
        <w:t xml:space="preserve">ПИИ, потоки которых возросли со $134 в 2016 г. до $149 млрд. в 2020-м.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Подобное сочетание геополитических и геоэкономических трендов привело к усилению регионализации и кластеризации ГЦС и возврату развитыми странами ранее вывезенного за рубеж производства. Как следствие, </w:t>
      </w:r>
      <w:r>
        <w:rPr>
          <w:color w:val="000000"/>
        </w:rPr>
        <w:lastRenderedPageBreak/>
        <w:t xml:space="preserve">в условиях неопределённости перспектив окончания пандемии ведущие экономики оказались перед выбором: ожидать пост-пандемическое восстановление, либо разрабатывать новые проактивные стратегии, адекватные инновационным вызовам складывающейся реальности. Китай, вполне ожидаемо, пошёл по пути поиска новых паттернов экономического развития, что привело к созданию на рубеже 2020-2021 гг. инновационной экономической модели «Дуальной циркуляции» как нового формата современной глобализации. В её рамках ведущая роль принадлежит инновационно-ориентированному развитию внутренней экономики на основе собственных технологий «цифровизации» и 5G-коммуникации, при поддерживающей роли внешнего рынка и ПЗИ (Huang et al., 2021).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Более того. Теперь Китай, нередко обвиняемый Западом в прежние годы в нарушении прав на объекты интеллектуальной собственности (ОИС), сам ставит вопрос о необходимости усиления охраны прав на собственные ОИС. В том числе и с этой целью 15 марта 2019 г. ВСНП принимает вступивши</w:t>
      </w:r>
      <w:r w:rsidR="00151440">
        <w:rPr>
          <w:color w:val="000000"/>
        </w:rPr>
        <w:t>й в действие 01 января 2020 г. З</w:t>
      </w:r>
      <w:r>
        <w:rPr>
          <w:color w:val="000000"/>
        </w:rPr>
        <w:t xml:space="preserve">акон КНР No 26 «Об иностранных инвестициях», заменивший три ранее существовавших отдельных закона о совместных предприятиях с участием ПИИ (NDRC, 2019). В рамках этого закона, вводящего единообразие в регулирование в международную инвестиционную деятельность китайских </w:t>
      </w:r>
      <w:r w:rsidR="009A39D7">
        <w:rPr>
          <w:color w:val="000000"/>
        </w:rPr>
        <w:t>М</w:t>
      </w:r>
      <w:r>
        <w:rPr>
          <w:color w:val="000000"/>
        </w:rPr>
        <w:t xml:space="preserve">НК, наряду с либерализацией доступа </w:t>
      </w:r>
      <w:r w:rsidR="007413B3">
        <w:rPr>
          <w:color w:val="000000"/>
        </w:rPr>
        <w:t xml:space="preserve">входящих </w:t>
      </w:r>
      <w:r>
        <w:rPr>
          <w:color w:val="000000"/>
        </w:rPr>
        <w:t>ПИИ в сектор услуг, включая финансовые и образовательные, главным образом в ОЭЗ и Зонах Свободной Торговли (ЗСТ), Госкомитет по развитию и реформам в июле 2020 г. уменьшает количество регулируемых отраслей с 40 до 33, а в ЗСТ – с 37 до 30. Однако при этом расширяется «запретительны</w:t>
      </w:r>
      <w:r w:rsidR="00947C8D">
        <w:rPr>
          <w:color w:val="000000"/>
        </w:rPr>
        <w:t>й</w:t>
      </w:r>
      <w:r>
        <w:rPr>
          <w:color w:val="000000"/>
        </w:rPr>
        <w:t xml:space="preserve"> список</w:t>
      </w:r>
      <w:r w:rsidR="00947C8D">
        <w:rPr>
          <w:color w:val="000000"/>
        </w:rPr>
        <w:t>»</w:t>
      </w:r>
      <w:r>
        <w:rPr>
          <w:color w:val="000000"/>
        </w:rPr>
        <w:t xml:space="preserve"> (Negative list) секторов, включающих помимо оборонных, сервисных и угрожающих эколо</w:t>
      </w:r>
      <w:r w:rsidR="00151440">
        <w:rPr>
          <w:color w:val="000000"/>
        </w:rPr>
        <w:t>гии технологических направлений</w:t>
      </w:r>
      <w:r>
        <w:rPr>
          <w:color w:val="000000"/>
        </w:rPr>
        <w:t xml:space="preserve"> теперь креативную, энергетическую, IT и телекоммуникационную, а также автомобилестроение и институты общего обязательного образования. При этом в качестве поощряемых для</w:t>
      </w:r>
      <w:r w:rsidR="00C301BD">
        <w:rPr>
          <w:color w:val="000000"/>
        </w:rPr>
        <w:t xml:space="preserve"> входящих</w:t>
      </w:r>
      <w:r>
        <w:rPr>
          <w:color w:val="000000"/>
        </w:rPr>
        <w:t xml:space="preserve"> ПИИ и приоритетных для китайских</w:t>
      </w:r>
      <w:r w:rsidR="00C301BD">
        <w:rPr>
          <w:color w:val="000000"/>
        </w:rPr>
        <w:t xml:space="preserve"> исходящих </w:t>
      </w:r>
      <w:r>
        <w:rPr>
          <w:color w:val="000000"/>
        </w:rPr>
        <w:t>ПЗИ</w:t>
      </w:r>
      <w:r w:rsidR="007413B3">
        <w:rPr>
          <w:color w:val="000000"/>
        </w:rPr>
        <w:t xml:space="preserve"> </w:t>
      </w:r>
      <w:r>
        <w:rPr>
          <w:color w:val="000000"/>
        </w:rPr>
        <w:t>определены сектора высоких конечных технологий, производственно-</w:t>
      </w:r>
      <w:r>
        <w:rPr>
          <w:color w:val="000000"/>
        </w:rPr>
        <w:lastRenderedPageBreak/>
        <w:t>ориентированного сервиса и вложений в центральные, западные и Северо-Восточные провинции КНР (NDRC, 2021).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условиях ужесточения протекционистских и «техно-националистических» трендов Китай перешёл, в рамках модели «Дуальной циркуляции», к собственной версии инновационно-ориентированного развития</w:t>
      </w:r>
      <w:r w:rsidR="00947C8D">
        <w:rPr>
          <w:color w:val="000000"/>
        </w:rPr>
        <w:t>, значительно раньш</w:t>
      </w:r>
      <w:r>
        <w:rPr>
          <w:color w:val="000000"/>
        </w:rPr>
        <w:t xml:space="preserve">е достигнув рубежа в </w:t>
      </w:r>
      <w:r w:rsidR="000C5672">
        <w:rPr>
          <w:color w:val="000000"/>
        </w:rPr>
        <w:t>$</w:t>
      </w:r>
      <w:r>
        <w:rPr>
          <w:color w:val="000000"/>
        </w:rPr>
        <w:t>17.000, чем предписывается опытом развитых стран (WEF, 2010, p.</w:t>
      </w:r>
      <w:r w:rsidR="00947C8D">
        <w:rPr>
          <w:color w:val="000000"/>
        </w:rPr>
        <w:t xml:space="preserve"> </w:t>
      </w:r>
      <w:r>
        <w:rPr>
          <w:color w:val="000000"/>
        </w:rPr>
        <w:t xml:space="preserve">10). Наряду с отличающейся от представлений традиционных подходов стратегической мотивации китайских </w:t>
      </w:r>
      <w:r w:rsidR="007413B3">
        <w:rPr>
          <w:color w:val="000000"/>
        </w:rPr>
        <w:t xml:space="preserve">исходящих </w:t>
      </w:r>
      <w:r>
        <w:rPr>
          <w:color w:val="000000"/>
        </w:rPr>
        <w:t>П</w:t>
      </w:r>
      <w:r w:rsidR="007413B3">
        <w:rPr>
          <w:color w:val="000000"/>
        </w:rPr>
        <w:t>З</w:t>
      </w:r>
      <w:r>
        <w:rPr>
          <w:color w:val="000000"/>
        </w:rPr>
        <w:t xml:space="preserve">И это подкрепляет тезисы об ограниченной применимости неоклассических теорий для исследований китайских </w:t>
      </w:r>
      <w:r w:rsidR="009A39D7">
        <w:rPr>
          <w:color w:val="000000"/>
        </w:rPr>
        <w:t>МНК</w:t>
      </w:r>
      <w:r>
        <w:rPr>
          <w:color w:val="000000"/>
        </w:rPr>
        <w:t xml:space="preserve">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 ТЕОРЕТИКО-МЕТОДОЛОГИЧЕСКИЙ ИНСТРУМЕНТАРИЙ ОПИСАНИЯ ИНТЕРНАЦИОНАЛИЗАЦИИ </w:t>
      </w:r>
      <w:r w:rsidR="009A39D7">
        <w:rPr>
          <w:b/>
          <w:color w:val="000000"/>
        </w:rPr>
        <w:t>МНК</w:t>
      </w:r>
      <w:r>
        <w:rPr>
          <w:b/>
          <w:color w:val="000000"/>
        </w:rPr>
        <w:t xml:space="preserve"> И МОДЕЛИРОВАНИЯ ИХ ПИИ/ПЗИ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Исторически теоретико-модельный инструментарий описания </w:t>
      </w:r>
      <w:r w:rsidR="009A39D7">
        <w:rPr>
          <w:color w:val="000000"/>
        </w:rPr>
        <w:t>МНК</w:t>
      </w:r>
      <w:r>
        <w:rPr>
          <w:color w:val="000000"/>
        </w:rPr>
        <w:t xml:space="preserve"> и их транснациональной инвестиционной деятельности выделился в отдельную предметную отрасль Международного Бизнеса (МБ) в середине 70-х гг. Его эмпирическую основу составило обобщение опыта «выходящих за рубеж» крупных американских и европейских компаний. Полученные в результате теоретические модели позволяли ответить на актуальные тогда вопросы инвестиционной практики: почему </w:t>
      </w:r>
      <w:r w:rsidR="009A39D7">
        <w:rPr>
          <w:color w:val="000000"/>
        </w:rPr>
        <w:t>МНК</w:t>
      </w:r>
      <w:r>
        <w:rPr>
          <w:color w:val="000000"/>
        </w:rPr>
        <w:t xml:space="preserve"> создаются, как они утроены, каким образом они растут и как ими управляют? (Delios, 2017, p. 292). Ответы на эти вопросы за прошедшие 40 лет создали генеалогию подходов, схематично представленную на рис.1.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Pr="003F7240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F7240">
        <w:rPr>
          <w:b/>
          <w:color w:val="000000"/>
        </w:rPr>
        <w:lastRenderedPageBreak/>
        <w:t>Рисунок 1. Генеалогическая схема основных теоретических подходов к моделированию ПИИ/ПЗИ</w:t>
      </w:r>
      <w:r w:rsidRPr="003F7240">
        <w:rPr>
          <w:b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-516254</wp:posOffset>
            </wp:positionH>
            <wp:positionV relativeFrom="paragraph">
              <wp:posOffset>660400</wp:posOffset>
            </wp:positionV>
            <wp:extent cx="6515100" cy="3667125"/>
            <wp:effectExtent l="0" t="0" r="0" b="0"/>
            <wp:wrapSquare wrapText="bothSides" distT="0" distB="0" distL="114300" distR="114300"/>
            <wp:docPr id="22" name="image1.png" descr="https://lh4.googleusercontent.com/3x9ROIik0bdTq9Xe5HQmjHPq-S2TmapSotmrvuPjgHDDhn6w7eTKt0k_n4TLb5UAVxLJIvTKrhyGZzeMVjRMPwwxrYLFPYK-hlOqwwt6vEBUfEXzCIzGxL21kvhMag=s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3x9ROIik0bdTq9Xe5HQmjHPq-S2TmapSotmrvuPjgHDDhn6w7eTKt0k_n4TLb5UAVxLJIvTKrhyGZzeMVjRMPwwxrYLFPYK-hlOqwwt6vEBUfEXzCIzGxL21kvhMag=s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Источник: Seniuk, 2019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Генеалогия восходит к Теории трансакционных издержек (ТТИ) Р. Коуза, котор</w:t>
      </w:r>
      <w:r w:rsidR="00947C8D">
        <w:rPr>
          <w:color w:val="000000"/>
        </w:rPr>
        <w:t>ая</w:t>
      </w:r>
      <w:r>
        <w:rPr>
          <w:color w:val="000000"/>
        </w:rPr>
        <w:t xml:space="preserve"> в зависимости от уровня этих издержек отвечала на вопрос: «производить или покупать?» В случае, если окажется, что издержки, связанные с производством целевой продукции, ниже её рыночной цены, вопрос решается в пользу создания фирмы. Экономическая эффективность подобного решения зависит не только от рыночной цены, но и от организационно-технологических преимуществ, а также расположения и ресурсного обеспечения самой фирмы.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зависимости от типа изучаемых аспектов выделяются функциональные, структурные и институциональные подходы. В частности, функциональные подходы, как классические (Williamson, 1971, 1975), так и неклассические (Penrose, 1959) в смысле учёта субъективной поведенческой природы фирмы, хотя и в рамках классической ресурсной модели, а также основополагающая неоклассическая Теория Интернализации (ТИ) (Buckley &amp; </w:t>
      </w:r>
      <w:r>
        <w:rPr>
          <w:color w:val="000000"/>
        </w:rPr>
        <w:lastRenderedPageBreak/>
        <w:t xml:space="preserve">Casson, 1976), ставшая краеугольным камнем в дальнейшем развитии Теории Международного Производства (ТМП). Другая группа – структурно-ориентированные подходы с акцентом на инновационно-технологические аспекты, пространственную неоднородность глобальных рынков в рамках микроскопических теорий индустриальной организации фирмы со стремлением к монопольному положению (Hymer, 1960), максимальным использованием несовершенств рынка и экономии от масштаба (Kindleberger, 1969); или на факторы глобальной конкурентоспособности национальной экономики (Porter, 1985). Наиболее популярной стала эклектическая модель Дж. Даннинга (1977, 1979), представляющая структуру фирмы (корпорации) как эклектическую конструкцию трёх групп конкурентных преимуществ: собственности (О – Ownership), преимущественно частной, места расположения (L – Location) и внутренней организованности (I – Internalization). Спустя 10 лет эта OLI-модель фактически стала парадигмальной (Dunning, 1988).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Между тем, наиболее комплексными и способными интегрировать процессы различной природы стали институциональные подходы (North, 1990; Cuervo-Cazzura et al., 2014). Однако и они не в состоянии описать всю совокупность наблюдаемых в сфере ПИИ/ПЗИ явлений и процессов (Сенюк, 2012), даже в (нео)классических представлениях, когда речь идёт о мультилокальных крупных государственных предприятиях, движимых не только экономическими, но и политическими мотивами. Особенно проблематичным это становится при описании инвестиционных процессов в неклассическом случае пространственно-распределённых кластеров (Porter, 1990) и агломераций или некорпоративных форм ведения инвестиционного бизнеса (non-equity modes – WIR 2011, p. 125), рассматриваемых как единая бизнес-система и ГЦС, </w:t>
      </w:r>
      <w:r w:rsidR="007413B3">
        <w:rPr>
          <w:color w:val="000000"/>
        </w:rPr>
        <w:t xml:space="preserve">тем более в принципиально не </w:t>
      </w:r>
      <w:r>
        <w:rPr>
          <w:color w:val="000000"/>
        </w:rPr>
        <w:t xml:space="preserve">локальных, а виртуальных Глобальных Производственных Сетей (ГПС) и ещё более «тонких» Глобальных Инновационных Сетей (ГИС) (Seniuk &amp; De Groot, 2019).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Ставшее заметным в первом десятилетии и стремительно нарастающее под воздействием инновационных вызовов Четвёртой Промышленной Революции (4ПР) во втором,</w:t>
      </w:r>
      <w:r w:rsidR="00FF1478">
        <w:rPr>
          <w:color w:val="000000"/>
        </w:rPr>
        <w:t xml:space="preserve"> потоки китайского капитала</w:t>
      </w:r>
      <w:r>
        <w:rPr>
          <w:color w:val="000000"/>
        </w:rPr>
        <w:t xml:space="preserve"> не могли не породить сомнения в адекватности использования традиционных (нео)классических представлений об организованности и функциональности транснациональной и глобальной инвестиционной бизнес-деятельности, начиная с постановки принципиального вопроса, не являются ли китайские «</w:t>
      </w:r>
      <w:r w:rsidR="009A39D7">
        <w:rPr>
          <w:color w:val="000000"/>
        </w:rPr>
        <w:t>МНК</w:t>
      </w:r>
      <w:r>
        <w:rPr>
          <w:color w:val="000000"/>
        </w:rPr>
        <w:t xml:space="preserve">-драконы» новой формой экономической реальности (Mathews, 2006). Далее появился целый ряд работ (более детально – в Сенюк, 2012), указывающих на то, что традиционные модели ПИИ/ПЗИ (рис. 1) описывают только простейшие случаи бинарного взаимодействия двух локализованных в географическом пространстве акторов – </w:t>
      </w:r>
      <w:r w:rsidR="009A39D7">
        <w:rPr>
          <w:color w:val="000000"/>
        </w:rPr>
        <w:t>МНК</w:t>
      </w:r>
      <w:r>
        <w:rPr>
          <w:color w:val="000000"/>
        </w:rPr>
        <w:t xml:space="preserve">-инвестора и реципиента. </w:t>
      </w:r>
    </w:p>
    <w:p w:rsidR="008839CA" w:rsidRPr="007413B3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Между тем, продолжающееся нарастание в годы послекризисного восстановления потоков международного движения капитала, достигших в 2016 г. докризисного уровня в почти $2.1 трлн., не создавало должных стимулов для разработки подобных альтернатив. Однако устойчивое снижение потоков </w:t>
      </w:r>
      <w:r w:rsidR="00C301BD">
        <w:rPr>
          <w:color w:val="000000"/>
        </w:rPr>
        <w:t xml:space="preserve">входящих </w:t>
      </w:r>
      <w:r>
        <w:rPr>
          <w:color w:val="000000"/>
        </w:rPr>
        <w:t xml:space="preserve">ПИИ во второй половине второго десятилетия, завершившееся под воздействием глобального локдауна беспрецедентным обвалом до $1 триллиона (WIR 2021), резко обострили разрыв между высокой динамикой инвестиционной практики и консервативной инерционностью (нео)классической теории. </w:t>
      </w:r>
      <w:r w:rsidRPr="007413B3">
        <w:rPr>
          <w:color w:val="000000"/>
        </w:rPr>
        <w:t>Так, проф. А. Делиос в своей полемической работе «Смерть и Возрождение (?) исследований в сфере Международного Бизнеса» (Delios, 2017, p. 392), фокусиру</w:t>
      </w:r>
      <w:r w:rsidR="000C5672" w:rsidRPr="000C5672">
        <w:rPr>
          <w:color w:val="000000"/>
        </w:rPr>
        <w:t>ет</w:t>
      </w:r>
      <w:r w:rsidRPr="007413B3">
        <w:rPr>
          <w:color w:val="000000"/>
        </w:rPr>
        <w:t xml:space="preserve"> внимание на этом разрыве, отмечает: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413B3">
        <w:rPr>
          <w:color w:val="000000"/>
        </w:rPr>
        <w:t xml:space="preserve">«Мир международного бизнеса яркий и </w:t>
      </w:r>
      <w:r w:rsidR="009F7BF4" w:rsidRPr="007413B3">
        <w:rPr>
          <w:color w:val="000000"/>
        </w:rPr>
        <w:t>притягательный</w:t>
      </w:r>
      <w:r w:rsidRPr="007413B3">
        <w:rPr>
          <w:color w:val="000000"/>
        </w:rPr>
        <w:t>, чего нельзя сказать об исследованиях в сфере МБ. Его менеджеры энергичны, креативны, готовые рисковать, чего не скажешь об исследователях. Медиа-истории из сферы международного бизнеса романтичны и привлекательны. Последние же МБ-исследования, напротив, унылы и однообразны».</w:t>
      </w:r>
      <w:r>
        <w:rPr>
          <w:color w:val="000000"/>
        </w:rPr>
        <w:t xml:space="preserve"> </w:t>
      </w:r>
      <w:r w:rsidR="000C5672">
        <w:rPr>
          <w:color w:val="000000"/>
        </w:rPr>
        <w:t>Делиос</w:t>
      </w:r>
      <w:r>
        <w:rPr>
          <w:color w:val="000000"/>
        </w:rPr>
        <w:t xml:space="preserve"> считает, что необходимо выйти за узкие рамки традиционных теорий с включением контекстуальных аспектов посредством привлечения средств и методов </w:t>
      </w:r>
      <w:r>
        <w:rPr>
          <w:color w:val="000000"/>
        </w:rPr>
        <w:lastRenderedPageBreak/>
        <w:t xml:space="preserve">антропологии, социологии и динамической экономической географии с тем, чтобы переопределить сам предмет исследований (указ. соч., стр. 394, 396). В 2019-м О. Петрисевич и Д. Тис поставили ещё более остро вопрос о том, что новая экономическая реальность, которой имманентно присущи Волатильность (V – Volatility), Неопределенность (U </w:t>
      </w:r>
      <w:r w:rsidR="007413B3">
        <w:rPr>
          <w:color w:val="000000"/>
        </w:rPr>
        <w:t>–</w:t>
      </w:r>
      <w:r>
        <w:rPr>
          <w:color w:val="000000"/>
        </w:rPr>
        <w:t xml:space="preserve"> Uncertainty), принципиальная Сложность (C – Complexity) и Неоднозначность (A – Ambiguity), для своего адекватного описания нуждается в пересмотре самих основ традиционных инвестиционных теорий (Petricevic &amp; Teece, 2019). Вступив в полемику по этом</w:t>
      </w:r>
      <w:r w:rsidR="000C5672">
        <w:rPr>
          <w:color w:val="000000"/>
        </w:rPr>
        <w:t>у поводу с Петричевич и Тисом</w:t>
      </w:r>
      <w:r>
        <w:rPr>
          <w:color w:val="000000"/>
        </w:rPr>
        <w:t xml:space="preserve"> и тщательно проанализировав их аргументы, П. Бакли согласился с необходимостью усложнить с</w:t>
      </w:r>
      <w:r w:rsidR="000C5672">
        <w:rPr>
          <w:color w:val="000000"/>
        </w:rPr>
        <w:t>уществующий теоретико-модельный</w:t>
      </w:r>
      <w:r>
        <w:rPr>
          <w:color w:val="000000"/>
        </w:rPr>
        <w:t xml:space="preserve"> инструментарий МБ с тем, чтобы он был способен учитывать VUCA-условия, однако сама концептуальная основа созданной им </w:t>
      </w:r>
      <w:r w:rsidR="000C5672" w:rsidRPr="000C5672">
        <w:rPr>
          <w:color w:val="000000"/>
        </w:rPr>
        <w:t>т</w:t>
      </w:r>
      <w:r w:rsidR="000C5672">
        <w:rPr>
          <w:color w:val="000000"/>
        </w:rPr>
        <w:t>еории интернационализации</w:t>
      </w:r>
      <w:r>
        <w:rPr>
          <w:color w:val="000000"/>
        </w:rPr>
        <w:t xml:space="preserve"> остаётся вполне пригодной для описания и этой новой реальности (Buckley, 2020).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этом смысле выглядит вполне оправданным использование концептуальной основы модели конкурентных преимуществ наций М. Портера (1990), определяемых совокупностью четырёх групп факторов, получивших название «Бриллианта Портера»: 1) производства; 2) рыночного спроса; 3) структурных особенностей </w:t>
      </w:r>
      <w:r w:rsidR="009A39D7">
        <w:rPr>
          <w:color w:val="000000"/>
        </w:rPr>
        <w:t>МНК</w:t>
      </w:r>
      <w:r>
        <w:rPr>
          <w:color w:val="000000"/>
        </w:rPr>
        <w:t xml:space="preserve"> и их корпоративных стратегий и 4) состояния сопутствующих и поддерживающих отраслей. Из них третий и четвёртый фактор во-многом предопределяют конкурентные преимущества фирмы, более структурировано представленные в рамках OLI-модели Дж. Даннинга. При этом в случае сопоставимых по своему масштабу и инвестиционным макродетерминантам стран вполне достаточно единого портеровского подхода, однако в случае «разновеликих» экономик приходится использовать уже два разных «Бриллианта Портера» в рамках соответствующей DD (Double Diamond) модели (Rugman &amp; D’Cruz, 1993). Феномен всё более возрастающего потока инвестиций из быстрорастущих экономик обусловил необходимость дальнейшего обобщения DD-подхода с учётом перехода от «одностороннего» к «двустороннему» движению капитала </w:t>
      </w:r>
      <w:r>
        <w:rPr>
          <w:color w:val="000000"/>
        </w:rPr>
        <w:lastRenderedPageBreak/>
        <w:t xml:space="preserve">в рамках интерактивной DDD (Dual Double Diamond) модели (Moon, Rugman &amp; Verbeke, 1998) с дальнейшими модификациями непринципиального характера (Bark &amp; Moon, 2002).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Подобная эволюция исходного портеровского подхода, движущаяся от ординарного «бриллианта» к «двустороннему двойному», заложена в методологическую основу проведе</w:t>
      </w:r>
      <w:r w:rsidR="00FA7831">
        <w:rPr>
          <w:color w:val="000000"/>
        </w:rPr>
        <w:t>нного здесь анализа китайских ПИ</w:t>
      </w:r>
      <w:r>
        <w:rPr>
          <w:color w:val="000000"/>
        </w:rPr>
        <w:t>И в ЕС за 2005-2020 гг.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3. ЦЕЛЬ, ИССЛЕДОВАТЕЛЬСКАЯ МЕТОДОЛОГИЯ И МЕТОДИКА ОТБОРА ДАННЫХ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Утилитарная цель исследования – проверить на основе эмпирических данных рабочую гипотезу, что китайские </w:t>
      </w:r>
      <w:r w:rsidR="009A39D7">
        <w:rPr>
          <w:color w:val="000000"/>
        </w:rPr>
        <w:t>М</w:t>
      </w:r>
      <w:r>
        <w:rPr>
          <w:color w:val="000000"/>
        </w:rPr>
        <w:t xml:space="preserve">НК в сравнительном подходе выбирают реципиентов своих ПЗИ в странах ЕС, т.е. выбирают место их локализации в рамках OLI-модели, исходя из анализа конкурентоспособности как самих предприятий-реципиентов, так и их стран, в смысле «Бриллианта Портера». Более расширенная цель – в предположении, в общем случае, «разновеликости» действующих субъектов как на микро-, так и на макроуровне, осуществить проверку применимости метода «Двойного Бриллианта» к решению рассматриваемой проблемы.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Исходя из такого понимания целей, была разработана соответствующая методология исследования, в основу которой был положен двухэтапный сравнительный количественный и качественный анализ:</w:t>
      </w:r>
    </w:p>
    <w:p w:rsidR="008839CA" w:rsidRDefault="00C301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 Объемов импорта китайских входящих ПИ</w:t>
      </w:r>
      <w:r w:rsidR="00A664EC">
        <w:rPr>
          <w:color w:val="000000"/>
        </w:rPr>
        <w:t>И в 2005-2020 гг.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Качественных характеристик стран-реципиентов, определяемых на основе доступных эмпирических данных, с использованием методики, выстроенной в логике портеровского подхода.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этого были использованы данные из открытых источников: China Global Investment Tracker, баз ОЭСР, Всемирного банка (ВБ) и Евростата, а также Global Competitiveness Report Всемирного экономического форума. 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3.1. Определение стран ЕС, наиболее конкурентно привлекательных для китайских ПЗИ в 2005-2020 гг.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качестве количественного критерия подобной привлекательности использовались данные из China Global Investment Tracker по ежегодным потокам капитала, привлекаемого из Китая, в предположении, что чем больше эти потоки, тем больше конкурентно-мотивированная инвестиционная привлекательность страны. При этом учитывался как год вхождения в состав ЕС его новых членов, так и выход из его состава Великобритании, начиная с оказавшего заметное влияние на динамику инвестиционных потоков решения о начале Брекзита уже в 2017-2018 гг. При этом в нашу выборку попадали только те сделки, где </w:t>
      </w:r>
      <w:r w:rsidR="00C02662">
        <w:rPr>
          <w:color w:val="000000"/>
        </w:rPr>
        <w:t xml:space="preserve">приобретаемая </w:t>
      </w:r>
      <w:r>
        <w:rPr>
          <w:color w:val="000000"/>
        </w:rPr>
        <w:t xml:space="preserve">доля китайского инвестора в основном капитале европейского предприятия-реципиента была не ниже 10%, а сумма трансакции – не ниже 1 млн. долл. США. Результаты выборки представлены на рис. 2. 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8839CA" w:rsidRPr="003F7240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F7240">
        <w:rPr>
          <w:b/>
          <w:color w:val="000000"/>
        </w:rPr>
        <w:t>Рисунок 2. Динамика потоков китайских ПЗИ в странах-членах ЕС (без Великобритании) в 2005-2020 гг.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ind w:hanging="14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28130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color w:val="000000"/>
        </w:rPr>
        <w:t>Источник: составлено на основе данных из China Global Investment Tracker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На основе массива представленных здесь 175 сделок была построена четырёхмерная диаграмма, где каждое из измерений учитывает: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Количество сделок типа Gre</w:t>
      </w:r>
      <w:r w:rsidR="00C02662">
        <w:rPr>
          <w:color w:val="000000"/>
        </w:rPr>
        <w:t>enfield, предполагающих создание</w:t>
      </w:r>
      <w:r>
        <w:rPr>
          <w:color w:val="000000"/>
        </w:rPr>
        <w:t xml:space="preserve"> нового предприятия. При этом с целью нормирования в качестве единицы принималось наибольшее количество таких сделок, равное 2. Результат такой нормировки представлен в форме таблицы 3.1.</w:t>
      </w:r>
    </w:p>
    <w:p w:rsidR="008839CA" w:rsidRPr="003F7240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F7240">
        <w:rPr>
          <w:b/>
          <w:color w:val="000000"/>
        </w:rPr>
        <w:t xml:space="preserve">Таблица 3.1.Переменная «кол-во гринфилдных инвестиций» </w:t>
      </w:r>
    </w:p>
    <w:tbl>
      <w:tblPr>
        <w:tblStyle w:val="af1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06"/>
        <w:gridCol w:w="567"/>
        <w:gridCol w:w="707"/>
        <w:gridCol w:w="707"/>
        <w:gridCol w:w="707"/>
        <w:gridCol w:w="565"/>
        <w:gridCol w:w="568"/>
        <w:gridCol w:w="626"/>
        <w:gridCol w:w="650"/>
        <w:gridCol w:w="634"/>
        <w:gridCol w:w="646"/>
        <w:gridCol w:w="693"/>
      </w:tblGrid>
      <w:tr w:rsidR="008839CA">
        <w:tc>
          <w:tcPr>
            <w:tcW w:w="1669" w:type="dxa"/>
          </w:tcPr>
          <w:p w:rsidR="008839CA" w:rsidRDefault="00A664E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60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Гер.</w:t>
            </w:r>
          </w:p>
        </w:tc>
        <w:tc>
          <w:tcPr>
            <w:tcW w:w="56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Фр.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Ирл.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Нид.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Пол.</w:t>
            </w:r>
          </w:p>
        </w:tc>
        <w:tc>
          <w:tcPr>
            <w:tcW w:w="565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68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Ит.</w:t>
            </w:r>
          </w:p>
        </w:tc>
        <w:tc>
          <w:tcPr>
            <w:tcW w:w="62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Шв.</w:t>
            </w:r>
          </w:p>
        </w:tc>
        <w:tc>
          <w:tcPr>
            <w:tcW w:w="650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Пор.</w:t>
            </w:r>
          </w:p>
        </w:tc>
        <w:tc>
          <w:tcPr>
            <w:tcW w:w="634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Вен.</w:t>
            </w:r>
          </w:p>
        </w:tc>
        <w:tc>
          <w:tcPr>
            <w:tcW w:w="64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</w:t>
            </w:r>
          </w:p>
        </w:tc>
        <w:tc>
          <w:tcPr>
            <w:tcW w:w="69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Хор.</w:t>
            </w:r>
          </w:p>
        </w:tc>
      </w:tr>
      <w:tr w:rsidR="008839CA">
        <w:tc>
          <w:tcPr>
            <w:tcW w:w="1669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данные</w:t>
            </w:r>
          </w:p>
        </w:tc>
        <w:tc>
          <w:tcPr>
            <w:tcW w:w="60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0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39CA">
        <w:tc>
          <w:tcPr>
            <w:tcW w:w="1669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Преобраз. пер.</w:t>
            </w:r>
          </w:p>
        </w:tc>
        <w:tc>
          <w:tcPr>
            <w:tcW w:w="60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0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4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Общее количество сделок.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Общая сумма сделок (в долл. США).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Инвестиционный период (количество лет подряд, в которые происходили сделки), характеризующий регулярность инвестиционных потоков, максимальная продолжительность которого составляет 15 лет (между 2005-м и 2020-м). Полученная в результате диаграмма представлена на рис. 3 и 4.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:rsidR="008839CA" w:rsidRPr="003F7240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F7240">
        <w:rPr>
          <w:b/>
          <w:color w:val="000000"/>
        </w:rPr>
        <w:lastRenderedPageBreak/>
        <w:t xml:space="preserve">Рисунок 3. Сравнение инвестиционной привлекательности стран ЕС по совокупности 4 избранных индикаторов. </w:t>
      </w:r>
      <w:r w:rsidRPr="003F7240">
        <w:rPr>
          <w:b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636270</wp:posOffset>
            </wp:positionV>
            <wp:extent cx="5953125" cy="5160010"/>
            <wp:effectExtent l="0" t="0" r="0" b="0"/>
            <wp:wrapTopAndBottom distT="0" dist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Источник: составлено на основе препарированных данных из China Global Investment Tracker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Из рис.</w:t>
      </w:r>
      <w:r w:rsidR="003F7240">
        <w:rPr>
          <w:color w:val="000000"/>
        </w:rPr>
        <w:t xml:space="preserve"> </w:t>
      </w:r>
      <w:r>
        <w:rPr>
          <w:color w:val="000000"/>
        </w:rPr>
        <w:t xml:space="preserve">3 видно, что по всем измерениям Великобритания с большим перевесом превосходит остальные страны в выборке, что свидетельствует о её наибольшей привлекательности в качестве реципиента китайских капиталов. Вынося её в дальнейшем «за скобки» инвестиционной конкуренции внутри ЕС, упростим соответствующим образом общую картину в виде рис.4, где представлены только страны континентальной Европы. 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Pr="003F7240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F7240">
        <w:rPr>
          <w:b/>
          <w:color w:val="000000"/>
        </w:rPr>
        <w:lastRenderedPageBreak/>
        <w:t>Рисунок 4. Сравнение инвестиционной привлекательности стран ЕС по совокупности 4 избранных индикаторов; без Великобритании.</w:t>
      </w:r>
      <w:r w:rsidRPr="003F7240">
        <w:rPr>
          <w:b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-135254</wp:posOffset>
            </wp:positionH>
            <wp:positionV relativeFrom="paragraph">
              <wp:posOffset>925830</wp:posOffset>
            </wp:positionV>
            <wp:extent cx="6165215" cy="4953000"/>
            <wp:effectExtent l="0" t="0" r="0" b="0"/>
            <wp:wrapTopAndBottom distT="0" dist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Источник: составлено на основе препарированных данных из China Global Investment Tracker 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Диаграмма, представленная на рис. 4, позволила определить рейтинг наиболее привлекательных для китайских ПИИ европейских стран не по одному, а по комплексу из 4 количественных атрибутов, в разной мере продвинутых у каждой из них. Интересно, что помимо вполне ожидаемой лидерской тройки, представленной Германией, Францией и Нидерландами, высокие места в этом рейтинге заняли Ирландия (4-е) и Польша. (5-е), в то время как Швеция и Италия получили оценку ниже Греции</w:t>
      </w:r>
      <w:r w:rsidR="00C06454">
        <w:rPr>
          <w:color w:val="000000"/>
        </w:rPr>
        <w:t>.</w:t>
      </w:r>
      <w:r w:rsidR="003F7240">
        <w:rPr>
          <w:color w:val="000000"/>
        </w:rPr>
        <w:t xml:space="preserve"> Теперь выделим </w:t>
      </w:r>
      <w:r w:rsidR="003F7240">
        <w:rPr>
          <w:color w:val="000000"/>
        </w:rPr>
        <w:lastRenderedPageBreak/>
        <w:t>из диаграммы (рис. 4) страны-лидеры, сравнение которых между собой представляет наибольший интерес, для этог</w:t>
      </w:r>
      <w:r w:rsidR="00C02662">
        <w:rPr>
          <w:color w:val="000000"/>
        </w:rPr>
        <w:t>о введем 3 критерия, по которым</w:t>
      </w:r>
      <w:r w:rsidR="003F7240">
        <w:rPr>
          <w:color w:val="000000"/>
        </w:rPr>
        <w:t xml:space="preserve"> будет осуществляться отбор стран-лидеров по приему китайских ПИИ</w:t>
      </w:r>
      <w:r>
        <w:rPr>
          <w:color w:val="000000"/>
        </w:rPr>
        <w:t xml:space="preserve"> (таблица 3.2).</w:t>
      </w:r>
    </w:p>
    <w:p w:rsidR="008839CA" w:rsidRPr="003F7240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F7240">
        <w:rPr>
          <w:b/>
          <w:color w:val="000000"/>
        </w:rPr>
        <w:t>Таблица 3.2. Рейтинг стран, наиболее привлекательных для китайских ПЗИ</w:t>
      </w: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77"/>
        <w:gridCol w:w="601"/>
        <w:gridCol w:w="702"/>
        <w:gridCol w:w="701"/>
        <w:gridCol w:w="701"/>
        <w:gridCol w:w="601"/>
        <w:gridCol w:w="597"/>
        <w:gridCol w:w="623"/>
        <w:gridCol w:w="650"/>
        <w:gridCol w:w="646"/>
        <w:gridCol w:w="644"/>
        <w:gridCol w:w="689"/>
      </w:tblGrid>
      <w:tr w:rsidR="008839CA">
        <w:tc>
          <w:tcPr>
            <w:tcW w:w="1413" w:type="dxa"/>
          </w:tcPr>
          <w:p w:rsidR="008839CA" w:rsidRDefault="00A664E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77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Гер.</w:t>
            </w:r>
          </w:p>
        </w:tc>
        <w:tc>
          <w:tcPr>
            <w:tcW w:w="6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Фр.</w:t>
            </w:r>
          </w:p>
        </w:tc>
        <w:tc>
          <w:tcPr>
            <w:tcW w:w="702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Нид.</w:t>
            </w:r>
          </w:p>
        </w:tc>
        <w:tc>
          <w:tcPr>
            <w:tcW w:w="7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Ирл.</w:t>
            </w:r>
          </w:p>
        </w:tc>
        <w:tc>
          <w:tcPr>
            <w:tcW w:w="7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Пол.</w:t>
            </w:r>
          </w:p>
        </w:tc>
        <w:tc>
          <w:tcPr>
            <w:tcW w:w="6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9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Шв.</w:t>
            </w:r>
          </w:p>
        </w:tc>
        <w:tc>
          <w:tcPr>
            <w:tcW w:w="62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Ит.</w:t>
            </w:r>
          </w:p>
        </w:tc>
        <w:tc>
          <w:tcPr>
            <w:tcW w:w="650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Пор.</w:t>
            </w:r>
          </w:p>
        </w:tc>
        <w:tc>
          <w:tcPr>
            <w:tcW w:w="64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</w:t>
            </w:r>
          </w:p>
        </w:tc>
        <w:tc>
          <w:tcPr>
            <w:tcW w:w="644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Вен.</w:t>
            </w:r>
          </w:p>
        </w:tc>
        <w:tc>
          <w:tcPr>
            <w:tcW w:w="689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Хор.</w:t>
            </w:r>
          </w:p>
        </w:tc>
      </w:tr>
      <w:tr w:rsidR="008839CA">
        <w:tc>
          <w:tcPr>
            <w:tcW w:w="141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77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6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702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</w:t>
            </w:r>
          </w:p>
        </w:tc>
        <w:tc>
          <w:tcPr>
            <w:tcW w:w="7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7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1,71</w:t>
            </w:r>
          </w:p>
        </w:tc>
        <w:tc>
          <w:tcPr>
            <w:tcW w:w="6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59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2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650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64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644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689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</w:tr>
      <w:tr w:rsidR="008839CA">
        <w:tc>
          <w:tcPr>
            <w:tcW w:w="141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77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7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6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9" w:type="dxa"/>
          </w:tcPr>
          <w:p w:rsidR="008839CA" w:rsidRDefault="00A664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Каждая из представленных в данной таблице 12 стран удовлетворяет </w:t>
      </w:r>
      <w:r w:rsidR="00EE441E">
        <w:rPr>
          <w:color w:val="000000"/>
        </w:rPr>
        <w:t>хотя бы одному следующих</w:t>
      </w:r>
      <w:r>
        <w:rPr>
          <w:color w:val="000000"/>
        </w:rPr>
        <w:t xml:space="preserve"> </w:t>
      </w:r>
      <w:r w:rsidR="00EE441E">
        <w:rPr>
          <w:color w:val="000000"/>
        </w:rPr>
        <w:t>критериев</w:t>
      </w:r>
      <w:r>
        <w:rPr>
          <w:color w:val="000000"/>
        </w:rPr>
        <w:t xml:space="preserve">: </w:t>
      </w:r>
    </w:p>
    <w:p w:rsidR="008839CA" w:rsidRDefault="00A66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</w:pPr>
      <w:r>
        <w:rPr>
          <w:color w:val="000000"/>
        </w:rPr>
        <w:t>Хотя бы од</w:t>
      </w:r>
      <w:r w:rsidR="00C06454">
        <w:rPr>
          <w:color w:val="000000"/>
        </w:rPr>
        <w:t>ин показатель</w:t>
      </w:r>
      <w:r>
        <w:rPr>
          <w:color w:val="000000"/>
        </w:rPr>
        <w:t xml:space="preserve"> рав</w:t>
      </w:r>
      <w:r w:rsidR="00C06454">
        <w:rPr>
          <w:color w:val="000000"/>
        </w:rPr>
        <w:t>ен</w:t>
      </w:r>
      <w:r>
        <w:rPr>
          <w:color w:val="000000"/>
        </w:rPr>
        <w:t xml:space="preserve"> 1</w:t>
      </w:r>
      <w:r w:rsidR="00C06454">
        <w:rPr>
          <w:color w:val="000000"/>
        </w:rPr>
        <w:t xml:space="preserve"> (максимум)</w:t>
      </w:r>
      <w:r>
        <w:rPr>
          <w:color w:val="000000"/>
        </w:rPr>
        <w:t xml:space="preserve">; </w:t>
      </w:r>
    </w:p>
    <w:p w:rsidR="008839CA" w:rsidRDefault="00A66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</w:pPr>
      <w:r>
        <w:rPr>
          <w:color w:val="000000"/>
        </w:rPr>
        <w:t>Количество гринфилд-</w:t>
      </w:r>
      <w:r w:rsidR="003F7240">
        <w:rPr>
          <w:color w:val="000000"/>
        </w:rPr>
        <w:t>сделок</w:t>
      </w:r>
      <w:r>
        <w:rPr>
          <w:color w:val="000000"/>
        </w:rPr>
        <w:t xml:space="preserve"> не равно 0 (под этот критерий попали Венгрия, Германия, Греция, Ирландия, Франция, Польша и Хорватия);</w:t>
      </w:r>
    </w:p>
    <w:p w:rsidR="008839CA" w:rsidRDefault="00A66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</w:pPr>
      <w:r>
        <w:rPr>
          <w:color w:val="000000"/>
        </w:rPr>
        <w:t xml:space="preserve">Общая сумма значений по всем переменным больше 0,5 (этому критерию соответствуют Швеция, Италия и Испания). </w:t>
      </w:r>
    </w:p>
    <w:p w:rsidR="008839CA" w:rsidRDefault="00EE44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этом 9 из 27 стран-членов</w:t>
      </w:r>
      <w:r w:rsidR="00A664EC">
        <w:rPr>
          <w:color w:val="000000"/>
        </w:rPr>
        <w:t xml:space="preserve"> </w:t>
      </w:r>
      <w:r>
        <w:rPr>
          <w:color w:val="000000"/>
        </w:rPr>
        <w:t>(</w:t>
      </w:r>
      <w:r w:rsidR="00A664EC">
        <w:rPr>
          <w:color w:val="000000"/>
        </w:rPr>
        <w:t>Болгария, Кипр, Латвия, Литва, Мальта, Румыния, Словакия, Чехия и Эстония</w:t>
      </w:r>
      <w:r>
        <w:rPr>
          <w:color w:val="000000"/>
        </w:rPr>
        <w:t>)</w:t>
      </w:r>
      <w:r w:rsidR="00A664EC">
        <w:rPr>
          <w:color w:val="000000"/>
        </w:rPr>
        <w:t xml:space="preserve"> в общий рейтинг не включались в силу отсутствия репрезентативных данных, </w:t>
      </w:r>
      <w:r w:rsidR="00A664EC" w:rsidRPr="00151440">
        <w:rPr>
          <w:color w:val="000000"/>
        </w:rPr>
        <w:t xml:space="preserve">а </w:t>
      </w:r>
      <w:r w:rsidR="00A664EC" w:rsidRPr="00151440">
        <w:t>остальные</w:t>
      </w:r>
      <w:r w:rsidR="003F7240" w:rsidRPr="00151440">
        <w:rPr>
          <w:color w:val="FF0000"/>
        </w:rPr>
        <w:t xml:space="preserve"> </w:t>
      </w:r>
      <w:r w:rsidR="00A664EC">
        <w:rPr>
          <w:color w:val="000000"/>
        </w:rPr>
        <w:t xml:space="preserve">не удовлетворяли </w:t>
      </w:r>
      <w:r w:rsidR="003F7240">
        <w:rPr>
          <w:color w:val="000000"/>
        </w:rPr>
        <w:t>введенным</w:t>
      </w:r>
      <w:r w:rsidR="00A664EC">
        <w:rPr>
          <w:color w:val="000000"/>
        </w:rPr>
        <w:t xml:space="preserve"> критериям.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3.2. Определение стран, наиболее конкурент</w:t>
      </w:r>
      <w:r w:rsidR="00C02662">
        <w:rPr>
          <w:b/>
          <w:color w:val="000000"/>
        </w:rPr>
        <w:t>н</w:t>
      </w:r>
      <w:r>
        <w:rPr>
          <w:b/>
          <w:color w:val="000000"/>
        </w:rPr>
        <w:t>о</w:t>
      </w:r>
      <w:r w:rsidR="00C02662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привлекательных для китайских технологически-ориентированных ПЗИ, с использованием модели «Двойного Бриллианта»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Для определения конкурентной привлекательности стран, «разновеликих» с точки зрения наличия высокотехнологичных (стратегических) активов, представляющих интерес для китайских</w:t>
      </w:r>
      <w:r w:rsidR="00EE441E">
        <w:rPr>
          <w:color w:val="000000"/>
        </w:rPr>
        <w:t xml:space="preserve"> входящих</w:t>
      </w:r>
      <w:r>
        <w:rPr>
          <w:color w:val="000000"/>
        </w:rPr>
        <w:t xml:space="preserve"> П</w:t>
      </w:r>
      <w:r w:rsidR="00EE441E">
        <w:rPr>
          <w:color w:val="000000"/>
        </w:rPr>
        <w:t>И</w:t>
      </w:r>
      <w:r>
        <w:rPr>
          <w:color w:val="000000"/>
        </w:rPr>
        <w:t xml:space="preserve">И, воспользуемся </w:t>
      </w:r>
      <w:r w:rsidR="00DA7328">
        <w:rPr>
          <w:color w:val="000000"/>
        </w:rPr>
        <w:t xml:space="preserve">моделью «Двойного бриллианта» из </w:t>
      </w:r>
      <w:r>
        <w:rPr>
          <w:color w:val="000000"/>
        </w:rPr>
        <w:t xml:space="preserve">8 измерений: 4-гранного внутреннего ромба, отображающего состояние сравнительной внутренней конкурентоспособности, и 4-гранного внешнего, </w:t>
      </w:r>
      <w:r w:rsidR="001C0A97">
        <w:rPr>
          <w:color w:val="000000"/>
        </w:rPr>
        <w:t xml:space="preserve">– </w:t>
      </w:r>
      <w:r>
        <w:rPr>
          <w:color w:val="000000"/>
        </w:rPr>
        <w:t xml:space="preserve">характеризующего внешнюю конкурентную привлекательность страны для китайских инвесторов, </w:t>
      </w:r>
      <w:r w:rsidR="00DA7328">
        <w:rPr>
          <w:color w:val="000000"/>
        </w:rPr>
        <w:t>которые ищут</w:t>
      </w:r>
      <w:r>
        <w:rPr>
          <w:color w:val="000000"/>
        </w:rPr>
        <w:t xml:space="preserve"> в ЕС стратегические активы. В список </w:t>
      </w:r>
      <w:r>
        <w:rPr>
          <w:color w:val="000000"/>
        </w:rPr>
        <w:lastRenderedPageBreak/>
        <w:t>отобранных для построения стран попадают Германия, Франция, Ирландия, Нидерланды, Польша, Греция, Италия, Швеция, Португалия, Венгрия, Испания и Хорватия.</w:t>
      </w:r>
    </w:p>
    <w:p w:rsidR="008839CA" w:rsidRDefault="007B6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</w:t>
      </w:r>
      <w:r w:rsidR="00A664EC">
        <w:rPr>
          <w:color w:val="000000"/>
        </w:rPr>
        <w:t xml:space="preserve">о каждой из этих стран извлекаются из эмпирических данных необходимые атрибуты </w:t>
      </w:r>
      <w:r>
        <w:rPr>
          <w:color w:val="000000"/>
        </w:rPr>
        <w:t xml:space="preserve">и </w:t>
      </w:r>
      <w:r w:rsidR="00A664EC">
        <w:rPr>
          <w:color w:val="000000"/>
        </w:rPr>
        <w:t>формируются «двойные» факторы внутренней и внешней конкурентной привлекательности. В частности, используя логику портеровского подхода, определим:</w:t>
      </w:r>
    </w:p>
    <w:p w:rsidR="008839CA" w:rsidRPr="009F7BF4" w:rsidRDefault="00A664EC" w:rsidP="003B7B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3.2.1. Факторные условия.</w:t>
      </w:r>
      <w:r>
        <w:rPr>
          <w:color w:val="000000"/>
        </w:rPr>
        <w:t xml:space="preserve"> С точки </w:t>
      </w:r>
      <w:r w:rsidRPr="003B7B4E">
        <w:rPr>
          <w:color w:val="000000"/>
        </w:rPr>
        <w:t xml:space="preserve">зрения внутреннего ромба, это прежде всего характеристика факторов производства (труд, земля, капитал) и развитость и привлекательность внутреннего рынка. Ко внешним факторным условиям </w:t>
      </w:r>
      <w:r w:rsidRPr="009F7BF4">
        <w:rPr>
          <w:color w:val="000000"/>
        </w:rPr>
        <w:t>можно отнести параметры, характеризующие потенциальные возможности развития и предполагаемый масштаб внутреннего рынка внутренних технологически-ориентированных факторов с точки зрения возможной локации, в том числе и для производства промежуточных товаров и услуг в рамках ГЦС. Это означает, что нередко решающая часть сравнительной привлекательности той или иной страны-реципиента формируется с учётом контекстуальных</w:t>
      </w:r>
      <w:r w:rsidR="006C1DE9" w:rsidRPr="009F7BF4">
        <w:rPr>
          <w:color w:val="000000"/>
        </w:rPr>
        <w:t xml:space="preserve"> </w:t>
      </w:r>
      <w:r w:rsidRPr="009F7BF4">
        <w:rPr>
          <w:color w:val="000000"/>
        </w:rPr>
        <w:t>знаний и особенностей корпоративной мотивации инвестора и носит как бы условный или виртуальный характер, поскольку</w:t>
      </w:r>
      <w:r>
        <w:rPr>
          <w:color w:val="000000"/>
        </w:rPr>
        <w:t xml:space="preserve"> возникает из интерактивного коммуникационного взаимодействия, именно для этого принципиально важно адекватно «считывать» эту мотивацию. </w:t>
      </w:r>
      <w:r w:rsidR="009F7BF4">
        <w:rPr>
          <w:color w:val="000000"/>
        </w:rPr>
        <w:t>Для наполнения переменной «внешние факторные условия» нами будет использован показатель «ВВП за отработанный час» из базы ОЭСР и «затраты на НИОКР на одного жителя» из базы Евростата за 2019 г. в равных долях. Для «внутренних факторных условий» берем в равных долях синтетический «и</w:t>
      </w:r>
      <w:r w:rsidR="009F7BF4" w:rsidRPr="009F7BF4">
        <w:rPr>
          <w:color w:val="000000"/>
        </w:rPr>
        <w:t>ндекс внешнего рынка</w:t>
      </w:r>
      <w:r w:rsidR="009F7BF4">
        <w:rPr>
          <w:color w:val="000000"/>
        </w:rPr>
        <w:t>» из «</w:t>
      </w:r>
      <w:r w:rsidR="009F7BF4" w:rsidRPr="009F7BF4">
        <w:rPr>
          <w:color w:val="000000"/>
          <w:lang w:val="en-US"/>
        </w:rPr>
        <w:t>Global</w:t>
      </w:r>
      <w:r w:rsidR="009F7BF4" w:rsidRPr="009F7BF4">
        <w:rPr>
          <w:color w:val="000000"/>
        </w:rPr>
        <w:t xml:space="preserve"> </w:t>
      </w:r>
      <w:r w:rsidR="009F7BF4" w:rsidRPr="009F7BF4">
        <w:rPr>
          <w:color w:val="000000"/>
          <w:lang w:val="en-US"/>
        </w:rPr>
        <w:t>Competitiveness</w:t>
      </w:r>
      <w:r w:rsidR="009F7BF4" w:rsidRPr="009F7BF4">
        <w:rPr>
          <w:color w:val="000000"/>
        </w:rPr>
        <w:t xml:space="preserve"> </w:t>
      </w:r>
      <w:r w:rsidR="009F7BF4" w:rsidRPr="009F7BF4">
        <w:rPr>
          <w:color w:val="000000"/>
          <w:lang w:val="en-US"/>
        </w:rPr>
        <w:t>Index</w:t>
      </w:r>
      <w:r w:rsidR="009F7BF4">
        <w:rPr>
          <w:color w:val="000000"/>
        </w:rPr>
        <w:t>»</w:t>
      </w:r>
      <w:r w:rsidR="009F7BF4" w:rsidRPr="009F7BF4">
        <w:rPr>
          <w:color w:val="000000"/>
        </w:rPr>
        <w:t xml:space="preserve"> 2017-2018</w:t>
      </w:r>
      <w:r w:rsidR="009F7BF4">
        <w:rPr>
          <w:color w:val="000000"/>
        </w:rPr>
        <w:t>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3.2.2. Условия спроса</w:t>
      </w:r>
      <w:r>
        <w:rPr>
          <w:color w:val="000000"/>
        </w:rPr>
        <w:t>. Конкурентный спрос можно представить в виде двух составляющих: объема (численность плюс покупательная способность)</w:t>
      </w:r>
      <w:r w:rsidR="003B7B4E">
        <w:rPr>
          <w:color w:val="000000"/>
        </w:rPr>
        <w:t>,</w:t>
      </w:r>
      <w:r>
        <w:rPr>
          <w:color w:val="000000"/>
        </w:rPr>
        <w:t xml:space="preserve"> изысканность смарт-спроса (англ. “</w:t>
      </w:r>
      <w:r w:rsidR="009F7BF4">
        <w:rPr>
          <w:color w:val="000000"/>
          <w:lang w:val="en-US"/>
        </w:rPr>
        <w:t>S</w:t>
      </w:r>
      <w:r>
        <w:rPr>
          <w:color w:val="000000"/>
        </w:rPr>
        <w:t>ophistication</w:t>
      </w:r>
      <w:r w:rsidR="009F7BF4" w:rsidRPr="009F7BF4">
        <w:rPr>
          <w:color w:val="000000"/>
        </w:rPr>
        <w:t xml:space="preserve"> </w:t>
      </w:r>
      <w:r w:rsidR="009F7BF4">
        <w:rPr>
          <w:color w:val="000000"/>
          <w:lang w:val="en-US"/>
        </w:rPr>
        <w:t>of</w:t>
      </w:r>
      <w:r w:rsidR="009F7BF4" w:rsidRPr="009F7BF4">
        <w:rPr>
          <w:color w:val="000000"/>
        </w:rPr>
        <w:t xml:space="preserve"> </w:t>
      </w:r>
      <w:r w:rsidR="009F7BF4">
        <w:rPr>
          <w:color w:val="000000"/>
          <w:lang w:val="en-US"/>
        </w:rPr>
        <w:t>demand</w:t>
      </w:r>
      <w:r>
        <w:rPr>
          <w:color w:val="000000"/>
        </w:rPr>
        <w:t>”), связанная с конкуренцией производителей за «умное» качество спроса, формируемого</w:t>
      </w:r>
      <w:r w:rsidR="003B7B4E">
        <w:rPr>
          <w:color w:val="000000"/>
        </w:rPr>
        <w:t xml:space="preserve"> </w:t>
      </w:r>
      <w:r w:rsidR="003B7B4E">
        <w:rPr>
          <w:color w:val="000000"/>
        </w:rPr>
        <w:lastRenderedPageBreak/>
        <w:t>интерактивно</w:t>
      </w:r>
      <w:r>
        <w:rPr>
          <w:color w:val="000000"/>
        </w:rPr>
        <w:t xml:space="preserve"> во взаимодействии с инновационным предложением. Высокая покупательная способность предприятий и </w:t>
      </w:r>
      <w:r w:rsidR="00EE441E">
        <w:rPr>
          <w:color w:val="000000"/>
        </w:rPr>
        <w:t>индивидов</w:t>
      </w:r>
      <w:r>
        <w:rPr>
          <w:color w:val="000000"/>
        </w:rPr>
        <w:t xml:space="preserve"> позволяет экспериментировать с принципиально новыми продуктами, ориентируясь на излишек средств потребителей в европейских странах, образующийся после удовлетворения </w:t>
      </w:r>
      <w:r w:rsidR="00EE441E">
        <w:rPr>
          <w:color w:val="000000"/>
        </w:rPr>
        <w:t>основных</w:t>
      </w:r>
      <w:r>
        <w:rPr>
          <w:color w:val="000000"/>
        </w:rPr>
        <w:t xml:space="preserve"> потребностей. К числу характеристик потенциала внутреннего спроса в таких странах отнесём: ВВП на </w:t>
      </w:r>
      <w:r w:rsidR="003B7B4E">
        <w:rPr>
          <w:color w:val="000000"/>
        </w:rPr>
        <w:t>душу населения (50% переменной) и процентную долю</w:t>
      </w:r>
      <w:r>
        <w:rPr>
          <w:color w:val="000000"/>
        </w:rPr>
        <w:t xml:space="preserve"> </w:t>
      </w:r>
      <w:r w:rsidR="003B7B4E">
        <w:rPr>
          <w:color w:val="000000"/>
        </w:rPr>
        <w:t>населения, представленную</w:t>
      </w:r>
      <w:r>
        <w:rPr>
          <w:color w:val="000000"/>
        </w:rPr>
        <w:t xml:space="preserve"> пользователями интернета (50%</w:t>
      </w:r>
      <w:r w:rsidR="003B7B4E">
        <w:rPr>
          <w:color w:val="000000"/>
        </w:rPr>
        <w:t xml:space="preserve"> переменной</w:t>
      </w:r>
      <w:r>
        <w:rPr>
          <w:color w:val="000000"/>
        </w:rPr>
        <w:t>); к внешним – объём импорта и экспорта услуг (по итогам 2019 г.).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3.2.3. Поддерживающие и сопутствующие отрасли.</w:t>
      </w:r>
      <w:r>
        <w:rPr>
          <w:color w:val="000000"/>
        </w:rPr>
        <w:t xml:space="preserve"> Поскольку в фокусе нашего исследования оказывается прежде всего технологический сектор, то поддерживающие и сопутствующие коммерциализации и индустриализации технологических инноваций сектора для него представлены инноваци</w:t>
      </w:r>
      <w:r w:rsidR="00EE441E">
        <w:rPr>
          <w:color w:val="000000"/>
        </w:rPr>
        <w:t>онно-ориентированным бизнесом, и</w:t>
      </w:r>
      <w:r>
        <w:rPr>
          <w:color w:val="000000"/>
        </w:rPr>
        <w:t xml:space="preserve"> прежде всего микро-, малыми и средними инновационными предприятиями (ММСИП). Исходя из этого, исключим из рассмотрения в качестве потенциальных реципиентов крупный бизнес, являющийся скорее фактором конкуренции </w:t>
      </w:r>
      <w:r w:rsidR="00EE441E">
        <w:rPr>
          <w:color w:val="000000"/>
        </w:rPr>
        <w:t>или целевым объектом для слияний или поглощений</w:t>
      </w:r>
      <w:r>
        <w:rPr>
          <w:color w:val="000000"/>
        </w:rPr>
        <w:t xml:space="preserve"> (СиП), </w:t>
      </w:r>
      <w:r w:rsidR="00EE441E">
        <w:rPr>
          <w:color w:val="000000"/>
        </w:rPr>
        <w:t>нежели</w:t>
      </w:r>
      <w:r>
        <w:rPr>
          <w:color w:val="000000"/>
        </w:rPr>
        <w:t xml:space="preserve"> конкурентным преимуществом в глазах китайских инвесторов. При этом мы исходим из предположения, что установка долгосрочных отношений с компаниями, занимающимися исследованиями и координирующими создание технологических инноваций, представляет интерес для крупных китайских </w:t>
      </w:r>
      <w:r w:rsidR="009A39D7">
        <w:rPr>
          <w:color w:val="000000"/>
        </w:rPr>
        <w:t>МНК</w:t>
      </w:r>
      <w:r w:rsidR="00E82AD2">
        <w:rPr>
          <w:color w:val="000000"/>
        </w:rPr>
        <w:t>.</w:t>
      </w:r>
      <w:r>
        <w:rPr>
          <w:color w:val="000000"/>
        </w:rPr>
        <w:t xml:space="preserve"> </w:t>
      </w:r>
      <w:r w:rsidR="00E82AD2">
        <w:rPr>
          <w:color w:val="000000"/>
        </w:rPr>
        <w:t>П</w:t>
      </w:r>
      <w:r>
        <w:rPr>
          <w:color w:val="000000"/>
        </w:rPr>
        <w:t xml:space="preserve">ри наличии среды, насыщенной большим количеством ММСИП с небольшим сроком жизни (примерно равным жизненному циклу новой технологии) уровень развития поддерживающих и сопутствующих секторов может быть интегральной динамикой нарастания таких стартапов и предприятий, а также патентов, полезных моделей и прочих ОИС. В этом случае долгосрочный контакт с подобной средой, постоянно генерирующей инновационное «предложение», </w:t>
      </w:r>
      <w:r w:rsidR="00E82AD2">
        <w:rPr>
          <w:color w:val="000000"/>
        </w:rPr>
        <w:t>представляет</w:t>
      </w:r>
      <w:r>
        <w:rPr>
          <w:color w:val="000000"/>
        </w:rPr>
        <w:t xml:space="preserve"> стратегический интерес технологически-ориентированных китайских </w:t>
      </w:r>
      <w:r w:rsidR="009A39D7">
        <w:rPr>
          <w:color w:val="000000"/>
        </w:rPr>
        <w:t>МНК</w:t>
      </w:r>
      <w:r>
        <w:rPr>
          <w:color w:val="000000"/>
        </w:rPr>
        <w:t xml:space="preserve">, обладающих широким </w:t>
      </w:r>
      <w:r>
        <w:rPr>
          <w:color w:val="000000"/>
        </w:rPr>
        <w:lastRenderedPageBreak/>
        <w:t>институциональным набором инвестиционных инструментов</w:t>
      </w:r>
      <w:r w:rsidR="00E82AD2">
        <w:rPr>
          <w:color w:val="000000"/>
        </w:rPr>
        <w:t xml:space="preserve"> для доступа к этим инновациям</w:t>
      </w:r>
      <w:r>
        <w:rPr>
          <w:color w:val="000000"/>
        </w:rPr>
        <w:t>, включая как «жёсткие» гринфилд и СиП, так и «мягкие» некорпоративные формы ведения деятельности.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 этой точки зрения показательным является доступность и интенсивность использования телекоммун</w:t>
      </w:r>
      <w:r w:rsidR="003B7B4E">
        <w:rPr>
          <w:color w:val="000000"/>
        </w:rPr>
        <w:t>икационных сетей, характеризуемая</w:t>
      </w:r>
      <w:r>
        <w:rPr>
          <w:color w:val="000000"/>
        </w:rPr>
        <w:t xml:space="preserve">, прежде всего, количеством абонентов сотовой связи, </w:t>
      </w:r>
      <w:r w:rsidR="003B7B4E">
        <w:rPr>
          <w:color w:val="000000"/>
        </w:rPr>
        <w:t>интернет-</w:t>
      </w:r>
      <w:r>
        <w:rPr>
          <w:color w:val="000000"/>
        </w:rPr>
        <w:t>пользователей и охват</w:t>
      </w:r>
      <w:r w:rsidR="003B7B4E">
        <w:rPr>
          <w:color w:val="000000"/>
        </w:rPr>
        <w:t>ом</w:t>
      </w:r>
      <w:r>
        <w:rPr>
          <w:color w:val="000000"/>
        </w:rPr>
        <w:t xml:space="preserve"> населения</w:t>
      </w:r>
      <w:r w:rsidR="003B7B4E">
        <w:rPr>
          <w:color w:val="000000"/>
        </w:rPr>
        <w:t>, пользующегося</w:t>
      </w:r>
      <w:r>
        <w:rPr>
          <w:color w:val="000000"/>
        </w:rPr>
        <w:t xml:space="preserve"> постоянными услугами связи, включая использование облачных сервисов, финансовых и крипто-технологий, и пр. Всё это может рассматриваться как параметризация «внутренних факторов поддерживающих и сопут</w:t>
      </w:r>
      <w:r w:rsidR="003B7B4E">
        <w:rPr>
          <w:color w:val="000000"/>
        </w:rPr>
        <w:t>ствующих отраслей», дополненных и</w:t>
      </w:r>
      <w:r>
        <w:rPr>
          <w:color w:val="000000"/>
        </w:rPr>
        <w:t xml:space="preserve">ндексом ВЭФ ”business </w:t>
      </w:r>
      <w:r w:rsidR="003B7B4E">
        <w:rPr>
          <w:color w:val="000000"/>
        </w:rPr>
        <w:t xml:space="preserve">sophistication”, который представляет </w:t>
      </w:r>
      <w:r>
        <w:rPr>
          <w:color w:val="000000"/>
        </w:rPr>
        <w:t>собой интегральный показатель доступности поставщиков и заказчиков, плотности конкуренци</w:t>
      </w:r>
      <w:r w:rsidR="003B7B4E">
        <w:rPr>
          <w:color w:val="000000"/>
        </w:rPr>
        <w:t>и в среднем по всем секторам</w:t>
      </w:r>
      <w:r>
        <w:rPr>
          <w:color w:val="000000"/>
        </w:rPr>
        <w:t>. В качестве внешней характеристик</w:t>
      </w:r>
      <w:r w:rsidR="003B7B4E">
        <w:rPr>
          <w:color w:val="000000"/>
        </w:rPr>
        <w:t>и</w:t>
      </w:r>
      <w:r>
        <w:rPr>
          <w:color w:val="000000"/>
        </w:rPr>
        <w:t xml:space="preserve"> состояния этих факторов используем показатель </w:t>
      </w:r>
      <w:r w:rsidR="003B7B4E">
        <w:rPr>
          <w:color w:val="000000"/>
        </w:rPr>
        <w:t>«</w:t>
      </w:r>
      <w:r>
        <w:rPr>
          <w:color w:val="000000"/>
        </w:rPr>
        <w:t>количество поданных патентных заявок на 1 млн. чел</w:t>
      </w:r>
      <w:r w:rsidR="003B7B4E">
        <w:rPr>
          <w:color w:val="000000"/>
        </w:rPr>
        <w:t>.»</w:t>
      </w:r>
      <w:r>
        <w:rPr>
          <w:color w:val="000000"/>
        </w:rPr>
        <w:t xml:space="preserve">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3.2.4. Корпоративная стратегия, структура фирм и конкурентная среда.</w:t>
      </w:r>
      <w:r>
        <w:rPr>
          <w:color w:val="000000"/>
        </w:rPr>
        <w:t xml:space="preserve"> Конкурентная среда – драйвер, сигнализирующий о во</w:t>
      </w:r>
      <w:r w:rsidR="00E55A96">
        <w:rPr>
          <w:color w:val="000000"/>
        </w:rPr>
        <w:t>стребованности рынка, о стремлении</w:t>
      </w:r>
      <w:r>
        <w:rPr>
          <w:color w:val="000000"/>
        </w:rPr>
        <w:t xml:space="preserve"> компаний повышать качество своей продукции и предоста</w:t>
      </w:r>
      <w:r w:rsidR="00E55A96">
        <w:rPr>
          <w:color w:val="000000"/>
        </w:rPr>
        <w:t>вляемых услуг и (или) о стремлении</w:t>
      </w:r>
      <w:r>
        <w:rPr>
          <w:color w:val="000000"/>
        </w:rPr>
        <w:t xml:space="preserve"> к экспансионному расширению занима</w:t>
      </w:r>
      <w:r w:rsidR="003B7B4E">
        <w:rPr>
          <w:color w:val="000000"/>
        </w:rPr>
        <w:t>емой доли. Мы воспользуемся DTF-</w:t>
      </w:r>
      <w:r>
        <w:rPr>
          <w:color w:val="000000"/>
        </w:rPr>
        <w:t>баллами Всемирного банка для внутренних</w:t>
      </w:r>
      <w:r w:rsidR="003B7B4E">
        <w:rPr>
          <w:color w:val="000000"/>
        </w:rPr>
        <w:t xml:space="preserve"> факторов; внешние – количество</w:t>
      </w:r>
      <w:r>
        <w:rPr>
          <w:color w:val="000000"/>
        </w:rPr>
        <w:t xml:space="preserve"> исследователей на 1 млн трудоустроенных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>. Принципиально значимо, что у всех стран, входящих в Единый внутренний рынок ЕС (ЕВР ЕС) благодаря процессам гармонизации и большо</w:t>
      </w:r>
      <w:r w:rsidR="00E55A96">
        <w:rPr>
          <w:color w:val="000000"/>
        </w:rPr>
        <w:t>му</w:t>
      </w:r>
      <w:r>
        <w:rPr>
          <w:color w:val="000000"/>
        </w:rPr>
        <w:t xml:space="preserve"> количеств</w:t>
      </w:r>
      <w:r w:rsidR="00E55A96">
        <w:rPr>
          <w:color w:val="000000"/>
        </w:rPr>
        <w:t>у</w:t>
      </w:r>
      <w:r>
        <w:rPr>
          <w:color w:val="000000"/>
        </w:rPr>
        <w:t xml:space="preserve"> общих (одних и тех же) регуляторных норм простота </w:t>
      </w:r>
      <w:r>
        <w:rPr>
          <w:color w:val="000000"/>
        </w:rPr>
        <w:lastRenderedPageBreak/>
        <w:t>ведения бизнеса тоже примерно одинаковая, без сильных отклонений</w:t>
      </w:r>
      <w:r w:rsidR="00E55A96">
        <w:rPr>
          <w:color w:val="000000"/>
        </w:rPr>
        <w:t xml:space="preserve">. </w:t>
      </w:r>
      <w:r>
        <w:rPr>
          <w:color w:val="000000"/>
        </w:rPr>
        <w:t>И значени</w:t>
      </w:r>
      <w:r w:rsidR="00E55A96">
        <w:rPr>
          <w:color w:val="000000"/>
        </w:rPr>
        <w:t>я</w:t>
      </w:r>
      <w:r>
        <w:rPr>
          <w:color w:val="000000"/>
        </w:rPr>
        <w:t xml:space="preserve"> DTF </w:t>
      </w:r>
      <w:r w:rsidR="00E55A96">
        <w:rPr>
          <w:color w:val="000000"/>
        </w:rPr>
        <w:t xml:space="preserve">этих </w:t>
      </w:r>
      <w:r>
        <w:rPr>
          <w:color w:val="000000"/>
        </w:rPr>
        <w:t xml:space="preserve">стран действительно похожи, – это говорит в пользу адекватности выбора индикатора с одной стороны, а с другой – сглаживает различия между странами при подсчете результата.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3.2.5. Построение диаграммы (рис. 5, 6)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Рисунок 5. Внутреннее измерение.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-546734</wp:posOffset>
            </wp:positionH>
            <wp:positionV relativeFrom="paragraph">
              <wp:posOffset>415290</wp:posOffset>
            </wp:positionV>
            <wp:extent cx="6362700" cy="5920740"/>
            <wp:effectExtent l="0" t="0" r="0" b="0"/>
            <wp:wrapTopAndBottom distT="0" dist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Источник: составлено на основании данных ОЭСР, ВБ, ВЭФ, Евростата (прил.)</w:t>
      </w:r>
    </w:p>
    <w:p w:rsidR="008839CA" w:rsidRDefault="00A664EC">
      <w:pPr>
        <w:spacing w:after="160" w:line="259" w:lineRule="auto"/>
        <w:ind w:firstLine="0"/>
        <w:jc w:val="left"/>
      </w:pPr>
      <w:r>
        <w:br w:type="page"/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Рисунок 6. Внешнее измерение.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ind w:hanging="99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755765" cy="604964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Источник: составлено на основании данных ОЭСР, ВБ, ВЭФ, Евростата (прил.)</w:t>
      </w:r>
    </w:p>
    <w:p w:rsidR="003C2F01" w:rsidRDefault="00BE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E3A34">
        <w:rPr>
          <w:color w:val="000000"/>
        </w:rPr>
        <w:t>На рис. 5 и 6 представлены результаты параметрического наполнения переменных, требуемых для внутреннего и внешнего «ромбов» для каждой из 12 стран на базе статистических индикаторов, отобранных в рамках разд. 3.2.</w:t>
      </w:r>
    </w:p>
    <w:p w:rsidR="003C2F01" w:rsidRDefault="003C2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3C2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4. ОБСУЖДЕНИЕ ПОЛУЧЕННЫХ РЕЗУЛЬТАТОВ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Применение разработанной в рамках портеровского подхода методологии анализа конкурентной привлекательности стран ЕС для китайских ПЗИ с использованием внутренних и внешних «бриллиантов» позволяет получить довольно объёмную их характеристику. Так, на фоне лидерских показателей Швеции, Германии и Ирландии (как минимум в одном атрибуте каждая из этих стран удерживает лидерскую позицию), французский ромб выглядит наиболее сбалансированным (стороны </w:t>
      </w:r>
      <w:r w:rsidR="00FD23F0">
        <w:rPr>
          <w:color w:val="000000"/>
        </w:rPr>
        <w:t>почти равны</w:t>
      </w:r>
      <w:r>
        <w:rPr>
          <w:color w:val="000000"/>
        </w:rPr>
        <w:t xml:space="preserve">). При этом лишь по двум измерениям существует заметный визуальный отрыв лидирующих стран от прочих – это «факторные условия» и «стратегия фирмы…». Очевидно, «ромб» показывает скорее качественную картину и вряд ли подходит для точных измерений и оценки небольших различий между странами. Однако, вполне применим для «интервальных подходов» и выделения больших групп стран, таких как «лидеры», «аутсайдеры», «прочие» и т.п. Выраженная группа из пяти стран (Швеция, Германия, Ирландия, Нидерланды, Франция) во внутреннем ромбе остается однородной лишь по осям «факторные условия» и «условия спроса». По оси «стратегия фирмы, структура и конкурентная среда» внешнего ромба, в аналогичной с последней оси внутреннего ромба, Швеция оставляет все страны позади, а в измерении «поддерживающие и сопутствующие отрасли» входит в группу стран с наибольшими значениями.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Обращает на себя внимание тот факт, что у Швеции внутренний бриллиант значительно больше внешнего: смещённость акцента на внутренние факторы конкурентоспособности или «обращённость </w:t>
      </w:r>
      <w:r w:rsidR="00C91826">
        <w:rPr>
          <w:color w:val="000000"/>
        </w:rPr>
        <w:t>страны в себя» довольно типична</w:t>
      </w:r>
      <w:r>
        <w:rPr>
          <w:color w:val="000000"/>
        </w:rPr>
        <w:t xml:space="preserve"> для стран с высоким уровнем доходов и ёмким и изысканным внутрен</w:t>
      </w:r>
      <w:r w:rsidR="00C91826">
        <w:rPr>
          <w:color w:val="000000"/>
        </w:rPr>
        <w:t>ним рынком, у</w:t>
      </w:r>
      <w:r>
        <w:rPr>
          <w:color w:val="000000"/>
        </w:rPr>
        <w:t xml:space="preserve"> которых соотношение объёмов внешнего рынка и потоков ПИИ к ВВП </w:t>
      </w:r>
      <w:r w:rsidRPr="00151440">
        <w:rPr>
          <w:color w:val="000000"/>
        </w:rPr>
        <w:t>минимально (Yifu &amp; Wang, 2021).</w:t>
      </w:r>
      <w:r>
        <w:rPr>
          <w:color w:val="000000"/>
        </w:rPr>
        <w:t xml:space="preserve"> Такая картина характерна и для других высокодоходных европейских стран, у которых внешний ромб существенно проигрывает по одному или нескольким измерениям внутреннему, </w:t>
      </w:r>
      <w:r w:rsidR="00C91826">
        <w:rPr>
          <w:color w:val="000000"/>
        </w:rPr>
        <w:t>она</w:t>
      </w:r>
      <w:r>
        <w:rPr>
          <w:color w:val="000000"/>
        </w:rPr>
        <w:t xml:space="preserve"> указывает на то, что такие страны скорее будут </w:t>
      </w:r>
      <w:r>
        <w:rPr>
          <w:color w:val="000000"/>
        </w:rPr>
        <w:lastRenderedPageBreak/>
        <w:t>склонны к извлечению выгоды из протекционистской политики и создания барьеров для ПИИ, в том числе и нетарифных, оставаясь при этом в позиции сильного экспортёра капитала. На этом фоне Франция, у которой внутренний и внешний бриллиант вполне сбалансирован</w:t>
      </w:r>
      <w:r w:rsidR="00CD2B65">
        <w:rPr>
          <w:color w:val="000000"/>
        </w:rPr>
        <w:t>ы</w:t>
      </w:r>
      <w:r>
        <w:rPr>
          <w:color w:val="000000"/>
        </w:rPr>
        <w:t xml:space="preserve">, демонстрирует более высокую адаптивность национальной экономики к внешним изменениям и диверсификацию факторов глобальной конкурентоспособности и, как следствие, большую толерантность к ПИИ. Это может говорить о том, что французская экономика обладает достаточно диверсифицированной отраслевой структурой и её конкурентные преимущества не сосредоточены на каком-то одном или двух </w:t>
      </w:r>
      <w:r w:rsidR="00C91826">
        <w:rPr>
          <w:color w:val="000000"/>
        </w:rPr>
        <w:t>компонентах</w:t>
      </w:r>
      <w:r>
        <w:rPr>
          <w:color w:val="000000"/>
        </w:rPr>
        <w:t xml:space="preserve">. Как следствие, мы более рельефно видим довольно тривиальный результат, состоящий в том, что Германия и следующая за ней Франция занимают ведущие позиции в ЕС не только по валовым показателям, связанным с размером страны, численностью населения, </w:t>
      </w:r>
      <w:r w:rsidR="00C91826">
        <w:rPr>
          <w:color w:val="000000"/>
        </w:rPr>
        <w:t xml:space="preserve">размером </w:t>
      </w:r>
      <w:r>
        <w:rPr>
          <w:color w:val="000000"/>
        </w:rPr>
        <w:t xml:space="preserve">экономики и внутреннего рынка, но и по такому специальному </w:t>
      </w:r>
      <w:r w:rsidR="00C91826">
        <w:rPr>
          <w:color w:val="000000"/>
        </w:rPr>
        <w:t>критерию</w:t>
      </w:r>
      <w:r>
        <w:rPr>
          <w:color w:val="000000"/>
        </w:rPr>
        <w:t xml:space="preserve">, как сбалансированность показателей глобальной конкурентоспособности.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то же время, учитывая, что отрыв вверх Германии от Франции по внешнему бриллианту может быть продиктован выбором нами к рассмотрению конкурентной привлекательности для технологически-ориентированных ПИИ, отметим обращающие на себя внимание результаты нашего анализа по Швеции и Ирландии. Рисунок бриллианта Ирландии по пропорциям похож на шведский, однако Ирландия значительно выигрывает по фактору «условия спроса» в обоих бриллиантах, как внутреннем, так и внешнем. При этом, в силу невысоких и практически совпадающих результатов, Италия, Польша, Португалия, Греция, Испания, Венгрия и Хорватия могут с технологической точки зрения рассматриваться в качестве единой группы стран, </w:t>
      </w:r>
      <w:r w:rsidR="007734A9">
        <w:rPr>
          <w:color w:val="000000"/>
        </w:rPr>
        <w:t>отличающихся</w:t>
      </w:r>
      <w:r>
        <w:rPr>
          <w:color w:val="000000"/>
        </w:rPr>
        <w:t xml:space="preserve"> слабыми или невыраженными конкурентными преимуществами в высокотехнологичной сфере, а значит – и невысокой конкурентной привлекательностью для ищущих стратегические активы китайских П</w:t>
      </w:r>
      <w:r w:rsidR="007734A9">
        <w:rPr>
          <w:color w:val="000000"/>
        </w:rPr>
        <w:t>И</w:t>
      </w:r>
      <w:r>
        <w:rPr>
          <w:color w:val="000000"/>
        </w:rPr>
        <w:t>И.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5. ЗАКЛЮЧЕНИЕ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>Бывшие до глобального финансово-экономического кризиса 2007-2009 гг. практически</w:t>
      </w:r>
      <w:r w:rsidR="002F77CA">
        <w:t xml:space="preserve"> несущественными, в его годы</w:t>
      </w:r>
      <w:r>
        <w:t xml:space="preserve"> китайские П</w:t>
      </w:r>
      <w:r w:rsidR="007734A9">
        <w:t>И</w:t>
      </w:r>
      <w:r>
        <w:t xml:space="preserve">И в странах Евросоюза резко возросли, привлечённые возможностью СиП резко подешевевших активов европейских компаний. Затем, в начале прошлого десятилетия, Китай развёртывает масштабную инвестиционную экспансию, резко усилившуюся после обнародования в 2013 г. его инициативы ОПОП и дальнейшей её активной реализации, с претензией на глобальное лидерство. Это не могло не вызвать ответной реакции со стороны развитых экономик, прежде всего США, обусловив усиление «техно-национализма» и протекционизма и даже спровоцировав развязанную администрацией Дональда Трампа в 2017-2018 гг. американо-китайскую торгово-тарифную войну. Всё это оказало нарастающее воздействие на разрушение установившихся ГЦС с участием Китая, а вместе с тем, </w:t>
      </w:r>
      <w:r w:rsidR="00B81DBD">
        <w:t>–</w:t>
      </w:r>
      <w:r>
        <w:t xml:space="preserve"> и на снижение потоков </w:t>
      </w:r>
      <w:r w:rsidR="007734A9">
        <w:rPr>
          <w:color w:val="000000"/>
        </w:rPr>
        <w:t xml:space="preserve">китайских </w:t>
      </w:r>
      <w:r>
        <w:t>П</w:t>
      </w:r>
      <w:r w:rsidR="007734A9">
        <w:t>З</w:t>
      </w:r>
      <w:r>
        <w:t xml:space="preserve">И. Кроме того, по мере ужесточения инвестиционной политики США и </w:t>
      </w:r>
      <w:r w:rsidR="00B81DBD">
        <w:t>в</w:t>
      </w:r>
      <w:r>
        <w:t>ведения санкций против китайских в</w:t>
      </w:r>
      <w:r w:rsidR="007734A9">
        <w:t>ысокотехнологичных компаний, например,</w:t>
      </w:r>
      <w:r>
        <w:t xml:space="preserve"> «Хуавэй», поддержанных в Европе наиболее жёстко лишь Великобританией и Швецией, </w:t>
      </w:r>
      <w:r w:rsidR="00AD0905">
        <w:t>произошла переориентация</w:t>
      </w:r>
      <w:r>
        <w:t xml:space="preserve"> китайских </w:t>
      </w:r>
      <w:r w:rsidR="009A39D7">
        <w:t>МНК</w:t>
      </w:r>
      <w:r>
        <w:t xml:space="preserve"> с американского высокотехнологичного рынка на более либеральны</w:t>
      </w:r>
      <w:r w:rsidR="007734A9">
        <w:t>й европейский</w:t>
      </w:r>
      <w:r>
        <w:t>.</w:t>
      </w:r>
    </w:p>
    <w:p w:rsidR="008839CA" w:rsidRDefault="008839CA">
      <w:pPr>
        <w:pBdr>
          <w:top w:val="nil"/>
          <w:left w:val="nil"/>
          <w:bottom w:val="nil"/>
          <w:right w:val="nil"/>
          <w:between w:val="nil"/>
        </w:pBd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Между тем, разразившийся в марте 2020 г</w:t>
      </w:r>
      <w:r w:rsidR="007734A9">
        <w:t>.</w:t>
      </w:r>
      <w:r>
        <w:t xml:space="preserve"> под воздействием пандемии COVID-19 глобальный макроэкономический кризис обвалил международные потоки капитала ещё бол</w:t>
      </w:r>
      <w:r w:rsidR="00AD0905">
        <w:t>ьше</w:t>
      </w:r>
      <w:r w:rsidR="007734A9">
        <w:t>, до уровня менее 1 трлн</w:t>
      </w:r>
      <w:r>
        <w:t xml:space="preserve"> долл. США. При этом наибольшие потери понесли именно европейские страны, что объективно и дифференцированно усиливало их заинтересованность в китайских ПИИ, </w:t>
      </w:r>
      <w:r w:rsidR="00AD0905">
        <w:t>одновременно с опасением потерять глобальную</w:t>
      </w:r>
      <w:r>
        <w:t xml:space="preserve"> конкурентоспособност</w:t>
      </w:r>
      <w:r w:rsidR="00AD0905">
        <w:t>ь</w:t>
      </w:r>
      <w:r>
        <w:t xml:space="preserve"> вследствие неконтролируемого трансфера технологий в пользу КНР. Как следствие, несмотря на наличие только вступившего в силу осенью 2020 г</w:t>
      </w:r>
      <w:r w:rsidR="007734A9">
        <w:t>.</w:t>
      </w:r>
      <w:r>
        <w:t xml:space="preserve"> </w:t>
      </w:r>
      <w:r>
        <w:lastRenderedPageBreak/>
        <w:t xml:space="preserve">общего двухуровневого инвестиционного законодательства, тем не менее, специально для регулирования китайских </w:t>
      </w:r>
      <w:r w:rsidR="00C301BD">
        <w:rPr>
          <w:color w:val="000000"/>
        </w:rPr>
        <w:t>входящих</w:t>
      </w:r>
      <w:r w:rsidR="00C301BD">
        <w:t xml:space="preserve"> </w:t>
      </w:r>
      <w:r>
        <w:t xml:space="preserve">ПИИ 30 декабря 2020 г. был введён отдельный механизм в форме Всеобъемлющего Инвестиционного </w:t>
      </w:r>
      <w:r w:rsidRPr="00531A06">
        <w:t xml:space="preserve">Соглашения (ВИС) (EC-China Comprehensive Agreemet – CAI, 2020). Это соглашение открывало доступ китайским ПИИ на технологические рынки ЕС, в том числе и в сектор перерабатывающей промышленности и энерго-эффективных технологий, однако </w:t>
      </w:r>
      <w:r w:rsidR="007734A9">
        <w:t>для вступления в силу требовавшее дальнейшего согласования внутри ЕС</w:t>
      </w:r>
      <w:r w:rsidRPr="00531A06">
        <w:t>. Между тем, на фоне раздражения США и в ответ на введение КНР санкций против европейских правозащитников, ратификация ВИС была заморожена на неопределённый срок посредством приняти</w:t>
      </w:r>
      <w:r w:rsidR="00B81DBD" w:rsidRPr="00531A06">
        <w:t>я</w:t>
      </w:r>
      <w:r w:rsidRPr="00531A06">
        <w:t xml:space="preserve"> 20 мая 2021 </w:t>
      </w:r>
      <w:r w:rsidR="007734A9">
        <w:t>г. соответствующей резолюции (Eвропейский Парламент</w:t>
      </w:r>
      <w:r w:rsidR="00B81DBD" w:rsidRPr="00531A06">
        <w:t xml:space="preserve"> </w:t>
      </w:r>
      <w:r w:rsidRPr="00531A06">
        <w:t xml:space="preserve">2021). Кроме того, усиление внимания к высокотехнологичным компаниям привело к изменению структуры </w:t>
      </w:r>
      <w:r w:rsidR="009A39D7">
        <w:t>МНК</w:t>
      </w:r>
      <w:r w:rsidRPr="00531A06">
        <w:t>-инвесторов, большинство которых (51%) впервые стали представлять МСИП, инвестиции которых направлялись преимущественно в ИКТ, электронику и «умную» цифровую</w:t>
      </w:r>
      <w:r>
        <w:t xml:space="preserve"> инфраструктуру (MERICS Report, 2021). Всё это подтверждает теоретико-методологическую актуальность и практическую значимость исследуемой темы для выработки адекватной инвестиционной политики принимающей стороны, а взятое вместе с полученными результатами, позволяет сделать нижеследующие выводы: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Применение наиболее продвинутых версий портеровского подхода для описания и моделирования инвестиционного поведения китайских </w:t>
      </w:r>
      <w:r w:rsidR="009A39D7">
        <w:t>МНК</w:t>
      </w:r>
      <w:r>
        <w:t xml:space="preserve">, заинтересованных в высокотехнологичном инвестиционном сотрудничестве с европейским инновационным бизнесом, продемонстрировало свою способность служить хорошей основой для ориентации и инвестора, и реципиента в современных VUCA-условиях. Это позволяет высказаться в пользу применимости этого подхода как методологической «рамки» для анализа инвестиционного взаимодействия </w:t>
      </w:r>
      <w:r w:rsidR="009A39D7">
        <w:t>МНК</w:t>
      </w:r>
      <w:r>
        <w:t xml:space="preserve"> Китая и ЕС и в условиях </w:t>
      </w:r>
      <w:r>
        <w:lastRenderedPageBreak/>
        <w:t>новой экономической реальности, однако для создания скорее качественной, чем количественной картины.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>2. Традиционно модель «Бриллианта Портера» рассматривает интерактивное взаимовлияние двух уровней: микроуровня фирмы и макроуровня страны/отрасли. Такой подход ориентирован, прежде всего, на большие компании, в то время как высокотехнологичные ПИИ не</w:t>
      </w:r>
      <w:r w:rsidR="00BC7183">
        <w:t xml:space="preserve">редко осуществляются отдельными </w:t>
      </w:r>
      <w:r>
        <w:t xml:space="preserve">или группами (кластерами) взаимосвязанных ММСИП, «вписанных» в коммуникационную среду региональной инновационной экосистемы </w:t>
      </w:r>
      <w:r w:rsidR="007339DB">
        <w:t>(РИЭС). Другая особенность</w:t>
      </w:r>
      <w:r>
        <w:t>, характерн</w:t>
      </w:r>
      <w:r w:rsidR="007339DB">
        <w:t>ая</w:t>
      </w:r>
      <w:r>
        <w:t xml:space="preserve"> для современного международного бизнеса, связан</w:t>
      </w:r>
      <w:r w:rsidR="007339DB">
        <w:t>а</w:t>
      </w:r>
      <w:r>
        <w:t xml:space="preserve"> с инвестированием целой кластерной цепочки кооп</w:t>
      </w:r>
      <w:r w:rsidR="007339DB">
        <w:t>ерирующих фирм и ГЦС. В целом</w:t>
      </w:r>
      <w:r>
        <w:t>, не видится принципиал</w:t>
      </w:r>
      <w:r w:rsidR="007339DB">
        <w:t>ьных проблем для использования</w:t>
      </w:r>
      <w:r>
        <w:t xml:space="preserve"> портер</w:t>
      </w:r>
      <w:r w:rsidR="007339DB">
        <w:t>овского подхода с применением</w:t>
      </w:r>
      <w:r>
        <w:t xml:space="preserve"> модели «</w:t>
      </w:r>
      <w:r w:rsidR="00151440">
        <w:t>Д</w:t>
      </w:r>
      <w:r>
        <w:t>войного бриллианта» для учёта взаимовлияния и</w:t>
      </w:r>
      <w:r w:rsidR="00151440">
        <w:t xml:space="preserve"> на других уровнях (</w:t>
      </w:r>
      <w:r>
        <w:t>наноуровн</w:t>
      </w:r>
      <w:r w:rsidR="00151440">
        <w:t>е стартапов, мезоуровне регионов и мегауровне</w:t>
      </w:r>
      <w:r>
        <w:t xml:space="preserve"> ГПС и ГИС</w:t>
      </w:r>
      <w:r w:rsidR="00151440">
        <w:t>)</w:t>
      </w:r>
      <w:r>
        <w:t>.</w:t>
      </w:r>
      <w:r w:rsidR="00151440">
        <w:t xml:space="preserve"> Основное ожидаемое затруднение</w:t>
      </w:r>
      <w:r>
        <w:t xml:space="preserve"> – это дефицит исходных данных, конфигурирующих факторы, однако он может быть ликвидирован посредством создания соответствующих аналитических институтов и рейтинговых агентств.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Несмотря на кажущуюся простоту, построение понятных практике моделей инвестиционного взаимодействия китайских и европейских </w:t>
      </w:r>
      <w:r w:rsidR="009A39D7">
        <w:t>МНК</w:t>
      </w:r>
      <w:r>
        <w:t xml:space="preserve"> в современных VUCA-условиях в рамках DDD-подходов требует широких междисциплинарных знаний и наличия соответствующих баз данных. Большим подспорьем могли бы стать параметризованные «конструктивные блоки», используемые при конфигурации хорошо известных глобальных индикаторов</w:t>
      </w:r>
      <w:r w:rsidR="00151440">
        <w:t>,</w:t>
      </w:r>
      <w:r>
        <w:t xml:space="preserve"> </w:t>
      </w:r>
      <w:r w:rsidR="00151440">
        <w:t>таких как</w:t>
      </w:r>
      <w:r>
        <w:t xml:space="preserve"> GCI (Global Competition Index), GII (Global Innovation Index), ECI (E</w:t>
      </w:r>
      <w:r w:rsidR="00151440">
        <w:t>conomic Complexity Index), и д</w:t>
      </w:r>
      <w:r>
        <w:t>р</w:t>
      </w:r>
      <w:r w:rsidR="00151440">
        <w:t>.</w:t>
      </w:r>
      <w:r>
        <w:t>, что потребует унифицированных методик. Их разработка могла бы указать направление дальнейших исследований.</w:t>
      </w:r>
    </w:p>
    <w:p w:rsidR="00B81DBD" w:rsidRDefault="00B81DBD">
      <w:pPr>
        <w:pBdr>
          <w:top w:val="nil"/>
          <w:left w:val="nil"/>
          <w:bottom w:val="nil"/>
          <w:right w:val="nil"/>
          <w:between w:val="nil"/>
        </w:pBdr>
      </w:pPr>
    </w:p>
    <w:p w:rsidR="008839CA" w:rsidRDefault="00A664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ЛИТЕРАТУРА:</w:t>
      </w:r>
    </w:p>
    <w:p w:rsidR="008839CA" w:rsidRDefault="00A664EC">
      <w:r>
        <w:t>Сенюк Н.Ю. Прямые инвестиции Китая за рубежом: автореф. дис. ... к. э. н. МГИМО (У), Москва, 2012.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Balcarová, P. (2014). The Comparison of Nine Factor Model and Diamond Model: Application for the Czech Republic, Slovakia and Hungary. Acta Academica Karviniensia, 17(1), URL: </w:t>
      </w:r>
      <w:hyperlink r:id="rId15">
        <w:r w:rsidRPr="00B81DBD">
          <w:rPr>
            <w:lang w:val="en-US"/>
          </w:rPr>
          <w:t>http://krus.slu.cz/opf/cz/informace/acta-academica-karviniensia/casopisy-aak/aak-rocnik-2014/docs-1-2014/Balcarova.pdf</w:t>
        </w:r>
      </w:hyperlink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BBC 2021: Huawei’s Meng Wanzhou flies back to China after deal with US, 25.09.2021 URL: </w:t>
      </w:r>
      <w:hyperlink r:id="rId16">
        <w:r w:rsidRPr="00B81DBD">
          <w:rPr>
            <w:color w:val="000000"/>
            <w:lang w:val="en-US"/>
          </w:rPr>
          <w:t>https://www.bbc.com/news/world-us-Canada-58682998</w:t>
        </w:r>
      </w:hyperlink>
    </w:p>
    <w:p w:rsidR="008839CA" w:rsidRPr="00B81DBD" w:rsidRDefault="00A664EC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81DBD">
        <w:rPr>
          <w:lang w:val="en-US"/>
        </w:rPr>
        <w:t>Buckley P.J. (2020). The theory and empirics of the structural reshaping of globalization. Journal of International Business Studies, vol.51, No 9, pp.1580-1592.</w:t>
      </w:r>
    </w:p>
    <w:p w:rsidR="008839CA" w:rsidRPr="00B81DBD" w:rsidRDefault="00A664EC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81DBD">
        <w:rPr>
          <w:lang w:val="en-US"/>
        </w:rPr>
        <w:t>Buckley, P. J., &amp; Casson, M. 1976. The future of the multina-</w:t>
      </w:r>
    </w:p>
    <w:p w:rsidR="008839CA" w:rsidRPr="00B81DBD" w:rsidRDefault="00A664EC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81DBD">
        <w:rPr>
          <w:lang w:val="en-US"/>
        </w:rPr>
        <w:t>tional enterprise. London: Macmillan</w:t>
      </w:r>
    </w:p>
    <w:p w:rsidR="008839CA" w:rsidRPr="00B81DBD" w:rsidRDefault="00A664EC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81DBD">
        <w:rPr>
          <w:lang w:val="en-US"/>
        </w:rPr>
        <w:t>Buckley, P. J., &amp; Casson, M. (1976). The future of the multina-tional enterprise. London: Macmillan</w:t>
      </w:r>
    </w:p>
    <w:p w:rsidR="008839CA" w:rsidRPr="00B81DBD" w:rsidRDefault="00A664EC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81DBD">
        <w:rPr>
          <w:lang w:val="en-US"/>
        </w:rPr>
        <w:t>CAI 2021: EU-China Comprehensive Agreement on Investment. URL: https://ec.europa.eu/commission/presscorner/detail/eu/IP_20_2542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China Global Investment Tracker. 2021 / American enterprise institute. – Washington, D.C. – URL: </w:t>
      </w:r>
      <w:hyperlink r:id="rId17">
        <w:r w:rsidRPr="00B81DBD">
          <w:rPr>
            <w:lang w:val="en-US"/>
          </w:rPr>
          <w:t>https://www.aei.org/china-globalinvestment-tracker/</w:t>
        </w:r>
      </w:hyperlink>
      <w:r w:rsidRPr="00B81DBD">
        <w:rPr>
          <w:lang w:val="en-US"/>
        </w:rPr>
        <w:t xml:space="preserve"> </w:t>
      </w:r>
    </w:p>
    <w:p w:rsidR="008839CA" w:rsidRPr="00FF1478" w:rsidRDefault="00A664EC">
      <w:pPr>
        <w:rPr>
          <w:lang w:val="en-US"/>
        </w:rPr>
      </w:pPr>
      <w:r w:rsidRPr="00B81DBD">
        <w:rPr>
          <w:lang w:val="en-US"/>
        </w:rPr>
        <w:t xml:space="preserve">Delios, A. 2017. The death and rebirth (?) of international business research. </w:t>
      </w:r>
      <w:r w:rsidRPr="00FF1478">
        <w:rPr>
          <w:lang w:val="en-US"/>
        </w:rPr>
        <w:t>Journal of Management Studies, 54(3): 391–397.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Dunning, J. (1979)."Explanation of changing patterns of international production: in defense of eclectic theory”, Oxford journal of Economics and statistics, 45, pp. 269-295.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Dunning J. H. The eclectic paradigm as an envelope for economics and business theories of VNE activity//International Business Review/2000, v. 9, pp. 163-190. 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EP 2021: European Parliament Votes to Freeze the EU-China Comprehensive Agreement on Investment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lastRenderedPageBreak/>
        <w:t>Fu, X., G. Shen, and S. Huang (2018). Competition, openness and innovation in the emerging economy: the role of technology and property. Oxford University, Department of international development, TMCD working paper series No. 077. Oxford, UK: Oxford University.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Global Competitiveness Report 2019. WEF, Geneva.  URL: http://www3.weforum.org/docs/WEF_TheGlobalCompetitivenessReport2019.pdf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Global Competitiveness Report 2010-2011. WEF, Geneva. URL: </w:t>
      </w:r>
      <w:hyperlink r:id="rId18">
        <w:r w:rsidRPr="00B81DBD">
          <w:rPr>
            <w:lang w:val="en-US"/>
          </w:rPr>
          <w:t>http://www3.weforum.org/docs/WEF_GlobalCompetitivenessReport_2010-11.pdf</w:t>
        </w:r>
      </w:hyperlink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Huang X., Yu P., Song X. &amp; Chen H. (2021) Strategic focus Study on the New Development Pattern on ‘Dul Circulation’ in China under the impact of COVID-19. Transnational Corporations Review, published online 03 Aug 2021 URL: https://doi.org/10.1080/19186444.2021.1959822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Hymer, S.H. (1960). The International operations of national firms, a study of direct foreign investment. Thesis (Ph.D.). Massachusetts Institute of Technology.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Kee H.L., Tang H. (2015) Domestic Value Added in Exports: Theory and Firm Evidence. CESIfo Working Paper, No 5614. URL: http: //hdl.handle.net/10419/123254 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Kindleberger, C.P. (1969). The Theory of Direct Investment. In: Kindleberger, C. (Ed.), American Business Abroad. New Haven: Yale University.</w:t>
      </w:r>
    </w:p>
    <w:p w:rsidR="008839CA" w:rsidRDefault="00A664EC">
      <w:pPr>
        <w:rPr>
          <w:lang w:val="en-US"/>
        </w:rPr>
      </w:pPr>
      <w:r w:rsidRPr="00B81DBD">
        <w:rPr>
          <w:lang w:val="en-US"/>
        </w:rPr>
        <w:t xml:space="preserve">Mathews, J.A. (2006). Dragon multinationals: New players in 21st century globalization. Asia Pacific J Manage 23, 5–27 URL: </w:t>
      </w:r>
      <w:hyperlink r:id="rId19" w:history="1">
        <w:r w:rsidR="00B81DBD" w:rsidRPr="007D4395">
          <w:rPr>
            <w:rStyle w:val="aa"/>
            <w:lang w:val="en-US"/>
          </w:rPr>
          <w:t>https://doi.org/10.1007/s10490-006-6113-0</w:t>
        </w:r>
      </w:hyperlink>
    </w:p>
    <w:p w:rsidR="00B81DBD" w:rsidRPr="00B81DBD" w:rsidRDefault="00B81DBD">
      <w:pPr>
        <w:rPr>
          <w:lang w:val="en-US"/>
        </w:rPr>
      </w:pPr>
      <w:r w:rsidRPr="00B81DBD">
        <w:rPr>
          <w:lang w:val="en-US"/>
        </w:rPr>
        <w:t>MERICS Report: Chinese FDI in Europe</w:t>
      </w:r>
      <w:r>
        <w:rPr>
          <w:lang w:val="en-US"/>
        </w:rPr>
        <w:t xml:space="preserve"> 2020 update, 2021</w:t>
      </w:r>
      <w:r w:rsidRPr="00B81DBD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B81DBD">
        <w:rPr>
          <w:lang w:val="en-US"/>
        </w:rPr>
        <w:t>https://rhg.com/wp-content/uploads/2021/06/MERICSRhodium-GroupCOFDIUpdate2021.pdf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NDRC 2019: Foreign Investment Law of the PRC, No 26, adopted on March, 15, 2019 URL: </w:t>
      </w:r>
      <w:hyperlink r:id="rId20">
        <w:r w:rsidRPr="00B81DBD">
          <w:rPr>
            <w:lang w:val="en-US"/>
          </w:rPr>
          <w:t>https://en.ndrc.gov.cn/policies/202105/t20210527_1281403.html</w:t>
        </w:r>
      </w:hyperlink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NDRC 2021. A New China for 2021: Foreign Investor Friendly Access, Overseas Direct Investment in Hi-Tech Projects and M&amp;A, and more Belt&amp;Road Initiative opportunities. URL: </w:t>
      </w:r>
      <w:hyperlink r:id="rId21">
        <w:r w:rsidRPr="00B81DBD">
          <w:rPr>
            <w:lang w:val="en-US"/>
          </w:rPr>
          <w:t>https://www.china-briefing.com/news/a-new-China-</w:t>
        </w:r>
        <w:r w:rsidRPr="00B81DBD">
          <w:rPr>
            <w:lang w:val="en-US"/>
          </w:rPr>
          <w:lastRenderedPageBreak/>
          <w:t>for-2021-foreign-investor-friendly-access-overseas-direct-investment-in-hi-tech-projects-and-ma-and-more-belt-road-initiative-opportunities/</w:t>
        </w:r>
      </w:hyperlink>
    </w:p>
    <w:p w:rsidR="008839CA" w:rsidRPr="00BE3A34" w:rsidRDefault="00A664EC">
      <w:pPr>
        <w:rPr>
          <w:lang w:val="en-US"/>
        </w:rPr>
      </w:pPr>
      <w:r w:rsidRPr="00B81DBD">
        <w:rPr>
          <w:lang w:val="en-US"/>
        </w:rPr>
        <w:t>Penrose, E. T. (1959). The Theory of the Growth of the Firm. New York: John Wiley &amp; Sons Inc. </w:t>
      </w:r>
      <w:r w:rsidRPr="00BE3A34">
        <w:rPr>
          <w:lang w:val="en-US"/>
        </w:rPr>
        <w:t>Penrose, E. T, 1, 1-23.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Petrisevic O. and Teece D.J. (2019) The bifurcation of the world economy reshaping globalization: the rise of a bifurcated world order. Journal of International Business Studies, vol.50, No 9, pp.1487-1512.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Porter, M. (1985). Competitive Advantage: Creating and Sustaining Superior Performance. New York: Free Press. 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Porter M.E. (1990), The Competitive Advantage of Nations, Harvard Business Review 1990. P. 79 [pdf-</w:t>
      </w:r>
      <w:r>
        <w:t>файл</w:t>
      </w:r>
      <w:r w:rsidRPr="00B81DBD">
        <w:rPr>
          <w:lang w:val="en-US"/>
        </w:rPr>
        <w:t xml:space="preserve">] URL: </w:t>
      </w:r>
      <w:hyperlink r:id="rId22">
        <w:r w:rsidRPr="00B81DBD">
          <w:rPr>
            <w:lang w:val="en-US"/>
          </w:rPr>
          <w:t>http://www.afi.es/eo/The%20competitive%20advantage%20of%20nations%20%28Porter%20HBR%20marzo-abril%201990%29.pdf</w:t>
        </w:r>
      </w:hyperlink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Rodrik D. (2006) What So Special about China’s Exports? China &amp; World Economy, vol.14, No 5, pp.1-19.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Rugman, A.M. and D’Cruz, J.R. (1993) The double diamond model of international competitiveness: The Canadian experience. Management International Review 33: 17–39; Shan, W. and Hamilton, W. (1991) Country-specific advantage and international cooperation. Strategic Management Journal 12(6): 419–432.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Seniuk N., De Groot Z. (2019). Motivations, preferences, and barriers to going abroad: Russian high-tech start-ups and small innovative enterprises // Outlines of global transformations. – Moscow. – Vol. 12, Issue 6. – P. 94–129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Williamson, O.E.(1985). The economic institutions of capitalism. New York: Free Press.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WIR2010: World Investment Report 2010.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WIR2011: World Investment Report 2011.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WIR2021: World Investment Report 2021. 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 xml:space="preserve">World Economic Forum (2010).The Global Competitiveness Report 2010-2011. Geneva, WEF, 2010. 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lastRenderedPageBreak/>
        <w:t>World Economic Forum (2019).The Global Competitiveness Report 2019. Geneva, WEF, 2019</w:t>
      </w:r>
    </w:p>
    <w:p w:rsidR="008839CA" w:rsidRPr="00B81DBD" w:rsidRDefault="00A664EC">
      <w:pPr>
        <w:rPr>
          <w:lang w:val="en-US"/>
        </w:rPr>
      </w:pPr>
      <w:r w:rsidRPr="00B81DBD">
        <w:rPr>
          <w:lang w:val="en-US"/>
        </w:rPr>
        <w:t>Xinhuanet, 16.08.2021: China’s FDI inflow up 25.5 pct in Jan-July URL: http://www.xinhuanet.com/English/2021-08/16/c_1310130596.htm</w:t>
      </w:r>
    </w:p>
    <w:p w:rsidR="008839CA" w:rsidRDefault="00A664EC">
      <w:r w:rsidRPr="00B81DBD">
        <w:rPr>
          <w:lang w:val="en-US"/>
        </w:rPr>
        <w:t xml:space="preserve">Yifu L.J. and Wang X. (2021) Dual Circulation: a New Structural Economics View of Development. Journal of Chinese Economic and Business Studies, Published online 04 Jun 2021. </w:t>
      </w:r>
      <w:r>
        <w:t>URL: https: //</w:t>
      </w:r>
      <w:hyperlink r:id="rId23">
        <w:r>
          <w:t>doi.org/10</w:t>
        </w:r>
      </w:hyperlink>
      <w:r>
        <w:t>.1080/147 65284.2021.1929793</w:t>
      </w:r>
    </w:p>
    <w:p w:rsidR="008839CA" w:rsidRDefault="008839CA">
      <w:pPr>
        <w:ind w:left="-284" w:firstLine="284"/>
        <w:jc w:val="center"/>
        <w:rPr>
          <w:b/>
        </w:rPr>
      </w:pPr>
    </w:p>
    <w:p w:rsidR="008839CA" w:rsidRDefault="00A664EC">
      <w:pPr>
        <w:spacing w:after="160" w:line="259" w:lineRule="auto"/>
        <w:ind w:firstLine="0"/>
        <w:jc w:val="left"/>
        <w:rPr>
          <w:b/>
        </w:rPr>
      </w:pPr>
      <w:r>
        <w:br w:type="page"/>
      </w:r>
    </w:p>
    <w:p w:rsidR="008839CA" w:rsidRDefault="008839CA">
      <w:pPr>
        <w:ind w:left="-284" w:firstLine="284"/>
        <w:jc w:val="center"/>
        <w:rPr>
          <w:b/>
        </w:rPr>
      </w:pPr>
    </w:p>
    <w:p w:rsidR="008839CA" w:rsidRDefault="00A664EC">
      <w:pPr>
        <w:ind w:left="-284" w:firstLine="284"/>
        <w:jc w:val="center"/>
      </w:pPr>
      <w:r>
        <w:rPr>
          <w:b/>
        </w:rPr>
        <w:t>Приложение</w:t>
      </w:r>
    </w:p>
    <w:p w:rsidR="008839CA" w:rsidRDefault="00A664EC">
      <w:pPr>
        <w:ind w:firstLine="0"/>
        <w:jc w:val="left"/>
      </w:pPr>
      <w:r>
        <w:t>Метаданные, использованные для наполнения переменных.</w:t>
      </w:r>
    </w:p>
    <w:tbl>
      <w:tblPr>
        <w:tblStyle w:val="af3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3686"/>
        <w:gridCol w:w="3969"/>
      </w:tblGrid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Внутренние факторные условия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 w:rsidP="003A758E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 w:rsidP="003A758E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ВВП за отработанный час (USD per hour worked)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 w:rsidP="003A758E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Затраты на НИОКР, на 1 жителя 2019 (евростат)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1319,5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791,3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565,1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185,6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217,9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429,3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1579,1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291,1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220,9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331,8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147,4</w:t>
            </w:r>
          </w:p>
        </w:tc>
      </w:tr>
      <w:tr w:rsidR="008839CA" w:rsidTr="003A758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ОЭСР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Евростат</w:t>
            </w:r>
          </w:p>
        </w:tc>
      </w:tr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Внешние факторные условия</w:t>
            </w:r>
          </w:p>
        </w:tc>
      </w:tr>
      <w:tr w:rsidR="008839CA" w:rsidTr="003A758E">
        <w:trPr>
          <w:trHeight w:val="41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Pr="00B81DBD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Индекс</w:t>
            </w:r>
            <w:r w:rsidRPr="00B81DB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внешнего</w:t>
            </w:r>
            <w:r w:rsidRPr="00B81DB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рынка</w:t>
            </w:r>
            <w:r w:rsidRPr="00B81DB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согласно</w:t>
            </w:r>
            <w:r w:rsidRPr="00B81DB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 Global Competitiveness Index 2017-2018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Население (чел.)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83 240 525,00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67 391 582,00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4 994 724,00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17 441 139,00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37 950 802,00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10 715 549,00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59 554 023,00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10 353 442,00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10 305 564,00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9 749 763,00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47 351 567,00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4 047 200,00   </w:t>
            </w:r>
          </w:p>
        </w:tc>
      </w:tr>
      <w:tr w:rsidR="008839CA" w:rsidTr="003A758E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Global Competitiveness Index 2017-2018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ОЭСР</w:t>
            </w:r>
          </w:p>
        </w:tc>
      </w:tr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Внутренние условия спроса</w:t>
            </w:r>
          </w:p>
        </w:tc>
      </w:tr>
      <w:tr w:rsidR="008839CA" w:rsidTr="003A758E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ВВП на душу населения (данные 2020, долл. США)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Процентная доля пользователей интернета от населения (%)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45 723,64  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38 625,07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85,6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83 812,80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82,2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52 304,06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90,4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15 656,18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73,3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17 676,19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69,1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31 676,20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61,3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51 925,71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91,5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22 439,88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70,4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15 899,15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79,3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27 057,16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13 828,47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72,7</w:t>
            </w:r>
          </w:p>
        </w:tc>
      </w:tr>
      <w:tr w:rsidR="008839CA" w:rsidTr="003A758E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Global Competitiveness Index 2017-2018</w:t>
            </w:r>
          </w:p>
        </w:tc>
      </w:tr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Внешние условия спроса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Экспорт услуг (данные 2019 г., USD)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Импорт услуг (данные 2019 г., USD)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346727929590,86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373648789972,30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293482520108,33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269905521028,32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247240407676,73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331623705495,05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202059862894,59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184365845178,30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69899000000,00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43300000000,00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44721478115,90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21102335631,68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121454080060,01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121638000360,72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77668310526,64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74454146097,21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39714286236,50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19841783984,12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30200924297,91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22130017159,67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157102234542,29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85611450870,89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16702329196,26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5456411735,93</w:t>
            </w:r>
          </w:p>
        </w:tc>
      </w:tr>
      <w:tr w:rsidR="008839CA" w:rsidTr="003A758E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ВБ</w:t>
            </w:r>
          </w:p>
        </w:tc>
      </w:tr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Внутр. поддерживающие и связ. инд.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Абоненты сотовой связи (чел.)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Business Sophistication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83 240 525,00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67 391 582,00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4 994 724,00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17 441 139,00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5,7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37 950 802,00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10 715 549,00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59 554 023,00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10 353 442,00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10 305 564,00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9 749 763,00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3,7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47 351 567,00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4 047 200,00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3,8</w:t>
            </w:r>
          </w:p>
        </w:tc>
      </w:tr>
      <w:tr w:rsidR="008839CA" w:rsidTr="003A758E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Global Competitiveness Index 2017-2018</w:t>
            </w:r>
          </w:p>
        </w:tc>
      </w:tr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Внешние поддерживающие и связ. инд.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Business Sophistication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Количество поданных заявлений на патенты в соответствии с Patent Cooperation Treaty на млн чел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218,9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126,6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211,9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57,5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317,9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15,4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24,7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4,5</w:t>
            </w:r>
          </w:p>
        </w:tc>
      </w:tr>
      <w:tr w:rsidR="008839CA" w:rsidTr="003A758E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Global Competitiveness Index 2017-2018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Global Competitiveness Index 2017-2018</w:t>
            </w:r>
          </w:p>
        </w:tc>
      </w:tr>
      <w:tr w:rsidR="008839CA" w:rsidTr="003A758E">
        <w:trPr>
          <w:trHeight w:val="199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Стратегия фирмы, структура и конкурентная среда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Внутренняя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Внешняя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Количество исследователей на 1 млн. трудоустроенных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Всемирный банк - DTF баллы (2019)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79,71004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77,93588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76,80465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68,42391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73,62096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73,41584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79,57614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72,85055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76,10376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76,38122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76,46616</w:t>
            </w:r>
          </w:p>
        </w:tc>
      </w:tr>
      <w:tr w:rsidR="008839CA" w:rsidTr="003A758E">
        <w:trPr>
          <w:trHeight w:val="19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81,99155</w:t>
            </w:r>
          </w:p>
        </w:tc>
      </w:tr>
      <w:tr w:rsidR="008839CA" w:rsidTr="003A758E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9CA" w:rsidRDefault="00A664EC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ОЭСР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9CA" w:rsidRDefault="00A664E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ВБ</w:t>
            </w:r>
          </w:p>
        </w:tc>
      </w:tr>
    </w:tbl>
    <w:p w:rsidR="008839CA" w:rsidRDefault="008839CA">
      <w:pPr>
        <w:ind w:firstLine="0"/>
        <w:rPr>
          <w:b/>
        </w:rPr>
      </w:pPr>
    </w:p>
    <w:sectPr w:rsidR="008839CA">
      <w:headerReference w:type="default" r:id="rId2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6A" w:rsidRDefault="000A5B6A">
      <w:pPr>
        <w:spacing w:line="240" w:lineRule="auto"/>
      </w:pPr>
      <w:r>
        <w:separator/>
      </w:r>
    </w:p>
  </w:endnote>
  <w:endnote w:type="continuationSeparator" w:id="0">
    <w:p w:rsidR="000A5B6A" w:rsidRDefault="000A5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6A" w:rsidRDefault="000A5B6A">
      <w:pPr>
        <w:spacing w:line="240" w:lineRule="auto"/>
      </w:pPr>
      <w:r>
        <w:separator/>
      </w:r>
    </w:p>
  </w:footnote>
  <w:footnote w:type="continuationSeparator" w:id="0">
    <w:p w:rsidR="000A5B6A" w:rsidRDefault="000A5B6A">
      <w:pPr>
        <w:spacing w:line="240" w:lineRule="auto"/>
      </w:pPr>
      <w:r>
        <w:continuationSeparator/>
      </w:r>
    </w:p>
  </w:footnote>
  <w:footnote w:id="1">
    <w:p w:rsidR="000C5672" w:rsidRDefault="000C5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DTF-баллы – синтетический индикатор ВБ, вычисляемый на основе 41 статистического показателя, совокупность которых призвана дать всестороннюю и более-менее объективную оценку качества бизнес-среды в национальной экономике (Distance to Frontier and Ease of Doing Business Ranking, 2017, 2020). Подразумевает выделение по каждому конкретному параметру лидера, который принимается за единицу (100%), а потом для всех остальных стран, для которых подсчитан тот же самый показатель по той же самой методологии, определяется доля от этого эталона. – </w:t>
      </w:r>
      <w:r>
        <w:rPr>
          <w:i/>
          <w:color w:val="000000"/>
          <w:sz w:val="24"/>
          <w:szCs w:val="24"/>
        </w:rPr>
        <w:t>прим.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72" w:rsidRDefault="000C56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4CD5">
      <w:rPr>
        <w:noProof/>
        <w:color w:val="000000"/>
      </w:rPr>
      <w:t>21</w:t>
    </w:r>
    <w:r>
      <w:rPr>
        <w:color w:val="000000"/>
      </w:rPr>
      <w:fldChar w:fldCharType="end"/>
    </w:r>
  </w:p>
  <w:p w:rsidR="000C5672" w:rsidRDefault="000C56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ED6"/>
    <w:multiLevelType w:val="multilevel"/>
    <w:tmpl w:val="7982F45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CA"/>
    <w:rsid w:val="000A5B6A"/>
    <w:rsid w:val="000C5672"/>
    <w:rsid w:val="00151440"/>
    <w:rsid w:val="001C0A97"/>
    <w:rsid w:val="002F77CA"/>
    <w:rsid w:val="00351E6C"/>
    <w:rsid w:val="00372BBB"/>
    <w:rsid w:val="003A758E"/>
    <w:rsid w:val="003B7B4E"/>
    <w:rsid w:val="003C2F01"/>
    <w:rsid w:val="003F7240"/>
    <w:rsid w:val="0044393E"/>
    <w:rsid w:val="00531A06"/>
    <w:rsid w:val="005564E4"/>
    <w:rsid w:val="00574BDC"/>
    <w:rsid w:val="005D20EE"/>
    <w:rsid w:val="006B7A7A"/>
    <w:rsid w:val="006C1DE9"/>
    <w:rsid w:val="007339DB"/>
    <w:rsid w:val="007413B3"/>
    <w:rsid w:val="007734A9"/>
    <w:rsid w:val="00776966"/>
    <w:rsid w:val="007B60BA"/>
    <w:rsid w:val="00836100"/>
    <w:rsid w:val="008839CA"/>
    <w:rsid w:val="00900CF7"/>
    <w:rsid w:val="00917B17"/>
    <w:rsid w:val="00947C8D"/>
    <w:rsid w:val="009A39D7"/>
    <w:rsid w:val="009F7BF4"/>
    <w:rsid w:val="00A349CE"/>
    <w:rsid w:val="00A664EC"/>
    <w:rsid w:val="00AD0905"/>
    <w:rsid w:val="00B1059E"/>
    <w:rsid w:val="00B727B6"/>
    <w:rsid w:val="00B81DBD"/>
    <w:rsid w:val="00BC7183"/>
    <w:rsid w:val="00BE3A34"/>
    <w:rsid w:val="00C017F4"/>
    <w:rsid w:val="00C02662"/>
    <w:rsid w:val="00C06454"/>
    <w:rsid w:val="00C301BD"/>
    <w:rsid w:val="00C62989"/>
    <w:rsid w:val="00C91826"/>
    <w:rsid w:val="00CD2B65"/>
    <w:rsid w:val="00DA7328"/>
    <w:rsid w:val="00DC36B1"/>
    <w:rsid w:val="00E15453"/>
    <w:rsid w:val="00E45E35"/>
    <w:rsid w:val="00E55A96"/>
    <w:rsid w:val="00E82AD2"/>
    <w:rsid w:val="00EC4CD5"/>
    <w:rsid w:val="00EE441E"/>
    <w:rsid w:val="00EE6E91"/>
    <w:rsid w:val="00FA7831"/>
    <w:rsid w:val="00FD23F0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5070F-E1F8-4EA9-BD42-8B0E52C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FA"/>
  </w:style>
  <w:style w:type="paragraph" w:styleId="1">
    <w:name w:val="heading 1"/>
    <w:basedOn w:val="a"/>
    <w:next w:val="a"/>
    <w:link w:val="10"/>
    <w:uiPriority w:val="9"/>
    <w:qFormat/>
    <w:rsid w:val="006826D3"/>
    <w:pPr>
      <w:keepNext/>
      <w:keepLines/>
      <w:spacing w:before="240"/>
      <w:ind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aliases w:val="single space,footnote text"/>
    <w:basedOn w:val="a"/>
    <w:link w:val="a5"/>
    <w:uiPriority w:val="99"/>
    <w:unhideWhenUsed/>
    <w:qFormat/>
    <w:rsid w:val="00561A78"/>
    <w:pPr>
      <w:spacing w:line="240" w:lineRule="auto"/>
    </w:pPr>
    <w:rPr>
      <w:sz w:val="24"/>
      <w:szCs w:val="20"/>
    </w:rPr>
  </w:style>
  <w:style w:type="character" w:customStyle="1" w:styleId="a5">
    <w:name w:val="Текст сноски Знак"/>
    <w:aliases w:val="single space Знак,footnote text Знак"/>
    <w:basedOn w:val="a0"/>
    <w:link w:val="a4"/>
    <w:uiPriority w:val="99"/>
    <w:rsid w:val="00561A78"/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826D3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EA3D28"/>
    <w:pPr>
      <w:ind w:left="720"/>
      <w:contextualSpacing/>
    </w:pPr>
  </w:style>
  <w:style w:type="character" w:styleId="a7">
    <w:name w:val="footnote reference"/>
    <w:basedOn w:val="a0"/>
    <w:uiPriority w:val="99"/>
    <w:unhideWhenUsed/>
    <w:rsid w:val="0044671F"/>
    <w:rPr>
      <w:vertAlign w:val="superscript"/>
    </w:rPr>
  </w:style>
  <w:style w:type="paragraph" w:customStyle="1" w:styleId="a8">
    <w:name w:val="РГГУ"/>
    <w:basedOn w:val="a"/>
    <w:qFormat/>
    <w:rsid w:val="00A80842"/>
    <w:pPr>
      <w:contextualSpacing/>
    </w:pPr>
    <w:rPr>
      <w:rFonts w:eastAsia="Calibri" w:cs="Calibri"/>
    </w:rPr>
  </w:style>
  <w:style w:type="table" w:styleId="a9">
    <w:name w:val="Table Grid"/>
    <w:basedOn w:val="a1"/>
    <w:uiPriority w:val="39"/>
    <w:rsid w:val="00DE1A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B0233"/>
    <w:rPr>
      <w:rFonts w:ascii="Times New Roman" w:hAnsi="Times New Roman"/>
      <w:color w:val="auto"/>
      <w:sz w:val="28"/>
      <w:u w:val="none"/>
    </w:rPr>
  </w:style>
  <w:style w:type="paragraph" w:styleId="ab">
    <w:name w:val="header"/>
    <w:basedOn w:val="a"/>
    <w:link w:val="ac"/>
    <w:uiPriority w:val="99"/>
    <w:unhideWhenUsed/>
    <w:rsid w:val="008E39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39F6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8E39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39F6"/>
    <w:rPr>
      <w:rFonts w:ascii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7A10A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ff9">
    <w:name w:val="ff9"/>
    <w:basedOn w:val="a0"/>
    <w:rsid w:val="004574ED"/>
  </w:style>
  <w:style w:type="character" w:customStyle="1" w:styleId="ff6">
    <w:name w:val="ff6"/>
    <w:basedOn w:val="a0"/>
    <w:rsid w:val="004574ED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www3.weforum.org/docs/WEF_GlobalCompetitivenessReport_2010-11.pdf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china-briefing.com/news/a-new-China-for-2021-foreign-investor-friendly-access-overseas-direct-investment-in-hi-tech-projects-and-ma-and-more-belt-road-initiative-opportunities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www.aei.org/china-globalinvestment-tracke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m/news/world-us-Canada-58682998" TargetMode="External"/><Relationship Id="rId20" Type="http://schemas.openxmlformats.org/officeDocument/2006/relationships/hyperlink" Target="https://en.ndrc.gov.cn/policies/202105/t20210527_128140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krus.slu.cz/opf/cz/informace/acta-academica-karviniensia/casopisy-aak/aak-rocnik-2014/docs-1-2014/Balcarova.pdf" TargetMode="External"/><Relationship Id="rId23" Type="http://schemas.openxmlformats.org/officeDocument/2006/relationships/hyperlink" Target="http://doi.org/10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doi.org/10.1007/s10490-006-6113-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yperlink" Target="http://www.afi.es/eo/The%20competitive%20advantage%20of%20nations%20%28Porter%20HBR%20marzo-abril%201990%29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6;&#1072;&#1089;&#1095;&#1105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ems\Downloads\Raschyo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6;&#1072;&#1089;&#1095;&#1105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6;&#1072;&#1089;&#1095;&#1105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6;&#1072;&#1089;&#1095;&#1105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Потоки</a:t>
            </a:r>
            <a:r>
              <a:rPr lang="ru-RU" baseline="0"/>
              <a:t> кит. ПИИ в ЕС (сумма всех сделок, в млн. долл. США)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813789531602401E-3"/>
                  <c:y val="3.550821623776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E83-4BC9-BF5F-A22910F983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441368594806735E-3"/>
                  <c:y val="-7.1016432475536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E83-4BC9-BF5F-A22910F983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627579063204801E-3"/>
                  <c:y val="-1.4203286495106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E83-4BC9-BF5F-A22910F983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088273718961347E-2"/>
                  <c:y val="3.550821623776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E83-4BC9-BF5F-A22910F983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41368594806735E-3"/>
                  <c:y val="-3.9059037861544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E83-4BC9-BF5F-A22910F983B3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3627579063205725E-3"/>
                  <c:y val="-7.1016432475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83-4BC9-BF5F-A22910F983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Графики!$B$4:$B$19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Графики!$C$4:$C$19</c:f>
              <c:numCache>
                <c:formatCode>_("$"* #\ ##0_);_("$"* \(#\ ##0\);_("$"* "-"??_);_(@_)</c:formatCode>
                <c:ptCount val="16"/>
                <c:pt idx="0">
                  <c:v>100</c:v>
                </c:pt>
                <c:pt idx="1">
                  <c:v>580</c:v>
                </c:pt>
                <c:pt idx="2">
                  <c:v>140</c:v>
                </c:pt>
                <c:pt idx="3">
                  <c:v>2490</c:v>
                </c:pt>
                <c:pt idx="4">
                  <c:v>880</c:v>
                </c:pt>
                <c:pt idx="5">
                  <c:v>640</c:v>
                </c:pt>
                <c:pt idx="6">
                  <c:v>4210</c:v>
                </c:pt>
                <c:pt idx="7">
                  <c:v>8430</c:v>
                </c:pt>
                <c:pt idx="8">
                  <c:v>1970</c:v>
                </c:pt>
                <c:pt idx="9">
                  <c:v>11720</c:v>
                </c:pt>
                <c:pt idx="10">
                  <c:v>25060</c:v>
                </c:pt>
                <c:pt idx="11">
                  <c:v>16380</c:v>
                </c:pt>
                <c:pt idx="12">
                  <c:v>22080</c:v>
                </c:pt>
                <c:pt idx="13">
                  <c:v>28140</c:v>
                </c:pt>
                <c:pt idx="14">
                  <c:v>21560</c:v>
                </c:pt>
                <c:pt idx="15">
                  <c:v>3010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83-4BC9-BF5F-A22910F98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9470152"/>
        <c:axId val="409470936"/>
      </c:barChart>
      <c:dateAx>
        <c:axId val="40947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70936"/>
        <c:crosses val="autoZero"/>
        <c:auto val="0"/>
        <c:lblOffset val="100"/>
        <c:baseTimeUnit val="days"/>
      </c:dateAx>
      <c:valAx>
        <c:axId val="409470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\ ##0_);_(&quot;$&quot;* \(#\ 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7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43993700787403"/>
          <c:y val="0.15812314317220316"/>
          <c:w val="0.60068804199475068"/>
          <c:h val="0.69301629260408415"/>
        </c:manualLayout>
      </c:layout>
      <c:radarChart>
        <c:radarStyle val="marker"/>
        <c:varyColors val="0"/>
        <c:ser>
          <c:idx val="0"/>
          <c:order val="0"/>
          <c:tx>
            <c:strRef>
              <c:f>'[Raschyot.xlsx]График 1 (входящие потоки ПИИ)'!$I$24</c:f>
              <c:strCache>
                <c:ptCount val="1"/>
                <c:pt idx="0">
                  <c:v>Австрия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ПИИ)'!$J$24:$M$24</c:f>
              <c:numCache>
                <c:formatCode>General</c:formatCode>
                <c:ptCount val="4"/>
                <c:pt idx="0">
                  <c:v>1.9230769230769232E-2</c:v>
                </c:pt>
                <c:pt idx="1">
                  <c:v>2.6470032142181885E-3</c:v>
                </c:pt>
                <c:pt idx="2">
                  <c:v>8.3333333333333329E-2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D4-4004-969F-ACD6B33DC320}"/>
            </c:ext>
          </c:extLst>
        </c:ser>
        <c:ser>
          <c:idx val="1"/>
          <c:order val="1"/>
          <c:tx>
            <c:strRef>
              <c:f>'[Raschyot.xlsx]График 1 (входящие потоки ПИИ)'!$I$25</c:f>
              <c:strCache>
                <c:ptCount val="1"/>
                <c:pt idx="0">
                  <c:v>Бельгия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ПИИ)'!$J$25:$M$25</c:f>
              <c:numCache>
                <c:formatCode>General</c:formatCode>
                <c:ptCount val="4"/>
                <c:pt idx="0">
                  <c:v>5.7692307692307696E-2</c:v>
                </c:pt>
                <c:pt idx="1">
                  <c:v>1.4558517678200038E-2</c:v>
                </c:pt>
                <c:pt idx="2">
                  <c:v>0.16666666666666666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D4-4004-969F-ACD6B33DC320}"/>
            </c:ext>
          </c:extLst>
        </c:ser>
        <c:ser>
          <c:idx val="2"/>
          <c:order val="2"/>
          <c:tx>
            <c:strRef>
              <c:f>'[Raschyot.xlsx]График 1 (входящие потоки ПИИ)'!$I$26</c:f>
              <c:strCache>
                <c:ptCount val="1"/>
                <c:pt idx="0">
                  <c:v>Великобритания</c:v>
                </c:pt>
              </c:strCache>
            </c:strRef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ПИИ)'!$J$26:$M$26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D4-4004-969F-ACD6B33DC320}"/>
            </c:ext>
          </c:extLst>
        </c:ser>
        <c:ser>
          <c:idx val="3"/>
          <c:order val="3"/>
          <c:tx>
            <c:strRef>
              <c:f>'[Raschyot.xlsx]График 1 (входящие потоки ПИИ)'!$I$27</c:f>
              <c:strCache>
                <c:ptCount val="1"/>
                <c:pt idx="0">
                  <c:v>Венгрия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ПИИ)'!$J$27:$M$27</c:f>
              <c:numCache>
                <c:formatCode>General</c:formatCode>
                <c:ptCount val="4"/>
                <c:pt idx="0">
                  <c:v>1.9230769230769232E-2</c:v>
                </c:pt>
                <c:pt idx="1">
                  <c:v>2.2688598979013045E-2</c:v>
                </c:pt>
                <c:pt idx="2">
                  <c:v>8.3333333333333329E-2</c:v>
                </c:pt>
                <c:pt idx="3">
                  <c:v>0.16666666666666666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D4-4004-969F-ACD6B33DC320}"/>
            </c:ext>
          </c:extLst>
        </c:ser>
        <c:ser>
          <c:idx val="4"/>
          <c:order val="4"/>
          <c:tx>
            <c:strRef>
              <c:f>'[Raschyot.xlsx]График 1 (входящие потоки ПИИ)'!$I$28</c:f>
              <c:strCache>
                <c:ptCount val="1"/>
                <c:pt idx="0">
                  <c:v>Германия</c:v>
                </c:pt>
              </c:strCache>
            </c:strRef>
          </c:tx>
          <c:spPr>
            <a:ln w="158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ПИИ)'!$J$28:$M$28</c:f>
              <c:numCache>
                <c:formatCode>General</c:formatCode>
                <c:ptCount val="4"/>
                <c:pt idx="0">
                  <c:v>0.59615384615384615</c:v>
                </c:pt>
                <c:pt idx="1">
                  <c:v>0.45017961807525053</c:v>
                </c:pt>
                <c:pt idx="2">
                  <c:v>0.75</c:v>
                </c:pt>
                <c:pt idx="3">
                  <c:v>0.16666666666666666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D4-4004-969F-ACD6B33DC320}"/>
            </c:ext>
          </c:extLst>
        </c:ser>
        <c:ser>
          <c:idx val="5"/>
          <c:order val="5"/>
          <c:tx>
            <c:strRef>
              <c:f>'[Raschyot.xlsx]График 1 (входящие потоки ПИИ)'!$I$29</c:f>
              <c:strCache>
                <c:ptCount val="1"/>
                <c:pt idx="0">
                  <c:v>Греция</c:v>
                </c:pt>
              </c:strCache>
            </c:strRef>
          </c:tx>
          <c:spPr>
            <a:ln w="158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ПИИ)'!$J$29:$M$29</c:f>
              <c:numCache>
                <c:formatCode>General</c:formatCode>
                <c:ptCount val="4"/>
                <c:pt idx="0">
                  <c:v>7.6923076923076927E-2</c:v>
                </c:pt>
                <c:pt idx="1">
                  <c:v>4.783512951408584E-2</c:v>
                </c:pt>
                <c:pt idx="2">
                  <c:v>0.25</c:v>
                </c:pt>
                <c:pt idx="3">
                  <c:v>0.16666666666666666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FD4-4004-969F-ACD6B33DC320}"/>
            </c:ext>
          </c:extLst>
        </c:ser>
        <c:ser>
          <c:idx val="6"/>
          <c:order val="6"/>
          <c:tx>
            <c:strRef>
              <c:f>'[Raschyot.xlsx]График 1 (входящие потоки ПИИ)'!$I$30</c:f>
              <c:strCache>
                <c:ptCount val="1"/>
                <c:pt idx="0">
                  <c:v>Ирландия</c:v>
                </c:pt>
              </c:strCache>
            </c:strRef>
          </c:tx>
          <c:spPr>
            <a:ln w="158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ПИИ)'!$J$30:$M$30</c:f>
              <c:numCache>
                <c:formatCode>General</c:formatCode>
                <c:ptCount val="4"/>
                <c:pt idx="0">
                  <c:v>5.7692307692307696E-2</c:v>
                </c:pt>
                <c:pt idx="1">
                  <c:v>0.11457742484401588</c:v>
                </c:pt>
                <c:pt idx="2">
                  <c:v>0.25</c:v>
                </c:pt>
                <c:pt idx="3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D4-4004-969F-ACD6B33DC320}"/>
            </c:ext>
          </c:extLst>
        </c:ser>
        <c:ser>
          <c:idx val="7"/>
          <c:order val="7"/>
          <c:tx>
            <c:strRef>
              <c:f>'[Raschyot.xlsx]График 1 (входящие потоки ПИИ)'!$I$31</c:f>
              <c:strCache>
                <c:ptCount val="1"/>
                <c:pt idx="0">
                  <c:v>Испания</c:v>
                </c:pt>
              </c:strCache>
            </c:strRef>
          </c:tx>
          <c:spPr>
            <a:ln w="158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ПИИ)'!$J$31:$M$31</c:f>
              <c:numCache>
                <c:formatCode>General</c:formatCode>
                <c:ptCount val="4"/>
                <c:pt idx="0">
                  <c:v>9.6153846153846159E-2</c:v>
                </c:pt>
                <c:pt idx="1">
                  <c:v>4.159576479485725E-2</c:v>
                </c:pt>
                <c:pt idx="2">
                  <c:v>0.41666666666666669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FD4-4004-969F-ACD6B33DC320}"/>
            </c:ext>
          </c:extLst>
        </c:ser>
        <c:ser>
          <c:idx val="8"/>
          <c:order val="8"/>
          <c:tx>
            <c:strRef>
              <c:f>'[Raschyot.xlsx]График 1 (входящие потоки ПИИ)'!$I$32</c:f>
              <c:strCache>
                <c:ptCount val="1"/>
                <c:pt idx="0">
                  <c:v>Италия</c:v>
                </c:pt>
              </c:strCache>
            </c:strRef>
          </c:tx>
          <c:spPr>
            <a:ln w="158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ПИИ)'!$J$32:$M$32</c:f>
              <c:numCache>
                <c:formatCode>General</c:formatCode>
                <c:ptCount val="4"/>
                <c:pt idx="0">
                  <c:v>0.11538461538461539</c:v>
                </c:pt>
                <c:pt idx="1">
                  <c:v>0.18018529022499527</c:v>
                </c:pt>
                <c:pt idx="2">
                  <c:v>0.33333333333333331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D4-4004-969F-ACD6B33DC320}"/>
            </c:ext>
          </c:extLst>
        </c:ser>
        <c:ser>
          <c:idx val="9"/>
          <c:order val="9"/>
          <c:tx>
            <c:strRef>
              <c:f>'[Raschyot.xlsx]График 1 (входящие потоки ПИИ)'!$I$33</c:f>
              <c:strCache>
                <c:ptCount val="1"/>
                <c:pt idx="0">
                  <c:v>Люксембург</c:v>
                </c:pt>
              </c:strCache>
            </c:strRef>
          </c:tx>
          <c:spPr>
            <a:ln w="158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ПИИ)'!$J$33:$M$33</c:f>
              <c:numCache>
                <c:formatCode>General</c:formatCode>
                <c:ptCount val="4"/>
                <c:pt idx="0">
                  <c:v>5.7692307692307696E-2</c:v>
                </c:pt>
                <c:pt idx="1">
                  <c:v>4.4620911325392323E-2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FD4-4004-969F-ACD6B33DC320}"/>
            </c:ext>
          </c:extLst>
        </c:ser>
        <c:ser>
          <c:idx val="10"/>
          <c:order val="10"/>
          <c:tx>
            <c:strRef>
              <c:f>'[Raschyot.xlsx]График 1 (входящие потоки ПИИ)'!$I$34</c:f>
              <c:strCache>
                <c:ptCount val="1"/>
                <c:pt idx="0">
                  <c:v>Нидерланды</c:v>
                </c:pt>
              </c:strCache>
            </c:strRef>
          </c:tx>
          <c:spPr>
            <a:ln w="158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ПИИ)'!$J$34:$M$34</c:f>
              <c:numCache>
                <c:formatCode>General</c:formatCode>
                <c:ptCount val="4"/>
                <c:pt idx="0">
                  <c:v>0.26923076923076922</c:v>
                </c:pt>
                <c:pt idx="1">
                  <c:v>0.19455473624503686</c:v>
                </c:pt>
                <c:pt idx="2">
                  <c:v>0.91666666666666663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FD4-4004-969F-ACD6B33DC320}"/>
            </c:ext>
          </c:extLst>
        </c:ser>
        <c:ser>
          <c:idx val="11"/>
          <c:order val="11"/>
          <c:tx>
            <c:strRef>
              <c:f>'[Raschyot.xlsx]График 1 (входящие потоки ПИИ)'!$I$35</c:f>
              <c:strCache>
                <c:ptCount val="1"/>
                <c:pt idx="0">
                  <c:v>Польша</c:v>
                </c:pt>
              </c:strCache>
            </c:strRef>
          </c:tx>
          <c:spPr>
            <a:ln w="158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ПИИ)'!$J$35:$M$35</c:f>
              <c:numCache>
                <c:formatCode>General</c:formatCode>
                <c:ptCount val="4"/>
                <c:pt idx="0">
                  <c:v>9.6153846153846159E-2</c:v>
                </c:pt>
                <c:pt idx="1">
                  <c:v>1.6071090943467575E-2</c:v>
                </c:pt>
                <c:pt idx="2">
                  <c:v>0.33333333333333331</c:v>
                </c:pt>
                <c:pt idx="3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FD4-4004-969F-ACD6B33DC320}"/>
            </c:ext>
          </c:extLst>
        </c:ser>
        <c:ser>
          <c:idx val="12"/>
          <c:order val="12"/>
          <c:tx>
            <c:strRef>
              <c:f>'[Raschyot.xlsx]График 1 (входящие потоки ПИИ)'!$I$36</c:f>
              <c:strCache>
                <c:ptCount val="1"/>
                <c:pt idx="0">
                  <c:v>Португалия</c:v>
                </c:pt>
              </c:strCache>
            </c:strRef>
          </c:tx>
          <c:spPr>
            <a:ln w="158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ПИИ)'!$J$36:$M$36</c:f>
              <c:numCache>
                <c:formatCode>General</c:formatCode>
                <c:ptCount val="4"/>
                <c:pt idx="0">
                  <c:v>0.11538461538461539</c:v>
                </c:pt>
                <c:pt idx="1">
                  <c:v>6.7120438646246922E-2</c:v>
                </c:pt>
                <c:pt idx="2">
                  <c:v>0.41666666666666669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D4-4004-969F-ACD6B33DC320}"/>
            </c:ext>
          </c:extLst>
        </c:ser>
        <c:ser>
          <c:idx val="13"/>
          <c:order val="13"/>
          <c:tx>
            <c:strRef>
              <c:f>'[Raschyot.xlsx]График 1 (входящие потоки ПИИ)'!$I$37</c:f>
              <c:strCache>
                <c:ptCount val="1"/>
                <c:pt idx="0">
                  <c:v>Румыния</c:v>
                </c:pt>
              </c:strCache>
            </c:strRef>
          </c:tx>
          <c:spPr>
            <a:ln w="158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ПИИ)'!$J$37:$M$37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FD4-4004-969F-ACD6B33DC320}"/>
            </c:ext>
          </c:extLst>
        </c:ser>
        <c:ser>
          <c:idx val="14"/>
          <c:order val="14"/>
          <c:tx>
            <c:strRef>
              <c:f>'[Raschyot.xlsx]График 1 (входящие потоки ПИИ)'!$I$38</c:f>
              <c:strCache>
                <c:ptCount val="1"/>
                <c:pt idx="0">
                  <c:v>Словакия</c:v>
                </c:pt>
              </c:strCache>
            </c:strRef>
          </c:tx>
          <c:spPr>
            <a:ln w="158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ПИИ)'!$J$38:$M$38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FD4-4004-969F-ACD6B33DC320}"/>
            </c:ext>
          </c:extLst>
        </c:ser>
        <c:ser>
          <c:idx val="15"/>
          <c:order val="15"/>
          <c:tx>
            <c:strRef>
              <c:f>'[Raschyot.xlsx]График 1 (входящие потоки ПИИ)'!$I$39</c:f>
              <c:strCache>
                <c:ptCount val="1"/>
                <c:pt idx="0">
                  <c:v>Словения</c:v>
                </c:pt>
              </c:strCache>
            </c:strRef>
          </c:tx>
          <c:spPr>
            <a:ln w="158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ПИИ)'!$J$39:$M$39</c:f>
              <c:numCache>
                <c:formatCode>General</c:formatCode>
                <c:ptCount val="4"/>
                <c:pt idx="0">
                  <c:v>1.9230769230769232E-2</c:v>
                </c:pt>
                <c:pt idx="1">
                  <c:v>6.4284363773870297E-3</c:v>
                </c:pt>
                <c:pt idx="2">
                  <c:v>8.3333333333333329E-2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FD4-4004-969F-ACD6B33DC320}"/>
            </c:ext>
          </c:extLst>
        </c:ser>
        <c:ser>
          <c:idx val="16"/>
          <c:order val="16"/>
          <c:tx>
            <c:strRef>
              <c:f>'[Raschyot.xlsx]График 1 (входящие потоки ПИИ)'!$I$40</c:f>
              <c:strCache>
                <c:ptCount val="1"/>
                <c:pt idx="0">
                  <c:v>Финляндия</c:v>
                </c:pt>
              </c:strCache>
            </c:strRef>
          </c:tx>
          <c:spPr>
            <a:ln w="158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ПИИ)'!$J$40:$M$40</c:f>
              <c:numCache>
                <c:formatCode>General</c:formatCode>
                <c:ptCount val="4"/>
                <c:pt idx="0">
                  <c:v>3.8461538461538464E-2</c:v>
                </c:pt>
                <c:pt idx="1">
                  <c:v>9.7371903951597658E-2</c:v>
                </c:pt>
                <c:pt idx="2">
                  <c:v>8.3333333333333329E-2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FD4-4004-969F-ACD6B33DC320}"/>
            </c:ext>
          </c:extLst>
        </c:ser>
        <c:ser>
          <c:idx val="17"/>
          <c:order val="17"/>
          <c:tx>
            <c:strRef>
              <c:f>'[Raschyot.xlsx]График 1 (входящие потоки ПИИ)'!$I$41</c:f>
              <c:strCache>
                <c:ptCount val="1"/>
                <c:pt idx="0">
                  <c:v>Франция</c:v>
                </c:pt>
              </c:strCache>
            </c:strRef>
          </c:tx>
          <c:spPr>
            <a:ln w="158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ПИИ)'!$J$41:$M$41</c:f>
              <c:numCache>
                <c:formatCode>General</c:formatCode>
                <c:ptCount val="4"/>
                <c:pt idx="0">
                  <c:v>0.34615384615384615</c:v>
                </c:pt>
                <c:pt idx="1">
                  <c:v>0.22159198336169408</c:v>
                </c:pt>
                <c:pt idx="2">
                  <c:v>0.83333333333333337</c:v>
                </c:pt>
                <c:pt idx="3">
                  <c:v>0.16666666666666666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FD4-4004-969F-ACD6B33DC320}"/>
            </c:ext>
          </c:extLst>
        </c:ser>
        <c:ser>
          <c:idx val="18"/>
          <c:order val="18"/>
          <c:tx>
            <c:strRef>
              <c:f>'[Raschyot.xlsx]График 1 (входящие потоки ПИИ)'!$I$42</c:f>
              <c:strCache>
                <c:ptCount val="1"/>
                <c:pt idx="0">
                  <c:v>Хорватия</c:v>
                </c:pt>
              </c:strCache>
            </c:strRef>
          </c:tx>
          <c:spPr>
            <a:ln w="158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ПИИ)'!$J$42:$M$42</c:f>
              <c:numCache>
                <c:formatCode>General</c:formatCode>
                <c:ptCount val="4"/>
                <c:pt idx="0">
                  <c:v>1.9230769230769232E-2</c:v>
                </c:pt>
                <c:pt idx="1">
                  <c:v>4.1595764794857253E-3</c:v>
                </c:pt>
                <c:pt idx="2">
                  <c:v>8.3333333333333329E-2</c:v>
                </c:pt>
                <c:pt idx="3">
                  <c:v>0.16666666666666666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FD4-4004-969F-ACD6B33DC320}"/>
            </c:ext>
          </c:extLst>
        </c:ser>
        <c:ser>
          <c:idx val="19"/>
          <c:order val="19"/>
          <c:tx>
            <c:strRef>
              <c:f>'[Raschyot.xlsx]График 1 (входящие потоки ПИИ)'!$I$43</c:f>
              <c:strCache>
                <c:ptCount val="1"/>
                <c:pt idx="0">
                  <c:v>Швеция</c:v>
                </c:pt>
              </c:strCache>
            </c:strRef>
          </c:tx>
          <c:spPr>
            <a:ln w="158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'[Raschyot.xlsx]График 1 (входящие потоки ПИИ)'!$J$23:$M$23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'[Raschyot.xlsx]График 1 (входящие потоки ПИИ)'!$J$43:$M$43</c:f>
              <c:numCache>
                <c:formatCode>General</c:formatCode>
                <c:ptCount val="4"/>
                <c:pt idx="0" formatCode="0.00">
                  <c:v>0.15384615384615385</c:v>
                </c:pt>
                <c:pt idx="1">
                  <c:v>0.1070145585176782</c:v>
                </c:pt>
                <c:pt idx="2">
                  <c:v>0.41666666666666669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FD4-4004-969F-ACD6B33DC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9471328"/>
        <c:axId val="409471720"/>
      </c:radarChart>
      <c:catAx>
        <c:axId val="40947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71720"/>
        <c:crosses val="autoZero"/>
        <c:auto val="1"/>
        <c:lblAlgn val="ctr"/>
        <c:lblOffset val="100"/>
        <c:noMultiLvlLbl val="0"/>
      </c:catAx>
      <c:valAx>
        <c:axId val="40947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7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7.733081364829396E-3"/>
          <c:y val="1.8273220400735656E-2"/>
          <c:w val="0.29333366929133858"/>
          <c:h val="0.41810384088402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507884536880779"/>
          <c:y val="0.15318534221683824"/>
          <c:w val="0.56878000199506429"/>
          <c:h val="0.75252432868968311"/>
        </c:manualLayout>
      </c:layout>
      <c:radarChart>
        <c:radarStyle val="marker"/>
        <c:varyColors val="0"/>
        <c:ser>
          <c:idx val="0"/>
          <c:order val="0"/>
          <c:tx>
            <c:strRef>
              <c:f>'График 3 (без Великобрит)'!$B$67</c:f>
              <c:strCache>
                <c:ptCount val="1"/>
                <c:pt idx="0">
                  <c:v>Австрия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Великобрит)'!$C$67:$F$67</c:f>
              <c:numCache>
                <c:formatCode>0.00000</c:formatCode>
                <c:ptCount val="4"/>
                <c:pt idx="0" formatCode="0.00">
                  <c:v>3.2258064516129038E-2</c:v>
                </c:pt>
                <c:pt idx="1">
                  <c:v>5.8798824023519524E-3</c:v>
                </c:pt>
                <c:pt idx="2" formatCode="0.00">
                  <c:v>9.0909090909090912E-2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CF-4FEF-8DC0-C64FDB6E7B51}"/>
            </c:ext>
          </c:extLst>
        </c:ser>
        <c:ser>
          <c:idx val="1"/>
          <c:order val="1"/>
          <c:tx>
            <c:strRef>
              <c:f>'График 3 (без Великобрит)'!$B$68</c:f>
              <c:strCache>
                <c:ptCount val="1"/>
                <c:pt idx="0">
                  <c:v>Бельгия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Великобрит)'!$C$68:$F$68</c:f>
              <c:numCache>
                <c:formatCode>General</c:formatCode>
                <c:ptCount val="4"/>
                <c:pt idx="0" formatCode="0.00">
                  <c:v>9.6774193548387094E-2</c:v>
                </c:pt>
                <c:pt idx="1">
                  <c:v>0.17983145779572532</c:v>
                </c:pt>
                <c:pt idx="2" formatCode="0.00">
                  <c:v>0.18181818181818182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CF-4FEF-8DC0-C64FDB6E7B51}"/>
            </c:ext>
          </c:extLst>
        </c:ser>
        <c:ser>
          <c:idx val="2"/>
          <c:order val="2"/>
          <c:tx>
            <c:strRef>
              <c:f>'График 3 (без Великобрит)'!$B$69</c:f>
              <c:strCache>
                <c:ptCount val="1"/>
                <c:pt idx="0">
                  <c:v>Венгрия</c:v>
                </c:pt>
              </c:strCache>
            </c:strRef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Великобрит)'!$C$69:$F$69</c:f>
              <c:numCache>
                <c:formatCode>General</c:formatCode>
                <c:ptCount val="4"/>
                <c:pt idx="0" formatCode="0.00">
                  <c:v>3.2258064516129038E-2</c:v>
                </c:pt>
                <c:pt idx="1">
                  <c:v>0.22449719824567879</c:v>
                </c:pt>
                <c:pt idx="2" formatCode="0.00">
                  <c:v>9.0909090909090912E-2</c:v>
                </c:pt>
                <c:pt idx="3" formatCode="0.00">
                  <c:v>0.50000000000000011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CF-4FEF-8DC0-C64FDB6E7B51}"/>
            </c:ext>
          </c:extLst>
        </c:ser>
        <c:ser>
          <c:idx val="3"/>
          <c:order val="3"/>
          <c:tx>
            <c:strRef>
              <c:f>'График 3 (без Великобрит)'!$B$70</c:f>
              <c:strCache>
                <c:ptCount val="1"/>
                <c:pt idx="0">
                  <c:v>Германия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Великобрит)'!$C$70:$F$70</c:f>
              <c:numCache>
                <c:formatCode>General</c:formatCode>
                <c:ptCount val="4"/>
                <c:pt idx="0" formatCode="0.00">
                  <c:v>1</c:v>
                </c:pt>
                <c:pt idx="1">
                  <c:v>1</c:v>
                </c:pt>
                <c:pt idx="2" formatCode="0.00">
                  <c:v>0.81818181818181823</c:v>
                </c:pt>
                <c:pt idx="3" formatCode="0.00">
                  <c:v>0.50000000000000011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CF-4FEF-8DC0-C64FDB6E7B51}"/>
            </c:ext>
          </c:extLst>
        </c:ser>
        <c:ser>
          <c:idx val="4"/>
          <c:order val="4"/>
          <c:tx>
            <c:strRef>
              <c:f>'График 3 (без Великобрит)'!$B$71</c:f>
              <c:strCache>
                <c:ptCount val="1"/>
                <c:pt idx="0">
                  <c:v>Греция</c:v>
                </c:pt>
              </c:strCache>
            </c:strRef>
          </c:tx>
          <c:spPr>
            <a:ln w="158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Великобрит)'!$C$71:$F$71</c:f>
              <c:numCache>
                <c:formatCode>General</c:formatCode>
                <c:ptCount val="4"/>
                <c:pt idx="0" formatCode="0.00">
                  <c:v>0.12903225806451615</c:v>
                </c:pt>
                <c:pt idx="1">
                  <c:v>0.32597219949330519</c:v>
                </c:pt>
                <c:pt idx="2" formatCode="0.00">
                  <c:v>0.27272727272727271</c:v>
                </c:pt>
                <c:pt idx="3" formatCode="0.00">
                  <c:v>0.50000000000000011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3CF-4FEF-8DC0-C64FDB6E7B51}"/>
            </c:ext>
          </c:extLst>
        </c:ser>
        <c:ser>
          <c:idx val="5"/>
          <c:order val="5"/>
          <c:tx>
            <c:strRef>
              <c:f>'График 3 (без Великобрит)'!$B$72</c:f>
              <c:strCache>
                <c:ptCount val="1"/>
                <c:pt idx="0">
                  <c:v>Ирландия</c:v>
                </c:pt>
              </c:strCache>
            </c:strRef>
          </c:tx>
          <c:spPr>
            <a:ln w="158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Великобрит)'!$C$72:$F$72</c:f>
              <c:numCache>
                <c:formatCode>General</c:formatCode>
                <c:ptCount val="4"/>
                <c:pt idx="0" formatCode="0.00">
                  <c:v>9.6774193548387094E-2</c:v>
                </c:pt>
                <c:pt idx="1">
                  <c:v>0.50449470730802115</c:v>
                </c:pt>
                <c:pt idx="2" formatCode="0.00">
                  <c:v>0.27272727272727271</c:v>
                </c:pt>
                <c:pt idx="3" formatCode="0.0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3CF-4FEF-8DC0-C64FDB6E7B51}"/>
            </c:ext>
          </c:extLst>
        </c:ser>
        <c:ser>
          <c:idx val="6"/>
          <c:order val="6"/>
          <c:tx>
            <c:strRef>
              <c:f>'График 3 (без Великобрит)'!$B$73</c:f>
              <c:strCache>
                <c:ptCount val="1"/>
                <c:pt idx="0">
                  <c:v>Испания</c:v>
                </c:pt>
              </c:strCache>
            </c:strRef>
          </c:tx>
          <c:spPr>
            <a:ln w="158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Великобрит)'!$C$73:$F$73</c:f>
              <c:numCache>
                <c:formatCode>General</c:formatCode>
                <c:ptCount val="4"/>
                <c:pt idx="0" formatCode="0.00">
                  <c:v>0.16129032258064513</c:v>
                </c:pt>
                <c:pt idx="1">
                  <c:v>0.30397064338017787</c:v>
                </c:pt>
                <c:pt idx="2" formatCode="0.00">
                  <c:v>0.45454545454545447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3CF-4FEF-8DC0-C64FDB6E7B51}"/>
            </c:ext>
          </c:extLst>
        </c:ser>
        <c:ser>
          <c:idx val="7"/>
          <c:order val="7"/>
          <c:tx>
            <c:strRef>
              <c:f>'График 3 (без Великобрит)'!$B$74</c:f>
              <c:strCache>
                <c:ptCount val="1"/>
                <c:pt idx="0">
                  <c:v>Италия</c:v>
                </c:pt>
              </c:strCache>
            </c:strRef>
          </c:tx>
          <c:spPr>
            <a:ln w="158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Великобрит)'!$C$74:$F$74</c:f>
              <c:numCache>
                <c:formatCode>General</c:formatCode>
                <c:ptCount val="4"/>
                <c:pt idx="0" formatCode="0.00">
                  <c:v>0.19354838709677419</c:v>
                </c:pt>
                <c:pt idx="1">
                  <c:v>0.63265472017531077</c:v>
                </c:pt>
                <c:pt idx="2" formatCode="0.00">
                  <c:v>0.36363636363636365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3CF-4FEF-8DC0-C64FDB6E7B51}"/>
            </c:ext>
          </c:extLst>
        </c:ser>
        <c:ser>
          <c:idx val="8"/>
          <c:order val="8"/>
          <c:tx>
            <c:strRef>
              <c:f>'График 3 (без Великобрит)'!$B$75</c:f>
              <c:strCache>
                <c:ptCount val="1"/>
                <c:pt idx="0">
                  <c:v>Люксембург</c:v>
                </c:pt>
              </c:strCache>
            </c:strRef>
          </c:tx>
          <c:spPr>
            <a:ln w="158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Великобрит)'!$C$75:$F$75</c:f>
              <c:numCache>
                <c:formatCode>General</c:formatCode>
                <c:ptCount val="4"/>
                <c:pt idx="0" formatCode="0.00">
                  <c:v>9.6774193548387094E-2</c:v>
                </c:pt>
                <c:pt idx="1">
                  <c:v>0.31483014093261025</c:v>
                </c:pt>
                <c:pt idx="2" formatCode="0.00">
                  <c:v>0.27272727272727271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CF-4FEF-8DC0-C64FDB6E7B51}"/>
            </c:ext>
          </c:extLst>
        </c:ser>
        <c:ser>
          <c:idx val="9"/>
          <c:order val="9"/>
          <c:tx>
            <c:strRef>
              <c:f>'График 3 (без Великобрит)'!$B$76</c:f>
              <c:strCache>
                <c:ptCount val="1"/>
                <c:pt idx="0">
                  <c:v>Нидерланды</c:v>
                </c:pt>
              </c:strCache>
            </c:strRef>
          </c:tx>
          <c:spPr>
            <a:ln w="158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Великобрит)'!$C$76:$F$76</c:f>
              <c:numCache>
                <c:formatCode>General</c:formatCode>
                <c:ptCount val="4"/>
                <c:pt idx="0" formatCode="0.00">
                  <c:v>0.45161290322580638</c:v>
                </c:pt>
                <c:pt idx="1">
                  <c:v>0.65739741144369324</c:v>
                </c:pt>
                <c:pt idx="2" formatCode="0.00">
                  <c:v>1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3CF-4FEF-8DC0-C64FDB6E7B51}"/>
            </c:ext>
          </c:extLst>
        </c:ser>
        <c:ser>
          <c:idx val="10"/>
          <c:order val="10"/>
          <c:tx>
            <c:strRef>
              <c:f>'График 3 (без Великобрит)'!$B$77</c:f>
              <c:strCache>
                <c:ptCount val="1"/>
                <c:pt idx="0">
                  <c:v>Польша</c:v>
                </c:pt>
              </c:strCache>
            </c:strRef>
          </c:tx>
          <c:spPr>
            <a:ln w="158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Великобрит)'!$C$77:$F$77</c:f>
              <c:numCache>
                <c:formatCode>General</c:formatCode>
                <c:ptCount val="4"/>
                <c:pt idx="0" formatCode="0.00">
                  <c:v>0.16129032258064513</c:v>
                </c:pt>
                <c:pt idx="1">
                  <c:v>0.18894254686089026</c:v>
                </c:pt>
                <c:pt idx="2" formatCode="0.00">
                  <c:v>0.36363636363636365</c:v>
                </c:pt>
                <c:pt idx="3" formatCode="0.0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3CF-4FEF-8DC0-C64FDB6E7B51}"/>
            </c:ext>
          </c:extLst>
        </c:ser>
        <c:ser>
          <c:idx val="11"/>
          <c:order val="11"/>
          <c:tx>
            <c:strRef>
              <c:f>'График 3 (без Великобрит)'!$B$78</c:f>
              <c:strCache>
                <c:ptCount val="1"/>
                <c:pt idx="0">
                  <c:v>Португалия</c:v>
                </c:pt>
              </c:strCache>
            </c:strRef>
          </c:tx>
          <c:spPr>
            <a:ln w="158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Великобрит)'!$C$78:$F$78</c:f>
              <c:numCache>
                <c:formatCode>General</c:formatCode>
                <c:ptCount val="4"/>
                <c:pt idx="0" formatCode="0.00">
                  <c:v>0.19354838709677419</c:v>
                </c:pt>
                <c:pt idx="1">
                  <c:v>0.38613083023716044</c:v>
                </c:pt>
                <c:pt idx="2" formatCode="0.00">
                  <c:v>0.45454545454545447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3CF-4FEF-8DC0-C64FDB6E7B51}"/>
            </c:ext>
          </c:extLst>
        </c:ser>
        <c:ser>
          <c:idx val="12"/>
          <c:order val="12"/>
          <c:tx>
            <c:strRef>
              <c:f>'График 3 (без Великобрит)'!$B$37</c:f>
              <c:strCache>
                <c:ptCount val="1"/>
                <c:pt idx="0">
                  <c:v>Румыния</c:v>
                </c:pt>
              </c:strCache>
            </c:strRef>
          </c:tx>
          <c:spPr>
            <a:ln w="158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Великобрит)'!$C$37:$F$37</c:f>
              <c:numCache>
                <c:formatCode>General</c:formatCode>
                <c:ptCount val="4"/>
                <c:pt idx="0" formatCode="0.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CF-4FEF-8DC0-C64FDB6E7B51}"/>
            </c:ext>
          </c:extLst>
        </c:ser>
        <c:ser>
          <c:idx val="13"/>
          <c:order val="13"/>
          <c:tx>
            <c:strRef>
              <c:f>'График 3 (без Великобрит)'!$B$38</c:f>
              <c:strCache>
                <c:ptCount val="1"/>
                <c:pt idx="0">
                  <c:v>Словакия</c:v>
                </c:pt>
              </c:strCache>
            </c:strRef>
          </c:tx>
          <c:spPr>
            <a:ln w="158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Великобрит)'!$C$38:$F$38</c:f>
              <c:numCache>
                <c:formatCode>General</c:formatCode>
                <c:ptCount val="4"/>
                <c:pt idx="0" formatCode="0.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3CF-4FEF-8DC0-C64FDB6E7B51}"/>
            </c:ext>
          </c:extLst>
        </c:ser>
        <c:ser>
          <c:idx val="14"/>
          <c:order val="14"/>
          <c:tx>
            <c:strRef>
              <c:f>'График 3 (без Великобрит)'!$B$79</c:f>
              <c:strCache>
                <c:ptCount val="1"/>
                <c:pt idx="0">
                  <c:v>Словения</c:v>
                </c:pt>
              </c:strCache>
            </c:strRef>
          </c:tx>
          <c:spPr>
            <a:ln w="158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Великобрит)'!$C$79:$F$79</c:f>
              <c:numCache>
                <c:formatCode>General</c:formatCode>
                <c:ptCount val="4"/>
                <c:pt idx="0" formatCode="0.00">
                  <c:v>3.2258064516129038E-2</c:v>
                </c:pt>
                <c:pt idx="1">
                  <c:v>0.11949775899870209</c:v>
                </c:pt>
                <c:pt idx="2" formatCode="0.00">
                  <c:v>9.0909090909090912E-2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3CF-4FEF-8DC0-C64FDB6E7B51}"/>
            </c:ext>
          </c:extLst>
        </c:ser>
        <c:ser>
          <c:idx val="15"/>
          <c:order val="15"/>
          <c:tx>
            <c:strRef>
              <c:f>'График 3 (без Великобрит)'!$B$80</c:f>
              <c:strCache>
                <c:ptCount val="1"/>
                <c:pt idx="0">
                  <c:v>Финляндия</c:v>
                </c:pt>
              </c:strCache>
            </c:strRef>
          </c:tx>
          <c:spPr>
            <a:ln w="158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Великобрит)'!$C$80:$F$80</c:f>
              <c:numCache>
                <c:formatCode>General</c:formatCode>
                <c:ptCount val="4"/>
                <c:pt idx="0" formatCode="0.00">
                  <c:v>6.4516129032258063E-2</c:v>
                </c:pt>
                <c:pt idx="1">
                  <c:v>0.46507598743271861</c:v>
                </c:pt>
                <c:pt idx="2" formatCode="0.00">
                  <c:v>9.0909090909090912E-2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3CF-4FEF-8DC0-C64FDB6E7B51}"/>
            </c:ext>
          </c:extLst>
        </c:ser>
        <c:ser>
          <c:idx val="16"/>
          <c:order val="16"/>
          <c:tx>
            <c:strRef>
              <c:f>'График 3 (без Великобрит)'!$B$81</c:f>
              <c:strCache>
                <c:ptCount val="1"/>
                <c:pt idx="0">
                  <c:v>Франция</c:v>
                </c:pt>
              </c:strCache>
            </c:strRef>
          </c:tx>
          <c:spPr>
            <a:ln w="158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Великобрит)'!$C$81:$F$81</c:f>
              <c:numCache>
                <c:formatCode>General</c:formatCode>
                <c:ptCount val="4"/>
                <c:pt idx="0" formatCode="0.00">
                  <c:v>0.58064516129032251</c:v>
                </c:pt>
                <c:pt idx="1">
                  <c:v>0.70159115971974173</c:v>
                </c:pt>
                <c:pt idx="2" formatCode="0.00">
                  <c:v>0.90909090909090917</c:v>
                </c:pt>
                <c:pt idx="3" formatCode="0.0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3CF-4FEF-8DC0-C64FDB6E7B51}"/>
            </c:ext>
          </c:extLst>
        </c:ser>
        <c:ser>
          <c:idx val="17"/>
          <c:order val="17"/>
          <c:tx>
            <c:strRef>
              <c:f>'График 3 (без Великобрит)'!$B$82</c:f>
              <c:strCache>
                <c:ptCount val="1"/>
                <c:pt idx="0">
                  <c:v>Хорватия</c:v>
                </c:pt>
              </c:strCache>
            </c:strRef>
          </c:tx>
          <c:spPr>
            <a:ln w="158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Великобрит)'!$C$82:$F$82</c:f>
              <c:numCache>
                <c:formatCode>General</c:formatCode>
                <c:ptCount val="4"/>
                <c:pt idx="0" formatCode="0.00">
                  <c:v>3.2258064516129038E-2</c:v>
                </c:pt>
                <c:pt idx="1">
                  <c:v>9.6123957490814566E-2</c:v>
                </c:pt>
                <c:pt idx="2" formatCode="0.00">
                  <c:v>9.0909090909090912E-2</c:v>
                </c:pt>
                <c:pt idx="3" formatCode="0.00">
                  <c:v>0.50000000000000011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3CF-4FEF-8DC0-C64FDB6E7B51}"/>
            </c:ext>
          </c:extLst>
        </c:ser>
        <c:ser>
          <c:idx val="18"/>
          <c:order val="18"/>
          <c:tx>
            <c:strRef>
              <c:f>'График 3 (без Великобрит)'!$B$83</c:f>
              <c:strCache>
                <c:ptCount val="1"/>
                <c:pt idx="0">
                  <c:v>Швеция</c:v>
                </c:pt>
              </c:strCache>
            </c:strRef>
          </c:tx>
          <c:spPr>
            <a:ln w="158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3 (без Великобрит)'!$C$43:$F$43</c:f>
              <c:strCache>
                <c:ptCount val="4"/>
                <c:pt idx="0">
                  <c:v>кол-во сделок за 2005-2020 гг</c:v>
                </c:pt>
                <c:pt idx="1">
                  <c:v>общая сумма сделок </c:v>
                </c:pt>
                <c:pt idx="2">
                  <c:v>кол-во лет, когда были сделки</c:v>
                </c:pt>
                <c:pt idx="3">
                  <c:v>кол-во гринфилдных инвестиций</c:v>
                </c:pt>
              </c:strCache>
            </c:strRef>
          </c:cat>
          <c:val>
            <c:numRef>
              <c:f>'График 3 (без Великобрит)'!$C$83:$F$83</c:f>
              <c:numCache>
                <c:formatCode>General</c:formatCode>
                <c:ptCount val="4"/>
                <c:pt idx="0" formatCode="0.00">
                  <c:v>0.25806451612903225</c:v>
                </c:pt>
                <c:pt idx="1">
                  <c:v>0.4875605046505368</c:v>
                </c:pt>
                <c:pt idx="2" formatCode="0.00">
                  <c:v>0.45454545454545447</c:v>
                </c:pt>
                <c:pt idx="3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3CF-4FEF-8DC0-C64FDB6E7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9458784"/>
        <c:axId val="409461920"/>
      </c:radarChart>
      <c:catAx>
        <c:axId val="40945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61920"/>
        <c:crosses val="autoZero"/>
        <c:auto val="1"/>
        <c:lblAlgn val="ctr"/>
        <c:lblOffset val="100"/>
        <c:noMultiLvlLbl val="0"/>
      </c:catAx>
      <c:valAx>
        <c:axId val="40946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5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2650272537129E-2"/>
          <c:y val="4.6152634766808046E-2"/>
          <c:w val="0.37115088443793126"/>
          <c:h val="0.320514031899858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7261539912301"/>
          <c:y val="0.15611164903690983"/>
          <c:w val="0.61081852043943607"/>
          <c:h val="0.62109450645815445"/>
        </c:manualLayout>
      </c:layout>
      <c:radarChart>
        <c:radarStyle val="marker"/>
        <c:varyColors val="0"/>
        <c:ser>
          <c:idx val="12"/>
          <c:order val="0"/>
          <c:tx>
            <c:strRef>
              <c:f>'График 4 преобразования '!$B$52</c:f>
              <c:strCache>
                <c:ptCount val="1"/>
                <c:pt idx="0">
                  <c:v>Германия</c:v>
                </c:pt>
              </c:strCache>
            </c:strRef>
          </c:tx>
          <c:spPr>
            <a:ln w="158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'!$C$52:$F$52</c:f>
              <c:numCache>
                <c:formatCode>_(* #,##0.00_);_(* \(#,##0.00\);_(* "-"??_);_(@_)</c:formatCode>
                <c:ptCount val="4"/>
                <c:pt idx="0" formatCode="General">
                  <c:v>0.71244413635253356</c:v>
                </c:pt>
                <c:pt idx="1">
                  <c:v>0.76238991779177689</c:v>
                </c:pt>
                <c:pt idx="2">
                  <c:v>0.99122807017543857</c:v>
                </c:pt>
                <c:pt idx="3" formatCode="General">
                  <c:v>0.65131578947368429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1-4182-9FB9-9F14FE53F1EC}"/>
            </c:ext>
          </c:extLst>
        </c:ser>
        <c:ser>
          <c:idx val="13"/>
          <c:order val="1"/>
          <c:tx>
            <c:strRef>
              <c:f>'График 4 преобразования '!$B$53</c:f>
              <c:strCache>
                <c:ptCount val="1"/>
                <c:pt idx="0">
                  <c:v>Франция</c:v>
                </c:pt>
              </c:strCache>
            </c:strRef>
          </c:tx>
          <c:spPr>
            <a:ln w="158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'!$C$53:$F$53</c:f>
              <c:numCache>
                <c:formatCode>_(* #,##0.00_);_(* \(#,##0.00\);_(* "-"??_);_(@_)</c:formatCode>
                <c:ptCount val="4"/>
                <c:pt idx="0" formatCode="General">
                  <c:v>0.55412554167382866</c:v>
                </c:pt>
                <c:pt idx="1">
                  <c:v>0.69818418782488234</c:v>
                </c:pt>
                <c:pt idx="2">
                  <c:v>0.86094066899147681</c:v>
                </c:pt>
                <c:pt idx="3" formatCode="General">
                  <c:v>0.72368421052631582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51-4182-9FB9-9F14FE53F1EC}"/>
            </c:ext>
          </c:extLst>
        </c:ser>
        <c:ser>
          <c:idx val="14"/>
          <c:order val="2"/>
          <c:tx>
            <c:strRef>
              <c:f>'График 4 преобразования '!$B$54</c:f>
              <c:strCache>
                <c:ptCount val="1"/>
                <c:pt idx="0">
                  <c:v>Ирландия</c:v>
                </c:pt>
              </c:strCache>
            </c:strRef>
          </c:tx>
          <c:spPr>
            <a:ln w="158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'!$C$54:$F$54</c:f>
              <c:numCache>
                <c:formatCode>_(* #,##0.00_);_(* \(#,##0.00\);_(* "-"??_);_(@_)</c:formatCode>
                <c:ptCount val="4"/>
                <c:pt idx="0" formatCode="General">
                  <c:v>0.6789310366664556</c:v>
                </c:pt>
                <c:pt idx="1">
                  <c:v>0.94918032786885242</c:v>
                </c:pt>
                <c:pt idx="2">
                  <c:v>0.48614210783391565</c:v>
                </c:pt>
                <c:pt idx="3" formatCode="General">
                  <c:v>0.76315789473684215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51-4182-9FB9-9F14FE53F1EC}"/>
            </c:ext>
          </c:extLst>
        </c:ser>
        <c:ser>
          <c:idx val="15"/>
          <c:order val="3"/>
          <c:tx>
            <c:strRef>
              <c:f>'График 4 преобразования '!$B$55</c:f>
              <c:strCache>
                <c:ptCount val="1"/>
                <c:pt idx="0">
                  <c:v>Нидерланды</c:v>
                </c:pt>
              </c:strCache>
            </c:strRef>
          </c:tx>
          <c:spPr>
            <a:ln w="158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'!$C$55:$F$55</c:f>
              <c:numCache>
                <c:formatCode>_(* #,##0.00_);_(* \(#,##0.00\);_(* "-"??_);_(@_)</c:formatCode>
                <c:ptCount val="4"/>
                <c:pt idx="0" formatCode="General">
                  <c:v>0.6201761061906873</c:v>
                </c:pt>
                <c:pt idx="1">
                  <c:v>0.80601811394183664</c:v>
                </c:pt>
                <c:pt idx="2">
                  <c:v>0.60476350912010712</c:v>
                </c:pt>
                <c:pt idx="3" formatCode="General">
                  <c:v>0.67763157894736847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51-4182-9FB9-9F14FE53F1EC}"/>
            </c:ext>
          </c:extLst>
        </c:ser>
        <c:ser>
          <c:idx val="16"/>
          <c:order val="4"/>
          <c:tx>
            <c:strRef>
              <c:f>'График 4 преобразования '!$B$56</c:f>
              <c:strCache>
                <c:ptCount val="1"/>
                <c:pt idx="0">
                  <c:v>Польша</c:v>
                </c:pt>
              </c:strCache>
            </c:strRef>
          </c:tx>
          <c:spPr>
            <a:ln w="158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'!$C$56:$F$56</c:f>
              <c:numCache>
                <c:formatCode>_(* #,##0.00_);_(* \(#,##0.00\);_(* "-"??_);_(@_)</c:formatCode>
                <c:ptCount val="4"/>
                <c:pt idx="0" formatCode="General">
                  <c:v>0.24180336674597647</c:v>
                </c:pt>
                <c:pt idx="1">
                  <c:v>0.49394615658536589</c:v>
                </c:pt>
                <c:pt idx="2">
                  <c:v>0.58760781239961679</c:v>
                </c:pt>
                <c:pt idx="3" formatCode="General">
                  <c:v>0.48684210526315796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51-4182-9FB9-9F14FE53F1EC}"/>
            </c:ext>
          </c:extLst>
        </c:ser>
        <c:ser>
          <c:idx val="17"/>
          <c:order val="5"/>
          <c:tx>
            <c:strRef>
              <c:f>'График 4 преобразования '!$B$57</c:f>
              <c:strCache>
                <c:ptCount val="1"/>
                <c:pt idx="0">
                  <c:v>Греция</c:v>
                </c:pt>
              </c:strCache>
            </c:strRef>
          </c:tx>
          <c:spPr>
            <a:ln w="158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'!$C$57:$F$57</c:f>
              <c:numCache>
                <c:formatCode>_(* #,##0.00_);_(* \(#,##0.00\);_(* "-"??_);_(@_)</c:formatCode>
                <c:ptCount val="4"/>
                <c:pt idx="0" formatCode="General">
                  <c:v>0.22970928286456122</c:v>
                </c:pt>
                <c:pt idx="1">
                  <c:v>0.48304605992081096</c:v>
                </c:pt>
                <c:pt idx="2">
                  <c:v>0.40647024043308611</c:v>
                </c:pt>
                <c:pt idx="3" formatCode="General">
                  <c:v>0.57894736842105265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51-4182-9FB9-9F14FE53F1EC}"/>
            </c:ext>
          </c:extLst>
        </c:ser>
        <c:ser>
          <c:idx val="18"/>
          <c:order val="6"/>
          <c:tx>
            <c:strRef>
              <c:f>'График 4 преобразования '!$B$58</c:f>
              <c:strCache>
                <c:ptCount val="1"/>
                <c:pt idx="0">
                  <c:v>Италия</c:v>
                </c:pt>
              </c:strCache>
            </c:strRef>
          </c:tx>
          <c:spPr>
            <a:ln w="158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'!$C$58:$F$58</c:f>
              <c:numCache>
                <c:formatCode>_(* #,##0.00_);_(* \(#,##0.00\);_(* "-"??_);_(@_)</c:formatCode>
                <c:ptCount val="4"/>
                <c:pt idx="0" formatCode="General">
                  <c:v>0.38146757420592203</c:v>
                </c:pt>
                <c:pt idx="1">
                  <c:v>0.5239426259669282</c:v>
                </c:pt>
                <c:pt idx="2">
                  <c:v>0.7875470949891632</c:v>
                </c:pt>
                <c:pt idx="3" formatCode="General">
                  <c:v>0.41447368421052633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E51-4182-9FB9-9F14FE53F1EC}"/>
            </c:ext>
          </c:extLst>
        </c:ser>
        <c:ser>
          <c:idx val="19"/>
          <c:order val="7"/>
          <c:tx>
            <c:strRef>
              <c:f>'График 4 преобразования '!$B$59</c:f>
              <c:strCache>
                <c:ptCount val="1"/>
                <c:pt idx="0">
                  <c:v>Швеция</c:v>
                </c:pt>
              </c:strCache>
            </c:strRef>
          </c:tx>
          <c:spPr>
            <a:ln w="158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'!$C$59:$F$59</c:f>
              <c:numCache>
                <c:formatCode>_(* #,##0.00_);_(* \(#,##0.00\);_(* "-"??_);_(@_)</c:formatCode>
                <c:ptCount val="4"/>
                <c:pt idx="0" formatCode="General">
                  <c:v>0.8169642857142857</c:v>
                </c:pt>
                <c:pt idx="1">
                  <c:v>0.80977196753943148</c:v>
                </c:pt>
                <c:pt idx="2">
                  <c:v>0.55341798308144197</c:v>
                </c:pt>
                <c:pt idx="3" formatCode="General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E51-4182-9FB9-9F14FE53F1EC}"/>
            </c:ext>
          </c:extLst>
        </c:ser>
        <c:ser>
          <c:idx val="20"/>
          <c:order val="8"/>
          <c:tx>
            <c:strRef>
              <c:f>'График 4 преобразования '!$B$60</c:f>
              <c:strCache>
                <c:ptCount val="1"/>
                <c:pt idx="0">
                  <c:v>Португалия</c:v>
                </c:pt>
              </c:strCache>
            </c:strRef>
          </c:tx>
          <c:spPr>
            <a:ln w="158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'!$C$60:$F$60</c:f>
              <c:numCache>
                <c:formatCode>_(* #,##0.00_);_(* \(#,##0.00\);_(* "-"??_);_(@_)</c:formatCode>
                <c:ptCount val="4"/>
                <c:pt idx="0" formatCode="General">
                  <c:v>0.27074418520495402</c:v>
                </c:pt>
                <c:pt idx="1">
                  <c:v>0.51856848119334176</c:v>
                </c:pt>
                <c:pt idx="2">
                  <c:v>0.44786723689962987</c:v>
                </c:pt>
                <c:pt idx="3" formatCode="General">
                  <c:v>0.66447368421052633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E51-4182-9FB9-9F14FE53F1EC}"/>
            </c:ext>
          </c:extLst>
        </c:ser>
        <c:ser>
          <c:idx val="21"/>
          <c:order val="9"/>
          <c:tx>
            <c:strRef>
              <c:f>'График 4 преобразования '!$B$61</c:f>
              <c:strCache>
                <c:ptCount val="1"/>
                <c:pt idx="0">
                  <c:v>Венгрия</c:v>
                </c:pt>
              </c:strCache>
            </c:strRef>
          </c:tx>
          <c:spPr>
            <a:ln w="158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'!$C$61:$F$61</c:f>
              <c:numCache>
                <c:formatCode>_(* #,##0.00_);_(* \(#,##0.00\);_(* "-"??_);_(@_)</c:formatCode>
                <c:ptCount val="4"/>
                <c:pt idx="0" formatCode="General">
                  <c:v>0.23958776246867566</c:v>
                </c:pt>
                <c:pt idx="1">
                  <c:v>0.52818249549616503</c:v>
                </c:pt>
                <c:pt idx="2">
                  <c:v>0.38312520401339395</c:v>
                </c:pt>
                <c:pt idx="3" formatCode="General">
                  <c:v>0.54605263157894746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E51-4182-9FB9-9F14FE53F1EC}"/>
            </c:ext>
          </c:extLst>
        </c:ser>
        <c:ser>
          <c:idx val="22"/>
          <c:order val="10"/>
          <c:tx>
            <c:strRef>
              <c:f>'График 4 преобразования '!$B$62</c:f>
              <c:strCache>
                <c:ptCount val="1"/>
                <c:pt idx="0">
                  <c:v>Испания</c:v>
                </c:pt>
              </c:strCache>
            </c:strRef>
          </c:tx>
          <c:spPr>
            <a:ln w="158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'!$C$62:$F$62</c:f>
              <c:numCache>
                <c:formatCode>_(* #,##0.00_);_(* \(#,##0.00\);_(* "-"??_);_(@_)</c:formatCode>
                <c:ptCount val="4"/>
                <c:pt idx="0" formatCode="General">
                  <c:v>0.33720270135791636</c:v>
                </c:pt>
                <c:pt idx="1">
                  <c:v>0.601851420716081</c:v>
                </c:pt>
                <c:pt idx="2">
                  <c:v>0.68793493935248318</c:v>
                </c:pt>
                <c:pt idx="3" formatCode="General">
                  <c:v>0.46710526315789475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51-4182-9FB9-9F14FE53F1EC}"/>
            </c:ext>
          </c:extLst>
        </c:ser>
        <c:ser>
          <c:idx val="23"/>
          <c:order val="11"/>
          <c:tx>
            <c:strRef>
              <c:f>'График 4 преобразования '!$B$63</c:f>
              <c:strCache>
                <c:ptCount val="1"/>
                <c:pt idx="0">
                  <c:v>Хорватия</c:v>
                </c:pt>
              </c:strCache>
            </c:strRef>
          </c:tx>
          <c:spPr>
            <a:ln w="158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8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'!$C$51:$F$51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'!$C$63:$F$63</c:f>
              <c:numCache>
                <c:formatCode>_(* #,##0.00_);_(* \(#,##0.00\);_(* "-"??_);_(@_)</c:formatCode>
                <c:ptCount val="4"/>
                <c:pt idx="0" formatCode="General">
                  <c:v>0.19399358359644284</c:v>
                </c:pt>
                <c:pt idx="1">
                  <c:v>0.47976392372566889</c:v>
                </c:pt>
                <c:pt idx="2">
                  <c:v>0.35764360768587977</c:v>
                </c:pt>
                <c:pt idx="3" formatCode="General">
                  <c:v>9.9605263157894738E-2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51-4182-9FB9-9F14FE53F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9466232"/>
        <c:axId val="409460352"/>
        <c:extLst xmlns:c16r2="http://schemas.microsoft.com/office/drawing/2015/06/chart">
          <c:ext xmlns:c15="http://schemas.microsoft.com/office/drawing/2012/chart" uri="{02D57815-91ED-43cb-92C2-25804820EDAC}">
            <c15:filteredRadarSeries>
              <c15:ser>
                <c:idx val="0"/>
                <c:order val="1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'График 4 преобразования '!$B$52</c15:sqref>
                        </c15:formulaRef>
                      </c:ext>
                    </c:extLst>
                    <c:strCache>
                      <c:ptCount val="1"/>
                      <c:pt idx="0">
                        <c:v>Германия</c:v>
                      </c:pt>
                    </c:strCache>
                  </c:strRef>
                </c:tx>
                <c:spPr>
                  <a:ln w="158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1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1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1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1"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'График 4 преобразования '!$C$52:$F$52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0.71244413635253356</c:v>
                      </c:pt>
                      <c:pt idx="1">
                        <c:v>0.76238991779177689</c:v>
                      </c:pt>
                      <c:pt idx="2">
                        <c:v>0.99122807017543857</c:v>
                      </c:pt>
                      <c:pt idx="3" formatCode="General">
                        <c:v>0.65131578947368429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C-9E51-4182-9FB9-9F14FE53F1EC}"/>
                  </c:ext>
                </c:extLst>
              </c15:ser>
            </c15:filteredRadarSeries>
            <c15:filteredRadarSeries>
              <c15:ser>
                <c:idx val="1"/>
                <c:order val="1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'!$B$53</c15:sqref>
                        </c15:formulaRef>
                      </c:ext>
                    </c:extLst>
                    <c:strCache>
                      <c:ptCount val="1"/>
                      <c:pt idx="0">
                        <c:v>Франция</c:v>
                      </c:pt>
                    </c:strCache>
                  </c:strRef>
                </c:tx>
                <c:spPr>
                  <a:ln w="158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2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'!$C$53:$F$53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0.55412554167382866</c:v>
                      </c:pt>
                      <c:pt idx="1">
                        <c:v>0.69818418782488234</c:v>
                      </c:pt>
                      <c:pt idx="2">
                        <c:v>0.86094066899147681</c:v>
                      </c:pt>
                      <c:pt idx="3" formatCode="General">
                        <c:v>0.72368421052631582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D-9E51-4182-9FB9-9F14FE53F1EC}"/>
                  </c:ext>
                </c:extLst>
              </c15:ser>
            </c15:filteredRadarSeries>
            <c15:filteredRadarSeries>
              <c15:ser>
                <c:idx val="2"/>
                <c:order val="1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'!$B$54</c15:sqref>
                        </c15:formulaRef>
                      </c:ext>
                    </c:extLst>
                    <c:strCache>
                      <c:ptCount val="1"/>
                      <c:pt idx="0">
                        <c:v>Ирландия</c:v>
                      </c:pt>
                    </c:strCache>
                  </c:strRef>
                </c:tx>
                <c:spPr>
                  <a:ln w="158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3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3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3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3"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'!$C$54:$F$54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0.6789310366664556</c:v>
                      </c:pt>
                      <c:pt idx="1">
                        <c:v>0.94918032786885242</c:v>
                      </c:pt>
                      <c:pt idx="2">
                        <c:v>0.48614210783391565</c:v>
                      </c:pt>
                      <c:pt idx="3" formatCode="General">
                        <c:v>0.76315789473684215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E-9E51-4182-9FB9-9F14FE53F1EC}"/>
                  </c:ext>
                </c:extLst>
              </c15:ser>
            </c15:filteredRadarSeries>
            <c15:filteredRadarSeries>
              <c15:ser>
                <c:idx val="3"/>
                <c:order val="1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'!$B$55</c15:sqref>
                        </c15:formulaRef>
                      </c:ext>
                    </c:extLst>
                    <c:strCache>
                      <c:ptCount val="1"/>
                      <c:pt idx="0">
                        <c:v>Нидерланды</c:v>
                      </c:pt>
                    </c:strCache>
                  </c:strRef>
                </c:tx>
                <c:spPr>
                  <a:ln w="158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4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4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4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4"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'!$C$55:$F$55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0.6201761061906873</c:v>
                      </c:pt>
                      <c:pt idx="1">
                        <c:v>0.80601811394183664</c:v>
                      </c:pt>
                      <c:pt idx="2">
                        <c:v>0.60476350912010712</c:v>
                      </c:pt>
                      <c:pt idx="3" formatCode="General">
                        <c:v>0.67763157894736847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F-9E51-4182-9FB9-9F14FE53F1EC}"/>
                  </c:ext>
                </c:extLst>
              </c15:ser>
            </c15:filteredRadarSeries>
            <c15:filteredRadarSeries>
              <c15:ser>
                <c:idx val="4"/>
                <c:order val="16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'!$B$56</c15:sqref>
                        </c15:formulaRef>
                      </c:ext>
                    </c:extLst>
                    <c:strCache>
                      <c:ptCount val="1"/>
                      <c:pt idx="0">
                        <c:v>Польша</c:v>
                      </c:pt>
                    </c:strCache>
                  </c:strRef>
                </c:tx>
                <c:spPr>
                  <a:ln w="158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5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5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5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5"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'!$C$56:$F$56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0.24180336674597647</c:v>
                      </c:pt>
                      <c:pt idx="1">
                        <c:v>0.49394615658536589</c:v>
                      </c:pt>
                      <c:pt idx="2">
                        <c:v>0.58760781239961679</c:v>
                      </c:pt>
                      <c:pt idx="3" formatCode="General">
                        <c:v>0.48684210526315796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0-9E51-4182-9FB9-9F14FE53F1EC}"/>
                  </c:ext>
                </c:extLst>
              </c15:ser>
            </c15:filteredRadarSeries>
            <c15:filteredRadarSeries>
              <c15:ser>
                <c:idx val="5"/>
                <c:order val="17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'!$B$57</c15:sqref>
                        </c15:formulaRef>
                      </c:ext>
                    </c:extLst>
                    <c:strCache>
                      <c:ptCount val="1"/>
                      <c:pt idx="0">
                        <c:v>Греция</c:v>
                      </c:pt>
                    </c:strCache>
                  </c:strRef>
                </c:tx>
                <c:spPr>
                  <a:ln w="158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6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6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6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6"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'!$C$57:$F$57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0.22970928286456122</c:v>
                      </c:pt>
                      <c:pt idx="1">
                        <c:v>0.48304605992081096</c:v>
                      </c:pt>
                      <c:pt idx="2">
                        <c:v>0.40647024043308611</c:v>
                      </c:pt>
                      <c:pt idx="3" formatCode="General">
                        <c:v>0.57894736842105265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1-9E51-4182-9FB9-9F14FE53F1EC}"/>
                  </c:ext>
                </c:extLst>
              </c15:ser>
            </c15:filteredRadarSeries>
            <c15:filteredRadarSeries>
              <c15:ser>
                <c:idx val="6"/>
                <c:order val="18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'!$B$58</c15:sqref>
                        </c15:formulaRef>
                      </c:ext>
                    </c:extLst>
                    <c:strCache>
                      <c:ptCount val="1"/>
                      <c:pt idx="0">
                        <c:v>Италия</c:v>
                      </c:pt>
                    </c:strCache>
                  </c:strRef>
                </c:tx>
                <c:spPr>
                  <a:ln w="158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1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1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1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'!$C$58:$F$58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0.38146757420592203</c:v>
                      </c:pt>
                      <c:pt idx="1">
                        <c:v>0.5239426259669282</c:v>
                      </c:pt>
                      <c:pt idx="2">
                        <c:v>0.7875470949891632</c:v>
                      </c:pt>
                      <c:pt idx="3" formatCode="General">
                        <c:v>0.41447368421052633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2-9E51-4182-9FB9-9F14FE53F1EC}"/>
                  </c:ext>
                </c:extLst>
              </c15:ser>
            </c15:filteredRadarSeries>
            <c15:filteredRadarSeries>
              <c15:ser>
                <c:idx val="7"/>
                <c:order val="19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'!$B$59</c15:sqref>
                        </c15:formulaRef>
                      </c:ext>
                    </c:extLst>
                    <c:strCache>
                      <c:ptCount val="1"/>
                      <c:pt idx="0">
                        <c:v>Швеция</c:v>
                      </c:pt>
                    </c:strCache>
                  </c:strRef>
                </c:tx>
                <c:spPr>
                  <a:ln w="158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'!$C$59:$F$59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0.8169642857142857</c:v>
                      </c:pt>
                      <c:pt idx="1">
                        <c:v>0.80977196753943148</c:v>
                      </c:pt>
                      <c:pt idx="2">
                        <c:v>0.55341798308144197</c:v>
                      </c:pt>
                      <c:pt idx="3" formatCode="General">
                        <c:v>1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3-9E51-4182-9FB9-9F14FE53F1EC}"/>
                  </c:ext>
                </c:extLst>
              </c15:ser>
            </c15:filteredRadarSeries>
            <c15:filteredRadarSeries>
              <c15:ser>
                <c:idx val="8"/>
                <c:order val="20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'!$B$60</c15:sqref>
                        </c15:formulaRef>
                      </c:ext>
                    </c:extLst>
                    <c:strCache>
                      <c:ptCount val="1"/>
                      <c:pt idx="0">
                        <c:v>Португалия</c:v>
                      </c:pt>
                    </c:strCache>
                  </c:strRef>
                </c:tx>
                <c:spPr>
                  <a:ln w="158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3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3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3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'!$C$60:$F$60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0.27074418520495402</c:v>
                      </c:pt>
                      <c:pt idx="1">
                        <c:v>0.51856848119334176</c:v>
                      </c:pt>
                      <c:pt idx="2">
                        <c:v>0.44786723689962987</c:v>
                      </c:pt>
                      <c:pt idx="3" formatCode="General">
                        <c:v>0.66447368421052633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4-9E51-4182-9FB9-9F14FE53F1EC}"/>
                  </c:ext>
                </c:extLst>
              </c15:ser>
            </c15:filteredRadarSeries>
            <c15:filteredRadarSeries>
              <c15:ser>
                <c:idx val="9"/>
                <c:order val="2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'!$B$61</c15:sqref>
                        </c15:formulaRef>
                      </c:ext>
                    </c:extLst>
                    <c:strCache>
                      <c:ptCount val="1"/>
                      <c:pt idx="0">
                        <c:v>Венгрия</c:v>
                      </c:pt>
                    </c:strCache>
                  </c:strRef>
                </c:tx>
                <c:spPr>
                  <a:ln w="158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4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4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4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'!$C$61:$F$61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0.23958776246867566</c:v>
                      </c:pt>
                      <c:pt idx="1">
                        <c:v>0.52818249549616503</c:v>
                      </c:pt>
                      <c:pt idx="2">
                        <c:v>0.38312520401339395</c:v>
                      </c:pt>
                      <c:pt idx="3" formatCode="General">
                        <c:v>0.54605263157894746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5-9E51-4182-9FB9-9F14FE53F1EC}"/>
                  </c:ext>
                </c:extLst>
              </c15:ser>
            </c15:filteredRadarSeries>
            <c15:filteredRadarSeries>
              <c15:ser>
                <c:idx val="10"/>
                <c:order val="2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'!$B$62</c15:sqref>
                        </c15:formulaRef>
                      </c:ext>
                    </c:extLst>
                    <c:strCache>
                      <c:ptCount val="1"/>
                      <c:pt idx="0">
                        <c:v>Испания</c:v>
                      </c:pt>
                    </c:strCache>
                  </c:strRef>
                </c:tx>
                <c:spPr>
                  <a:ln w="158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5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5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5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5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'!$C$62:$F$62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0.33720270135791636</c:v>
                      </c:pt>
                      <c:pt idx="1">
                        <c:v>0.601851420716081</c:v>
                      </c:pt>
                      <c:pt idx="2">
                        <c:v>0.68793493935248318</c:v>
                      </c:pt>
                      <c:pt idx="3" formatCode="General">
                        <c:v>0.46710526315789475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6-9E51-4182-9FB9-9F14FE53F1EC}"/>
                  </c:ext>
                </c:extLst>
              </c15:ser>
            </c15:filteredRadarSeries>
            <c15:filteredRadarSeries>
              <c15:ser>
                <c:idx val="11"/>
                <c:order val="2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'!$B$63</c15:sqref>
                        </c15:formulaRef>
                      </c:ext>
                    </c:extLst>
                    <c:strCache>
                      <c:ptCount val="1"/>
                      <c:pt idx="0">
                        <c:v>Хорватия</c:v>
                      </c:pt>
                    </c:strCache>
                  </c:strRef>
                </c:tx>
                <c:spPr>
                  <a:ln w="158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gradFill rotWithShape="1">
                      <a:gsLst>
                        <a:gs pos="0">
                          <a:schemeClr val="accent6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6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6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6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'!$C$51:$F$51</c15:sqref>
                        </c15:formulaRef>
                      </c:ext>
                    </c:extLst>
                    <c:strCache>
                      <c:ptCount val="4"/>
                      <c:pt idx="0">
                        <c:v>Факторные условия</c:v>
                      </c:pt>
                      <c:pt idx="1">
                        <c:v>Условия спроса</c:v>
                      </c:pt>
                      <c:pt idx="2">
                        <c:v>Поддерживающие и связанные индустрии</c:v>
                      </c:pt>
                      <c:pt idx="3">
                        <c:v>Стратегия фирмы, структура и конкурентная среда (Ю)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'График 4 преобразования '!$C$63:$F$63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4"/>
                      <c:pt idx="0" formatCode="General">
                        <c:v>0.19399358359644284</c:v>
                      </c:pt>
                      <c:pt idx="1">
                        <c:v>0.47976392372566889</c:v>
                      </c:pt>
                      <c:pt idx="2">
                        <c:v>0.35764360768587977</c:v>
                      </c:pt>
                      <c:pt idx="3" formatCode="General">
                        <c:v>9.9605263157894738E-2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7-9E51-4182-9FB9-9F14FE53F1EC}"/>
                  </c:ext>
                </c:extLst>
              </c15:ser>
            </c15:filteredRadarSeries>
          </c:ext>
        </c:extLst>
      </c:radarChart>
      <c:catAx>
        <c:axId val="409466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60352"/>
        <c:crosses val="autoZero"/>
        <c:auto val="1"/>
        <c:lblAlgn val="ctr"/>
        <c:lblOffset val="100"/>
        <c:noMultiLvlLbl val="0"/>
      </c:catAx>
      <c:valAx>
        <c:axId val="40946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66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11386497310074"/>
          <c:y val="9.6625173873838885E-2"/>
          <c:w val="0.67685421266133439"/>
          <c:h val="0.7852473988143106"/>
        </c:manualLayout>
      </c:layout>
      <c:radarChart>
        <c:radarStyle val="marker"/>
        <c:varyColors val="0"/>
        <c:ser>
          <c:idx val="0"/>
          <c:order val="0"/>
          <c:tx>
            <c:strRef>
              <c:f>'График 4 преобразования '!$B$70</c:f>
              <c:strCache>
                <c:ptCount val="1"/>
                <c:pt idx="0">
                  <c:v>Германия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'!$C$70:$F$70</c:f>
              <c:numCache>
                <c:formatCode>0.00</c:formatCode>
                <c:ptCount val="4"/>
                <c:pt idx="0" formatCode="_(* #,##0.00_);_(* \(#,##0.00\);_(* &quot;-&quot;??_);_(@_)">
                  <c:v>1</c:v>
                </c:pt>
                <c:pt idx="1">
                  <c:v>1</c:v>
                </c:pt>
                <c:pt idx="2" formatCode="General">
                  <c:v>0.68858131487889285</c:v>
                </c:pt>
                <c:pt idx="3" formatCode="General">
                  <c:v>0.97217383986520567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0C-4C71-85BA-30E40992A5D0}"/>
            </c:ext>
          </c:extLst>
        </c:ser>
        <c:ser>
          <c:idx val="1"/>
          <c:order val="1"/>
          <c:tx>
            <c:strRef>
              <c:f>'График 4 преобразования '!$B$71</c:f>
              <c:strCache>
                <c:ptCount val="1"/>
                <c:pt idx="0">
                  <c:v>Франция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'!$C$71:$F$71</c:f>
              <c:numCache>
                <c:formatCode>0.00</c:formatCode>
                <c:ptCount val="4"/>
                <c:pt idx="0" formatCode="_(* #,##0.00_);_(* \(#,##0.00\);_(* &quot;-&quot;??_);_(@_)">
                  <c:v>0.87403108734505308</c:v>
                </c:pt>
                <c:pt idx="1">
                  <c:v>0.78207419234521858</c:v>
                </c:pt>
                <c:pt idx="2" formatCode="General">
                  <c:v>0.3982384397609311</c:v>
                </c:pt>
                <c:pt idx="3" formatCode="General">
                  <c:v>0.95053551250098323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0C-4C71-85BA-30E40992A5D0}"/>
            </c:ext>
          </c:extLst>
        </c:ser>
        <c:ser>
          <c:idx val="2"/>
          <c:order val="2"/>
          <c:tx>
            <c:strRef>
              <c:f>'График 4 преобразования '!$B$72</c:f>
              <c:strCache>
                <c:ptCount val="1"/>
                <c:pt idx="0">
                  <c:v>Ирландия</c:v>
                </c:pt>
              </c:strCache>
            </c:strRef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'!$C$72:$F$72</c:f>
              <c:numCache>
                <c:formatCode>0.00</c:formatCode>
                <c:ptCount val="4"/>
                <c:pt idx="0" formatCode="_(* #,##0.00_);_(* \(#,##0.00\);_(* &quot;-&quot;??_);_(@_)">
                  <c:v>0.45307868003364576</c:v>
                </c:pt>
                <c:pt idx="1">
                  <c:v>0.80355749630945228</c:v>
                </c:pt>
                <c:pt idx="2" formatCode="General">
                  <c:v>0.28279333123623784</c:v>
                </c:pt>
                <c:pt idx="3" formatCode="General">
                  <c:v>0.93673860294140054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0C-4C71-85BA-30E40992A5D0}"/>
            </c:ext>
          </c:extLst>
        </c:ser>
        <c:ser>
          <c:idx val="3"/>
          <c:order val="3"/>
          <c:tx>
            <c:strRef>
              <c:f>'График 4 преобразования '!$B$73</c:f>
              <c:strCache>
                <c:ptCount val="1"/>
                <c:pt idx="0">
                  <c:v>Нидерланды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'!$C$73:$F$73</c:f>
              <c:numCache>
                <c:formatCode>0.00</c:formatCode>
                <c:ptCount val="4"/>
                <c:pt idx="0" formatCode="_(* #,##0.00_);_(* \(#,##0.00\);_(* &quot;-&quot;??_);_(@_)">
                  <c:v>0.57399427835087624</c:v>
                </c:pt>
                <c:pt idx="1">
                  <c:v>0.53642170489244412</c:v>
                </c:pt>
                <c:pt idx="2" formatCode="General">
                  <c:v>0.66656181189053165</c:v>
                </c:pt>
                <c:pt idx="3" formatCode="General">
                  <c:v>0.8345239235018731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0C-4C71-85BA-30E40992A5D0}"/>
            </c:ext>
          </c:extLst>
        </c:ser>
        <c:ser>
          <c:idx val="4"/>
          <c:order val="4"/>
          <c:tx>
            <c:strRef>
              <c:f>'График 4 преобразования '!$B$74</c:f>
              <c:strCache>
                <c:ptCount val="1"/>
                <c:pt idx="0">
                  <c:v>Польша</c:v>
                </c:pt>
              </c:strCache>
            </c:strRef>
          </c:tx>
          <c:spPr>
            <a:ln w="158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'!$C$74:$F$74</c:f>
              <c:numCache>
                <c:formatCode>0.00</c:formatCode>
                <c:ptCount val="4"/>
                <c:pt idx="0" formatCode="_(* #,##0.00_);_(* \(#,##0.00\);_(* &quot;-&quot;??_);_(@_)">
                  <c:v>0.68180484343875314</c:v>
                </c:pt>
                <c:pt idx="1">
                  <c:v>0.15713861501333079</c:v>
                </c:pt>
                <c:pt idx="2" formatCode="General">
                  <c:v>3.3029254482541681E-2</c:v>
                </c:pt>
                <c:pt idx="3" formatCode="General">
                  <c:v>0.89790911380502003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0C-4C71-85BA-30E40992A5D0}"/>
            </c:ext>
          </c:extLst>
        </c:ser>
        <c:ser>
          <c:idx val="5"/>
          <c:order val="5"/>
          <c:tx>
            <c:strRef>
              <c:f>'График 4 преобразования '!$B$75</c:f>
              <c:strCache>
                <c:ptCount val="1"/>
                <c:pt idx="0">
                  <c:v>Греция</c:v>
                </c:pt>
              </c:strCache>
            </c:strRef>
          </c:tx>
          <c:spPr>
            <a:ln w="158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'!$C$75:$F$75</c:f>
              <c:numCache>
                <c:formatCode>0.00</c:formatCode>
                <c:ptCount val="4"/>
                <c:pt idx="0" formatCode="_(* #,##0.00_);_(* \(#,##0.00\);_(* &quot;-&quot;??_);_(@_)">
                  <c:v>0.43359574650596056</c:v>
                </c:pt>
                <c:pt idx="1">
                  <c:v>9.1374154605520161E-2</c:v>
                </c:pt>
                <c:pt idx="2" formatCode="General">
                  <c:v>3.4916640452972637E-2</c:v>
                </c:pt>
                <c:pt idx="3" formatCode="General">
                  <c:v>0.89540739259106583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A0C-4C71-85BA-30E40992A5D0}"/>
            </c:ext>
          </c:extLst>
        </c:ser>
        <c:ser>
          <c:idx val="6"/>
          <c:order val="6"/>
          <c:tx>
            <c:strRef>
              <c:f>'График 4 преобразования '!$B$76</c:f>
              <c:strCache>
                <c:ptCount val="1"/>
                <c:pt idx="0">
                  <c:v>Италия</c:v>
                </c:pt>
              </c:strCache>
            </c:strRef>
          </c:tx>
          <c:spPr>
            <a:ln w="158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'!$C$76:$F$76</c:f>
              <c:numCache>
                <c:formatCode>0.00</c:formatCode>
                <c:ptCount val="4"/>
                <c:pt idx="0" formatCode="_(* #,##0.00_);_(* \(#,##0.00\);_(* &quot;-&quot;??_);_(@_)">
                  <c:v>0.81926099512411588</c:v>
                </c:pt>
                <c:pt idx="1">
                  <c:v>0.33745132764443159</c:v>
                </c:pt>
                <c:pt idx="2" formatCode="General">
                  <c:v>0.18087448883296636</c:v>
                </c:pt>
                <c:pt idx="3" formatCode="General">
                  <c:v>0.97054074474747687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0C-4C71-85BA-30E40992A5D0}"/>
            </c:ext>
          </c:extLst>
        </c:ser>
        <c:ser>
          <c:idx val="7"/>
          <c:order val="7"/>
          <c:tx>
            <c:strRef>
              <c:f>'График 4 преобразования '!$B$77</c:f>
              <c:strCache>
                <c:ptCount val="1"/>
                <c:pt idx="0">
                  <c:v>Швеция</c:v>
                </c:pt>
              </c:strCache>
            </c:strRef>
          </c:tx>
          <c:spPr>
            <a:ln w="158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'!$C$77:$F$77</c:f>
              <c:numCache>
                <c:formatCode>0.00</c:formatCode>
                <c:ptCount val="4"/>
                <c:pt idx="0" formatCode="_(* #,##0.00_);_(* \(#,##0.00\);_(* &quot;-&quot;??_);_(@_)">
                  <c:v>0.46988222059831108</c:v>
                </c:pt>
                <c:pt idx="1">
                  <c:v>0.21117070068018151</c:v>
                </c:pt>
                <c:pt idx="2" formatCode="General">
                  <c:v>1</c:v>
                </c:pt>
                <c:pt idx="3" formatCode="General">
                  <c:v>0.88851290163437568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A0C-4C71-85BA-30E40992A5D0}"/>
            </c:ext>
          </c:extLst>
        </c:ser>
        <c:ser>
          <c:idx val="8"/>
          <c:order val="8"/>
          <c:tx>
            <c:strRef>
              <c:f>'График 4 преобразования '!$B$78</c:f>
              <c:strCache>
                <c:ptCount val="1"/>
                <c:pt idx="0">
                  <c:v>Португалия</c:v>
                </c:pt>
              </c:strCache>
            </c:strRef>
          </c:tx>
          <c:spPr>
            <a:ln w="158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'!$C$78:$F$78</c:f>
              <c:numCache>
                <c:formatCode>0.00</c:formatCode>
                <c:ptCount val="4"/>
                <c:pt idx="0" formatCode="_(* #,##0.00_);_(* \(#,##0.00\);_(* &quot;-&quot;??_);_(@_)">
                  <c:v>0.44651770923431272</c:v>
                </c:pt>
                <c:pt idx="1">
                  <c:v>8.2673507629081766E-2</c:v>
                </c:pt>
                <c:pt idx="2" formatCode="General">
                  <c:v>4.844290657439447E-2</c:v>
                </c:pt>
                <c:pt idx="3" formatCode="General">
                  <c:v>0.9281902830230675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A0C-4C71-85BA-30E40992A5D0}"/>
            </c:ext>
          </c:extLst>
        </c:ser>
        <c:ser>
          <c:idx val="9"/>
          <c:order val="9"/>
          <c:tx>
            <c:strRef>
              <c:f>'График 4 преобразования '!$B$79</c:f>
              <c:strCache>
                <c:ptCount val="1"/>
                <c:pt idx="0">
                  <c:v>Венгрия</c:v>
                </c:pt>
              </c:strCache>
            </c:strRef>
          </c:tx>
          <c:spPr>
            <a:ln w="158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'!$C$79:$F$79</c:f>
              <c:numCache>
                <c:formatCode>0.00</c:formatCode>
                <c:ptCount val="4"/>
                <c:pt idx="0" formatCode="_(* #,##0.00_);_(* \(#,##0.00\);_(* &quot;-&quot;??_);_(@_)">
                  <c:v>0.47394841588923742</c:v>
                </c:pt>
                <c:pt idx="1">
                  <c:v>7.2643854300723482E-2</c:v>
                </c:pt>
                <c:pt idx="2" formatCode="General">
                  <c:v>7.7697389116074239E-2</c:v>
                </c:pt>
                <c:pt idx="3" formatCode="General">
                  <c:v>0.93157429027747363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A0C-4C71-85BA-30E40992A5D0}"/>
            </c:ext>
          </c:extLst>
        </c:ser>
        <c:ser>
          <c:idx val="10"/>
          <c:order val="10"/>
          <c:tx>
            <c:strRef>
              <c:f>'График 4 преобразования '!$B$80</c:f>
              <c:strCache>
                <c:ptCount val="1"/>
                <c:pt idx="0">
                  <c:v>Испания</c:v>
                </c:pt>
              </c:strCache>
            </c:strRef>
          </c:tx>
          <c:spPr>
            <a:ln w="158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5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'!$C$80:$F$80</c:f>
              <c:numCache>
                <c:formatCode>0.00</c:formatCode>
                <c:ptCount val="4"/>
                <c:pt idx="0" formatCode="_(* #,##0.00_);_(* \(#,##0.00\);_(* &quot;-&quot;??_);_(@_)">
                  <c:v>0.73827232126881248</c:v>
                </c:pt>
                <c:pt idx="1">
                  <c:v>0.33692605385743546</c:v>
                </c:pt>
                <c:pt idx="2" formatCode="General">
                  <c:v>0.12268008807801196</c:v>
                </c:pt>
                <c:pt idx="3" formatCode="General">
                  <c:v>0.93261025069046743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A0C-4C71-85BA-30E40992A5D0}"/>
            </c:ext>
          </c:extLst>
        </c:ser>
        <c:ser>
          <c:idx val="11"/>
          <c:order val="11"/>
          <c:tx>
            <c:strRef>
              <c:f>'График 4 преобразования '!$B$81</c:f>
              <c:strCache>
                <c:ptCount val="1"/>
                <c:pt idx="0">
                  <c:v>Хорватия</c:v>
                </c:pt>
              </c:strCache>
            </c:strRef>
          </c:tx>
          <c:spPr>
            <a:ln w="158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6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strRef>
              <c:f>'График 4 преобразования '!$C$69:$F$69</c:f>
              <c:strCache>
                <c:ptCount val="4"/>
                <c:pt idx="0">
                  <c:v>Факторные условия</c:v>
                </c:pt>
                <c:pt idx="1">
                  <c:v>Условия спроса</c:v>
                </c:pt>
                <c:pt idx="2">
                  <c:v>Поддерживающие и связанные индустрии</c:v>
                </c:pt>
                <c:pt idx="3">
                  <c:v>Стратегия фирмы, структура и конкурентная среда (Ю)</c:v>
                </c:pt>
              </c:strCache>
            </c:strRef>
          </c:cat>
          <c:val>
            <c:numRef>
              <c:f>'График 4 преобразования '!$C$81:$F$81</c:f>
              <c:numCache>
                <c:formatCode>0.00</c:formatCode>
                <c:ptCount val="4"/>
                <c:pt idx="0" formatCode="_(* #,##0.00_);_(* \(#,##0.00\);_(* &quot;-&quot;??_);_(@_)">
                  <c:v>0.37046412050639255</c:v>
                </c:pt>
                <c:pt idx="1">
                  <c:v>3.0759934809711953E-2</c:v>
                </c:pt>
                <c:pt idx="2" formatCode="General">
                  <c:v>1.4155394778232149E-2</c:v>
                </c:pt>
                <c:pt idx="3" formatCode="General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A0C-4C71-85BA-30E40992A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9456432"/>
        <c:axId val="409464272"/>
      </c:radarChart>
      <c:catAx>
        <c:axId val="40945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64272"/>
        <c:crosses val="autoZero"/>
        <c:auto val="1"/>
        <c:lblAlgn val="ctr"/>
        <c:lblOffset val="100"/>
        <c:noMultiLvlLbl val="0"/>
      </c:catAx>
      <c:valAx>
        <c:axId val="40946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5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592208284332004E-3"/>
          <c:y val="3.1698884810596337E-2"/>
          <c:w val="0.26808955018417602"/>
          <c:h val="0.34690928145370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BmZLpjnxyGMRCfML2SjCu3Jgw==">AMUW2mUeXRd4NYT77p4oInFEHr/YlT7qswAFcGGpy8SCaQAjEp5U6U/VN1JW4HyFoAMvBjia1qzss5i/xSUZSVnTdPjN7O7ho+AaSq0BE19tcZdQFRJzJ04x78WNT9ETukmMRxxNqZQl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C57B94-C851-4AF7-8465-6A3AA3D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31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Kulikov</dc:creator>
  <cp:lastModifiedBy>Куликов Кирилл Михайлович</cp:lastModifiedBy>
  <cp:revision>35</cp:revision>
  <dcterms:created xsi:type="dcterms:W3CDTF">2021-07-31T17:11:00Z</dcterms:created>
  <dcterms:modified xsi:type="dcterms:W3CDTF">2022-04-06T07:27:00Z</dcterms:modified>
</cp:coreProperties>
</file>