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9A615" w14:textId="0B835DBE" w:rsidR="00365613" w:rsidRPr="00365613" w:rsidRDefault="00365613" w:rsidP="00365613">
      <w:pPr>
        <w:shd w:val="clear" w:color="auto" w:fill="FFFFFF"/>
        <w:rPr>
          <w:rFonts w:ascii="Times New Roman" w:eastAsia="Times New Roman" w:hAnsi="Times New Roman" w:cs="Times New Roman"/>
          <w:color w:val="555555"/>
          <w:lang w:eastAsia="ru-RU"/>
        </w:rPr>
      </w:pPr>
      <w:hyperlink r:id="rId4" w:history="1">
        <w:r w:rsidRPr="00365613">
          <w:rPr>
            <w:rFonts w:ascii="Times New Roman" w:eastAsia="Times New Roman" w:hAnsi="Times New Roman" w:cs="Times New Roman"/>
            <w:color w:val="0000FF"/>
            <w:lang w:eastAsia="ru-RU"/>
          </w:rPr>
          <w:t>All issues</w:t>
        </w:r>
      </w:hyperlink>
      <w:r w:rsidRPr="00365613">
        <w:rPr>
          <w:rFonts w:ascii="Times New Roman" w:eastAsia="Times New Roman" w:hAnsi="Times New Roman" w:cs="Times New Roman"/>
          <w:color w:val="555555"/>
          <w:lang w:eastAsia="ru-RU"/>
        </w:rPr>
        <w:t> </w:t>
      </w:r>
      <w:r w:rsidRPr="00365613">
        <w:rPr>
          <w:rFonts w:ascii="Times New Roman" w:eastAsia="Times New Roman" w:hAnsi="Times New Roman" w:cs="Times New Roman"/>
          <w:color w:val="555555"/>
          <w:lang w:eastAsia="ru-RU"/>
        </w:rPr>
        <w:fldChar w:fldCharType="begin"/>
      </w:r>
      <w:r w:rsidRPr="00365613">
        <w:rPr>
          <w:rFonts w:ascii="Times New Roman" w:eastAsia="Times New Roman" w:hAnsi="Times New Roman" w:cs="Times New Roman"/>
          <w:color w:val="555555"/>
          <w:lang w:eastAsia="ru-RU"/>
        </w:rPr>
        <w:instrText xml:space="preserve"> INCLUDEPICTURE "https://www.shs-conferences.org/media/system/images/arrow.png" \* MERGEFORMATINET </w:instrText>
      </w:r>
      <w:r w:rsidRPr="00365613">
        <w:rPr>
          <w:rFonts w:ascii="Times New Roman" w:eastAsia="Times New Roman" w:hAnsi="Times New Roman" w:cs="Times New Roman"/>
          <w:color w:val="555555"/>
          <w:lang w:eastAsia="ru-RU"/>
        </w:rPr>
        <w:fldChar w:fldCharType="separate"/>
      </w:r>
      <w:r w:rsidRPr="00365613">
        <w:rPr>
          <w:rFonts w:ascii="Times New Roman" w:eastAsia="Times New Roman" w:hAnsi="Times New Roman" w:cs="Times New Roman"/>
          <w:noProof/>
          <w:color w:val="555555"/>
          <w:lang w:eastAsia="ru-RU"/>
        </w:rPr>
        <w:drawing>
          <wp:inline distT="0" distB="0" distL="0" distR="0" wp14:anchorId="19DCDBEC" wp14:editId="477C6D8C">
            <wp:extent cx="116840" cy="1168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365613">
        <w:rPr>
          <w:rFonts w:ascii="Times New Roman" w:eastAsia="Times New Roman" w:hAnsi="Times New Roman" w:cs="Times New Roman"/>
          <w:color w:val="555555"/>
          <w:lang w:eastAsia="ru-RU"/>
        </w:rPr>
        <w:fldChar w:fldCharType="end"/>
      </w:r>
      <w:r w:rsidRPr="00365613">
        <w:rPr>
          <w:rFonts w:ascii="Times New Roman" w:eastAsia="Times New Roman" w:hAnsi="Times New Roman" w:cs="Times New Roman"/>
          <w:color w:val="555555"/>
          <w:lang w:eastAsia="ru-RU"/>
        </w:rPr>
        <w:t> </w:t>
      </w:r>
      <w:hyperlink r:id="rId6" w:history="1">
        <w:r w:rsidRPr="00365613">
          <w:rPr>
            <w:rFonts w:ascii="Times New Roman" w:eastAsia="Times New Roman" w:hAnsi="Times New Roman" w:cs="Times New Roman"/>
            <w:color w:val="0000FF"/>
            <w:lang w:eastAsia="ru-RU"/>
          </w:rPr>
          <w:t>Volume 92 (2021)</w:t>
        </w:r>
      </w:hyperlink>
      <w:r w:rsidRPr="00365613">
        <w:rPr>
          <w:rFonts w:ascii="Times New Roman" w:eastAsia="Times New Roman" w:hAnsi="Times New Roman" w:cs="Times New Roman"/>
          <w:color w:val="555555"/>
          <w:lang w:eastAsia="ru-RU"/>
        </w:rPr>
        <w:t> </w:t>
      </w:r>
      <w:r w:rsidRPr="00365613">
        <w:rPr>
          <w:rFonts w:ascii="Times New Roman" w:eastAsia="Times New Roman" w:hAnsi="Times New Roman" w:cs="Times New Roman"/>
          <w:color w:val="555555"/>
          <w:lang w:eastAsia="ru-RU"/>
        </w:rPr>
        <w:fldChar w:fldCharType="begin"/>
      </w:r>
      <w:r w:rsidRPr="00365613">
        <w:rPr>
          <w:rFonts w:ascii="Times New Roman" w:eastAsia="Times New Roman" w:hAnsi="Times New Roman" w:cs="Times New Roman"/>
          <w:color w:val="555555"/>
          <w:lang w:eastAsia="ru-RU"/>
        </w:rPr>
        <w:instrText xml:space="preserve"> INCLUDEPICTURE "https://www.shs-conferences.org/media/system/images/arrow.png" \* MERGEFORMATINET </w:instrText>
      </w:r>
      <w:r w:rsidRPr="00365613">
        <w:rPr>
          <w:rFonts w:ascii="Times New Roman" w:eastAsia="Times New Roman" w:hAnsi="Times New Roman" w:cs="Times New Roman"/>
          <w:color w:val="555555"/>
          <w:lang w:eastAsia="ru-RU"/>
        </w:rPr>
        <w:fldChar w:fldCharType="separate"/>
      </w:r>
      <w:r w:rsidRPr="00365613">
        <w:rPr>
          <w:rFonts w:ascii="Times New Roman" w:eastAsia="Times New Roman" w:hAnsi="Times New Roman" w:cs="Times New Roman"/>
          <w:noProof/>
          <w:color w:val="555555"/>
          <w:lang w:eastAsia="ru-RU"/>
        </w:rPr>
        <w:drawing>
          <wp:inline distT="0" distB="0" distL="0" distR="0" wp14:anchorId="48EDB437" wp14:editId="6381DC4D">
            <wp:extent cx="116840" cy="1168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365613">
        <w:rPr>
          <w:rFonts w:ascii="Times New Roman" w:eastAsia="Times New Roman" w:hAnsi="Times New Roman" w:cs="Times New Roman"/>
          <w:color w:val="555555"/>
          <w:lang w:eastAsia="ru-RU"/>
        </w:rPr>
        <w:fldChar w:fldCharType="end"/>
      </w:r>
      <w:r w:rsidRPr="00365613">
        <w:rPr>
          <w:rFonts w:ascii="Times New Roman" w:eastAsia="Times New Roman" w:hAnsi="Times New Roman" w:cs="Times New Roman"/>
          <w:color w:val="555555"/>
          <w:lang w:eastAsia="ru-RU"/>
        </w:rPr>
        <w:t> </w:t>
      </w:r>
      <w:hyperlink r:id="rId7" w:history="1">
        <w:r w:rsidRPr="00365613">
          <w:rPr>
            <w:rFonts w:ascii="Times New Roman" w:eastAsia="Times New Roman" w:hAnsi="Times New Roman" w:cs="Times New Roman"/>
            <w:color w:val="0000FF"/>
            <w:lang w:eastAsia="ru-RU"/>
          </w:rPr>
          <w:t>SHS Web of Conf., 92 (2021) 07062</w:t>
        </w:r>
      </w:hyperlink>
      <w:r w:rsidRPr="00365613">
        <w:rPr>
          <w:rFonts w:ascii="Times New Roman" w:eastAsia="Times New Roman" w:hAnsi="Times New Roman" w:cs="Times New Roman"/>
          <w:color w:val="555555"/>
          <w:lang w:eastAsia="ru-RU"/>
        </w:rPr>
        <w:t> </w:t>
      </w:r>
      <w:r w:rsidRPr="00365613">
        <w:rPr>
          <w:rFonts w:ascii="Times New Roman" w:eastAsia="Times New Roman" w:hAnsi="Times New Roman" w:cs="Times New Roman"/>
          <w:color w:val="555555"/>
          <w:lang w:eastAsia="ru-RU"/>
        </w:rPr>
        <w:fldChar w:fldCharType="begin"/>
      </w:r>
      <w:r w:rsidRPr="00365613">
        <w:rPr>
          <w:rFonts w:ascii="Times New Roman" w:eastAsia="Times New Roman" w:hAnsi="Times New Roman" w:cs="Times New Roman"/>
          <w:color w:val="555555"/>
          <w:lang w:eastAsia="ru-RU"/>
        </w:rPr>
        <w:instrText xml:space="preserve"> INCLUDEPICTURE "https://www.shs-conferences.org/media/system/images/arrow.png" \* MERGEFORMATINET </w:instrText>
      </w:r>
      <w:r w:rsidRPr="00365613">
        <w:rPr>
          <w:rFonts w:ascii="Times New Roman" w:eastAsia="Times New Roman" w:hAnsi="Times New Roman" w:cs="Times New Roman"/>
          <w:color w:val="555555"/>
          <w:lang w:eastAsia="ru-RU"/>
        </w:rPr>
        <w:fldChar w:fldCharType="separate"/>
      </w:r>
      <w:r w:rsidRPr="00365613">
        <w:rPr>
          <w:rFonts w:ascii="Times New Roman" w:eastAsia="Times New Roman" w:hAnsi="Times New Roman" w:cs="Times New Roman"/>
          <w:noProof/>
          <w:color w:val="555555"/>
          <w:lang w:eastAsia="ru-RU"/>
        </w:rPr>
        <w:drawing>
          <wp:inline distT="0" distB="0" distL="0" distR="0" wp14:anchorId="622786C2" wp14:editId="79EEDD4F">
            <wp:extent cx="116840" cy="1168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365613">
        <w:rPr>
          <w:rFonts w:ascii="Times New Roman" w:eastAsia="Times New Roman" w:hAnsi="Times New Roman" w:cs="Times New Roman"/>
          <w:color w:val="555555"/>
          <w:lang w:eastAsia="ru-RU"/>
        </w:rPr>
        <w:fldChar w:fldCharType="end"/>
      </w:r>
      <w:r w:rsidRPr="00365613">
        <w:rPr>
          <w:rFonts w:ascii="Times New Roman" w:eastAsia="Times New Roman" w:hAnsi="Times New Roman" w:cs="Times New Roman"/>
          <w:color w:val="555555"/>
          <w:lang w:eastAsia="ru-RU"/>
        </w:rPr>
        <w:t> Abstract</w:t>
      </w:r>
    </w:p>
    <w:p w14:paraId="6D1532CB" w14:textId="77777777" w:rsidR="00365613" w:rsidRPr="00365613" w:rsidRDefault="00365613" w:rsidP="00365613">
      <w:pPr>
        <w:shd w:val="clear" w:color="auto" w:fill="F58229"/>
        <w:rPr>
          <w:rFonts w:ascii="Times New Roman" w:eastAsia="Times New Roman" w:hAnsi="Times New Roman" w:cs="Times New Roman"/>
          <w:color w:val="FFFFFF"/>
          <w:lang w:eastAsia="ru-RU"/>
        </w:rPr>
      </w:pPr>
      <w:r w:rsidRPr="00365613">
        <w:rPr>
          <w:rFonts w:ascii="Times New Roman" w:eastAsia="Times New Roman" w:hAnsi="Times New Roman" w:cs="Times New Roman"/>
          <w:color w:val="FFFFFF"/>
          <w:lang w:eastAsia="ru-RU"/>
        </w:rPr>
        <w:t>Open Access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6"/>
        <w:gridCol w:w="180"/>
        <w:gridCol w:w="7573"/>
      </w:tblGrid>
      <w:tr w:rsidR="00365613" w:rsidRPr="00365613" w14:paraId="67C257C1" w14:textId="77777777" w:rsidTr="00365613">
        <w:trPr>
          <w:tblCellSpacing w:w="15" w:type="dxa"/>
        </w:trPr>
        <w:tc>
          <w:tcPr>
            <w:tcW w:w="0" w:type="auto"/>
            <w:hideMark/>
          </w:tcPr>
          <w:p w14:paraId="614A744E" w14:textId="77777777" w:rsidR="00365613" w:rsidRPr="00365613" w:rsidRDefault="00365613" w:rsidP="00365613">
            <w:pPr>
              <w:rPr>
                <w:rFonts w:ascii="Times New Roman" w:eastAsia="Times New Roman" w:hAnsi="Times New Roman" w:cs="Times New Roman"/>
                <w:b/>
                <w:bCs/>
                <w:color w:val="666666"/>
                <w:lang w:eastAsia="ru-RU"/>
              </w:rPr>
            </w:pPr>
            <w:r w:rsidRPr="00365613">
              <w:rPr>
                <w:rFonts w:ascii="Times New Roman" w:eastAsia="Times New Roman" w:hAnsi="Times New Roman" w:cs="Times New Roman"/>
                <w:b/>
                <w:bCs/>
                <w:color w:val="666666"/>
                <w:lang w:eastAsia="ru-RU"/>
              </w:rPr>
              <w:t>Issue</w:t>
            </w:r>
          </w:p>
        </w:tc>
        <w:tc>
          <w:tcPr>
            <w:tcW w:w="150" w:type="dxa"/>
            <w:tcMar>
              <w:top w:w="0" w:type="dxa"/>
              <w:left w:w="0" w:type="dxa"/>
              <w:bottom w:w="0" w:type="dxa"/>
              <w:right w:w="0" w:type="dxa"/>
            </w:tcMar>
            <w:vAlign w:val="center"/>
            <w:hideMark/>
          </w:tcPr>
          <w:p w14:paraId="005CB72C" w14:textId="77777777" w:rsidR="00365613" w:rsidRPr="00365613" w:rsidRDefault="00365613" w:rsidP="00365613">
            <w:pPr>
              <w:rPr>
                <w:rFonts w:ascii="Times New Roman" w:eastAsia="Times New Roman" w:hAnsi="Times New Roman" w:cs="Times New Roman"/>
                <w:b/>
                <w:bCs/>
                <w:color w:val="666666"/>
                <w:lang w:eastAsia="ru-RU"/>
              </w:rPr>
            </w:pPr>
          </w:p>
        </w:tc>
        <w:tc>
          <w:tcPr>
            <w:tcW w:w="0" w:type="auto"/>
            <w:tcMar>
              <w:top w:w="0" w:type="dxa"/>
              <w:left w:w="0" w:type="dxa"/>
              <w:bottom w:w="0" w:type="dxa"/>
              <w:right w:w="0" w:type="dxa"/>
            </w:tcMar>
            <w:vAlign w:val="center"/>
            <w:hideMark/>
          </w:tcPr>
          <w:p w14:paraId="7FEBB67F" w14:textId="77777777" w:rsidR="00365613" w:rsidRPr="00365613" w:rsidRDefault="00365613" w:rsidP="00365613">
            <w:pPr>
              <w:rPr>
                <w:rFonts w:ascii="Times New Roman" w:eastAsia="Times New Roman" w:hAnsi="Times New Roman" w:cs="Times New Roman"/>
                <w:lang w:eastAsia="ru-RU"/>
              </w:rPr>
            </w:pPr>
            <w:r w:rsidRPr="00365613">
              <w:rPr>
                <w:rFonts w:ascii="Times New Roman" w:eastAsia="Times New Roman" w:hAnsi="Times New Roman" w:cs="Times New Roman"/>
                <w:lang w:eastAsia="ru-RU"/>
              </w:rPr>
              <w:t>SHS Web of Conf.</w:t>
            </w:r>
          </w:p>
          <w:p w14:paraId="10C52A17" w14:textId="77777777" w:rsidR="00365613" w:rsidRPr="00365613" w:rsidRDefault="00365613" w:rsidP="00365613">
            <w:pPr>
              <w:rPr>
                <w:rFonts w:ascii="Times New Roman" w:eastAsia="Times New Roman" w:hAnsi="Times New Roman" w:cs="Times New Roman"/>
                <w:lang w:eastAsia="ru-RU"/>
              </w:rPr>
            </w:pPr>
            <w:r w:rsidRPr="00365613">
              <w:rPr>
                <w:rFonts w:ascii="Times New Roman" w:eastAsia="Times New Roman" w:hAnsi="Times New Roman" w:cs="Times New Roman"/>
                <w:b/>
                <w:bCs/>
                <w:color w:val="333333"/>
                <w:lang w:eastAsia="ru-RU"/>
              </w:rPr>
              <w:t>Volume </w:t>
            </w:r>
            <w:r w:rsidRPr="00365613">
              <w:rPr>
                <w:rFonts w:ascii="Times New Roman" w:eastAsia="Times New Roman" w:hAnsi="Times New Roman" w:cs="Times New Roman"/>
                <w:lang w:eastAsia="ru-RU"/>
              </w:rPr>
              <w:t>92, 2021</w:t>
            </w:r>
          </w:p>
          <w:p w14:paraId="76EC7145" w14:textId="77777777" w:rsidR="00365613" w:rsidRPr="00365613" w:rsidRDefault="00365613" w:rsidP="00365613">
            <w:pPr>
              <w:rPr>
                <w:rFonts w:ascii="Times New Roman" w:eastAsia="Times New Roman" w:hAnsi="Times New Roman" w:cs="Times New Roman"/>
                <w:lang w:eastAsia="ru-RU"/>
              </w:rPr>
            </w:pPr>
            <w:r w:rsidRPr="00365613">
              <w:rPr>
                <w:rFonts w:ascii="Times New Roman" w:eastAsia="Times New Roman" w:hAnsi="Times New Roman" w:cs="Times New Roman"/>
                <w:lang w:eastAsia="ru-RU"/>
              </w:rPr>
              <w:t>The 20</w:t>
            </w:r>
            <w:r w:rsidRPr="00365613">
              <w:rPr>
                <w:rFonts w:ascii="Times New Roman" w:eastAsia="Times New Roman" w:hAnsi="Times New Roman" w:cs="Times New Roman"/>
                <w:vertAlign w:val="superscript"/>
                <w:lang w:eastAsia="ru-RU"/>
              </w:rPr>
              <w:t>th</w:t>
            </w:r>
            <w:r w:rsidRPr="00365613">
              <w:rPr>
                <w:rFonts w:ascii="Times New Roman" w:eastAsia="Times New Roman" w:hAnsi="Times New Roman" w:cs="Times New Roman"/>
                <w:lang w:eastAsia="ru-RU"/>
              </w:rPr>
              <w:t> International Scientific Conference Globalization and its Socio-Economic Consequences 2020</w:t>
            </w:r>
          </w:p>
        </w:tc>
      </w:tr>
      <w:tr w:rsidR="00365613" w:rsidRPr="00365613" w14:paraId="0A082450" w14:textId="77777777" w:rsidTr="00365613">
        <w:trPr>
          <w:tblCellSpacing w:w="15" w:type="dxa"/>
        </w:trPr>
        <w:tc>
          <w:tcPr>
            <w:tcW w:w="0" w:type="auto"/>
            <w:gridSpan w:val="3"/>
            <w:tcMar>
              <w:top w:w="0" w:type="dxa"/>
              <w:left w:w="0" w:type="dxa"/>
              <w:bottom w:w="0" w:type="dxa"/>
              <w:right w:w="0" w:type="dxa"/>
            </w:tcMar>
            <w:vAlign w:val="center"/>
            <w:hideMark/>
          </w:tcPr>
          <w:p w14:paraId="25AD7256" w14:textId="77777777" w:rsidR="00365613" w:rsidRPr="00365613" w:rsidRDefault="00365613" w:rsidP="00365613">
            <w:pPr>
              <w:rPr>
                <w:rFonts w:ascii="Times New Roman" w:eastAsia="Times New Roman" w:hAnsi="Times New Roman" w:cs="Times New Roman"/>
                <w:lang w:eastAsia="ru-RU"/>
              </w:rPr>
            </w:pPr>
          </w:p>
        </w:tc>
      </w:tr>
      <w:tr w:rsidR="00365613" w:rsidRPr="00365613" w14:paraId="5C936F68" w14:textId="77777777" w:rsidTr="00365613">
        <w:trPr>
          <w:tblCellSpacing w:w="15" w:type="dxa"/>
        </w:trPr>
        <w:tc>
          <w:tcPr>
            <w:tcW w:w="0" w:type="auto"/>
            <w:gridSpan w:val="3"/>
            <w:tcMar>
              <w:top w:w="0" w:type="dxa"/>
              <w:left w:w="0" w:type="dxa"/>
              <w:bottom w:w="0" w:type="dxa"/>
              <w:right w:w="0" w:type="dxa"/>
            </w:tcMar>
            <w:vAlign w:val="center"/>
            <w:hideMark/>
          </w:tcPr>
          <w:p w14:paraId="7565C715" w14:textId="77777777" w:rsidR="00365613" w:rsidRPr="00365613" w:rsidRDefault="00365613" w:rsidP="00365613">
            <w:pPr>
              <w:rPr>
                <w:rFonts w:ascii="Times New Roman" w:eastAsia="Times New Roman" w:hAnsi="Times New Roman" w:cs="Times New Roman"/>
                <w:sz w:val="20"/>
                <w:szCs w:val="20"/>
                <w:lang w:eastAsia="ru-RU"/>
              </w:rPr>
            </w:pPr>
          </w:p>
        </w:tc>
      </w:tr>
      <w:tr w:rsidR="00365613" w:rsidRPr="00365613" w14:paraId="06492396" w14:textId="77777777" w:rsidTr="00365613">
        <w:trPr>
          <w:tblCellSpacing w:w="15" w:type="dxa"/>
        </w:trPr>
        <w:tc>
          <w:tcPr>
            <w:tcW w:w="0" w:type="auto"/>
            <w:vAlign w:val="center"/>
            <w:hideMark/>
          </w:tcPr>
          <w:p w14:paraId="1F25CF83" w14:textId="77777777" w:rsidR="00365613" w:rsidRPr="00365613" w:rsidRDefault="00365613" w:rsidP="00365613">
            <w:pPr>
              <w:rPr>
                <w:rFonts w:ascii="Times New Roman" w:eastAsia="Times New Roman" w:hAnsi="Times New Roman" w:cs="Times New Roman"/>
                <w:b/>
                <w:bCs/>
                <w:color w:val="666666"/>
                <w:lang w:eastAsia="ru-RU"/>
              </w:rPr>
            </w:pPr>
            <w:r w:rsidRPr="00365613">
              <w:rPr>
                <w:rFonts w:ascii="Times New Roman" w:eastAsia="Times New Roman" w:hAnsi="Times New Roman" w:cs="Times New Roman"/>
                <w:b/>
                <w:bCs/>
                <w:color w:val="666666"/>
                <w:lang w:eastAsia="ru-RU"/>
              </w:rPr>
              <w:t>Article Number</w:t>
            </w:r>
          </w:p>
        </w:tc>
        <w:tc>
          <w:tcPr>
            <w:tcW w:w="0" w:type="auto"/>
            <w:tcMar>
              <w:top w:w="0" w:type="dxa"/>
              <w:left w:w="0" w:type="dxa"/>
              <w:bottom w:w="0" w:type="dxa"/>
              <w:right w:w="0" w:type="dxa"/>
            </w:tcMar>
            <w:vAlign w:val="center"/>
            <w:hideMark/>
          </w:tcPr>
          <w:p w14:paraId="08968931" w14:textId="77777777" w:rsidR="00365613" w:rsidRPr="00365613" w:rsidRDefault="00365613" w:rsidP="00365613">
            <w:pPr>
              <w:rPr>
                <w:rFonts w:ascii="Times New Roman" w:eastAsia="Times New Roman" w:hAnsi="Times New Roman" w:cs="Times New Roman"/>
                <w:b/>
                <w:bCs/>
                <w:color w:val="666666"/>
                <w:lang w:eastAsia="ru-RU"/>
              </w:rPr>
            </w:pPr>
          </w:p>
        </w:tc>
        <w:tc>
          <w:tcPr>
            <w:tcW w:w="0" w:type="auto"/>
            <w:tcMar>
              <w:top w:w="0" w:type="dxa"/>
              <w:left w:w="0" w:type="dxa"/>
              <w:bottom w:w="0" w:type="dxa"/>
              <w:right w:w="0" w:type="dxa"/>
            </w:tcMar>
            <w:vAlign w:val="center"/>
            <w:hideMark/>
          </w:tcPr>
          <w:p w14:paraId="1219E3E9" w14:textId="77777777" w:rsidR="00365613" w:rsidRPr="00365613" w:rsidRDefault="00365613" w:rsidP="00365613">
            <w:pPr>
              <w:rPr>
                <w:rFonts w:ascii="Times New Roman" w:eastAsia="Times New Roman" w:hAnsi="Times New Roman" w:cs="Times New Roman"/>
                <w:lang w:eastAsia="ru-RU"/>
              </w:rPr>
            </w:pPr>
            <w:r w:rsidRPr="00365613">
              <w:rPr>
                <w:rFonts w:ascii="Times New Roman" w:eastAsia="Times New Roman" w:hAnsi="Times New Roman" w:cs="Times New Roman"/>
                <w:lang w:eastAsia="ru-RU"/>
              </w:rPr>
              <w:t>07062</w:t>
            </w:r>
          </w:p>
        </w:tc>
      </w:tr>
      <w:tr w:rsidR="00365613" w:rsidRPr="00365613" w14:paraId="44206439" w14:textId="77777777" w:rsidTr="00365613">
        <w:trPr>
          <w:tblCellSpacing w:w="15" w:type="dxa"/>
        </w:trPr>
        <w:tc>
          <w:tcPr>
            <w:tcW w:w="0" w:type="auto"/>
            <w:vAlign w:val="center"/>
            <w:hideMark/>
          </w:tcPr>
          <w:p w14:paraId="3EE6DEF9" w14:textId="77777777" w:rsidR="00365613" w:rsidRPr="00365613" w:rsidRDefault="00365613" w:rsidP="00365613">
            <w:pPr>
              <w:rPr>
                <w:rFonts w:ascii="Times New Roman" w:eastAsia="Times New Roman" w:hAnsi="Times New Roman" w:cs="Times New Roman"/>
                <w:b/>
                <w:bCs/>
                <w:color w:val="666666"/>
                <w:lang w:eastAsia="ru-RU"/>
              </w:rPr>
            </w:pPr>
            <w:r w:rsidRPr="00365613">
              <w:rPr>
                <w:rFonts w:ascii="Times New Roman" w:eastAsia="Times New Roman" w:hAnsi="Times New Roman" w:cs="Times New Roman"/>
                <w:b/>
                <w:bCs/>
                <w:color w:val="666666"/>
                <w:lang w:eastAsia="ru-RU"/>
              </w:rPr>
              <w:t>Number of page(s)</w:t>
            </w:r>
          </w:p>
        </w:tc>
        <w:tc>
          <w:tcPr>
            <w:tcW w:w="0" w:type="auto"/>
            <w:tcMar>
              <w:top w:w="0" w:type="dxa"/>
              <w:left w:w="0" w:type="dxa"/>
              <w:bottom w:w="0" w:type="dxa"/>
              <w:right w:w="0" w:type="dxa"/>
            </w:tcMar>
            <w:vAlign w:val="center"/>
            <w:hideMark/>
          </w:tcPr>
          <w:p w14:paraId="3A04DA1D" w14:textId="77777777" w:rsidR="00365613" w:rsidRPr="00365613" w:rsidRDefault="00365613" w:rsidP="00365613">
            <w:pPr>
              <w:rPr>
                <w:rFonts w:ascii="Times New Roman" w:eastAsia="Times New Roman" w:hAnsi="Times New Roman" w:cs="Times New Roman"/>
                <w:b/>
                <w:bCs/>
                <w:color w:val="666666"/>
                <w:lang w:eastAsia="ru-RU"/>
              </w:rPr>
            </w:pPr>
          </w:p>
        </w:tc>
        <w:tc>
          <w:tcPr>
            <w:tcW w:w="0" w:type="auto"/>
            <w:tcMar>
              <w:top w:w="0" w:type="dxa"/>
              <w:left w:w="0" w:type="dxa"/>
              <w:bottom w:w="0" w:type="dxa"/>
              <w:right w:w="0" w:type="dxa"/>
            </w:tcMar>
            <w:vAlign w:val="center"/>
            <w:hideMark/>
          </w:tcPr>
          <w:p w14:paraId="67305456" w14:textId="77777777" w:rsidR="00365613" w:rsidRPr="00365613" w:rsidRDefault="00365613" w:rsidP="00365613">
            <w:pPr>
              <w:rPr>
                <w:rFonts w:ascii="Times New Roman" w:eastAsia="Times New Roman" w:hAnsi="Times New Roman" w:cs="Times New Roman"/>
                <w:lang w:eastAsia="ru-RU"/>
              </w:rPr>
            </w:pPr>
            <w:r w:rsidRPr="00365613">
              <w:rPr>
                <w:rFonts w:ascii="Times New Roman" w:eastAsia="Times New Roman" w:hAnsi="Times New Roman" w:cs="Times New Roman"/>
                <w:lang w:eastAsia="ru-RU"/>
              </w:rPr>
              <w:t>12</w:t>
            </w:r>
          </w:p>
        </w:tc>
      </w:tr>
      <w:tr w:rsidR="00365613" w:rsidRPr="00365613" w14:paraId="02A373E8" w14:textId="77777777" w:rsidTr="00365613">
        <w:trPr>
          <w:tblCellSpacing w:w="15" w:type="dxa"/>
        </w:trPr>
        <w:tc>
          <w:tcPr>
            <w:tcW w:w="0" w:type="auto"/>
            <w:vAlign w:val="center"/>
            <w:hideMark/>
          </w:tcPr>
          <w:p w14:paraId="29B1B7A6" w14:textId="77777777" w:rsidR="00365613" w:rsidRPr="00365613" w:rsidRDefault="00365613" w:rsidP="00365613">
            <w:pPr>
              <w:rPr>
                <w:rFonts w:ascii="Times New Roman" w:eastAsia="Times New Roman" w:hAnsi="Times New Roman" w:cs="Times New Roman"/>
                <w:b/>
                <w:bCs/>
                <w:color w:val="666666"/>
                <w:lang w:eastAsia="ru-RU"/>
              </w:rPr>
            </w:pPr>
            <w:r w:rsidRPr="00365613">
              <w:rPr>
                <w:rFonts w:ascii="Times New Roman" w:eastAsia="Times New Roman" w:hAnsi="Times New Roman" w:cs="Times New Roman"/>
                <w:b/>
                <w:bCs/>
                <w:color w:val="666666"/>
                <w:lang w:eastAsia="ru-RU"/>
              </w:rPr>
              <w:t>Section</w:t>
            </w:r>
          </w:p>
        </w:tc>
        <w:tc>
          <w:tcPr>
            <w:tcW w:w="0" w:type="auto"/>
            <w:tcMar>
              <w:top w:w="0" w:type="dxa"/>
              <w:left w:w="0" w:type="dxa"/>
              <w:bottom w:w="0" w:type="dxa"/>
              <w:right w:w="0" w:type="dxa"/>
            </w:tcMar>
            <w:vAlign w:val="center"/>
            <w:hideMark/>
          </w:tcPr>
          <w:p w14:paraId="21DF2616" w14:textId="77777777" w:rsidR="00365613" w:rsidRPr="00365613" w:rsidRDefault="00365613" w:rsidP="00365613">
            <w:pPr>
              <w:rPr>
                <w:rFonts w:ascii="Times New Roman" w:eastAsia="Times New Roman" w:hAnsi="Times New Roman" w:cs="Times New Roman"/>
                <w:b/>
                <w:bCs/>
                <w:color w:val="666666"/>
                <w:lang w:eastAsia="ru-RU"/>
              </w:rPr>
            </w:pPr>
          </w:p>
        </w:tc>
        <w:tc>
          <w:tcPr>
            <w:tcW w:w="0" w:type="auto"/>
            <w:tcMar>
              <w:top w:w="0" w:type="dxa"/>
              <w:left w:w="0" w:type="dxa"/>
              <w:bottom w:w="0" w:type="dxa"/>
              <w:right w:w="0" w:type="dxa"/>
            </w:tcMar>
            <w:vAlign w:val="center"/>
            <w:hideMark/>
          </w:tcPr>
          <w:p w14:paraId="08C4D81D" w14:textId="77777777" w:rsidR="00365613" w:rsidRPr="00365613" w:rsidRDefault="00365613" w:rsidP="00365613">
            <w:pPr>
              <w:rPr>
                <w:rFonts w:ascii="Times New Roman" w:eastAsia="Times New Roman" w:hAnsi="Times New Roman" w:cs="Times New Roman"/>
                <w:lang w:eastAsia="ru-RU"/>
              </w:rPr>
            </w:pPr>
            <w:r w:rsidRPr="00365613">
              <w:rPr>
                <w:rFonts w:ascii="Times New Roman" w:eastAsia="Times New Roman" w:hAnsi="Times New Roman" w:cs="Times New Roman"/>
                <w:lang w:eastAsia="ru-RU"/>
              </w:rPr>
              <w:t>Regions and Economic Resilience</w:t>
            </w:r>
          </w:p>
        </w:tc>
      </w:tr>
      <w:tr w:rsidR="00365613" w:rsidRPr="00365613" w14:paraId="4E2DE21C" w14:textId="77777777" w:rsidTr="00365613">
        <w:trPr>
          <w:tblCellSpacing w:w="15" w:type="dxa"/>
        </w:trPr>
        <w:tc>
          <w:tcPr>
            <w:tcW w:w="0" w:type="auto"/>
            <w:vAlign w:val="center"/>
            <w:hideMark/>
          </w:tcPr>
          <w:p w14:paraId="53A23491" w14:textId="77777777" w:rsidR="00365613" w:rsidRPr="00365613" w:rsidRDefault="00365613" w:rsidP="00365613">
            <w:pPr>
              <w:rPr>
                <w:rFonts w:ascii="Times New Roman" w:eastAsia="Times New Roman" w:hAnsi="Times New Roman" w:cs="Times New Roman"/>
                <w:b/>
                <w:bCs/>
                <w:color w:val="666666"/>
                <w:lang w:eastAsia="ru-RU"/>
              </w:rPr>
            </w:pPr>
            <w:r w:rsidRPr="00365613">
              <w:rPr>
                <w:rFonts w:ascii="Times New Roman" w:eastAsia="Times New Roman" w:hAnsi="Times New Roman" w:cs="Times New Roman"/>
                <w:b/>
                <w:bCs/>
                <w:color w:val="666666"/>
                <w:lang w:eastAsia="ru-RU"/>
              </w:rPr>
              <w:t>DOI</w:t>
            </w:r>
          </w:p>
        </w:tc>
        <w:tc>
          <w:tcPr>
            <w:tcW w:w="0" w:type="auto"/>
            <w:tcMar>
              <w:top w:w="0" w:type="dxa"/>
              <w:left w:w="0" w:type="dxa"/>
              <w:bottom w:w="0" w:type="dxa"/>
              <w:right w:w="0" w:type="dxa"/>
            </w:tcMar>
            <w:vAlign w:val="center"/>
            <w:hideMark/>
          </w:tcPr>
          <w:p w14:paraId="10C77BBE" w14:textId="77777777" w:rsidR="00365613" w:rsidRPr="00365613" w:rsidRDefault="00365613" w:rsidP="00365613">
            <w:pPr>
              <w:rPr>
                <w:rFonts w:ascii="Times New Roman" w:eastAsia="Times New Roman" w:hAnsi="Times New Roman" w:cs="Times New Roman"/>
                <w:b/>
                <w:bCs/>
                <w:color w:val="666666"/>
                <w:lang w:eastAsia="ru-RU"/>
              </w:rPr>
            </w:pPr>
          </w:p>
        </w:tc>
        <w:tc>
          <w:tcPr>
            <w:tcW w:w="0" w:type="auto"/>
            <w:tcMar>
              <w:top w:w="0" w:type="dxa"/>
              <w:left w:w="0" w:type="dxa"/>
              <w:bottom w:w="0" w:type="dxa"/>
              <w:right w:w="0" w:type="dxa"/>
            </w:tcMar>
            <w:vAlign w:val="center"/>
            <w:hideMark/>
          </w:tcPr>
          <w:p w14:paraId="4FE2E311" w14:textId="77777777" w:rsidR="00365613" w:rsidRPr="00365613" w:rsidRDefault="00365613" w:rsidP="00365613">
            <w:pPr>
              <w:rPr>
                <w:rFonts w:ascii="Times New Roman" w:eastAsia="Times New Roman" w:hAnsi="Times New Roman" w:cs="Times New Roman"/>
                <w:lang w:eastAsia="ru-RU"/>
              </w:rPr>
            </w:pPr>
            <w:hyperlink r:id="rId8" w:history="1">
              <w:r w:rsidRPr="00365613">
                <w:rPr>
                  <w:rFonts w:ascii="Times New Roman" w:eastAsia="Times New Roman" w:hAnsi="Times New Roman" w:cs="Times New Roman"/>
                  <w:color w:val="0000FF"/>
                  <w:lang w:eastAsia="ru-RU"/>
                </w:rPr>
                <w:t>https://doi.org/10.1051/shsconf/20219207062</w:t>
              </w:r>
            </w:hyperlink>
          </w:p>
        </w:tc>
      </w:tr>
      <w:tr w:rsidR="00365613" w:rsidRPr="00365613" w14:paraId="2CEB900F" w14:textId="77777777" w:rsidTr="00365613">
        <w:trPr>
          <w:tblCellSpacing w:w="15" w:type="dxa"/>
        </w:trPr>
        <w:tc>
          <w:tcPr>
            <w:tcW w:w="0" w:type="auto"/>
            <w:vAlign w:val="center"/>
            <w:hideMark/>
          </w:tcPr>
          <w:p w14:paraId="51482B54" w14:textId="77777777" w:rsidR="00365613" w:rsidRPr="00365613" w:rsidRDefault="00365613" w:rsidP="00365613">
            <w:pPr>
              <w:rPr>
                <w:rFonts w:ascii="Times New Roman" w:eastAsia="Times New Roman" w:hAnsi="Times New Roman" w:cs="Times New Roman"/>
                <w:b/>
                <w:bCs/>
                <w:color w:val="666666"/>
                <w:lang w:eastAsia="ru-RU"/>
              </w:rPr>
            </w:pPr>
            <w:r w:rsidRPr="00365613">
              <w:rPr>
                <w:rFonts w:ascii="Times New Roman" w:eastAsia="Times New Roman" w:hAnsi="Times New Roman" w:cs="Times New Roman"/>
                <w:b/>
                <w:bCs/>
                <w:color w:val="666666"/>
                <w:lang w:eastAsia="ru-RU"/>
              </w:rPr>
              <w:t>Published online</w:t>
            </w:r>
          </w:p>
        </w:tc>
        <w:tc>
          <w:tcPr>
            <w:tcW w:w="0" w:type="auto"/>
            <w:tcMar>
              <w:top w:w="0" w:type="dxa"/>
              <w:left w:w="0" w:type="dxa"/>
              <w:bottom w:w="0" w:type="dxa"/>
              <w:right w:w="0" w:type="dxa"/>
            </w:tcMar>
            <w:vAlign w:val="center"/>
            <w:hideMark/>
          </w:tcPr>
          <w:p w14:paraId="58B32994" w14:textId="77777777" w:rsidR="00365613" w:rsidRPr="00365613" w:rsidRDefault="00365613" w:rsidP="00365613">
            <w:pPr>
              <w:rPr>
                <w:rFonts w:ascii="Times New Roman" w:eastAsia="Times New Roman" w:hAnsi="Times New Roman" w:cs="Times New Roman"/>
                <w:b/>
                <w:bCs/>
                <w:color w:val="666666"/>
                <w:lang w:eastAsia="ru-RU"/>
              </w:rPr>
            </w:pPr>
          </w:p>
        </w:tc>
        <w:tc>
          <w:tcPr>
            <w:tcW w:w="0" w:type="auto"/>
            <w:tcMar>
              <w:top w:w="0" w:type="dxa"/>
              <w:left w:w="0" w:type="dxa"/>
              <w:bottom w:w="0" w:type="dxa"/>
              <w:right w:w="0" w:type="dxa"/>
            </w:tcMar>
            <w:vAlign w:val="center"/>
            <w:hideMark/>
          </w:tcPr>
          <w:p w14:paraId="6C4EFA77" w14:textId="77777777" w:rsidR="00365613" w:rsidRPr="00365613" w:rsidRDefault="00365613" w:rsidP="00365613">
            <w:pPr>
              <w:rPr>
                <w:rFonts w:ascii="Times New Roman" w:eastAsia="Times New Roman" w:hAnsi="Times New Roman" w:cs="Times New Roman"/>
                <w:lang w:eastAsia="ru-RU"/>
              </w:rPr>
            </w:pPr>
            <w:r w:rsidRPr="00365613">
              <w:rPr>
                <w:rFonts w:ascii="Times New Roman" w:eastAsia="Times New Roman" w:hAnsi="Times New Roman" w:cs="Times New Roman"/>
                <w:lang w:eastAsia="ru-RU"/>
              </w:rPr>
              <w:t>13 January 2021</w:t>
            </w:r>
          </w:p>
        </w:tc>
      </w:tr>
    </w:tbl>
    <w:p w14:paraId="6402476B" w14:textId="77777777" w:rsidR="00365613" w:rsidRPr="00365613" w:rsidRDefault="00365613" w:rsidP="00365613">
      <w:pPr>
        <w:shd w:val="clear" w:color="auto" w:fill="FFFFFF"/>
        <w:rPr>
          <w:rFonts w:ascii="Open Sans" w:eastAsia="Times New Roman" w:hAnsi="Open Sans" w:cs="Open Sans"/>
          <w:color w:val="000000"/>
          <w:sz w:val="21"/>
          <w:szCs w:val="21"/>
          <w:lang w:eastAsia="ru-RU"/>
        </w:rPr>
      </w:pPr>
      <w:r w:rsidRPr="00365613">
        <w:rPr>
          <w:rFonts w:ascii="Open Sans" w:eastAsia="Times New Roman" w:hAnsi="Open Sans" w:cs="Open Sans"/>
          <w:color w:val="000000"/>
          <w:sz w:val="21"/>
          <w:szCs w:val="21"/>
          <w:lang w:eastAsia="ru-RU"/>
        </w:rPr>
        <w:t>SHS Web of Conferences </w:t>
      </w:r>
      <w:r w:rsidRPr="00365613">
        <w:rPr>
          <w:rFonts w:ascii="Open Sans" w:eastAsia="Times New Roman" w:hAnsi="Open Sans" w:cs="Open Sans"/>
          <w:b/>
          <w:bCs/>
          <w:color w:val="333333"/>
          <w:sz w:val="21"/>
          <w:szCs w:val="21"/>
          <w:lang w:eastAsia="ru-RU"/>
        </w:rPr>
        <w:t>92</w:t>
      </w:r>
      <w:r w:rsidRPr="00365613">
        <w:rPr>
          <w:rFonts w:ascii="Open Sans" w:eastAsia="Times New Roman" w:hAnsi="Open Sans" w:cs="Open Sans"/>
          <w:color w:val="000000"/>
          <w:sz w:val="21"/>
          <w:szCs w:val="21"/>
          <w:lang w:eastAsia="ru-RU"/>
        </w:rPr>
        <w:t>, 07062 (2021)</w:t>
      </w:r>
    </w:p>
    <w:p w14:paraId="467AC803" w14:textId="77777777" w:rsidR="00365613" w:rsidRPr="00365613" w:rsidRDefault="00365613" w:rsidP="00365613">
      <w:pPr>
        <w:shd w:val="clear" w:color="auto" w:fill="FFFFFF"/>
        <w:spacing w:before="375" w:after="100" w:afterAutospacing="1"/>
        <w:outlineLvl w:val="1"/>
        <w:rPr>
          <w:rFonts w:ascii="Open Sans" w:eastAsia="Times New Roman" w:hAnsi="Open Sans" w:cs="Open Sans"/>
          <w:b/>
          <w:bCs/>
          <w:color w:val="000000"/>
          <w:sz w:val="36"/>
          <w:szCs w:val="36"/>
          <w:lang w:eastAsia="ru-RU"/>
        </w:rPr>
      </w:pPr>
      <w:r w:rsidRPr="00365613">
        <w:rPr>
          <w:rFonts w:ascii="Open Sans" w:eastAsia="Times New Roman" w:hAnsi="Open Sans" w:cs="Open Sans"/>
          <w:b/>
          <w:bCs/>
          <w:color w:val="000000"/>
          <w:sz w:val="36"/>
          <w:szCs w:val="36"/>
          <w:lang w:eastAsia="ru-RU"/>
        </w:rPr>
        <w:t>Ethnic identity erosion in the indigenous Nenets population under globalization influence: gender differences between adolescent girls and boys</w:t>
      </w:r>
    </w:p>
    <w:p w14:paraId="6F57E365" w14:textId="77777777" w:rsidR="00365613" w:rsidRPr="00365613" w:rsidRDefault="00365613" w:rsidP="00365613">
      <w:pPr>
        <w:shd w:val="clear" w:color="auto" w:fill="FFFFFF"/>
        <w:spacing w:before="300"/>
        <w:jc w:val="both"/>
        <w:rPr>
          <w:rFonts w:ascii="Open Sans" w:eastAsia="Times New Roman" w:hAnsi="Open Sans" w:cs="Open Sans"/>
          <w:b/>
          <w:bCs/>
          <w:color w:val="000000"/>
          <w:sz w:val="21"/>
          <w:szCs w:val="21"/>
          <w:lang w:eastAsia="ru-RU"/>
        </w:rPr>
      </w:pPr>
      <w:r w:rsidRPr="00365613">
        <w:rPr>
          <w:rFonts w:ascii="Open Sans" w:eastAsia="Times New Roman" w:hAnsi="Open Sans" w:cs="Open Sans"/>
          <w:b/>
          <w:bCs/>
          <w:color w:val="000000"/>
          <w:sz w:val="21"/>
          <w:szCs w:val="21"/>
          <w:lang w:eastAsia="ru-RU"/>
        </w:rPr>
        <w:t>Alexandra Telitsyna</w:t>
      </w:r>
      <w:r w:rsidRPr="00365613">
        <w:rPr>
          <w:rFonts w:ascii="Open Sans" w:eastAsia="Times New Roman" w:hAnsi="Open Sans" w:cs="Open Sans"/>
          <w:b/>
          <w:bCs/>
          <w:color w:val="000000"/>
          <w:sz w:val="21"/>
          <w:szCs w:val="21"/>
          <w:vertAlign w:val="superscript"/>
          <w:lang w:eastAsia="ru-RU"/>
        </w:rPr>
        <w:t>1*</w:t>
      </w:r>
      <w:r w:rsidRPr="00365613">
        <w:rPr>
          <w:rFonts w:ascii="Open Sans" w:eastAsia="Times New Roman" w:hAnsi="Open Sans" w:cs="Open Sans"/>
          <w:b/>
          <w:bCs/>
          <w:color w:val="000000"/>
          <w:sz w:val="21"/>
          <w:szCs w:val="21"/>
          <w:lang w:eastAsia="ru-RU"/>
        </w:rPr>
        <w:t>, Ekaterina Zabelina</w:t>
      </w:r>
      <w:r w:rsidRPr="00365613">
        <w:rPr>
          <w:rFonts w:ascii="Open Sans" w:eastAsia="Times New Roman" w:hAnsi="Open Sans" w:cs="Open Sans"/>
          <w:b/>
          <w:bCs/>
          <w:color w:val="000000"/>
          <w:sz w:val="21"/>
          <w:szCs w:val="21"/>
          <w:vertAlign w:val="superscript"/>
          <w:lang w:eastAsia="ru-RU"/>
        </w:rPr>
        <w:t>2</w:t>
      </w:r>
      <w:r w:rsidRPr="00365613">
        <w:rPr>
          <w:rFonts w:ascii="Open Sans" w:eastAsia="Times New Roman" w:hAnsi="Open Sans" w:cs="Open Sans"/>
          <w:b/>
          <w:bCs/>
          <w:color w:val="000000"/>
          <w:sz w:val="21"/>
          <w:szCs w:val="21"/>
          <w:lang w:eastAsia="ru-RU"/>
        </w:rPr>
        <w:t> and Svetlana Kurnosova</w:t>
      </w:r>
      <w:r w:rsidRPr="00365613">
        <w:rPr>
          <w:rFonts w:ascii="Open Sans" w:eastAsia="Times New Roman" w:hAnsi="Open Sans" w:cs="Open Sans"/>
          <w:b/>
          <w:bCs/>
          <w:color w:val="000000"/>
          <w:sz w:val="21"/>
          <w:szCs w:val="21"/>
          <w:vertAlign w:val="superscript"/>
          <w:lang w:eastAsia="ru-RU"/>
        </w:rPr>
        <w:t>3</w:t>
      </w:r>
    </w:p>
    <w:p w14:paraId="19BB7E66" w14:textId="77777777" w:rsidR="00365613" w:rsidRPr="00365613" w:rsidRDefault="00365613" w:rsidP="00365613">
      <w:pPr>
        <w:shd w:val="clear" w:color="auto" w:fill="FFFFFF"/>
        <w:spacing w:before="75"/>
        <w:rPr>
          <w:rFonts w:ascii="Open Sans" w:eastAsia="Times New Roman" w:hAnsi="Open Sans" w:cs="Open Sans"/>
          <w:color w:val="000000"/>
          <w:sz w:val="21"/>
          <w:szCs w:val="21"/>
          <w:lang w:eastAsia="ru-RU"/>
        </w:rPr>
      </w:pPr>
      <w:r w:rsidRPr="00365613">
        <w:rPr>
          <w:rFonts w:ascii="Open Sans" w:eastAsia="Times New Roman" w:hAnsi="Open Sans" w:cs="Open Sans"/>
          <w:color w:val="000000"/>
          <w:sz w:val="21"/>
          <w:szCs w:val="21"/>
          <w:vertAlign w:val="superscript"/>
          <w:lang w:eastAsia="ru-RU"/>
        </w:rPr>
        <w:t>1</w:t>
      </w:r>
      <w:r w:rsidRPr="00365613">
        <w:rPr>
          <w:rFonts w:ascii="Open Sans" w:eastAsia="Times New Roman" w:hAnsi="Open Sans" w:cs="Open Sans"/>
          <w:color w:val="000000"/>
          <w:sz w:val="21"/>
          <w:szCs w:val="21"/>
          <w:lang w:eastAsia="ru-RU"/>
        </w:rPr>
        <w:t> Centre for Studies of Civil Society and Nonprofit Sector, National Research University Higher School of Economics, Myasnitskaya 20, Moscow, 10100, Russia</w:t>
      </w:r>
      <w:r w:rsidRPr="00365613">
        <w:rPr>
          <w:rFonts w:ascii="Open Sans" w:eastAsia="Times New Roman" w:hAnsi="Open Sans" w:cs="Open Sans"/>
          <w:color w:val="000000"/>
          <w:sz w:val="21"/>
          <w:szCs w:val="21"/>
          <w:lang w:eastAsia="ru-RU"/>
        </w:rPr>
        <w:br/>
      </w:r>
      <w:r w:rsidRPr="00365613">
        <w:rPr>
          <w:rFonts w:ascii="Open Sans" w:eastAsia="Times New Roman" w:hAnsi="Open Sans" w:cs="Open Sans"/>
          <w:color w:val="000000"/>
          <w:sz w:val="21"/>
          <w:szCs w:val="21"/>
          <w:vertAlign w:val="superscript"/>
          <w:lang w:eastAsia="ru-RU"/>
        </w:rPr>
        <w:t>2</w:t>
      </w:r>
      <w:r w:rsidRPr="00365613">
        <w:rPr>
          <w:rFonts w:ascii="Open Sans" w:eastAsia="Times New Roman" w:hAnsi="Open Sans" w:cs="Open Sans"/>
          <w:color w:val="000000"/>
          <w:sz w:val="21"/>
          <w:szCs w:val="21"/>
          <w:lang w:eastAsia="ru-RU"/>
        </w:rPr>
        <w:t> Department of Special and Clinical Psychology, Institute is Education and Practical Psychology, Chelyabinsk State University, 129 Bratiev Kashirinykh st., 454001, Chelyabinsk, Russia</w:t>
      </w:r>
      <w:r w:rsidRPr="00365613">
        <w:rPr>
          <w:rFonts w:ascii="Open Sans" w:eastAsia="Times New Roman" w:hAnsi="Open Sans" w:cs="Open Sans"/>
          <w:color w:val="000000"/>
          <w:sz w:val="21"/>
          <w:szCs w:val="21"/>
          <w:lang w:eastAsia="ru-RU"/>
        </w:rPr>
        <w:br/>
      </w:r>
      <w:r w:rsidRPr="00365613">
        <w:rPr>
          <w:rFonts w:ascii="Open Sans" w:eastAsia="Times New Roman" w:hAnsi="Open Sans" w:cs="Open Sans"/>
          <w:color w:val="000000"/>
          <w:sz w:val="21"/>
          <w:szCs w:val="21"/>
          <w:vertAlign w:val="superscript"/>
          <w:lang w:eastAsia="ru-RU"/>
        </w:rPr>
        <w:t>3</w:t>
      </w:r>
      <w:r w:rsidRPr="00365613">
        <w:rPr>
          <w:rFonts w:ascii="Open Sans" w:eastAsia="Times New Roman" w:hAnsi="Open Sans" w:cs="Open Sans"/>
          <w:color w:val="000000"/>
          <w:sz w:val="21"/>
          <w:szCs w:val="21"/>
          <w:lang w:eastAsia="ru-RU"/>
        </w:rPr>
        <w:t> Department of General and Professional Pedagogy, Institute is Education and Practical Psychology, Chelyabinsk State University, 129 BratievKashirinykh st., 454001, Chelyabinsk, Russia</w:t>
      </w:r>
    </w:p>
    <w:p w14:paraId="48ECC753" w14:textId="77777777" w:rsidR="00365613" w:rsidRPr="00365613" w:rsidRDefault="00365613" w:rsidP="00365613">
      <w:pPr>
        <w:shd w:val="clear" w:color="auto" w:fill="FFFFFF"/>
        <w:spacing w:before="450"/>
        <w:jc w:val="both"/>
        <w:rPr>
          <w:rFonts w:ascii="Open Sans" w:eastAsia="Times New Roman" w:hAnsi="Open Sans" w:cs="Open Sans"/>
          <w:color w:val="000000"/>
          <w:sz w:val="21"/>
          <w:szCs w:val="21"/>
          <w:lang w:eastAsia="ru-RU"/>
        </w:rPr>
      </w:pPr>
      <w:r w:rsidRPr="00365613">
        <w:rPr>
          <w:rFonts w:ascii="Open Sans" w:eastAsia="Times New Roman" w:hAnsi="Open Sans" w:cs="Open Sans"/>
          <w:color w:val="000000"/>
          <w:sz w:val="21"/>
          <w:szCs w:val="21"/>
          <w:vertAlign w:val="superscript"/>
          <w:lang w:eastAsia="ru-RU"/>
        </w:rPr>
        <w:t>*</w:t>
      </w:r>
      <w:r w:rsidRPr="00365613">
        <w:rPr>
          <w:rFonts w:ascii="Open Sans" w:eastAsia="Times New Roman" w:hAnsi="Open Sans" w:cs="Open Sans"/>
          <w:color w:val="000000"/>
          <w:sz w:val="21"/>
          <w:szCs w:val="21"/>
          <w:lang w:eastAsia="ru-RU"/>
        </w:rPr>
        <w:t> Corresponding author: </w:t>
      </w:r>
      <w:hyperlink r:id="rId9" w:history="1">
        <w:r w:rsidRPr="00365613">
          <w:rPr>
            <w:rFonts w:ascii="Open Sans" w:eastAsia="Times New Roman" w:hAnsi="Open Sans" w:cs="Open Sans"/>
            <w:color w:val="0000FF"/>
            <w:sz w:val="21"/>
            <w:szCs w:val="21"/>
            <w:lang w:eastAsia="ru-RU"/>
          </w:rPr>
          <w:t>atelitsyna@hse.ru</w:t>
        </w:r>
      </w:hyperlink>
    </w:p>
    <w:p w14:paraId="3EA7A4CD" w14:textId="77777777" w:rsidR="00365613" w:rsidRPr="00365613" w:rsidRDefault="00365613" w:rsidP="00365613">
      <w:pPr>
        <w:shd w:val="clear" w:color="auto" w:fill="FFFFFF"/>
        <w:spacing w:before="300"/>
        <w:jc w:val="both"/>
        <w:rPr>
          <w:rFonts w:ascii="Open Sans" w:eastAsia="Times New Roman" w:hAnsi="Open Sans" w:cs="Open Sans"/>
          <w:b/>
          <w:bCs/>
          <w:color w:val="000000"/>
          <w:sz w:val="21"/>
          <w:szCs w:val="21"/>
          <w:lang w:eastAsia="ru-RU"/>
        </w:rPr>
      </w:pPr>
      <w:bookmarkStart w:id="0" w:name="abs"/>
      <w:bookmarkEnd w:id="0"/>
      <w:r w:rsidRPr="00365613">
        <w:rPr>
          <w:rFonts w:ascii="Open Sans" w:eastAsia="Times New Roman" w:hAnsi="Open Sans" w:cs="Open Sans"/>
          <w:b/>
          <w:bCs/>
          <w:color w:val="000000"/>
          <w:sz w:val="21"/>
          <w:szCs w:val="21"/>
          <w:lang w:eastAsia="ru-RU"/>
        </w:rPr>
        <w:t>Abstract</w:t>
      </w:r>
    </w:p>
    <w:p w14:paraId="406A2AA8" w14:textId="77777777" w:rsidR="00365613" w:rsidRPr="00365613" w:rsidRDefault="00365613" w:rsidP="00365613">
      <w:pPr>
        <w:shd w:val="clear" w:color="auto" w:fill="FFFFFF"/>
        <w:spacing w:before="75"/>
        <w:jc w:val="both"/>
        <w:rPr>
          <w:rFonts w:ascii="Open Sans" w:eastAsia="Times New Roman" w:hAnsi="Open Sans" w:cs="Open Sans"/>
          <w:color w:val="000000"/>
          <w:sz w:val="21"/>
          <w:szCs w:val="21"/>
          <w:lang w:eastAsia="ru-RU"/>
        </w:rPr>
      </w:pPr>
      <w:r w:rsidRPr="00365613">
        <w:rPr>
          <w:rFonts w:ascii="Open Sans" w:eastAsia="Times New Roman" w:hAnsi="Open Sans" w:cs="Open Sans"/>
          <w:b/>
          <w:bCs/>
          <w:color w:val="333333"/>
          <w:sz w:val="21"/>
          <w:szCs w:val="21"/>
          <w:lang w:eastAsia="ru-RU"/>
        </w:rPr>
        <w:t>Research background:</w:t>
      </w:r>
      <w:r w:rsidRPr="00365613">
        <w:rPr>
          <w:rFonts w:ascii="Open Sans" w:eastAsia="Times New Roman" w:hAnsi="Open Sans" w:cs="Open Sans"/>
          <w:color w:val="000000"/>
          <w:sz w:val="21"/>
          <w:szCs w:val="21"/>
          <w:lang w:eastAsia="ru-RU"/>
        </w:rPr>
        <w:t> Ethnic identity development, while universal, is also recognized as an especially important prerequisite for economic and social life among indigenous populations [1, 2]. Global transformations such as technology, industrialization, global warming and political and economic forces are impacting positive ethnic identity development in indigenous populations around the world.</w:t>
      </w:r>
    </w:p>
    <w:p w14:paraId="43F3553C" w14:textId="77777777" w:rsidR="00365613" w:rsidRPr="00365613" w:rsidRDefault="00365613" w:rsidP="00365613">
      <w:pPr>
        <w:shd w:val="clear" w:color="auto" w:fill="FFFFFF"/>
        <w:spacing w:before="75"/>
        <w:jc w:val="both"/>
        <w:rPr>
          <w:rFonts w:ascii="Open Sans" w:eastAsia="Times New Roman" w:hAnsi="Open Sans" w:cs="Open Sans"/>
          <w:color w:val="000000"/>
          <w:sz w:val="21"/>
          <w:szCs w:val="21"/>
          <w:lang w:eastAsia="ru-RU"/>
        </w:rPr>
      </w:pPr>
      <w:r w:rsidRPr="00365613">
        <w:rPr>
          <w:rFonts w:ascii="Open Sans" w:eastAsia="Times New Roman" w:hAnsi="Open Sans" w:cs="Open Sans"/>
          <w:b/>
          <w:bCs/>
          <w:color w:val="333333"/>
          <w:sz w:val="21"/>
          <w:szCs w:val="21"/>
          <w:lang w:eastAsia="ru-RU"/>
        </w:rPr>
        <w:t>Purpose of the article:</w:t>
      </w:r>
      <w:r w:rsidRPr="00365613">
        <w:rPr>
          <w:rFonts w:ascii="Open Sans" w:eastAsia="Times New Roman" w:hAnsi="Open Sans" w:cs="Open Sans"/>
          <w:color w:val="000000"/>
          <w:sz w:val="21"/>
          <w:szCs w:val="21"/>
          <w:lang w:eastAsia="ru-RU"/>
        </w:rPr>
        <w:t> The purpose of this study is to examine gender differences in ethnic identity erosion in the adolescent indigenous Nenets population of the Russian Siberian Arctic Region.</w:t>
      </w:r>
    </w:p>
    <w:p w14:paraId="6919AF58" w14:textId="77777777" w:rsidR="00365613" w:rsidRPr="00365613" w:rsidRDefault="00365613" w:rsidP="00365613">
      <w:pPr>
        <w:shd w:val="clear" w:color="auto" w:fill="FFFFFF"/>
        <w:spacing w:before="75"/>
        <w:jc w:val="both"/>
        <w:rPr>
          <w:rFonts w:ascii="Open Sans" w:eastAsia="Times New Roman" w:hAnsi="Open Sans" w:cs="Open Sans"/>
          <w:color w:val="000000"/>
          <w:sz w:val="21"/>
          <w:szCs w:val="21"/>
          <w:lang w:eastAsia="ru-RU"/>
        </w:rPr>
      </w:pPr>
      <w:r w:rsidRPr="00365613">
        <w:rPr>
          <w:rFonts w:ascii="Open Sans" w:eastAsia="Times New Roman" w:hAnsi="Open Sans" w:cs="Open Sans"/>
          <w:b/>
          <w:bCs/>
          <w:color w:val="333333"/>
          <w:sz w:val="21"/>
          <w:szCs w:val="21"/>
          <w:lang w:eastAsia="ru-RU"/>
        </w:rPr>
        <w:t>Methods:</w:t>
      </w:r>
      <w:r w:rsidRPr="00365613">
        <w:rPr>
          <w:rFonts w:ascii="Open Sans" w:eastAsia="Times New Roman" w:hAnsi="Open Sans" w:cs="Open Sans"/>
          <w:color w:val="000000"/>
          <w:sz w:val="21"/>
          <w:szCs w:val="21"/>
          <w:lang w:eastAsia="ru-RU"/>
        </w:rPr>
        <w:t> The study sample included 78 children in boarding schools from the northern area of Western Siberia. To define ethnic identity, the “Types of Ethnic Identity” questionnaire [3] was used.</w:t>
      </w:r>
    </w:p>
    <w:p w14:paraId="1968A6ED" w14:textId="77777777" w:rsidR="00365613" w:rsidRPr="00365613" w:rsidRDefault="00365613" w:rsidP="00365613">
      <w:pPr>
        <w:shd w:val="clear" w:color="auto" w:fill="FFFFFF"/>
        <w:spacing w:before="75"/>
        <w:jc w:val="both"/>
        <w:rPr>
          <w:rFonts w:ascii="Open Sans" w:eastAsia="Times New Roman" w:hAnsi="Open Sans" w:cs="Open Sans"/>
          <w:color w:val="000000"/>
          <w:sz w:val="21"/>
          <w:szCs w:val="21"/>
          <w:lang w:eastAsia="ru-RU"/>
        </w:rPr>
      </w:pPr>
      <w:r w:rsidRPr="00365613">
        <w:rPr>
          <w:rFonts w:ascii="Open Sans" w:eastAsia="Times New Roman" w:hAnsi="Open Sans" w:cs="Open Sans"/>
          <w:b/>
          <w:bCs/>
          <w:color w:val="333333"/>
          <w:sz w:val="21"/>
          <w:szCs w:val="21"/>
          <w:lang w:eastAsia="ru-RU"/>
        </w:rPr>
        <w:t>Findings &amp; Value added</w:t>
      </w:r>
      <w:r w:rsidRPr="00365613">
        <w:rPr>
          <w:rFonts w:ascii="Open Sans" w:eastAsia="Times New Roman" w:hAnsi="Open Sans" w:cs="Open Sans"/>
          <w:color w:val="000000"/>
          <w:sz w:val="21"/>
          <w:szCs w:val="21"/>
          <w:lang w:eastAsia="ru-RU"/>
        </w:rPr>
        <w:t xml:space="preserve">: The study results show that across 8th-9th grade as well as 10-11 grade Nenets adolescent boys perceive their ethnic identity positively. However, the same indicators </w:t>
      </w:r>
      <w:r w:rsidRPr="00365613">
        <w:rPr>
          <w:rFonts w:ascii="Open Sans" w:eastAsia="Times New Roman" w:hAnsi="Open Sans" w:cs="Open Sans"/>
          <w:color w:val="000000"/>
          <w:sz w:val="21"/>
          <w:szCs w:val="21"/>
          <w:lang w:eastAsia="ru-RU"/>
        </w:rPr>
        <w:lastRenderedPageBreak/>
        <w:t>show girls do not view their ethnic identity as positively. There are also several other interesting gender differences that emerge between the students in each grade. This may be the result of specific gender differences in perceptions about the economic and social realities of tundra life, the position of women in traditional societies as well as the impact of global transformations on indigenous populations overall.</w:t>
      </w:r>
    </w:p>
    <w:p w14:paraId="5ED89169" w14:textId="77777777" w:rsidR="00365613" w:rsidRPr="00365613" w:rsidRDefault="00365613" w:rsidP="00365613">
      <w:pPr>
        <w:shd w:val="clear" w:color="auto" w:fill="FFFFFF"/>
        <w:jc w:val="both"/>
        <w:rPr>
          <w:rFonts w:ascii="Open Sans" w:eastAsia="Times New Roman" w:hAnsi="Open Sans" w:cs="Open Sans"/>
          <w:color w:val="000000"/>
          <w:sz w:val="21"/>
          <w:szCs w:val="21"/>
          <w:lang w:eastAsia="ru-RU"/>
        </w:rPr>
      </w:pPr>
      <w:r w:rsidRPr="00365613">
        <w:rPr>
          <w:rFonts w:ascii="Open Sans" w:eastAsia="Times New Roman" w:hAnsi="Open Sans" w:cs="Open Sans"/>
          <w:b/>
          <w:bCs/>
          <w:color w:val="000000"/>
          <w:sz w:val="21"/>
          <w:szCs w:val="21"/>
          <w:lang w:eastAsia="ru-RU"/>
        </w:rPr>
        <w:t>Key words: </w:t>
      </w:r>
      <w:r w:rsidRPr="00365613">
        <w:rPr>
          <w:rFonts w:ascii="Open Sans" w:eastAsia="Times New Roman" w:hAnsi="Open Sans" w:cs="Open Sans"/>
          <w:color w:val="000000"/>
          <w:sz w:val="21"/>
          <w:szCs w:val="21"/>
          <w:lang w:eastAsia="ru-RU"/>
        </w:rPr>
        <w:t>at-risk adolescents / ethnic identity / identity erosion / tundra / Nenets / indigenous populations</w:t>
      </w:r>
    </w:p>
    <w:p w14:paraId="354F55A4" w14:textId="77777777" w:rsidR="00365613" w:rsidRPr="00365613" w:rsidRDefault="00365613" w:rsidP="00365613">
      <w:pPr>
        <w:rPr>
          <w:rFonts w:ascii="Times New Roman" w:eastAsia="Times New Roman" w:hAnsi="Times New Roman" w:cs="Times New Roman"/>
          <w:lang w:eastAsia="ru-RU"/>
        </w:rPr>
      </w:pPr>
    </w:p>
    <w:p w14:paraId="6CBCC2DD" w14:textId="77777777" w:rsidR="004072ED" w:rsidRPr="00365613" w:rsidRDefault="00365613">
      <w:pPr>
        <w:rPr>
          <w:lang w:val="en-US"/>
        </w:rPr>
      </w:pPr>
    </w:p>
    <w:sectPr w:rsidR="004072ED" w:rsidRPr="00365613" w:rsidSect="00455DE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13"/>
    <w:rsid w:val="001B53CB"/>
    <w:rsid w:val="00365613"/>
    <w:rsid w:val="00455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9EB85F3"/>
  <w15:chartTrackingRefBased/>
  <w15:docId w15:val="{40A6533B-FF48-8B47-BC39-48EBD78E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65613"/>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561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65613"/>
    <w:rPr>
      <w:color w:val="0000FF"/>
      <w:u w:val="single"/>
    </w:rPr>
  </w:style>
  <w:style w:type="character" w:styleId="a4">
    <w:name w:val="Strong"/>
    <w:basedOn w:val="a0"/>
    <w:uiPriority w:val="22"/>
    <w:qFormat/>
    <w:rsid w:val="00365613"/>
    <w:rPr>
      <w:b/>
      <w:bCs/>
    </w:rPr>
  </w:style>
  <w:style w:type="paragraph" w:customStyle="1" w:styleId="bold">
    <w:name w:val="bold"/>
    <w:basedOn w:val="a"/>
    <w:rsid w:val="00365613"/>
    <w:pPr>
      <w:spacing w:before="100" w:beforeAutospacing="1" w:after="100" w:afterAutospacing="1"/>
    </w:pPr>
    <w:rPr>
      <w:rFonts w:ascii="Times New Roman" w:eastAsia="Times New Roman" w:hAnsi="Times New Roman" w:cs="Times New Roman"/>
      <w:lang w:eastAsia="ru-RU"/>
    </w:rPr>
  </w:style>
  <w:style w:type="character" w:customStyle="1" w:styleId="author">
    <w:name w:val="author"/>
    <w:basedOn w:val="a0"/>
    <w:rsid w:val="00365613"/>
  </w:style>
  <w:style w:type="paragraph" w:customStyle="1" w:styleId="aff">
    <w:name w:val="aff"/>
    <w:basedOn w:val="a"/>
    <w:rsid w:val="00365613"/>
    <w:pPr>
      <w:spacing w:before="100" w:beforeAutospacing="1" w:after="100" w:afterAutospacing="1"/>
    </w:pPr>
    <w:rPr>
      <w:rFonts w:ascii="Times New Roman" w:eastAsia="Times New Roman" w:hAnsi="Times New Roman" w:cs="Times New Roman"/>
      <w:lang w:eastAsia="ru-RU"/>
    </w:rPr>
  </w:style>
  <w:style w:type="paragraph" w:customStyle="1" w:styleId="corresp">
    <w:name w:val="corresp"/>
    <w:basedOn w:val="a"/>
    <w:rsid w:val="00365613"/>
    <w:pPr>
      <w:spacing w:before="100" w:beforeAutospacing="1" w:after="100" w:afterAutospacing="1"/>
    </w:pPr>
    <w:rPr>
      <w:rFonts w:ascii="Times New Roman" w:eastAsia="Times New Roman" w:hAnsi="Times New Roman" w:cs="Times New Roman"/>
      <w:lang w:eastAsia="ru-RU"/>
    </w:rPr>
  </w:style>
  <w:style w:type="paragraph" w:styleId="a5">
    <w:name w:val="Normal (Web)"/>
    <w:basedOn w:val="a"/>
    <w:uiPriority w:val="99"/>
    <w:semiHidden/>
    <w:unhideWhenUsed/>
    <w:rsid w:val="00365613"/>
    <w:pPr>
      <w:spacing w:before="100" w:beforeAutospacing="1" w:after="100" w:afterAutospacing="1"/>
    </w:pPr>
    <w:rPr>
      <w:rFonts w:ascii="Times New Roman" w:eastAsia="Times New Roman" w:hAnsi="Times New Roman" w:cs="Times New Roman"/>
      <w:lang w:eastAsia="ru-RU"/>
    </w:rPr>
  </w:style>
  <w:style w:type="character" w:customStyle="1" w:styleId="bold1">
    <w:name w:val="bold1"/>
    <w:basedOn w:val="a0"/>
    <w:rsid w:val="0036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723688">
      <w:bodyDiv w:val="1"/>
      <w:marLeft w:val="0"/>
      <w:marRight w:val="0"/>
      <w:marTop w:val="0"/>
      <w:marBottom w:val="0"/>
      <w:divBdr>
        <w:top w:val="none" w:sz="0" w:space="0" w:color="auto"/>
        <w:left w:val="none" w:sz="0" w:space="0" w:color="auto"/>
        <w:bottom w:val="none" w:sz="0" w:space="0" w:color="auto"/>
        <w:right w:val="none" w:sz="0" w:space="0" w:color="auto"/>
      </w:divBdr>
      <w:divsChild>
        <w:div w:id="1144660396">
          <w:marLeft w:val="0"/>
          <w:marRight w:val="0"/>
          <w:marTop w:val="0"/>
          <w:marBottom w:val="0"/>
          <w:divBdr>
            <w:top w:val="none" w:sz="0" w:space="0" w:color="auto"/>
            <w:left w:val="none" w:sz="0" w:space="0" w:color="auto"/>
            <w:bottom w:val="none" w:sz="0" w:space="0" w:color="auto"/>
            <w:right w:val="none" w:sz="0" w:space="0" w:color="auto"/>
          </w:divBdr>
        </w:div>
        <w:div w:id="452483552">
          <w:marLeft w:val="0"/>
          <w:marRight w:val="0"/>
          <w:marTop w:val="0"/>
          <w:marBottom w:val="0"/>
          <w:divBdr>
            <w:top w:val="none" w:sz="0" w:space="0" w:color="auto"/>
            <w:left w:val="none" w:sz="0" w:space="0" w:color="auto"/>
            <w:bottom w:val="none" w:sz="0" w:space="0" w:color="auto"/>
            <w:right w:val="none" w:sz="0" w:space="0" w:color="auto"/>
          </w:divBdr>
          <w:divsChild>
            <w:div w:id="452866949">
              <w:marLeft w:val="0"/>
              <w:marRight w:val="0"/>
              <w:marTop w:val="0"/>
              <w:marBottom w:val="0"/>
              <w:divBdr>
                <w:top w:val="none" w:sz="0" w:space="0" w:color="auto"/>
                <w:left w:val="none" w:sz="0" w:space="0" w:color="auto"/>
                <w:bottom w:val="none" w:sz="0" w:space="0" w:color="auto"/>
                <w:right w:val="none" w:sz="0" w:space="0" w:color="auto"/>
              </w:divBdr>
              <w:divsChild>
                <w:div w:id="1897620818">
                  <w:marLeft w:val="0"/>
                  <w:marRight w:val="0"/>
                  <w:marTop w:val="0"/>
                  <w:marBottom w:val="0"/>
                  <w:divBdr>
                    <w:top w:val="none" w:sz="0" w:space="0" w:color="auto"/>
                    <w:left w:val="none" w:sz="0" w:space="0" w:color="auto"/>
                    <w:bottom w:val="none" w:sz="0" w:space="0" w:color="auto"/>
                    <w:right w:val="none" w:sz="0" w:space="0" w:color="auto"/>
                  </w:divBdr>
                  <w:divsChild>
                    <w:div w:id="1180313152">
                      <w:marLeft w:val="0"/>
                      <w:marRight w:val="0"/>
                      <w:marTop w:val="0"/>
                      <w:marBottom w:val="0"/>
                      <w:divBdr>
                        <w:top w:val="none" w:sz="0" w:space="0" w:color="auto"/>
                        <w:left w:val="none" w:sz="0" w:space="0" w:color="auto"/>
                        <w:bottom w:val="none" w:sz="0" w:space="0" w:color="auto"/>
                        <w:right w:val="none" w:sz="0" w:space="0" w:color="auto"/>
                      </w:divBdr>
                      <w:divsChild>
                        <w:div w:id="2041590311">
                          <w:marLeft w:val="0"/>
                          <w:marRight w:val="0"/>
                          <w:marTop w:val="0"/>
                          <w:marBottom w:val="0"/>
                          <w:divBdr>
                            <w:top w:val="none" w:sz="0" w:space="0" w:color="auto"/>
                            <w:left w:val="none" w:sz="0" w:space="0" w:color="auto"/>
                            <w:bottom w:val="none" w:sz="0" w:space="0" w:color="auto"/>
                            <w:right w:val="none" w:sz="0" w:space="0" w:color="auto"/>
                          </w:divBdr>
                          <w:divsChild>
                            <w:div w:id="1572305938">
                              <w:marLeft w:val="0"/>
                              <w:marRight w:val="75"/>
                              <w:marTop w:val="45"/>
                              <w:marBottom w:val="150"/>
                              <w:divBdr>
                                <w:top w:val="none" w:sz="0" w:space="0" w:color="auto"/>
                                <w:left w:val="none" w:sz="0" w:space="0" w:color="auto"/>
                                <w:bottom w:val="none" w:sz="0" w:space="0" w:color="auto"/>
                                <w:right w:val="none" w:sz="0" w:space="0" w:color="auto"/>
                              </w:divBdr>
                            </w:div>
                          </w:divsChild>
                        </w:div>
                        <w:div w:id="1008286829">
                          <w:marLeft w:val="0"/>
                          <w:marRight w:val="0"/>
                          <w:marTop w:val="0"/>
                          <w:marBottom w:val="75"/>
                          <w:divBdr>
                            <w:top w:val="none" w:sz="0" w:space="0" w:color="auto"/>
                            <w:left w:val="single" w:sz="36" w:space="0" w:color="D5DEE5"/>
                            <w:bottom w:val="none" w:sz="0" w:space="0" w:color="auto"/>
                            <w:right w:val="none" w:sz="0" w:space="0" w:color="auto"/>
                          </w:divBdr>
                          <w:divsChild>
                            <w:div w:id="656307519">
                              <w:marLeft w:val="0"/>
                              <w:marRight w:val="0"/>
                              <w:marTop w:val="0"/>
                              <w:marBottom w:val="0"/>
                              <w:divBdr>
                                <w:top w:val="none" w:sz="0" w:space="0" w:color="auto"/>
                                <w:left w:val="none" w:sz="0" w:space="0" w:color="auto"/>
                                <w:bottom w:val="none" w:sz="0" w:space="0" w:color="auto"/>
                                <w:right w:val="none" w:sz="0" w:space="0" w:color="auto"/>
                              </w:divBdr>
                            </w:div>
                            <w:div w:id="389353559">
                              <w:marLeft w:val="0"/>
                              <w:marRight w:val="0"/>
                              <w:marTop w:val="0"/>
                              <w:marBottom w:val="0"/>
                              <w:divBdr>
                                <w:top w:val="none" w:sz="0" w:space="0" w:color="auto"/>
                                <w:left w:val="none" w:sz="0" w:space="0" w:color="auto"/>
                                <w:bottom w:val="none" w:sz="0" w:space="0" w:color="auto"/>
                                <w:right w:val="none" w:sz="0" w:space="0" w:color="auto"/>
                              </w:divBdr>
                            </w:div>
                          </w:divsChild>
                        </w:div>
                        <w:div w:id="426078074">
                          <w:marLeft w:val="0"/>
                          <w:marRight w:val="0"/>
                          <w:marTop w:val="0"/>
                          <w:marBottom w:val="0"/>
                          <w:divBdr>
                            <w:top w:val="none" w:sz="0" w:space="0" w:color="auto"/>
                            <w:left w:val="none" w:sz="0" w:space="0" w:color="auto"/>
                            <w:bottom w:val="none" w:sz="0" w:space="0" w:color="auto"/>
                            <w:right w:val="none" w:sz="0" w:space="0" w:color="auto"/>
                          </w:divBdr>
                          <w:divsChild>
                            <w:div w:id="766773699">
                              <w:marLeft w:val="0"/>
                              <w:marRight w:val="0"/>
                              <w:marTop w:val="0"/>
                              <w:marBottom w:val="0"/>
                              <w:divBdr>
                                <w:top w:val="none" w:sz="0" w:space="0" w:color="auto"/>
                                <w:left w:val="none" w:sz="0" w:space="0" w:color="auto"/>
                                <w:bottom w:val="none" w:sz="0" w:space="0" w:color="auto"/>
                                <w:right w:val="none" w:sz="0" w:space="0" w:color="auto"/>
                              </w:divBdr>
                              <w:divsChild>
                                <w:div w:id="794758910">
                                  <w:marLeft w:val="0"/>
                                  <w:marRight w:val="0"/>
                                  <w:marTop w:val="0"/>
                                  <w:marBottom w:val="450"/>
                                  <w:divBdr>
                                    <w:top w:val="none" w:sz="0" w:space="0" w:color="auto"/>
                                    <w:left w:val="none" w:sz="0" w:space="0" w:color="auto"/>
                                    <w:bottom w:val="none" w:sz="0" w:space="0" w:color="auto"/>
                                    <w:right w:val="none" w:sz="0" w:space="0" w:color="auto"/>
                                  </w:divBdr>
                                  <w:divsChild>
                                    <w:div w:id="1145244139">
                                      <w:marLeft w:val="0"/>
                                      <w:marRight w:val="0"/>
                                      <w:marTop w:val="0"/>
                                      <w:marBottom w:val="0"/>
                                      <w:divBdr>
                                        <w:top w:val="none" w:sz="0" w:space="0" w:color="auto"/>
                                        <w:left w:val="none" w:sz="0" w:space="0" w:color="auto"/>
                                        <w:bottom w:val="none" w:sz="0" w:space="0" w:color="auto"/>
                                        <w:right w:val="none" w:sz="0" w:space="0" w:color="auto"/>
                                      </w:divBdr>
                                    </w:div>
                                    <w:div w:id="211544194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51/shsconf/20219207062" TargetMode="External"/><Relationship Id="rId3" Type="http://schemas.openxmlformats.org/officeDocument/2006/relationships/webSettings" Target="webSettings.xml"/><Relationship Id="rId7" Type="http://schemas.openxmlformats.org/officeDocument/2006/relationships/hyperlink" Target="https://www.shs-conferences.org/articles/shsconf/abs/2021/03/shsconf_glob20_07062/shsconf_glob20_0706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s-conferences.org/articles/shsconf/abs/2021/03/contents/contents.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shs-conferences.org/component/issues/" TargetMode="External"/><Relationship Id="rId9" Type="http://schemas.openxmlformats.org/officeDocument/2006/relationships/hyperlink" Target="mailto:atelitsyna@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Telitsyna</dc:creator>
  <cp:keywords/>
  <dc:description/>
  <cp:lastModifiedBy>Alexandra Telitsyna</cp:lastModifiedBy>
  <cp:revision>1</cp:revision>
  <dcterms:created xsi:type="dcterms:W3CDTF">2021-06-21T12:56:00Z</dcterms:created>
  <dcterms:modified xsi:type="dcterms:W3CDTF">2021-06-21T12:57:00Z</dcterms:modified>
</cp:coreProperties>
</file>