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7A" w:rsidRDefault="00A14F7A" w:rsidP="00A14F7A">
      <w:pPr>
        <w:pStyle w:val="2"/>
      </w:pPr>
    </w:p>
    <w:p w:rsidR="00A14F7A" w:rsidRDefault="00A14F7A" w:rsidP="00A14F7A">
      <w:pPr>
        <w:pStyle w:val="2"/>
      </w:pPr>
    </w:p>
    <w:p w:rsidR="00A14F7A" w:rsidRPr="00D37C69" w:rsidRDefault="00A14F7A" w:rsidP="00A14F7A">
      <w:pPr>
        <w:pStyle w:val="1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предисловие</w:t>
      </w:r>
    </w:p>
    <w:p w:rsidR="00A14F7A" w:rsidRPr="00E772B9" w:rsidRDefault="00A14F7A" w:rsidP="00A14F7A">
      <w:pPr>
        <w:pStyle w:val="2"/>
        <w:pBdr>
          <w:bottom w:val="double" w:sz="6" w:space="1" w:color="auto"/>
        </w:pBdr>
      </w:pPr>
    </w:p>
    <w:p w:rsidR="00A14F7A" w:rsidRPr="00E772B9" w:rsidRDefault="00A14F7A" w:rsidP="00A14F7A">
      <w:pPr>
        <w:pStyle w:val="2"/>
      </w:pPr>
    </w:p>
    <w:p w:rsidR="00A14F7A" w:rsidRPr="00E772B9" w:rsidRDefault="00A14F7A" w:rsidP="00A14F7A">
      <w:pPr>
        <w:pStyle w:val="2"/>
      </w:pPr>
    </w:p>
    <w:p w:rsidR="00A14F7A" w:rsidRPr="00792853" w:rsidRDefault="00A14F7A" w:rsidP="00A14F7A">
      <w:pPr>
        <w:overflowPunct/>
        <w:spacing w:line="252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 xml:space="preserve">Цель настоящего издания — помочь студентам, обучающимся по направлениям «Прикладная математика и </w:t>
      </w:r>
      <w:r w:rsidRPr="00792853">
        <w:rPr>
          <w:rFonts w:eastAsia="SFRM1200"/>
          <w:spacing w:val="-4"/>
          <w:szCs w:val="22"/>
          <w:lang w:eastAsia="ru-RU"/>
        </w:rPr>
        <w:t>информатика», «Бизнес-информатика», «Экономика», «Менеджмент»,</w:t>
      </w:r>
      <w:r w:rsidRPr="00792853">
        <w:rPr>
          <w:rFonts w:eastAsia="SFRM1200"/>
          <w:szCs w:val="22"/>
          <w:lang w:eastAsia="ru-RU"/>
        </w:rPr>
        <w:t xml:space="preserve"> «Управление персоналом», «Торговое дело» и по специальностям «Экономическая безопасность», «Таможенное </w:t>
      </w:r>
      <w:proofErr w:type="gramStart"/>
      <w:r w:rsidRPr="00792853">
        <w:rPr>
          <w:rFonts w:eastAsia="SFRM1200"/>
          <w:szCs w:val="22"/>
          <w:lang w:eastAsia="ru-RU"/>
        </w:rPr>
        <w:t>дело»</w:t>
      </w:r>
      <w:r>
        <w:rPr>
          <w:rFonts w:eastAsia="SFRM1200"/>
          <w:szCs w:val="22"/>
          <w:lang w:eastAsia="ru-RU"/>
        </w:rPr>
        <w:br/>
      </w:r>
      <w:r w:rsidRPr="00792853">
        <w:rPr>
          <w:rFonts w:eastAsia="SFRM1200"/>
          <w:szCs w:val="22"/>
          <w:lang w:eastAsia="ru-RU"/>
        </w:rPr>
        <w:t>в</w:t>
      </w:r>
      <w:proofErr w:type="gramEnd"/>
      <w:r w:rsidRPr="00792853">
        <w:rPr>
          <w:rFonts w:eastAsia="SFRM1200"/>
          <w:szCs w:val="22"/>
          <w:lang w:eastAsia="ru-RU"/>
        </w:rPr>
        <w:t xml:space="preserve"> освоении материала по курсу «Теория вероятностей и математическая статистика». </w:t>
      </w:r>
      <w:r>
        <w:rPr>
          <w:rFonts w:eastAsia="SFRM1200"/>
          <w:szCs w:val="22"/>
          <w:lang w:eastAsia="ru-RU"/>
        </w:rPr>
        <w:t>Учебник</w:t>
      </w:r>
      <w:r w:rsidRPr="00792853">
        <w:rPr>
          <w:rFonts w:eastAsia="SFRM1200"/>
          <w:szCs w:val="22"/>
          <w:lang w:eastAsia="ru-RU"/>
        </w:rPr>
        <w:t xml:space="preserve"> будет полез</w:t>
      </w:r>
      <w:r>
        <w:rPr>
          <w:rFonts w:eastAsia="SFRM1200"/>
          <w:szCs w:val="22"/>
          <w:lang w:eastAsia="ru-RU"/>
        </w:rPr>
        <w:t>е</w:t>
      </w:r>
      <w:r w:rsidRPr="00792853">
        <w:rPr>
          <w:rFonts w:eastAsia="SFRM1200"/>
          <w:szCs w:val="22"/>
          <w:lang w:eastAsia="ru-RU"/>
        </w:rPr>
        <w:t>н и преподавателям вузов для организации регулярного текущего контроля знаний студентов по указанному курсу.</w:t>
      </w:r>
    </w:p>
    <w:p w:rsidR="00A14F7A" w:rsidRPr="00792853" w:rsidRDefault="00A14F7A" w:rsidP="00A14F7A">
      <w:pPr>
        <w:overflowPunct/>
        <w:spacing w:line="252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 xml:space="preserve">Материал </w:t>
      </w:r>
      <w:r>
        <w:rPr>
          <w:rFonts w:eastAsia="SFRM1200"/>
          <w:szCs w:val="22"/>
          <w:lang w:eastAsia="ru-RU"/>
        </w:rPr>
        <w:t>учебника</w:t>
      </w:r>
      <w:r w:rsidRPr="00792853">
        <w:rPr>
          <w:rFonts w:eastAsia="SFRM1200"/>
          <w:szCs w:val="22"/>
          <w:lang w:eastAsia="ru-RU"/>
        </w:rPr>
        <w:t xml:space="preserve"> отражает многолетний опыт преподавания курсов теории вероятностей и математической статистики для студентов различных бакалаврских программ и прошел многолетнюю апробацию по текущему контролю знаний студентов в Национальном исследовательском университете «Высшая школа экономики» (г. Пермь) и Пермском государственном национальном исследовательском университете.</w:t>
      </w:r>
    </w:p>
    <w:p w:rsidR="00A14F7A" w:rsidRPr="00792853" w:rsidRDefault="00A14F7A" w:rsidP="00A14F7A">
      <w:pPr>
        <w:overflowPunct/>
        <w:spacing w:line="252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>Некоторые разделы будут полезны для чтения различных спецкурсов и курсов по выбору, связанных с прикладными вопросами теории вероятност</w:t>
      </w:r>
      <w:r>
        <w:rPr>
          <w:rFonts w:eastAsia="SFRM1200"/>
          <w:szCs w:val="22"/>
          <w:lang w:eastAsia="ru-RU"/>
        </w:rPr>
        <w:t>ей</w:t>
      </w:r>
      <w:r w:rsidRPr="00792853">
        <w:rPr>
          <w:rFonts w:eastAsia="SFRM1200"/>
          <w:szCs w:val="22"/>
          <w:lang w:eastAsia="ru-RU"/>
        </w:rPr>
        <w:t xml:space="preserve"> как в </w:t>
      </w:r>
      <w:proofErr w:type="spellStart"/>
      <w:r w:rsidRPr="00792853">
        <w:rPr>
          <w:rFonts w:eastAsia="SFRM1200"/>
          <w:szCs w:val="22"/>
          <w:lang w:eastAsia="ru-RU"/>
        </w:rPr>
        <w:t>бакалавриате</w:t>
      </w:r>
      <w:proofErr w:type="spellEnd"/>
      <w:r w:rsidRPr="00792853">
        <w:rPr>
          <w:rFonts w:eastAsia="SFRM1200"/>
          <w:szCs w:val="22"/>
          <w:lang w:eastAsia="ru-RU"/>
        </w:rPr>
        <w:t xml:space="preserve">, так и магистратуре. Читатель найдет в </w:t>
      </w:r>
      <w:r>
        <w:rPr>
          <w:rFonts w:eastAsia="SFRM1200"/>
          <w:szCs w:val="22"/>
          <w:lang w:eastAsia="ru-RU"/>
        </w:rPr>
        <w:t>учебнике</w:t>
      </w:r>
      <w:r w:rsidRPr="00792853">
        <w:rPr>
          <w:rFonts w:eastAsia="SFRM1200"/>
          <w:szCs w:val="22"/>
          <w:lang w:eastAsia="ru-RU"/>
        </w:rPr>
        <w:t xml:space="preserve"> разбор многих примеров использования теории вероятностей в области экономических приложений.</w:t>
      </w:r>
    </w:p>
    <w:p w:rsidR="00A14F7A" w:rsidRPr="00792853" w:rsidRDefault="00A14F7A" w:rsidP="00A14F7A">
      <w:pPr>
        <w:overflowPunct/>
        <w:spacing w:line="252" w:lineRule="auto"/>
        <w:textAlignment w:val="auto"/>
        <w:rPr>
          <w:rFonts w:eastAsia="SFRM1200"/>
          <w:szCs w:val="22"/>
          <w:lang w:eastAsia="ru-RU"/>
        </w:rPr>
      </w:pPr>
      <w:r>
        <w:rPr>
          <w:rFonts w:eastAsia="SFRM1200"/>
          <w:szCs w:val="22"/>
          <w:lang w:eastAsia="ru-RU"/>
        </w:rPr>
        <w:t>Учебник</w:t>
      </w:r>
      <w:r w:rsidRPr="00792853">
        <w:rPr>
          <w:rFonts w:eastAsia="SFRM1200"/>
          <w:szCs w:val="22"/>
          <w:lang w:eastAsia="ru-RU"/>
        </w:rPr>
        <w:t xml:space="preserve"> написан с учетом схемы изложения указанного предмета, принятой в западных странах, что облегчит проб</w:t>
      </w:r>
      <w:r>
        <w:rPr>
          <w:rFonts w:eastAsia="SFRM1200"/>
          <w:szCs w:val="22"/>
          <w:lang w:eastAsia="ru-RU"/>
        </w:rPr>
        <w:softHyphen/>
      </w:r>
      <w:r w:rsidRPr="00792853">
        <w:rPr>
          <w:rFonts w:eastAsia="SFRM1200"/>
          <w:szCs w:val="22"/>
          <w:lang w:eastAsia="ru-RU"/>
        </w:rPr>
        <w:t>лему углубленного изучения математической статистики</w:t>
      </w:r>
      <w:r>
        <w:rPr>
          <w:rFonts w:eastAsia="SFRM1200"/>
          <w:szCs w:val="22"/>
          <w:lang w:eastAsia="ru-RU"/>
        </w:rPr>
        <w:br/>
      </w:r>
      <w:r w:rsidRPr="00792853">
        <w:rPr>
          <w:rFonts w:eastAsia="SFRM1200"/>
          <w:spacing w:val="-3"/>
          <w:szCs w:val="22"/>
          <w:lang w:eastAsia="ru-RU"/>
        </w:rPr>
        <w:t>на основе широкого спектра иностранной литературы. Большое</w:t>
      </w:r>
      <w:r w:rsidRPr="00792853">
        <w:rPr>
          <w:rFonts w:eastAsia="SFRM1200"/>
          <w:szCs w:val="22"/>
          <w:lang w:eastAsia="ru-RU"/>
        </w:rPr>
        <w:t xml:space="preserve"> </w:t>
      </w:r>
      <w:r w:rsidRPr="00792853">
        <w:rPr>
          <w:rFonts w:eastAsia="SFRM1200"/>
          <w:szCs w:val="22"/>
          <w:lang w:eastAsia="ru-RU"/>
        </w:rPr>
        <w:lastRenderedPageBreak/>
        <w:t xml:space="preserve">количество примеров </w:t>
      </w:r>
      <w:r>
        <w:rPr>
          <w:rFonts w:eastAsia="SFRM1200"/>
          <w:szCs w:val="22"/>
          <w:lang w:eastAsia="ru-RU"/>
        </w:rPr>
        <w:t>носит</w:t>
      </w:r>
      <w:r w:rsidRPr="00792853">
        <w:rPr>
          <w:rFonts w:eastAsia="SFRM1200"/>
          <w:szCs w:val="22"/>
          <w:lang w:eastAsia="ru-RU"/>
        </w:rPr>
        <w:t xml:space="preserve"> прикладной характер и </w:t>
      </w:r>
      <w:r>
        <w:rPr>
          <w:rFonts w:eastAsia="SFRM1200"/>
          <w:szCs w:val="22"/>
          <w:lang w:eastAsia="ru-RU"/>
        </w:rPr>
        <w:t xml:space="preserve">является </w:t>
      </w:r>
      <w:r w:rsidRPr="00792853">
        <w:rPr>
          <w:rFonts w:eastAsia="SFRM1200"/>
          <w:szCs w:val="22"/>
          <w:lang w:eastAsia="ru-RU"/>
        </w:rPr>
        <w:t>весьма оригинальны</w:t>
      </w:r>
      <w:r>
        <w:rPr>
          <w:rFonts w:eastAsia="SFRM1200"/>
          <w:szCs w:val="22"/>
          <w:lang w:eastAsia="ru-RU"/>
        </w:rPr>
        <w:t>м</w:t>
      </w:r>
      <w:r w:rsidRPr="00792853">
        <w:rPr>
          <w:rFonts w:eastAsia="SFRM1200"/>
          <w:szCs w:val="22"/>
          <w:lang w:eastAsia="ru-RU"/>
        </w:rPr>
        <w:t xml:space="preserve">. </w:t>
      </w:r>
    </w:p>
    <w:p w:rsidR="00A14F7A" w:rsidRPr="00792853" w:rsidRDefault="00A14F7A" w:rsidP="00A14F7A">
      <w:pPr>
        <w:overflowPunct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 xml:space="preserve">Материал учебника разбит на введение, пять разделов (всего десять глав) и приложения, в которых приводятся статистические таблицы. В конце каждой главы </w:t>
      </w:r>
      <w:r>
        <w:rPr>
          <w:rFonts w:eastAsia="SFRM1200"/>
          <w:szCs w:val="22"/>
          <w:lang w:eastAsia="ru-RU"/>
        </w:rPr>
        <w:t>даны</w:t>
      </w:r>
      <w:r w:rsidRPr="00792853">
        <w:rPr>
          <w:rFonts w:eastAsia="SFRM1200"/>
          <w:szCs w:val="22"/>
          <w:lang w:eastAsia="ru-RU"/>
        </w:rPr>
        <w:t xml:space="preserve"> задачи для </w:t>
      </w:r>
      <w:r w:rsidRPr="004C6C54">
        <w:rPr>
          <w:rFonts w:eastAsia="SFRM1200"/>
          <w:spacing w:val="-4"/>
          <w:szCs w:val="22"/>
          <w:lang w:eastAsia="ru-RU"/>
        </w:rPr>
        <w:t>самостоятельного решения, значимость которых различна: одни</w:t>
      </w:r>
      <w:r w:rsidRPr="00792853">
        <w:rPr>
          <w:rFonts w:eastAsia="SFRM1200"/>
          <w:szCs w:val="22"/>
          <w:lang w:eastAsia="ru-RU"/>
        </w:rPr>
        <w:t xml:space="preserve"> носят характер простых упражнений, в других предлагается доказать утверждения, сформулированные, но не доказанные в основном тексте, третьи должны дать дополнительные сведения к рассматриваемому кругу вопросов. </w:t>
      </w:r>
    </w:p>
    <w:p w:rsidR="00A14F7A" w:rsidRPr="00792853" w:rsidRDefault="00A14F7A" w:rsidP="00A14F7A">
      <w:pPr>
        <w:overflowPunct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>Большое количество заданий для самостоятельного решения по каждой главе курса да</w:t>
      </w:r>
      <w:r>
        <w:rPr>
          <w:rFonts w:eastAsia="SFRM1200"/>
          <w:szCs w:val="22"/>
          <w:lang w:eastAsia="ru-RU"/>
        </w:rPr>
        <w:t>е</w:t>
      </w:r>
      <w:r w:rsidRPr="00792853">
        <w:rPr>
          <w:rFonts w:eastAsia="SFRM1200"/>
          <w:szCs w:val="22"/>
          <w:lang w:eastAsia="ru-RU"/>
        </w:rPr>
        <w:t xml:space="preserve">т возможность преподавателям дисциплины </w:t>
      </w:r>
      <w:r>
        <w:rPr>
          <w:rFonts w:eastAsia="SFRM1200"/>
          <w:szCs w:val="22"/>
          <w:lang w:eastAsia="ru-RU"/>
        </w:rPr>
        <w:t>«</w:t>
      </w:r>
      <w:r w:rsidRPr="00792853">
        <w:rPr>
          <w:rFonts w:eastAsia="SFRM1200"/>
          <w:szCs w:val="22"/>
          <w:lang w:eastAsia="ru-RU"/>
        </w:rPr>
        <w:t>клонировать</w:t>
      </w:r>
      <w:r>
        <w:rPr>
          <w:rFonts w:eastAsia="SFRM1200"/>
          <w:szCs w:val="22"/>
          <w:lang w:eastAsia="ru-RU"/>
        </w:rPr>
        <w:t>»</w:t>
      </w:r>
      <w:r w:rsidRPr="00792853">
        <w:rPr>
          <w:rFonts w:eastAsia="SFRM1200"/>
          <w:szCs w:val="22"/>
          <w:lang w:eastAsia="ru-RU"/>
        </w:rPr>
        <w:t xml:space="preserve"> задания для проведения контроля знаний студентов, а также использовать эти задания </w:t>
      </w:r>
      <w:r w:rsidRPr="00792853">
        <w:rPr>
          <w:rFonts w:eastAsia="SFRM1200"/>
          <w:spacing w:val="-2"/>
          <w:szCs w:val="22"/>
          <w:lang w:eastAsia="ru-RU"/>
        </w:rPr>
        <w:t>для оценки знаний как по каждому разделу курса, так и в виде</w:t>
      </w:r>
      <w:r w:rsidRPr="00792853">
        <w:rPr>
          <w:rFonts w:eastAsia="SFRM1200"/>
          <w:szCs w:val="22"/>
          <w:lang w:eastAsia="ru-RU"/>
        </w:rPr>
        <w:t xml:space="preserve"> итогового контроля. Каждый параграф пособия имеет свою нумерацию определений, теорем, примеров и соотношений.</w:t>
      </w:r>
    </w:p>
    <w:p w:rsidR="00A14F7A" w:rsidRPr="00A74190" w:rsidRDefault="00A14F7A" w:rsidP="00A14F7A">
      <w:pPr>
        <w:overflowPunct/>
        <w:textAlignment w:val="auto"/>
        <w:rPr>
          <w:szCs w:val="22"/>
        </w:rPr>
      </w:pPr>
      <w:r w:rsidRPr="00792853">
        <w:rPr>
          <w:rFonts w:eastAsia="SFRM1200"/>
          <w:szCs w:val="22"/>
          <w:lang w:eastAsia="ru-RU"/>
        </w:rPr>
        <w:t xml:space="preserve">Авторы выражают благодарность нашим рецензентам, </w:t>
      </w:r>
      <w:r w:rsidRPr="00792853">
        <w:rPr>
          <w:rFonts w:eastAsia="SFRM1200"/>
          <w:spacing w:val="-2"/>
          <w:szCs w:val="22"/>
          <w:lang w:eastAsia="ru-RU"/>
        </w:rPr>
        <w:t>А. Р. Абдуллаеву и Е. Л. Черемных, работа которых позволила</w:t>
      </w:r>
      <w:r w:rsidRPr="00792853">
        <w:rPr>
          <w:rFonts w:eastAsia="SFRM1200"/>
          <w:szCs w:val="22"/>
          <w:lang w:eastAsia="ru-RU"/>
        </w:rPr>
        <w:t xml:space="preserve"> заметно улучшить </w:t>
      </w:r>
      <w:r>
        <w:rPr>
          <w:rFonts w:eastAsia="SFRM1200"/>
          <w:szCs w:val="22"/>
          <w:lang w:eastAsia="ru-RU"/>
        </w:rPr>
        <w:t>учебник</w:t>
      </w:r>
      <w:r w:rsidRPr="00792853">
        <w:rPr>
          <w:rFonts w:eastAsia="SFRM1200"/>
          <w:szCs w:val="22"/>
          <w:lang w:eastAsia="ru-RU"/>
        </w:rPr>
        <w:t>.</w:t>
      </w:r>
    </w:p>
    <w:p w:rsidR="00A14F7A" w:rsidRDefault="00A14F7A" w:rsidP="00A14F7A">
      <w:pPr>
        <w:pStyle w:val="2"/>
      </w:pPr>
    </w:p>
    <w:p w:rsidR="00A14F7A" w:rsidRPr="00D73B10" w:rsidRDefault="00A14F7A" w:rsidP="00A14F7A">
      <w:pPr>
        <w:sectPr w:rsidR="00A14F7A" w:rsidRPr="00D73B10" w:rsidSect="001B1F5B">
          <w:headerReference w:type="even" r:id="rId4"/>
          <w:headerReference w:type="default" r:id="rId5"/>
          <w:headerReference w:type="first" r:id="rId6"/>
          <w:footnotePr>
            <w:numRestart w:val="eachPage"/>
          </w:footnotePr>
          <w:pgSz w:w="8392" w:h="11907" w:code="11"/>
          <w:pgMar w:top="1134" w:right="1134" w:bottom="1134" w:left="1418" w:header="567" w:footer="737" w:gutter="0"/>
          <w:cols w:space="708"/>
          <w:titlePg/>
          <w:docGrid w:linePitch="299"/>
        </w:sectPr>
      </w:pPr>
    </w:p>
    <w:p w:rsidR="00A14F7A" w:rsidRDefault="00A14F7A" w:rsidP="00A14F7A">
      <w:pPr>
        <w:pStyle w:val="1"/>
        <w:rPr>
          <w:spacing w:val="-4"/>
          <w:sz w:val="26"/>
          <w:szCs w:val="26"/>
        </w:rPr>
      </w:pPr>
    </w:p>
    <w:p w:rsidR="00A14F7A" w:rsidRPr="00D37C69" w:rsidRDefault="00A14F7A" w:rsidP="00A14F7A">
      <w:pPr>
        <w:pStyle w:val="1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введение</w:t>
      </w:r>
    </w:p>
    <w:p w:rsidR="00A14F7A" w:rsidRPr="00E772B9" w:rsidRDefault="00A14F7A" w:rsidP="00A14F7A">
      <w:pPr>
        <w:pStyle w:val="2"/>
        <w:pBdr>
          <w:bottom w:val="double" w:sz="6" w:space="1" w:color="auto"/>
        </w:pBdr>
      </w:pPr>
    </w:p>
    <w:p w:rsidR="00A14F7A" w:rsidRPr="00E772B9" w:rsidRDefault="00A14F7A" w:rsidP="00A14F7A">
      <w:pPr>
        <w:pStyle w:val="2"/>
      </w:pPr>
    </w:p>
    <w:p w:rsidR="00A14F7A" w:rsidRPr="00E772B9" w:rsidRDefault="00A14F7A" w:rsidP="00A14F7A">
      <w:pPr>
        <w:pStyle w:val="2"/>
      </w:pPr>
    </w:p>
    <w:p w:rsidR="00A14F7A" w:rsidRPr="00792853" w:rsidRDefault="00A14F7A" w:rsidP="00A14F7A">
      <w:pPr>
        <w:overflowPunct/>
        <w:spacing w:line="245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 xml:space="preserve">Теория вероятностей </w:t>
      </w:r>
      <w:r>
        <w:rPr>
          <w:rFonts w:eastAsia="SFRM1200"/>
          <w:szCs w:val="22"/>
          <w:lang w:eastAsia="ru-RU"/>
        </w:rPr>
        <w:t>—</w:t>
      </w:r>
      <w:r w:rsidRPr="00792853">
        <w:rPr>
          <w:rFonts w:eastAsia="SFRM1200"/>
          <w:szCs w:val="22"/>
          <w:lang w:eastAsia="ru-RU"/>
        </w:rPr>
        <w:t xml:space="preserve"> это раздел математики, который изучает закономерности случайных массовых явлений. К ним относятся случайные события, случайные величины, их свойства и операции над ними.</w:t>
      </w:r>
    </w:p>
    <w:p w:rsidR="00A14F7A" w:rsidRPr="00792853" w:rsidRDefault="00A14F7A" w:rsidP="00A14F7A">
      <w:pPr>
        <w:overflowPunct/>
        <w:spacing w:line="245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 xml:space="preserve">Считается, что теория вероятностей возникла в средние </w:t>
      </w:r>
      <w:r w:rsidRPr="00792853">
        <w:rPr>
          <w:rFonts w:eastAsia="SFRM1200"/>
          <w:spacing w:val="-2"/>
          <w:szCs w:val="22"/>
          <w:lang w:eastAsia="ru-RU"/>
        </w:rPr>
        <w:t>века и связано это было с азартными играми, особенно с игрой</w:t>
      </w:r>
      <w:r w:rsidRPr="00792853">
        <w:rPr>
          <w:rFonts w:eastAsia="SFRM1200"/>
          <w:szCs w:val="22"/>
          <w:lang w:eastAsia="ru-RU"/>
        </w:rPr>
        <w:t xml:space="preserve"> в кости. Первыми учеными, занима</w:t>
      </w:r>
      <w:r>
        <w:rPr>
          <w:rFonts w:eastAsia="SFRM1200"/>
          <w:szCs w:val="22"/>
          <w:lang w:eastAsia="ru-RU"/>
        </w:rPr>
        <w:t>вшимися</w:t>
      </w:r>
      <w:r w:rsidRPr="00792853">
        <w:rPr>
          <w:rFonts w:eastAsia="SFRM1200"/>
          <w:szCs w:val="22"/>
          <w:lang w:eastAsia="ru-RU"/>
        </w:rPr>
        <w:t xml:space="preserve"> теорией вероятностей, являются П. Ферма (1601–1665), Б. Паскаль (1623–1662) и Х.</w:t>
      </w:r>
      <w:r>
        <w:rPr>
          <w:rFonts w:eastAsia="SFRM1200"/>
          <w:szCs w:val="22"/>
          <w:lang w:eastAsia="ru-RU"/>
        </w:rPr>
        <w:t> </w:t>
      </w:r>
      <w:r w:rsidRPr="00792853">
        <w:rPr>
          <w:rFonts w:eastAsia="SFRM1200"/>
          <w:szCs w:val="22"/>
          <w:lang w:eastAsia="ru-RU"/>
        </w:rPr>
        <w:t>Гюйгенс (1629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 xml:space="preserve">1695). «Математика случая» </w:t>
      </w:r>
      <w:r>
        <w:rPr>
          <w:rFonts w:eastAsia="SFRM1200"/>
          <w:szCs w:val="22"/>
          <w:lang w:eastAsia="ru-RU"/>
        </w:rPr>
        <w:t>—</w:t>
      </w:r>
      <w:r w:rsidRPr="00792853">
        <w:rPr>
          <w:rFonts w:eastAsia="SFRM1200"/>
          <w:szCs w:val="22"/>
          <w:lang w:eastAsia="ru-RU"/>
        </w:rPr>
        <w:t xml:space="preserve"> так </w:t>
      </w:r>
      <w:r w:rsidRPr="00792853">
        <w:rPr>
          <w:rFonts w:eastAsia="SFRM1200"/>
          <w:spacing w:val="-4"/>
          <w:szCs w:val="22"/>
          <w:lang w:eastAsia="ru-RU"/>
        </w:rPr>
        <w:t>еще в XVII в. назвал теорию вероятностей французский ученый</w:t>
      </w:r>
      <w:r w:rsidRPr="00792853">
        <w:rPr>
          <w:rFonts w:eastAsia="SFRM1200"/>
          <w:szCs w:val="22"/>
          <w:lang w:eastAsia="ru-RU"/>
        </w:rPr>
        <w:t xml:space="preserve"> </w:t>
      </w:r>
      <w:proofErr w:type="spellStart"/>
      <w:r w:rsidRPr="00792853">
        <w:rPr>
          <w:rFonts w:eastAsia="SFRM1200"/>
          <w:szCs w:val="22"/>
          <w:lang w:eastAsia="ru-RU"/>
        </w:rPr>
        <w:t>Блез</w:t>
      </w:r>
      <w:proofErr w:type="spellEnd"/>
      <w:r w:rsidRPr="00792853">
        <w:rPr>
          <w:rFonts w:eastAsia="SFRM1200"/>
          <w:szCs w:val="22"/>
          <w:lang w:eastAsia="ru-RU"/>
        </w:rPr>
        <w:t xml:space="preserve"> Паскаль, исследу</w:t>
      </w:r>
      <w:r>
        <w:rPr>
          <w:rFonts w:eastAsia="SFRM1200"/>
          <w:szCs w:val="22"/>
          <w:lang w:eastAsia="ru-RU"/>
        </w:rPr>
        <w:t>я</w:t>
      </w:r>
      <w:r w:rsidRPr="00792853">
        <w:rPr>
          <w:rFonts w:eastAsia="SFRM1200"/>
          <w:szCs w:val="22"/>
          <w:lang w:eastAsia="ru-RU"/>
        </w:rPr>
        <w:t xml:space="preserve"> прогноз выигрыша в азартных играх. </w:t>
      </w:r>
    </w:p>
    <w:p w:rsidR="00A14F7A" w:rsidRPr="00792853" w:rsidRDefault="00A14F7A" w:rsidP="00A14F7A">
      <w:pPr>
        <w:overflowPunct/>
        <w:spacing w:line="245" w:lineRule="auto"/>
        <w:textAlignment w:val="auto"/>
        <w:rPr>
          <w:rFonts w:eastAsia="SFRM1200"/>
          <w:szCs w:val="22"/>
          <w:lang w:eastAsia="ru-RU"/>
        </w:rPr>
      </w:pPr>
      <w:r w:rsidRPr="00792853">
        <w:rPr>
          <w:rFonts w:eastAsia="SFRM1200"/>
          <w:szCs w:val="22"/>
          <w:lang w:eastAsia="ru-RU"/>
        </w:rPr>
        <w:t>Значительное влияние на развитие теории вероятностей оказали такие знаменитые ученые, как Д. Бернулли (1654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>1705), А. Муавр (1667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>1754), Т. Байес (1702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>1763), П. Лаплас (1749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>1827), К. Гаусс (1777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>1855), С.</w:t>
      </w:r>
      <w:r>
        <w:rPr>
          <w:rFonts w:eastAsia="SFRM1200"/>
          <w:szCs w:val="22"/>
          <w:lang w:eastAsia="ru-RU"/>
        </w:rPr>
        <w:t xml:space="preserve"> </w:t>
      </w:r>
      <w:r w:rsidRPr="00792853">
        <w:rPr>
          <w:rFonts w:eastAsia="SFRM1200"/>
          <w:szCs w:val="22"/>
          <w:lang w:eastAsia="ru-RU"/>
        </w:rPr>
        <w:t>Пуассон (1781</w:t>
      </w:r>
      <w:r>
        <w:rPr>
          <w:rFonts w:eastAsia="SFRM1200"/>
          <w:szCs w:val="22"/>
          <w:lang w:eastAsia="ru-RU"/>
        </w:rPr>
        <w:t>–</w:t>
      </w:r>
      <w:r w:rsidRPr="00792853">
        <w:rPr>
          <w:rFonts w:eastAsia="SFRM1200"/>
          <w:szCs w:val="22"/>
          <w:lang w:eastAsia="ru-RU"/>
        </w:rPr>
        <w:t xml:space="preserve">1840). Например, Д. Бернулли впервые доказал одно из важнейших положений теории вероятностей </w:t>
      </w:r>
      <w:r>
        <w:rPr>
          <w:rFonts w:eastAsia="SFRM1200"/>
          <w:szCs w:val="22"/>
          <w:lang w:eastAsia="ru-RU"/>
        </w:rPr>
        <w:t>—</w:t>
      </w:r>
      <w:r w:rsidRPr="00792853">
        <w:rPr>
          <w:rFonts w:eastAsia="SFRM1200"/>
          <w:szCs w:val="22"/>
          <w:lang w:eastAsia="ru-RU"/>
        </w:rPr>
        <w:t xml:space="preserve"> «закон больших чисел». Теорема, которую он доказал, устанавливает связь между вероятностью события и частотой его появления. </w:t>
      </w:r>
    </w:p>
    <w:p w:rsidR="00A14F7A" w:rsidRPr="00792853" w:rsidRDefault="00A14F7A" w:rsidP="00A14F7A">
      <w:pPr>
        <w:overflowPunct/>
        <w:spacing w:line="245" w:lineRule="auto"/>
        <w:textAlignment w:val="auto"/>
        <w:rPr>
          <w:rFonts w:eastAsia="SFRM1200"/>
          <w:szCs w:val="22"/>
          <w:lang w:eastAsia="ru-RU"/>
        </w:rPr>
      </w:pPr>
      <w:r w:rsidRPr="00766D32">
        <w:rPr>
          <w:rFonts w:eastAsia="SFRM1200"/>
          <w:spacing w:val="-4"/>
          <w:szCs w:val="22"/>
          <w:lang w:eastAsia="ru-RU"/>
        </w:rPr>
        <w:t>Развитие теории вероятностей тесно связано с традициями</w:t>
      </w:r>
      <w:r w:rsidRPr="00792853">
        <w:rPr>
          <w:rFonts w:eastAsia="SFRM1200"/>
          <w:szCs w:val="22"/>
          <w:lang w:eastAsia="ru-RU"/>
        </w:rPr>
        <w:t xml:space="preserve"> </w:t>
      </w:r>
      <w:r w:rsidRPr="00766D32">
        <w:rPr>
          <w:rFonts w:eastAsia="SFRM1200"/>
          <w:spacing w:val="-2"/>
          <w:szCs w:val="22"/>
          <w:lang w:eastAsia="ru-RU"/>
        </w:rPr>
        <w:t>и достижениями русской науки. Фундаментальные результаты</w:t>
      </w:r>
      <w:r w:rsidRPr="00792853">
        <w:rPr>
          <w:rFonts w:eastAsia="SFRM1200"/>
          <w:szCs w:val="22"/>
          <w:lang w:eastAsia="ru-RU"/>
        </w:rPr>
        <w:t xml:space="preserve"> были</w:t>
      </w:r>
      <w:r>
        <w:rPr>
          <w:rFonts w:eastAsia="SFRM1200"/>
          <w:szCs w:val="22"/>
          <w:lang w:eastAsia="ru-RU"/>
        </w:rPr>
        <w:t xml:space="preserve"> получены П. Л. Чебышёвым (1821–1894), А. М. </w:t>
      </w:r>
      <w:r w:rsidRPr="00766D32">
        <w:rPr>
          <w:rFonts w:eastAsia="SFRM1200"/>
          <w:spacing w:val="-2"/>
          <w:szCs w:val="22"/>
          <w:lang w:eastAsia="ru-RU"/>
        </w:rPr>
        <w:t>Ляпуновым (1857–1918), позже большой вклад в ее развитие внесли</w:t>
      </w:r>
      <w:r>
        <w:rPr>
          <w:rFonts w:eastAsia="SFRM1200"/>
          <w:szCs w:val="22"/>
          <w:lang w:eastAsia="ru-RU"/>
        </w:rPr>
        <w:t xml:space="preserve"> Е. Е. Слуцкий (1903–</w:t>
      </w:r>
      <w:r w:rsidRPr="00792853">
        <w:rPr>
          <w:rFonts w:eastAsia="SFRM1200"/>
          <w:szCs w:val="22"/>
          <w:lang w:eastAsia="ru-RU"/>
        </w:rPr>
        <w:t>1987) и ряд других</w:t>
      </w:r>
      <w:r>
        <w:rPr>
          <w:rFonts w:eastAsia="SFRM1200"/>
          <w:szCs w:val="22"/>
          <w:lang w:eastAsia="ru-RU"/>
        </w:rPr>
        <w:t>.</w:t>
      </w:r>
      <w:r w:rsidRPr="00792853">
        <w:rPr>
          <w:rFonts w:eastAsia="SFRM1200"/>
          <w:szCs w:val="22"/>
          <w:lang w:eastAsia="ru-RU"/>
        </w:rPr>
        <w:t xml:space="preserve"> Основателем теории вероятностей как строгой математической дисциплины является Колмогоров Андрей Николаевич (1903–1988). Работы этих ученых и в данное время являются основой теории информации, теории надежности, кибернетики, теории ошибок</w:t>
      </w:r>
      <w:r>
        <w:rPr>
          <w:rFonts w:eastAsia="SFRM1200"/>
          <w:szCs w:val="22"/>
          <w:lang w:eastAsia="ru-RU"/>
        </w:rPr>
        <w:t>.</w:t>
      </w:r>
    </w:p>
    <w:p w:rsidR="00E136BB" w:rsidRDefault="00E136BB">
      <w:bookmarkStart w:id="0" w:name="_GoBack"/>
      <w:bookmarkEnd w:id="0"/>
    </w:p>
    <w:sectPr w:rsidR="00E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FRM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0A" w:rsidRDefault="00A14F7A" w:rsidP="00030BEC">
    <w:pPr>
      <w:pStyle w:val="a3"/>
      <w:pBdr>
        <w:bottom w:val="single" w:sz="4" w:space="4" w:color="auto"/>
      </w:pBdr>
      <w:spacing w:after="120"/>
    </w:pPr>
    <w:r>
      <w:t>Предисловие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0A" w:rsidRPr="00030BEC" w:rsidRDefault="00A14F7A" w:rsidP="00030BEC">
    <w:pPr>
      <w:pStyle w:val="a3"/>
      <w:pBdr>
        <w:bottom w:val="single" w:sz="4" w:space="4" w:color="auto"/>
      </w:pBdr>
      <w:spacing w:after="120"/>
    </w:pPr>
    <w:r>
      <w:t>Предисловие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0A" w:rsidRDefault="00A14F7A" w:rsidP="00030B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7A"/>
    <w:rsid w:val="00A14F7A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364DA-BC38-43FA-9617-8196CBD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7A"/>
    <w:pPr>
      <w:overflowPunct w:val="0"/>
      <w:autoSpaceDE w:val="0"/>
      <w:autoSpaceDN w:val="0"/>
      <w:adjustRightInd w:val="0"/>
      <w:spacing w:after="0" w:line="264" w:lineRule="auto"/>
      <w:ind w:firstLine="454"/>
      <w:jc w:val="both"/>
      <w:textAlignment w:val="baseline"/>
    </w:pPr>
    <w:rPr>
      <w:rFonts w:ascii="Times New Roman" w:eastAsia="SimSu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14F7A"/>
    <w:pPr>
      <w:keepNext/>
      <w:suppressLineNumbers/>
      <w:suppressAutoHyphens/>
      <w:ind w:firstLine="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4F7A"/>
    <w:pPr>
      <w:keepNext/>
      <w:suppressLineNumbers/>
      <w:suppressAutoHyphens/>
      <w:ind w:firstLine="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F7A"/>
    <w:rPr>
      <w:rFonts w:ascii="Arial" w:eastAsia="SimSun" w:hAnsi="Arial" w:cs="Arial"/>
      <w:b/>
      <w:bCs/>
      <w:caps/>
      <w:kern w:val="32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14F7A"/>
    <w:rPr>
      <w:rFonts w:ascii="Arial" w:eastAsia="SimSun" w:hAnsi="Arial" w:cs="Arial"/>
      <w:b/>
      <w:bCs/>
      <w:iCs/>
      <w:sz w:val="24"/>
      <w:szCs w:val="28"/>
      <w:lang w:eastAsia="zh-CN"/>
    </w:rPr>
  </w:style>
  <w:style w:type="paragraph" w:styleId="a3">
    <w:name w:val="header"/>
    <w:basedOn w:val="a"/>
    <w:link w:val="a4"/>
    <w:rsid w:val="00A14F7A"/>
    <w:pPr>
      <w:pBdr>
        <w:bottom w:val="single" w:sz="4" w:space="1" w:color="auto"/>
      </w:pBdr>
      <w:tabs>
        <w:tab w:val="center" w:pos="4677"/>
        <w:tab w:val="right" w:pos="9355"/>
      </w:tabs>
      <w:spacing w:line="240" w:lineRule="auto"/>
      <w:ind w:firstLine="0"/>
      <w:jc w:val="center"/>
    </w:pPr>
    <w:rPr>
      <w:rFonts w:ascii="Arial" w:hAnsi="Arial"/>
      <w:i/>
      <w:sz w:val="18"/>
    </w:rPr>
  </w:style>
  <w:style w:type="character" w:customStyle="1" w:styleId="a4">
    <w:name w:val="Верхний колонтитул Знак"/>
    <w:basedOn w:val="a0"/>
    <w:link w:val="a3"/>
    <w:rsid w:val="00A14F7A"/>
    <w:rPr>
      <w:rFonts w:ascii="Arial" w:eastAsia="SimSun" w:hAnsi="Arial" w:cs="Times New Roman"/>
      <w:i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2021-01-11T06:19:00Z</dcterms:created>
  <dcterms:modified xsi:type="dcterms:W3CDTF">2021-01-11T06:20:00Z</dcterms:modified>
</cp:coreProperties>
</file>