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3C" w:rsidRPr="0010503C" w:rsidRDefault="0010503C" w:rsidP="0010503C">
      <w:pPr>
        <w:pStyle w:val="Title"/>
        <w:rPr>
          <w:sz w:val="48"/>
        </w:rPr>
      </w:pPr>
      <w:r w:rsidRPr="0010503C">
        <w:rPr>
          <w:sz w:val="48"/>
        </w:rPr>
        <w:t>Supplementary Information – ERP measurement epochs</w:t>
      </w:r>
    </w:p>
    <w:p w:rsidR="0010503C" w:rsidRDefault="0010503C"/>
    <w:tbl>
      <w:tblPr>
        <w:tblW w:w="0" w:type="auto"/>
        <w:tblBorders>
          <w:insideH w:val="single" w:sz="4" w:space="0" w:color="auto"/>
        </w:tblBorders>
        <w:tblLook w:val="04A0" w:firstRow="1" w:lastRow="0" w:firstColumn="1" w:lastColumn="0" w:noHBand="0" w:noVBand="1"/>
      </w:tblPr>
      <w:tblGrid>
        <w:gridCol w:w="2870"/>
        <w:gridCol w:w="2265"/>
        <w:gridCol w:w="2667"/>
        <w:gridCol w:w="2664"/>
      </w:tblGrid>
      <w:tr w:rsidR="00600CBD" w:rsidRPr="0010503C" w:rsidTr="00600CBD">
        <w:trPr>
          <w:trHeight w:val="1013"/>
        </w:trPr>
        <w:tc>
          <w:tcPr>
            <w:tcW w:w="2870" w:type="dxa"/>
          </w:tcPr>
          <w:p w:rsidR="00180684" w:rsidRDefault="00600CBD" w:rsidP="00894FB9">
            <w:pPr>
              <w:jc w:val="center"/>
              <w:rPr>
                <w:b/>
              </w:rPr>
            </w:pPr>
            <w:r w:rsidRPr="00894FB9">
              <w:rPr>
                <w:b/>
              </w:rPr>
              <w:t xml:space="preserve">Peak latency </w:t>
            </w:r>
          </w:p>
          <w:p w:rsidR="00600CBD" w:rsidRPr="00894FB9" w:rsidRDefault="00600CBD" w:rsidP="00894FB9">
            <w:pPr>
              <w:jc w:val="center"/>
              <w:rPr>
                <w:b/>
              </w:rPr>
            </w:pPr>
            <w:r w:rsidRPr="00894FB9">
              <w:rPr>
                <w:b/>
              </w:rPr>
              <w:t>measurement epoch (</w:t>
            </w:r>
            <w:proofErr w:type="spellStart"/>
            <w:r w:rsidRPr="00894FB9">
              <w:rPr>
                <w:b/>
              </w:rPr>
              <w:t>ms</w:t>
            </w:r>
            <w:proofErr w:type="spellEnd"/>
            <w:r w:rsidRPr="00894FB9">
              <w:rPr>
                <w:b/>
              </w:rPr>
              <w:t>)</w:t>
            </w:r>
          </w:p>
        </w:tc>
        <w:tc>
          <w:tcPr>
            <w:tcW w:w="2265" w:type="dxa"/>
          </w:tcPr>
          <w:p w:rsidR="00600CBD" w:rsidRDefault="00600CBD" w:rsidP="00894FB9">
            <w:pPr>
              <w:jc w:val="center"/>
              <w:rPr>
                <w:b/>
              </w:rPr>
            </w:pPr>
            <w:r>
              <w:rPr>
                <w:b/>
              </w:rPr>
              <w:t>Puretone</w:t>
            </w:r>
          </w:p>
          <w:p w:rsidR="00600CBD" w:rsidRPr="00894FB9" w:rsidRDefault="00600CBD" w:rsidP="00894FB9">
            <w:pPr>
              <w:jc w:val="center"/>
              <w:rPr>
                <w:b/>
              </w:rPr>
            </w:pPr>
            <w:r>
              <w:rPr>
                <w:b/>
              </w:rPr>
              <w:t>(Experiment 1)</w:t>
            </w:r>
          </w:p>
        </w:tc>
        <w:tc>
          <w:tcPr>
            <w:tcW w:w="2667" w:type="dxa"/>
          </w:tcPr>
          <w:p w:rsidR="00600CBD" w:rsidRPr="00894FB9" w:rsidRDefault="00600CBD" w:rsidP="00894FB9">
            <w:pPr>
              <w:jc w:val="center"/>
              <w:rPr>
                <w:b/>
              </w:rPr>
            </w:pPr>
            <w:r w:rsidRPr="00894FB9">
              <w:rPr>
                <w:b/>
              </w:rPr>
              <w:t>Auditory</w:t>
            </w:r>
          </w:p>
          <w:p w:rsidR="00600CBD" w:rsidRPr="00894FB9" w:rsidRDefault="00600CBD" w:rsidP="00894FB9">
            <w:pPr>
              <w:jc w:val="center"/>
              <w:rPr>
                <w:b/>
              </w:rPr>
            </w:pPr>
            <w:r w:rsidRPr="00894FB9">
              <w:rPr>
                <w:b/>
              </w:rPr>
              <w:t>(Experiment 1)</w:t>
            </w:r>
          </w:p>
        </w:tc>
        <w:tc>
          <w:tcPr>
            <w:tcW w:w="2664" w:type="dxa"/>
          </w:tcPr>
          <w:p w:rsidR="00600CBD" w:rsidRPr="00894FB9" w:rsidRDefault="00600CBD" w:rsidP="00894FB9">
            <w:pPr>
              <w:jc w:val="center"/>
              <w:rPr>
                <w:b/>
              </w:rPr>
            </w:pPr>
            <w:r w:rsidRPr="00894FB9">
              <w:rPr>
                <w:b/>
              </w:rPr>
              <w:t>Audiovisual</w:t>
            </w:r>
          </w:p>
          <w:p w:rsidR="00600CBD" w:rsidRPr="00894FB9" w:rsidRDefault="00600CBD" w:rsidP="00894FB9">
            <w:pPr>
              <w:jc w:val="center"/>
              <w:rPr>
                <w:b/>
              </w:rPr>
            </w:pPr>
            <w:r w:rsidRPr="00894FB9">
              <w:rPr>
                <w:b/>
              </w:rPr>
              <w:t>(Experiment 2)</w:t>
            </w:r>
          </w:p>
        </w:tc>
      </w:tr>
      <w:tr w:rsidR="00600CBD" w:rsidRPr="0010503C" w:rsidTr="00600CBD">
        <w:trPr>
          <w:trHeight w:val="516"/>
        </w:trPr>
        <w:tc>
          <w:tcPr>
            <w:tcW w:w="2870" w:type="dxa"/>
          </w:tcPr>
          <w:p w:rsidR="00600CBD" w:rsidRPr="00894FB9" w:rsidRDefault="00600CBD" w:rsidP="00894FB9">
            <w:pPr>
              <w:jc w:val="center"/>
              <w:rPr>
                <w:b/>
              </w:rPr>
            </w:pPr>
            <w:r w:rsidRPr="00894FB9">
              <w:rPr>
                <w:b/>
              </w:rPr>
              <w:t>P50</w:t>
            </w:r>
          </w:p>
        </w:tc>
        <w:tc>
          <w:tcPr>
            <w:tcW w:w="2265" w:type="dxa"/>
          </w:tcPr>
          <w:p w:rsidR="00600CBD" w:rsidRPr="0010503C" w:rsidRDefault="00600CBD" w:rsidP="00894FB9">
            <w:pPr>
              <w:jc w:val="center"/>
            </w:pPr>
            <w:r w:rsidRPr="002357D2">
              <w:t>20-75</w:t>
            </w:r>
          </w:p>
        </w:tc>
        <w:tc>
          <w:tcPr>
            <w:tcW w:w="2667" w:type="dxa"/>
          </w:tcPr>
          <w:p w:rsidR="00600CBD" w:rsidRPr="0010503C" w:rsidRDefault="00600CBD" w:rsidP="00894FB9">
            <w:pPr>
              <w:jc w:val="center"/>
            </w:pPr>
            <w:r w:rsidRPr="0010503C">
              <w:t>20-65</w:t>
            </w:r>
          </w:p>
        </w:tc>
        <w:tc>
          <w:tcPr>
            <w:tcW w:w="2664" w:type="dxa"/>
          </w:tcPr>
          <w:p w:rsidR="00600CBD" w:rsidRPr="0010503C" w:rsidRDefault="00600CBD" w:rsidP="00894FB9">
            <w:pPr>
              <w:jc w:val="center"/>
            </w:pPr>
            <w:r w:rsidRPr="0010503C">
              <w:t>8-79</w:t>
            </w:r>
          </w:p>
        </w:tc>
      </w:tr>
      <w:tr w:rsidR="00600CBD" w:rsidRPr="0010503C" w:rsidTr="00600CBD">
        <w:trPr>
          <w:trHeight w:val="497"/>
        </w:trPr>
        <w:tc>
          <w:tcPr>
            <w:tcW w:w="2870" w:type="dxa"/>
          </w:tcPr>
          <w:p w:rsidR="00600CBD" w:rsidRPr="00894FB9" w:rsidRDefault="00600CBD" w:rsidP="00894FB9">
            <w:pPr>
              <w:jc w:val="center"/>
              <w:rPr>
                <w:b/>
              </w:rPr>
            </w:pPr>
            <w:r w:rsidRPr="00894FB9">
              <w:rPr>
                <w:b/>
              </w:rPr>
              <w:t>N1</w:t>
            </w:r>
          </w:p>
        </w:tc>
        <w:tc>
          <w:tcPr>
            <w:tcW w:w="2265" w:type="dxa"/>
          </w:tcPr>
          <w:p w:rsidR="00600CBD" w:rsidRPr="0010503C" w:rsidRDefault="00600CBD" w:rsidP="00894FB9">
            <w:pPr>
              <w:jc w:val="center"/>
            </w:pPr>
            <w:r w:rsidRPr="002357D2">
              <w:t>76-115</w:t>
            </w:r>
          </w:p>
        </w:tc>
        <w:tc>
          <w:tcPr>
            <w:tcW w:w="2667" w:type="dxa"/>
          </w:tcPr>
          <w:p w:rsidR="00600CBD" w:rsidRPr="0010503C" w:rsidRDefault="00600CBD" w:rsidP="00894FB9">
            <w:pPr>
              <w:jc w:val="center"/>
            </w:pPr>
            <w:r w:rsidRPr="0010503C">
              <w:t>60-150</w:t>
            </w:r>
          </w:p>
        </w:tc>
        <w:tc>
          <w:tcPr>
            <w:tcW w:w="2664" w:type="dxa"/>
          </w:tcPr>
          <w:p w:rsidR="00600CBD" w:rsidRPr="0010503C" w:rsidRDefault="00600CBD" w:rsidP="00894FB9">
            <w:pPr>
              <w:jc w:val="center"/>
            </w:pPr>
            <w:r w:rsidRPr="0010503C">
              <w:t>54-132</w:t>
            </w:r>
          </w:p>
        </w:tc>
      </w:tr>
      <w:tr w:rsidR="00600CBD" w:rsidRPr="0010503C" w:rsidTr="00600CBD">
        <w:trPr>
          <w:trHeight w:val="497"/>
        </w:trPr>
        <w:tc>
          <w:tcPr>
            <w:tcW w:w="2870" w:type="dxa"/>
          </w:tcPr>
          <w:p w:rsidR="00600CBD" w:rsidRPr="00894FB9" w:rsidRDefault="00600CBD" w:rsidP="00894FB9">
            <w:pPr>
              <w:jc w:val="center"/>
              <w:rPr>
                <w:b/>
              </w:rPr>
            </w:pPr>
            <w:r w:rsidRPr="00894FB9">
              <w:rPr>
                <w:b/>
              </w:rPr>
              <w:t>P2</w:t>
            </w:r>
          </w:p>
        </w:tc>
        <w:tc>
          <w:tcPr>
            <w:tcW w:w="2265" w:type="dxa"/>
          </w:tcPr>
          <w:p w:rsidR="00600CBD" w:rsidRPr="0010503C" w:rsidRDefault="00600CBD" w:rsidP="00894FB9">
            <w:pPr>
              <w:jc w:val="center"/>
            </w:pPr>
            <w:r w:rsidRPr="002357D2">
              <w:t>116-170</w:t>
            </w:r>
          </w:p>
        </w:tc>
        <w:tc>
          <w:tcPr>
            <w:tcW w:w="2667" w:type="dxa"/>
          </w:tcPr>
          <w:p w:rsidR="00600CBD" w:rsidRPr="0010503C" w:rsidRDefault="00600CBD" w:rsidP="00894FB9">
            <w:pPr>
              <w:jc w:val="center"/>
            </w:pPr>
            <w:r w:rsidRPr="0010503C">
              <w:t>115-235</w:t>
            </w:r>
          </w:p>
        </w:tc>
        <w:tc>
          <w:tcPr>
            <w:tcW w:w="2664" w:type="dxa"/>
          </w:tcPr>
          <w:p w:rsidR="00600CBD" w:rsidRPr="0010503C" w:rsidRDefault="00600CBD" w:rsidP="00894FB9">
            <w:pPr>
              <w:jc w:val="center"/>
            </w:pPr>
            <w:r w:rsidRPr="0010503C">
              <w:t>123-291</w:t>
            </w:r>
          </w:p>
        </w:tc>
      </w:tr>
      <w:tr w:rsidR="00600CBD" w:rsidRPr="0010503C" w:rsidTr="00600CBD">
        <w:trPr>
          <w:trHeight w:val="497"/>
        </w:trPr>
        <w:tc>
          <w:tcPr>
            <w:tcW w:w="2870" w:type="dxa"/>
          </w:tcPr>
          <w:p w:rsidR="00600CBD" w:rsidRPr="00894FB9" w:rsidRDefault="00600CBD" w:rsidP="00894FB9">
            <w:pPr>
              <w:jc w:val="center"/>
              <w:rPr>
                <w:b/>
              </w:rPr>
            </w:pPr>
            <w:r w:rsidRPr="00894FB9">
              <w:rPr>
                <w:b/>
              </w:rPr>
              <w:t>N2</w:t>
            </w:r>
          </w:p>
        </w:tc>
        <w:tc>
          <w:tcPr>
            <w:tcW w:w="2265" w:type="dxa"/>
          </w:tcPr>
          <w:p w:rsidR="00600CBD" w:rsidRPr="0010503C" w:rsidRDefault="00600CBD" w:rsidP="00894FB9">
            <w:pPr>
              <w:jc w:val="center"/>
            </w:pPr>
            <w:r w:rsidRPr="002357D2">
              <w:t>171-260</w:t>
            </w:r>
          </w:p>
        </w:tc>
        <w:tc>
          <w:tcPr>
            <w:tcW w:w="2667" w:type="dxa"/>
          </w:tcPr>
          <w:p w:rsidR="00600CBD" w:rsidRPr="0010503C" w:rsidRDefault="00600CBD" w:rsidP="00894FB9">
            <w:pPr>
              <w:jc w:val="center"/>
            </w:pPr>
            <w:r w:rsidRPr="0010503C">
              <w:t>180-350</w:t>
            </w:r>
          </w:p>
        </w:tc>
        <w:tc>
          <w:tcPr>
            <w:tcW w:w="2664" w:type="dxa"/>
          </w:tcPr>
          <w:p w:rsidR="00600CBD" w:rsidRPr="0010503C" w:rsidRDefault="00600CBD" w:rsidP="00894FB9">
            <w:pPr>
              <w:jc w:val="center"/>
            </w:pPr>
            <w:r w:rsidRPr="0010503C">
              <w:t>179-434</w:t>
            </w:r>
          </w:p>
        </w:tc>
      </w:tr>
      <w:tr w:rsidR="00D702E4" w:rsidRPr="0010503C" w:rsidTr="00600CBD">
        <w:trPr>
          <w:trHeight w:val="497"/>
        </w:trPr>
        <w:tc>
          <w:tcPr>
            <w:tcW w:w="2870" w:type="dxa"/>
          </w:tcPr>
          <w:p w:rsidR="00D702E4" w:rsidRPr="00894FB9" w:rsidRDefault="00D702E4" w:rsidP="00894FB9">
            <w:pPr>
              <w:jc w:val="center"/>
              <w:rPr>
                <w:b/>
              </w:rPr>
            </w:pPr>
            <w:r>
              <w:rPr>
                <w:b/>
              </w:rPr>
              <w:t>P3a</w:t>
            </w:r>
          </w:p>
        </w:tc>
        <w:tc>
          <w:tcPr>
            <w:tcW w:w="2265" w:type="dxa"/>
          </w:tcPr>
          <w:p w:rsidR="00D702E4" w:rsidRPr="002357D2" w:rsidRDefault="00D702E4" w:rsidP="00894FB9">
            <w:pPr>
              <w:jc w:val="center"/>
            </w:pPr>
            <w:proofErr w:type="spellStart"/>
            <w:r>
              <w:t>na</w:t>
            </w:r>
            <w:proofErr w:type="spellEnd"/>
          </w:p>
        </w:tc>
        <w:tc>
          <w:tcPr>
            <w:tcW w:w="2667" w:type="dxa"/>
          </w:tcPr>
          <w:p w:rsidR="00D702E4" w:rsidRPr="0010503C" w:rsidRDefault="008400AD" w:rsidP="00894FB9">
            <w:pPr>
              <w:jc w:val="center"/>
            </w:pPr>
            <w:r>
              <w:t>238-550</w:t>
            </w:r>
          </w:p>
        </w:tc>
        <w:tc>
          <w:tcPr>
            <w:tcW w:w="2664" w:type="dxa"/>
          </w:tcPr>
          <w:p w:rsidR="00D702E4" w:rsidRPr="0010503C" w:rsidRDefault="00D702E4" w:rsidP="00894FB9">
            <w:pPr>
              <w:jc w:val="center"/>
            </w:pPr>
            <w:proofErr w:type="spellStart"/>
            <w:r>
              <w:t>na</w:t>
            </w:r>
            <w:proofErr w:type="spellEnd"/>
          </w:p>
        </w:tc>
      </w:tr>
      <w:tr w:rsidR="00600CBD" w:rsidRPr="0010503C" w:rsidTr="00600CBD">
        <w:trPr>
          <w:trHeight w:val="497"/>
        </w:trPr>
        <w:tc>
          <w:tcPr>
            <w:tcW w:w="2870" w:type="dxa"/>
          </w:tcPr>
          <w:p w:rsidR="00600CBD" w:rsidRPr="00894FB9" w:rsidRDefault="00600CBD" w:rsidP="00894FB9">
            <w:pPr>
              <w:jc w:val="center"/>
              <w:rPr>
                <w:b/>
              </w:rPr>
            </w:pPr>
            <w:proofErr w:type="spellStart"/>
            <w:r w:rsidRPr="00894FB9">
              <w:rPr>
                <w:b/>
              </w:rPr>
              <w:t>aMMN</w:t>
            </w:r>
            <w:proofErr w:type="spellEnd"/>
          </w:p>
        </w:tc>
        <w:tc>
          <w:tcPr>
            <w:tcW w:w="2265" w:type="dxa"/>
          </w:tcPr>
          <w:p w:rsidR="00600CBD" w:rsidRPr="0010503C" w:rsidRDefault="00600CBD" w:rsidP="00894FB9">
            <w:pPr>
              <w:jc w:val="center"/>
            </w:pPr>
            <w:proofErr w:type="spellStart"/>
            <w:r>
              <w:t>na</w:t>
            </w:r>
            <w:proofErr w:type="spellEnd"/>
          </w:p>
        </w:tc>
        <w:tc>
          <w:tcPr>
            <w:tcW w:w="2667" w:type="dxa"/>
          </w:tcPr>
          <w:p w:rsidR="00600CBD" w:rsidRPr="0010503C" w:rsidRDefault="00600CBD" w:rsidP="00894FB9">
            <w:pPr>
              <w:jc w:val="center"/>
            </w:pPr>
            <w:r w:rsidRPr="0010503C">
              <w:t>86-165</w:t>
            </w:r>
          </w:p>
        </w:tc>
        <w:tc>
          <w:tcPr>
            <w:tcW w:w="2664" w:type="dxa"/>
          </w:tcPr>
          <w:p w:rsidR="00600CBD" w:rsidRPr="0010503C" w:rsidRDefault="00600CBD" w:rsidP="00894FB9">
            <w:pPr>
              <w:jc w:val="center"/>
            </w:pPr>
            <w:proofErr w:type="spellStart"/>
            <w:r>
              <w:t>na</w:t>
            </w:r>
            <w:proofErr w:type="spellEnd"/>
          </w:p>
        </w:tc>
      </w:tr>
      <w:tr w:rsidR="00600CBD" w:rsidRPr="0010503C" w:rsidTr="00491931">
        <w:trPr>
          <w:trHeight w:val="497"/>
        </w:trPr>
        <w:tc>
          <w:tcPr>
            <w:tcW w:w="10466" w:type="dxa"/>
            <w:gridSpan w:val="4"/>
          </w:tcPr>
          <w:p w:rsidR="00600CBD" w:rsidRPr="0010503C" w:rsidRDefault="00600CBD" w:rsidP="00600CBD">
            <w:r w:rsidRPr="0010503C">
              <w:t xml:space="preserve">Table </w:t>
            </w:r>
            <w:r>
              <w:t>1</w:t>
            </w:r>
            <w:r w:rsidRPr="0010503C">
              <w:t>: Measurement epochs (</w:t>
            </w:r>
            <w:proofErr w:type="spellStart"/>
            <w:r w:rsidRPr="0010503C">
              <w:t>ms</w:t>
            </w:r>
            <w:proofErr w:type="spellEnd"/>
            <w:r w:rsidRPr="0010503C">
              <w:t xml:space="preserve">) for peak latency of </w:t>
            </w:r>
            <w:r>
              <w:t>ERP</w:t>
            </w:r>
            <w:r w:rsidRPr="0010503C">
              <w:t xml:space="preserve">s following inspection of grand average waveforms. </w:t>
            </w:r>
          </w:p>
        </w:tc>
      </w:tr>
    </w:tbl>
    <w:p w:rsidR="000B2D1C" w:rsidRDefault="000B2D1C"/>
    <w:tbl>
      <w:tblPr>
        <w:tblW w:w="10466" w:type="dxa"/>
        <w:tblBorders>
          <w:insideH w:val="single" w:sz="4" w:space="0" w:color="auto"/>
        </w:tblBorders>
        <w:tblLook w:val="04A0" w:firstRow="1" w:lastRow="0" w:firstColumn="1" w:lastColumn="0" w:noHBand="0" w:noVBand="1"/>
      </w:tblPr>
      <w:tblGrid>
        <w:gridCol w:w="1261"/>
        <w:gridCol w:w="1481"/>
        <w:gridCol w:w="1287"/>
        <w:gridCol w:w="1287"/>
        <w:gridCol w:w="1288"/>
        <w:gridCol w:w="1287"/>
        <w:gridCol w:w="1287"/>
        <w:gridCol w:w="1288"/>
      </w:tblGrid>
      <w:tr w:rsidR="00600CBD" w:rsidRPr="0010503C" w:rsidTr="00180684">
        <w:tc>
          <w:tcPr>
            <w:tcW w:w="2742" w:type="dxa"/>
            <w:gridSpan w:val="2"/>
          </w:tcPr>
          <w:p w:rsidR="00180684" w:rsidRDefault="00600CBD" w:rsidP="00894FB9">
            <w:pPr>
              <w:jc w:val="center"/>
              <w:rPr>
                <w:b/>
              </w:rPr>
            </w:pPr>
            <w:r w:rsidRPr="00894FB9">
              <w:rPr>
                <w:b/>
              </w:rPr>
              <w:t xml:space="preserve">Peak amplitude </w:t>
            </w:r>
          </w:p>
          <w:p w:rsidR="00600CBD" w:rsidRPr="00894FB9" w:rsidRDefault="00600CBD" w:rsidP="00894FB9">
            <w:pPr>
              <w:jc w:val="center"/>
              <w:rPr>
                <w:b/>
              </w:rPr>
            </w:pPr>
            <w:r w:rsidRPr="00894FB9">
              <w:rPr>
                <w:b/>
              </w:rPr>
              <w:t>measurement epoch (</w:t>
            </w:r>
            <w:proofErr w:type="spellStart"/>
            <w:r w:rsidRPr="00894FB9">
              <w:rPr>
                <w:b/>
              </w:rPr>
              <w:t>ms</w:t>
            </w:r>
            <w:proofErr w:type="spellEnd"/>
            <w:r w:rsidRPr="00894FB9">
              <w:rPr>
                <w:b/>
              </w:rPr>
              <w:t>)</w:t>
            </w:r>
          </w:p>
        </w:tc>
        <w:tc>
          <w:tcPr>
            <w:tcW w:w="2574" w:type="dxa"/>
            <w:gridSpan w:val="2"/>
          </w:tcPr>
          <w:p w:rsidR="00180684" w:rsidRDefault="00600CBD" w:rsidP="00180684">
            <w:pPr>
              <w:jc w:val="center"/>
              <w:rPr>
                <w:b/>
              </w:rPr>
            </w:pPr>
            <w:r>
              <w:rPr>
                <w:b/>
              </w:rPr>
              <w:t>Puretone</w:t>
            </w:r>
          </w:p>
          <w:p w:rsidR="00600CBD" w:rsidRPr="00894FB9" w:rsidRDefault="00600CBD" w:rsidP="00180684">
            <w:pPr>
              <w:jc w:val="center"/>
              <w:rPr>
                <w:b/>
              </w:rPr>
            </w:pPr>
            <w:r>
              <w:rPr>
                <w:b/>
              </w:rPr>
              <w:t>(Experiment 1)</w:t>
            </w:r>
          </w:p>
        </w:tc>
        <w:tc>
          <w:tcPr>
            <w:tcW w:w="2575" w:type="dxa"/>
            <w:gridSpan w:val="2"/>
          </w:tcPr>
          <w:p w:rsidR="00600CBD" w:rsidRPr="00894FB9" w:rsidRDefault="00600CBD" w:rsidP="00894FB9">
            <w:pPr>
              <w:jc w:val="center"/>
              <w:rPr>
                <w:b/>
              </w:rPr>
            </w:pPr>
            <w:r w:rsidRPr="00894FB9">
              <w:rPr>
                <w:b/>
              </w:rPr>
              <w:t>Auditory</w:t>
            </w:r>
          </w:p>
          <w:p w:rsidR="00600CBD" w:rsidRPr="00894FB9" w:rsidRDefault="00600CBD" w:rsidP="00894FB9">
            <w:pPr>
              <w:jc w:val="center"/>
              <w:rPr>
                <w:b/>
              </w:rPr>
            </w:pPr>
            <w:r w:rsidRPr="00894FB9">
              <w:rPr>
                <w:b/>
              </w:rPr>
              <w:t>(Experiment 1)</w:t>
            </w:r>
          </w:p>
        </w:tc>
        <w:tc>
          <w:tcPr>
            <w:tcW w:w="2575" w:type="dxa"/>
            <w:gridSpan w:val="2"/>
          </w:tcPr>
          <w:p w:rsidR="00600CBD" w:rsidRPr="00894FB9" w:rsidRDefault="00600CBD" w:rsidP="00894FB9">
            <w:pPr>
              <w:jc w:val="center"/>
              <w:rPr>
                <w:b/>
              </w:rPr>
            </w:pPr>
            <w:r w:rsidRPr="00894FB9">
              <w:rPr>
                <w:b/>
              </w:rPr>
              <w:t>Audiovisual</w:t>
            </w:r>
          </w:p>
          <w:p w:rsidR="00600CBD" w:rsidRPr="00894FB9" w:rsidRDefault="00600CBD" w:rsidP="00894FB9">
            <w:pPr>
              <w:jc w:val="center"/>
              <w:rPr>
                <w:b/>
              </w:rPr>
            </w:pPr>
            <w:r w:rsidRPr="00894FB9">
              <w:rPr>
                <w:b/>
              </w:rPr>
              <w:t>(Experiment 2)</w:t>
            </w:r>
          </w:p>
        </w:tc>
      </w:tr>
      <w:tr w:rsidR="00600CBD" w:rsidRPr="0010503C" w:rsidTr="00180684">
        <w:tc>
          <w:tcPr>
            <w:tcW w:w="1261" w:type="dxa"/>
          </w:tcPr>
          <w:p w:rsidR="00600CBD" w:rsidRPr="00894FB9" w:rsidRDefault="00600CBD" w:rsidP="00600CBD">
            <w:pPr>
              <w:jc w:val="center"/>
              <w:rPr>
                <w:b/>
              </w:rPr>
            </w:pPr>
          </w:p>
        </w:tc>
        <w:tc>
          <w:tcPr>
            <w:tcW w:w="1481" w:type="dxa"/>
          </w:tcPr>
          <w:p w:rsidR="00600CBD" w:rsidRPr="00894FB9" w:rsidRDefault="00600CBD" w:rsidP="00600CBD">
            <w:pPr>
              <w:jc w:val="center"/>
              <w:rPr>
                <w:b/>
              </w:rPr>
            </w:pPr>
          </w:p>
        </w:tc>
        <w:tc>
          <w:tcPr>
            <w:tcW w:w="1287" w:type="dxa"/>
          </w:tcPr>
          <w:p w:rsidR="00600CBD" w:rsidRPr="00894FB9" w:rsidRDefault="00600CBD" w:rsidP="00600CBD">
            <w:pPr>
              <w:jc w:val="center"/>
              <w:rPr>
                <w:b/>
              </w:rPr>
            </w:pPr>
            <w:r w:rsidRPr="00894FB9">
              <w:rPr>
                <w:b/>
              </w:rPr>
              <w:t>Young</w:t>
            </w:r>
          </w:p>
        </w:tc>
        <w:tc>
          <w:tcPr>
            <w:tcW w:w="1287" w:type="dxa"/>
          </w:tcPr>
          <w:p w:rsidR="00600CBD" w:rsidRPr="00894FB9" w:rsidRDefault="00600CBD" w:rsidP="00600CBD">
            <w:pPr>
              <w:jc w:val="center"/>
              <w:rPr>
                <w:b/>
              </w:rPr>
            </w:pPr>
            <w:r w:rsidRPr="00894FB9">
              <w:rPr>
                <w:b/>
              </w:rPr>
              <w:t>Old</w:t>
            </w:r>
          </w:p>
        </w:tc>
        <w:tc>
          <w:tcPr>
            <w:tcW w:w="1288" w:type="dxa"/>
          </w:tcPr>
          <w:p w:rsidR="00600CBD" w:rsidRPr="00894FB9" w:rsidRDefault="00600CBD" w:rsidP="00600CBD">
            <w:pPr>
              <w:jc w:val="center"/>
              <w:rPr>
                <w:b/>
              </w:rPr>
            </w:pPr>
            <w:r w:rsidRPr="00894FB9">
              <w:rPr>
                <w:b/>
              </w:rPr>
              <w:t>Young</w:t>
            </w:r>
          </w:p>
        </w:tc>
        <w:tc>
          <w:tcPr>
            <w:tcW w:w="1287" w:type="dxa"/>
          </w:tcPr>
          <w:p w:rsidR="00600CBD" w:rsidRPr="00894FB9" w:rsidRDefault="00600CBD" w:rsidP="00600CBD">
            <w:pPr>
              <w:jc w:val="center"/>
              <w:rPr>
                <w:b/>
              </w:rPr>
            </w:pPr>
            <w:r w:rsidRPr="00894FB9">
              <w:rPr>
                <w:b/>
              </w:rPr>
              <w:t>Old</w:t>
            </w:r>
          </w:p>
        </w:tc>
        <w:tc>
          <w:tcPr>
            <w:tcW w:w="1287" w:type="dxa"/>
          </w:tcPr>
          <w:p w:rsidR="00600CBD" w:rsidRPr="00894FB9" w:rsidRDefault="00600CBD" w:rsidP="00600CBD">
            <w:pPr>
              <w:jc w:val="center"/>
              <w:rPr>
                <w:b/>
              </w:rPr>
            </w:pPr>
            <w:r w:rsidRPr="00894FB9">
              <w:rPr>
                <w:b/>
              </w:rPr>
              <w:t>Young</w:t>
            </w:r>
          </w:p>
        </w:tc>
        <w:tc>
          <w:tcPr>
            <w:tcW w:w="1288" w:type="dxa"/>
          </w:tcPr>
          <w:p w:rsidR="00600CBD" w:rsidRPr="00894FB9" w:rsidRDefault="00600CBD" w:rsidP="00600CBD">
            <w:pPr>
              <w:jc w:val="center"/>
              <w:rPr>
                <w:b/>
              </w:rPr>
            </w:pPr>
            <w:r w:rsidRPr="00894FB9">
              <w:rPr>
                <w:b/>
              </w:rPr>
              <w:t>Old</w:t>
            </w:r>
          </w:p>
        </w:tc>
      </w:tr>
      <w:tr w:rsidR="00600CBD" w:rsidRPr="0010503C" w:rsidTr="00180684">
        <w:tc>
          <w:tcPr>
            <w:tcW w:w="1261" w:type="dxa"/>
            <w:vMerge w:val="restart"/>
            <w:vAlign w:val="center"/>
          </w:tcPr>
          <w:p w:rsidR="00600CBD" w:rsidRPr="00894FB9" w:rsidRDefault="00600CBD" w:rsidP="00600CBD">
            <w:pPr>
              <w:jc w:val="center"/>
              <w:rPr>
                <w:b/>
              </w:rPr>
            </w:pPr>
            <w:r w:rsidRPr="00894FB9">
              <w:rPr>
                <w:b/>
              </w:rPr>
              <w:t>P50</w:t>
            </w:r>
          </w:p>
        </w:tc>
        <w:tc>
          <w:tcPr>
            <w:tcW w:w="1481" w:type="dxa"/>
            <w:vAlign w:val="center"/>
          </w:tcPr>
          <w:p w:rsidR="00600CBD" w:rsidRPr="00894FB9" w:rsidRDefault="00600CBD" w:rsidP="00600CBD">
            <w:pPr>
              <w:jc w:val="center"/>
              <w:rPr>
                <w:b/>
              </w:rPr>
            </w:pPr>
            <w:r w:rsidRPr="00894FB9">
              <w:rPr>
                <w:b/>
              </w:rPr>
              <w:t>Standard</w:t>
            </w:r>
          </w:p>
        </w:tc>
        <w:tc>
          <w:tcPr>
            <w:tcW w:w="1287" w:type="dxa"/>
          </w:tcPr>
          <w:p w:rsidR="00600CBD" w:rsidRPr="0010503C" w:rsidRDefault="00180684" w:rsidP="00600CBD">
            <w:pPr>
              <w:jc w:val="center"/>
            </w:pPr>
            <w:r>
              <w:t>47-63</w:t>
            </w:r>
          </w:p>
        </w:tc>
        <w:tc>
          <w:tcPr>
            <w:tcW w:w="1287" w:type="dxa"/>
          </w:tcPr>
          <w:p w:rsidR="00600CBD" w:rsidRPr="0010503C" w:rsidRDefault="00180684" w:rsidP="00600CBD">
            <w:pPr>
              <w:jc w:val="center"/>
            </w:pPr>
            <w:r>
              <w:t>36-56</w:t>
            </w:r>
          </w:p>
        </w:tc>
        <w:tc>
          <w:tcPr>
            <w:tcW w:w="1288" w:type="dxa"/>
            <w:vAlign w:val="center"/>
          </w:tcPr>
          <w:p w:rsidR="00600CBD" w:rsidRPr="0010503C" w:rsidRDefault="00600CBD" w:rsidP="00600CBD">
            <w:pPr>
              <w:jc w:val="center"/>
            </w:pPr>
            <w:r w:rsidRPr="0010503C">
              <w:t>33-57</w:t>
            </w:r>
          </w:p>
        </w:tc>
        <w:tc>
          <w:tcPr>
            <w:tcW w:w="1287" w:type="dxa"/>
            <w:vAlign w:val="center"/>
          </w:tcPr>
          <w:p w:rsidR="00600CBD" w:rsidRPr="0010503C" w:rsidRDefault="00600CBD" w:rsidP="00600CBD">
            <w:pPr>
              <w:jc w:val="center"/>
            </w:pPr>
            <w:r w:rsidRPr="0010503C">
              <w:t>27-53</w:t>
            </w:r>
          </w:p>
        </w:tc>
        <w:tc>
          <w:tcPr>
            <w:tcW w:w="1287" w:type="dxa"/>
          </w:tcPr>
          <w:p w:rsidR="00600CBD" w:rsidRPr="002357D2" w:rsidRDefault="00600CBD" w:rsidP="00600CBD">
            <w:pPr>
              <w:jc w:val="center"/>
            </w:pPr>
            <w:r w:rsidRPr="002357D2">
              <w:t>584-610</w:t>
            </w:r>
          </w:p>
        </w:tc>
        <w:tc>
          <w:tcPr>
            <w:tcW w:w="1288" w:type="dxa"/>
          </w:tcPr>
          <w:p w:rsidR="00600CBD" w:rsidRPr="002357D2" w:rsidRDefault="00600CBD" w:rsidP="00600CBD">
            <w:pPr>
              <w:jc w:val="center"/>
            </w:pPr>
            <w:r w:rsidRPr="002357D2">
              <w:t>590-616</w:t>
            </w:r>
          </w:p>
        </w:tc>
      </w:tr>
      <w:tr w:rsidR="00600CBD" w:rsidRPr="0010503C" w:rsidTr="00180684">
        <w:tc>
          <w:tcPr>
            <w:tcW w:w="1261" w:type="dxa"/>
            <w:vMerge/>
            <w:vAlign w:val="center"/>
          </w:tcPr>
          <w:p w:rsidR="00600CBD" w:rsidRPr="00894FB9" w:rsidRDefault="00600CBD" w:rsidP="00600CBD">
            <w:pPr>
              <w:jc w:val="center"/>
              <w:rPr>
                <w:b/>
              </w:rPr>
            </w:pPr>
          </w:p>
        </w:tc>
        <w:tc>
          <w:tcPr>
            <w:tcW w:w="1481" w:type="dxa"/>
            <w:vAlign w:val="center"/>
          </w:tcPr>
          <w:p w:rsidR="00600CBD" w:rsidRPr="00894FB9" w:rsidRDefault="00600CBD" w:rsidP="00600CBD">
            <w:pPr>
              <w:jc w:val="center"/>
              <w:rPr>
                <w:b/>
              </w:rPr>
            </w:pPr>
            <w:r w:rsidRPr="00894FB9">
              <w:rPr>
                <w:b/>
              </w:rPr>
              <w:t>Deviant</w:t>
            </w:r>
          </w:p>
        </w:tc>
        <w:tc>
          <w:tcPr>
            <w:tcW w:w="1287" w:type="dxa"/>
          </w:tcPr>
          <w:p w:rsidR="00600CBD" w:rsidRPr="0010503C" w:rsidRDefault="00600CBD" w:rsidP="00600CBD">
            <w:pPr>
              <w:jc w:val="center"/>
            </w:pPr>
            <w:proofErr w:type="spellStart"/>
            <w:r>
              <w:t>na</w:t>
            </w:r>
            <w:proofErr w:type="spellEnd"/>
          </w:p>
        </w:tc>
        <w:tc>
          <w:tcPr>
            <w:tcW w:w="1287" w:type="dxa"/>
          </w:tcPr>
          <w:p w:rsidR="00600CBD" w:rsidRPr="0010503C" w:rsidRDefault="00180684" w:rsidP="00600CBD">
            <w:pPr>
              <w:jc w:val="center"/>
            </w:pPr>
            <w:proofErr w:type="spellStart"/>
            <w:r>
              <w:t>na</w:t>
            </w:r>
            <w:proofErr w:type="spellEnd"/>
          </w:p>
        </w:tc>
        <w:tc>
          <w:tcPr>
            <w:tcW w:w="1288" w:type="dxa"/>
            <w:vAlign w:val="center"/>
          </w:tcPr>
          <w:p w:rsidR="00600CBD" w:rsidRPr="0010503C" w:rsidRDefault="00600CBD" w:rsidP="00600CBD">
            <w:pPr>
              <w:jc w:val="center"/>
            </w:pPr>
            <w:r w:rsidRPr="0010503C">
              <w:t>33-55</w:t>
            </w:r>
          </w:p>
        </w:tc>
        <w:tc>
          <w:tcPr>
            <w:tcW w:w="1287" w:type="dxa"/>
            <w:vAlign w:val="center"/>
          </w:tcPr>
          <w:p w:rsidR="00600CBD" w:rsidRPr="0010503C" w:rsidRDefault="00600CBD" w:rsidP="00600CBD">
            <w:pPr>
              <w:jc w:val="center"/>
            </w:pPr>
            <w:r w:rsidRPr="0010503C">
              <w:t>35-61</w:t>
            </w:r>
          </w:p>
        </w:tc>
        <w:tc>
          <w:tcPr>
            <w:tcW w:w="1287" w:type="dxa"/>
          </w:tcPr>
          <w:p w:rsidR="00600CBD" w:rsidRPr="002357D2" w:rsidRDefault="00600CBD" w:rsidP="00600CBD">
            <w:pPr>
              <w:jc w:val="center"/>
            </w:pPr>
            <w:r w:rsidRPr="002357D2">
              <w:t>589-625</w:t>
            </w:r>
          </w:p>
        </w:tc>
        <w:tc>
          <w:tcPr>
            <w:tcW w:w="1288" w:type="dxa"/>
          </w:tcPr>
          <w:p w:rsidR="00600CBD" w:rsidRPr="002357D2" w:rsidRDefault="00600CBD" w:rsidP="00600CBD">
            <w:pPr>
              <w:jc w:val="center"/>
            </w:pPr>
            <w:r w:rsidRPr="002357D2">
              <w:t>602-628</w:t>
            </w:r>
          </w:p>
        </w:tc>
      </w:tr>
      <w:tr w:rsidR="00600CBD" w:rsidRPr="0010503C" w:rsidTr="00180684">
        <w:tc>
          <w:tcPr>
            <w:tcW w:w="1261" w:type="dxa"/>
            <w:vMerge w:val="restart"/>
            <w:vAlign w:val="center"/>
          </w:tcPr>
          <w:p w:rsidR="00600CBD" w:rsidRPr="00894FB9" w:rsidRDefault="00600CBD" w:rsidP="00600CBD">
            <w:pPr>
              <w:jc w:val="center"/>
              <w:rPr>
                <w:b/>
              </w:rPr>
            </w:pPr>
            <w:r w:rsidRPr="00894FB9">
              <w:rPr>
                <w:b/>
              </w:rPr>
              <w:t>N1</w:t>
            </w:r>
          </w:p>
        </w:tc>
        <w:tc>
          <w:tcPr>
            <w:tcW w:w="1481" w:type="dxa"/>
            <w:vAlign w:val="center"/>
          </w:tcPr>
          <w:p w:rsidR="00600CBD" w:rsidRPr="00894FB9" w:rsidRDefault="00600CBD" w:rsidP="00600CBD">
            <w:pPr>
              <w:jc w:val="center"/>
              <w:rPr>
                <w:b/>
              </w:rPr>
            </w:pPr>
            <w:r w:rsidRPr="00894FB9">
              <w:rPr>
                <w:b/>
              </w:rPr>
              <w:t>Standard</w:t>
            </w:r>
          </w:p>
        </w:tc>
        <w:tc>
          <w:tcPr>
            <w:tcW w:w="1287" w:type="dxa"/>
          </w:tcPr>
          <w:p w:rsidR="00600CBD" w:rsidRPr="0010503C" w:rsidRDefault="00180684" w:rsidP="00600CBD">
            <w:pPr>
              <w:jc w:val="center"/>
            </w:pPr>
            <w:r>
              <w:t>87-104</w:t>
            </w:r>
          </w:p>
        </w:tc>
        <w:tc>
          <w:tcPr>
            <w:tcW w:w="1287" w:type="dxa"/>
          </w:tcPr>
          <w:p w:rsidR="00600CBD" w:rsidRPr="0010503C" w:rsidRDefault="00180684" w:rsidP="00600CBD">
            <w:pPr>
              <w:jc w:val="center"/>
            </w:pPr>
            <w:r>
              <w:t>85-103</w:t>
            </w:r>
          </w:p>
        </w:tc>
        <w:tc>
          <w:tcPr>
            <w:tcW w:w="1288" w:type="dxa"/>
            <w:vAlign w:val="center"/>
          </w:tcPr>
          <w:p w:rsidR="00600CBD" w:rsidRPr="0010503C" w:rsidRDefault="00600CBD" w:rsidP="00600CBD">
            <w:pPr>
              <w:jc w:val="center"/>
            </w:pPr>
            <w:r w:rsidRPr="0010503C">
              <w:t>78-104</w:t>
            </w:r>
          </w:p>
        </w:tc>
        <w:tc>
          <w:tcPr>
            <w:tcW w:w="1287" w:type="dxa"/>
            <w:vAlign w:val="center"/>
          </w:tcPr>
          <w:p w:rsidR="00600CBD" w:rsidRPr="0010503C" w:rsidRDefault="00600CBD" w:rsidP="00600CBD">
            <w:pPr>
              <w:jc w:val="center"/>
            </w:pPr>
            <w:r w:rsidRPr="0010503C">
              <w:t>78-100</w:t>
            </w:r>
          </w:p>
        </w:tc>
        <w:tc>
          <w:tcPr>
            <w:tcW w:w="1287" w:type="dxa"/>
          </w:tcPr>
          <w:p w:rsidR="00600CBD" w:rsidRPr="002357D2" w:rsidRDefault="00600CBD" w:rsidP="00600CBD">
            <w:pPr>
              <w:jc w:val="center"/>
            </w:pPr>
            <w:r w:rsidRPr="002357D2">
              <w:t>642-662</w:t>
            </w:r>
          </w:p>
        </w:tc>
        <w:tc>
          <w:tcPr>
            <w:tcW w:w="1288" w:type="dxa"/>
          </w:tcPr>
          <w:p w:rsidR="00600CBD" w:rsidRPr="002357D2" w:rsidRDefault="00600CBD" w:rsidP="00600CBD">
            <w:pPr>
              <w:jc w:val="center"/>
            </w:pPr>
            <w:r w:rsidRPr="002357D2">
              <w:t>646-664</w:t>
            </w:r>
          </w:p>
        </w:tc>
      </w:tr>
      <w:tr w:rsidR="00600CBD" w:rsidRPr="0010503C" w:rsidTr="00180684">
        <w:tc>
          <w:tcPr>
            <w:tcW w:w="1261" w:type="dxa"/>
            <w:vMerge/>
            <w:vAlign w:val="center"/>
          </w:tcPr>
          <w:p w:rsidR="00600CBD" w:rsidRPr="00894FB9" w:rsidRDefault="00600CBD" w:rsidP="00600CBD">
            <w:pPr>
              <w:jc w:val="center"/>
              <w:rPr>
                <w:b/>
              </w:rPr>
            </w:pPr>
          </w:p>
        </w:tc>
        <w:tc>
          <w:tcPr>
            <w:tcW w:w="1481" w:type="dxa"/>
            <w:vAlign w:val="center"/>
          </w:tcPr>
          <w:p w:rsidR="00600CBD" w:rsidRPr="00894FB9" w:rsidRDefault="00600CBD" w:rsidP="00600CBD">
            <w:pPr>
              <w:jc w:val="center"/>
              <w:rPr>
                <w:b/>
              </w:rPr>
            </w:pPr>
            <w:r w:rsidRPr="00894FB9">
              <w:rPr>
                <w:b/>
              </w:rPr>
              <w:t>Deviant</w:t>
            </w:r>
          </w:p>
        </w:tc>
        <w:tc>
          <w:tcPr>
            <w:tcW w:w="1287" w:type="dxa"/>
          </w:tcPr>
          <w:p w:rsidR="00600CBD" w:rsidRPr="0010503C" w:rsidRDefault="00600CBD" w:rsidP="00600CBD">
            <w:pPr>
              <w:jc w:val="center"/>
            </w:pPr>
            <w:proofErr w:type="spellStart"/>
            <w:r>
              <w:t>na</w:t>
            </w:r>
            <w:proofErr w:type="spellEnd"/>
          </w:p>
        </w:tc>
        <w:tc>
          <w:tcPr>
            <w:tcW w:w="1287" w:type="dxa"/>
          </w:tcPr>
          <w:p w:rsidR="00600CBD" w:rsidRPr="0010503C" w:rsidRDefault="00180684" w:rsidP="00600CBD">
            <w:pPr>
              <w:jc w:val="center"/>
            </w:pPr>
            <w:proofErr w:type="spellStart"/>
            <w:r>
              <w:t>na</w:t>
            </w:r>
            <w:proofErr w:type="spellEnd"/>
          </w:p>
        </w:tc>
        <w:tc>
          <w:tcPr>
            <w:tcW w:w="1288" w:type="dxa"/>
            <w:vAlign w:val="center"/>
          </w:tcPr>
          <w:p w:rsidR="00600CBD" w:rsidRPr="0010503C" w:rsidRDefault="00600CBD" w:rsidP="00600CBD">
            <w:pPr>
              <w:jc w:val="center"/>
            </w:pPr>
            <w:r w:rsidRPr="0010503C">
              <w:t>101-123</w:t>
            </w:r>
          </w:p>
        </w:tc>
        <w:tc>
          <w:tcPr>
            <w:tcW w:w="1287" w:type="dxa"/>
            <w:vAlign w:val="center"/>
          </w:tcPr>
          <w:p w:rsidR="00600CBD" w:rsidRPr="0010503C" w:rsidRDefault="00600CBD" w:rsidP="00600CBD">
            <w:pPr>
              <w:jc w:val="center"/>
            </w:pPr>
            <w:r w:rsidRPr="0010503C">
              <w:t>87-115</w:t>
            </w:r>
          </w:p>
        </w:tc>
        <w:tc>
          <w:tcPr>
            <w:tcW w:w="1287" w:type="dxa"/>
          </w:tcPr>
          <w:p w:rsidR="00600CBD" w:rsidRPr="002357D2" w:rsidRDefault="00600CBD" w:rsidP="00600CBD">
            <w:pPr>
              <w:jc w:val="center"/>
            </w:pPr>
            <w:r w:rsidRPr="002357D2">
              <w:t>649-673</w:t>
            </w:r>
          </w:p>
        </w:tc>
        <w:tc>
          <w:tcPr>
            <w:tcW w:w="1288" w:type="dxa"/>
          </w:tcPr>
          <w:p w:rsidR="00600CBD" w:rsidRPr="002357D2" w:rsidRDefault="00600CBD" w:rsidP="00600CBD">
            <w:pPr>
              <w:jc w:val="center"/>
            </w:pPr>
            <w:r w:rsidRPr="002357D2">
              <w:t>650-674</w:t>
            </w:r>
          </w:p>
        </w:tc>
      </w:tr>
      <w:tr w:rsidR="00600CBD" w:rsidRPr="0010503C" w:rsidTr="00180684">
        <w:tc>
          <w:tcPr>
            <w:tcW w:w="1261" w:type="dxa"/>
            <w:vMerge w:val="restart"/>
            <w:vAlign w:val="center"/>
          </w:tcPr>
          <w:p w:rsidR="00600CBD" w:rsidRPr="00894FB9" w:rsidRDefault="00600CBD" w:rsidP="00600CBD">
            <w:pPr>
              <w:jc w:val="center"/>
              <w:rPr>
                <w:b/>
              </w:rPr>
            </w:pPr>
            <w:r w:rsidRPr="00894FB9">
              <w:rPr>
                <w:b/>
              </w:rPr>
              <w:t>P2</w:t>
            </w:r>
          </w:p>
        </w:tc>
        <w:tc>
          <w:tcPr>
            <w:tcW w:w="1481" w:type="dxa"/>
            <w:vAlign w:val="center"/>
          </w:tcPr>
          <w:p w:rsidR="00600CBD" w:rsidRPr="00894FB9" w:rsidRDefault="00600CBD" w:rsidP="00600CBD">
            <w:pPr>
              <w:jc w:val="center"/>
              <w:rPr>
                <w:b/>
              </w:rPr>
            </w:pPr>
            <w:r w:rsidRPr="00894FB9">
              <w:rPr>
                <w:b/>
              </w:rPr>
              <w:t>Standard</w:t>
            </w:r>
          </w:p>
        </w:tc>
        <w:tc>
          <w:tcPr>
            <w:tcW w:w="1287" w:type="dxa"/>
          </w:tcPr>
          <w:p w:rsidR="00600CBD" w:rsidRPr="0010503C" w:rsidRDefault="00180684" w:rsidP="00600CBD">
            <w:pPr>
              <w:jc w:val="center"/>
            </w:pPr>
            <w:r>
              <w:t>138-156</w:t>
            </w:r>
          </w:p>
        </w:tc>
        <w:tc>
          <w:tcPr>
            <w:tcW w:w="1287" w:type="dxa"/>
          </w:tcPr>
          <w:p w:rsidR="00600CBD" w:rsidRPr="0010503C" w:rsidRDefault="00180684" w:rsidP="00600CBD">
            <w:pPr>
              <w:jc w:val="center"/>
            </w:pPr>
            <w:r>
              <w:t>140-164</w:t>
            </w:r>
          </w:p>
        </w:tc>
        <w:tc>
          <w:tcPr>
            <w:tcW w:w="1288" w:type="dxa"/>
            <w:vAlign w:val="center"/>
          </w:tcPr>
          <w:p w:rsidR="00600CBD" w:rsidRPr="0010503C" w:rsidRDefault="00600CBD" w:rsidP="00600CBD">
            <w:pPr>
              <w:jc w:val="center"/>
            </w:pPr>
            <w:r w:rsidRPr="0010503C">
              <w:t>153-177</w:t>
            </w:r>
          </w:p>
        </w:tc>
        <w:tc>
          <w:tcPr>
            <w:tcW w:w="1287" w:type="dxa"/>
            <w:vAlign w:val="center"/>
          </w:tcPr>
          <w:p w:rsidR="00600CBD" w:rsidRPr="0010503C" w:rsidRDefault="00600CBD" w:rsidP="00600CBD">
            <w:pPr>
              <w:jc w:val="center"/>
            </w:pPr>
            <w:r w:rsidRPr="0010503C">
              <w:t>150-208</w:t>
            </w:r>
          </w:p>
        </w:tc>
        <w:tc>
          <w:tcPr>
            <w:tcW w:w="1287" w:type="dxa"/>
          </w:tcPr>
          <w:p w:rsidR="00600CBD" w:rsidRPr="002357D2" w:rsidRDefault="00600CBD" w:rsidP="00600CBD">
            <w:pPr>
              <w:jc w:val="center"/>
            </w:pPr>
            <w:r w:rsidRPr="002357D2">
              <w:t>723-745</w:t>
            </w:r>
          </w:p>
        </w:tc>
        <w:tc>
          <w:tcPr>
            <w:tcW w:w="1288" w:type="dxa"/>
          </w:tcPr>
          <w:p w:rsidR="00600CBD" w:rsidRPr="002357D2" w:rsidRDefault="00600CBD" w:rsidP="00600CBD">
            <w:pPr>
              <w:jc w:val="center"/>
            </w:pPr>
            <w:r w:rsidRPr="002357D2">
              <w:t>731-768</w:t>
            </w:r>
          </w:p>
        </w:tc>
      </w:tr>
      <w:tr w:rsidR="00600CBD" w:rsidRPr="0010503C" w:rsidTr="00180684">
        <w:tc>
          <w:tcPr>
            <w:tcW w:w="1261" w:type="dxa"/>
            <w:vMerge/>
            <w:vAlign w:val="center"/>
          </w:tcPr>
          <w:p w:rsidR="00600CBD" w:rsidRPr="00894FB9" w:rsidRDefault="00600CBD" w:rsidP="00600CBD">
            <w:pPr>
              <w:jc w:val="center"/>
              <w:rPr>
                <w:b/>
              </w:rPr>
            </w:pPr>
          </w:p>
        </w:tc>
        <w:tc>
          <w:tcPr>
            <w:tcW w:w="1481" w:type="dxa"/>
            <w:vAlign w:val="center"/>
          </w:tcPr>
          <w:p w:rsidR="00600CBD" w:rsidRPr="00894FB9" w:rsidRDefault="00600CBD" w:rsidP="00600CBD">
            <w:pPr>
              <w:jc w:val="center"/>
              <w:rPr>
                <w:b/>
              </w:rPr>
            </w:pPr>
            <w:r w:rsidRPr="00894FB9">
              <w:rPr>
                <w:b/>
              </w:rPr>
              <w:t>Deviant</w:t>
            </w:r>
          </w:p>
        </w:tc>
        <w:tc>
          <w:tcPr>
            <w:tcW w:w="1287" w:type="dxa"/>
          </w:tcPr>
          <w:p w:rsidR="00600CBD" w:rsidRPr="0010503C" w:rsidRDefault="00600CBD" w:rsidP="00600CBD">
            <w:pPr>
              <w:jc w:val="center"/>
            </w:pPr>
            <w:proofErr w:type="spellStart"/>
            <w:r>
              <w:t>na</w:t>
            </w:r>
            <w:proofErr w:type="spellEnd"/>
          </w:p>
        </w:tc>
        <w:tc>
          <w:tcPr>
            <w:tcW w:w="1287" w:type="dxa"/>
          </w:tcPr>
          <w:p w:rsidR="00600CBD" w:rsidRPr="0010503C" w:rsidRDefault="00180684" w:rsidP="00600CBD">
            <w:pPr>
              <w:jc w:val="center"/>
            </w:pPr>
            <w:proofErr w:type="spellStart"/>
            <w:r>
              <w:t>na</w:t>
            </w:r>
            <w:proofErr w:type="spellEnd"/>
          </w:p>
        </w:tc>
        <w:tc>
          <w:tcPr>
            <w:tcW w:w="1288" w:type="dxa"/>
            <w:vAlign w:val="center"/>
          </w:tcPr>
          <w:p w:rsidR="00600CBD" w:rsidRPr="0010503C" w:rsidRDefault="00600CBD" w:rsidP="00600CBD">
            <w:pPr>
              <w:jc w:val="center"/>
            </w:pPr>
            <w:r w:rsidRPr="0010503C">
              <w:t>174-218</w:t>
            </w:r>
          </w:p>
        </w:tc>
        <w:tc>
          <w:tcPr>
            <w:tcW w:w="1287" w:type="dxa"/>
            <w:vAlign w:val="center"/>
          </w:tcPr>
          <w:p w:rsidR="00600CBD" w:rsidRPr="0010503C" w:rsidRDefault="00600CBD" w:rsidP="00600CBD">
            <w:pPr>
              <w:jc w:val="center"/>
            </w:pPr>
            <w:r w:rsidRPr="0010503C">
              <w:t>173-217</w:t>
            </w:r>
          </w:p>
        </w:tc>
        <w:tc>
          <w:tcPr>
            <w:tcW w:w="1287" w:type="dxa"/>
          </w:tcPr>
          <w:p w:rsidR="00600CBD" w:rsidRPr="002357D2" w:rsidRDefault="00600CBD" w:rsidP="00600CBD">
            <w:pPr>
              <w:jc w:val="center"/>
            </w:pPr>
            <w:r w:rsidRPr="002357D2">
              <w:t>730-762</w:t>
            </w:r>
          </w:p>
        </w:tc>
        <w:tc>
          <w:tcPr>
            <w:tcW w:w="1288" w:type="dxa"/>
          </w:tcPr>
          <w:p w:rsidR="00600CBD" w:rsidRPr="002357D2" w:rsidRDefault="00600CBD" w:rsidP="00600CBD">
            <w:pPr>
              <w:jc w:val="center"/>
            </w:pPr>
            <w:r w:rsidRPr="002357D2">
              <w:t>747-793</w:t>
            </w:r>
          </w:p>
        </w:tc>
      </w:tr>
      <w:tr w:rsidR="00600CBD" w:rsidRPr="0010503C" w:rsidTr="00180684">
        <w:tc>
          <w:tcPr>
            <w:tcW w:w="1261" w:type="dxa"/>
            <w:vAlign w:val="center"/>
          </w:tcPr>
          <w:p w:rsidR="00600CBD" w:rsidRPr="00894FB9" w:rsidRDefault="00600CBD" w:rsidP="00600CBD">
            <w:pPr>
              <w:jc w:val="center"/>
              <w:rPr>
                <w:b/>
              </w:rPr>
            </w:pPr>
            <w:r w:rsidRPr="00894FB9">
              <w:rPr>
                <w:b/>
              </w:rPr>
              <w:t>N2</w:t>
            </w:r>
          </w:p>
        </w:tc>
        <w:tc>
          <w:tcPr>
            <w:tcW w:w="1481" w:type="dxa"/>
            <w:vAlign w:val="center"/>
          </w:tcPr>
          <w:p w:rsidR="00600CBD" w:rsidRPr="00894FB9" w:rsidRDefault="00600CBD" w:rsidP="00600CBD">
            <w:pPr>
              <w:jc w:val="center"/>
              <w:rPr>
                <w:b/>
              </w:rPr>
            </w:pPr>
            <w:r w:rsidRPr="00894FB9">
              <w:rPr>
                <w:b/>
              </w:rPr>
              <w:t>Standard</w:t>
            </w:r>
          </w:p>
        </w:tc>
        <w:tc>
          <w:tcPr>
            <w:tcW w:w="1287" w:type="dxa"/>
          </w:tcPr>
          <w:p w:rsidR="00600CBD" w:rsidRPr="0010503C" w:rsidRDefault="00180684" w:rsidP="00600CBD">
            <w:pPr>
              <w:jc w:val="center"/>
            </w:pPr>
            <w:r>
              <w:t>198-228</w:t>
            </w:r>
          </w:p>
        </w:tc>
        <w:tc>
          <w:tcPr>
            <w:tcW w:w="1287" w:type="dxa"/>
          </w:tcPr>
          <w:p w:rsidR="00600CBD" w:rsidRPr="0010503C" w:rsidRDefault="00180684" w:rsidP="00600CBD">
            <w:pPr>
              <w:jc w:val="center"/>
            </w:pPr>
            <w:r>
              <w:t>201-257</w:t>
            </w:r>
          </w:p>
        </w:tc>
        <w:tc>
          <w:tcPr>
            <w:tcW w:w="1288" w:type="dxa"/>
            <w:vAlign w:val="center"/>
          </w:tcPr>
          <w:p w:rsidR="00600CBD" w:rsidRPr="0010503C" w:rsidRDefault="00600CBD" w:rsidP="00600CBD">
            <w:pPr>
              <w:jc w:val="center"/>
            </w:pPr>
            <w:r w:rsidRPr="0010503C">
              <w:t>265-305</w:t>
            </w:r>
          </w:p>
        </w:tc>
        <w:tc>
          <w:tcPr>
            <w:tcW w:w="1287" w:type="dxa"/>
            <w:vAlign w:val="center"/>
          </w:tcPr>
          <w:p w:rsidR="00600CBD" w:rsidRPr="0010503C" w:rsidRDefault="00600CBD" w:rsidP="00600CBD">
            <w:pPr>
              <w:jc w:val="center"/>
            </w:pPr>
            <w:r w:rsidRPr="0010503C">
              <w:t>276-356</w:t>
            </w:r>
          </w:p>
        </w:tc>
        <w:tc>
          <w:tcPr>
            <w:tcW w:w="1287" w:type="dxa"/>
          </w:tcPr>
          <w:p w:rsidR="00600CBD" w:rsidRPr="002357D2" w:rsidRDefault="00600CBD" w:rsidP="00600CBD">
            <w:pPr>
              <w:jc w:val="center"/>
            </w:pPr>
            <w:r w:rsidRPr="002357D2">
              <w:t>825-869</w:t>
            </w:r>
          </w:p>
        </w:tc>
        <w:tc>
          <w:tcPr>
            <w:tcW w:w="1288" w:type="dxa"/>
          </w:tcPr>
          <w:p w:rsidR="00600CBD" w:rsidRPr="002357D2" w:rsidRDefault="00600CBD" w:rsidP="00600CBD">
            <w:pPr>
              <w:jc w:val="center"/>
            </w:pPr>
            <w:r w:rsidRPr="002357D2">
              <w:t>855-917</w:t>
            </w:r>
          </w:p>
        </w:tc>
      </w:tr>
      <w:tr w:rsidR="00D702E4" w:rsidRPr="0010503C" w:rsidTr="00180684">
        <w:tc>
          <w:tcPr>
            <w:tcW w:w="1261" w:type="dxa"/>
            <w:vAlign w:val="center"/>
          </w:tcPr>
          <w:p w:rsidR="00D702E4" w:rsidRPr="00894FB9" w:rsidRDefault="00D702E4" w:rsidP="00600CBD">
            <w:pPr>
              <w:jc w:val="center"/>
              <w:rPr>
                <w:b/>
              </w:rPr>
            </w:pPr>
            <w:r>
              <w:rPr>
                <w:b/>
              </w:rPr>
              <w:t>P3a</w:t>
            </w:r>
          </w:p>
        </w:tc>
        <w:tc>
          <w:tcPr>
            <w:tcW w:w="1481" w:type="dxa"/>
            <w:vAlign w:val="center"/>
          </w:tcPr>
          <w:p w:rsidR="00D702E4" w:rsidRPr="00894FB9" w:rsidRDefault="00D702E4" w:rsidP="00600CBD">
            <w:pPr>
              <w:jc w:val="center"/>
              <w:rPr>
                <w:b/>
              </w:rPr>
            </w:pPr>
            <w:r>
              <w:rPr>
                <w:b/>
              </w:rPr>
              <w:t>Deviant</w:t>
            </w:r>
          </w:p>
        </w:tc>
        <w:tc>
          <w:tcPr>
            <w:tcW w:w="1287" w:type="dxa"/>
          </w:tcPr>
          <w:p w:rsidR="00D702E4" w:rsidRDefault="00D702E4" w:rsidP="00600CBD">
            <w:pPr>
              <w:jc w:val="center"/>
            </w:pPr>
            <w:proofErr w:type="spellStart"/>
            <w:r>
              <w:t>na</w:t>
            </w:r>
            <w:proofErr w:type="spellEnd"/>
          </w:p>
        </w:tc>
        <w:tc>
          <w:tcPr>
            <w:tcW w:w="1287" w:type="dxa"/>
          </w:tcPr>
          <w:p w:rsidR="00D702E4" w:rsidRDefault="00D702E4" w:rsidP="00600CBD">
            <w:pPr>
              <w:jc w:val="center"/>
            </w:pPr>
            <w:proofErr w:type="spellStart"/>
            <w:r>
              <w:t>na</w:t>
            </w:r>
            <w:proofErr w:type="spellEnd"/>
          </w:p>
        </w:tc>
        <w:tc>
          <w:tcPr>
            <w:tcW w:w="1288" w:type="dxa"/>
            <w:vAlign w:val="center"/>
          </w:tcPr>
          <w:p w:rsidR="00D702E4" w:rsidRPr="0010503C" w:rsidRDefault="00DB28B6" w:rsidP="00600CBD">
            <w:pPr>
              <w:jc w:val="center"/>
            </w:pPr>
            <w:r>
              <w:t>292-366</w:t>
            </w:r>
          </w:p>
        </w:tc>
        <w:tc>
          <w:tcPr>
            <w:tcW w:w="1287" w:type="dxa"/>
            <w:vAlign w:val="center"/>
          </w:tcPr>
          <w:p w:rsidR="00D702E4" w:rsidRPr="0010503C" w:rsidRDefault="00DB28B6" w:rsidP="00600CBD">
            <w:pPr>
              <w:jc w:val="center"/>
            </w:pPr>
            <w:r>
              <w:t>312-410</w:t>
            </w:r>
          </w:p>
        </w:tc>
        <w:tc>
          <w:tcPr>
            <w:tcW w:w="1287" w:type="dxa"/>
          </w:tcPr>
          <w:p w:rsidR="00D702E4" w:rsidRPr="002357D2" w:rsidRDefault="00D702E4" w:rsidP="00600CBD">
            <w:pPr>
              <w:jc w:val="center"/>
            </w:pPr>
            <w:proofErr w:type="spellStart"/>
            <w:r>
              <w:t>na</w:t>
            </w:r>
            <w:proofErr w:type="spellEnd"/>
          </w:p>
        </w:tc>
        <w:tc>
          <w:tcPr>
            <w:tcW w:w="1288" w:type="dxa"/>
          </w:tcPr>
          <w:p w:rsidR="00D702E4" w:rsidRPr="002357D2" w:rsidRDefault="00D702E4" w:rsidP="00600CBD">
            <w:pPr>
              <w:jc w:val="center"/>
            </w:pPr>
            <w:proofErr w:type="spellStart"/>
            <w:r>
              <w:t>na</w:t>
            </w:r>
            <w:proofErr w:type="spellEnd"/>
          </w:p>
        </w:tc>
      </w:tr>
      <w:tr w:rsidR="00180684" w:rsidRPr="0010503C" w:rsidTr="00A945A6">
        <w:tc>
          <w:tcPr>
            <w:tcW w:w="10466" w:type="dxa"/>
            <w:gridSpan w:val="8"/>
          </w:tcPr>
          <w:p w:rsidR="00180684" w:rsidRPr="0010503C" w:rsidRDefault="00180684" w:rsidP="00600CBD">
            <w:r w:rsidRPr="0010503C">
              <w:t xml:space="preserve">Table </w:t>
            </w:r>
            <w:r>
              <w:t>2</w:t>
            </w:r>
            <w:r w:rsidRPr="0010503C">
              <w:t>: Measurement epochs (</w:t>
            </w:r>
            <w:proofErr w:type="spellStart"/>
            <w:r w:rsidRPr="0010503C">
              <w:t>ms</w:t>
            </w:r>
            <w:proofErr w:type="spellEnd"/>
            <w:r w:rsidRPr="0010503C">
              <w:t xml:space="preserve">) for peak mean amplitude of </w:t>
            </w:r>
            <w:r>
              <w:t>ERP</w:t>
            </w:r>
            <w:r w:rsidRPr="0010503C">
              <w:t>s. Range based on one standard deviation around the mean peak latency.</w:t>
            </w:r>
          </w:p>
        </w:tc>
      </w:tr>
    </w:tbl>
    <w:p w:rsidR="00FE276B" w:rsidRDefault="00FE276B"/>
    <w:p w:rsidR="00FE276B" w:rsidRDefault="00FE276B" w:rsidP="00FE276B">
      <w:r>
        <w:br w:type="page"/>
      </w:r>
    </w:p>
    <w:p w:rsidR="0010503C" w:rsidRDefault="00FE276B" w:rsidP="00FE276B">
      <w:pPr>
        <w:pStyle w:val="Title"/>
      </w:pPr>
      <w:r>
        <w:lastRenderedPageBreak/>
        <w:t>Supplementary information – ERP Hearing threshold correlational analyses</w:t>
      </w:r>
    </w:p>
    <w:p w:rsidR="003C6409" w:rsidRDefault="003C6409" w:rsidP="003C6409">
      <w:r>
        <w:rPr>
          <w:noProof/>
          <w:lang w:eastAsia="en-GB"/>
        </w:rPr>
        <w:drawing>
          <wp:inline distT="0" distB="0" distL="0" distR="0" wp14:anchorId="364EC13A" wp14:editId="06579C99">
            <wp:extent cx="5731510" cy="286543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865439"/>
                    </a:xfrm>
                    <a:prstGeom prst="rect">
                      <a:avLst/>
                    </a:prstGeom>
                    <a:noFill/>
                    <a:ln>
                      <a:noFill/>
                    </a:ln>
                  </pic:spPr>
                </pic:pic>
              </a:graphicData>
            </a:graphic>
          </wp:inline>
        </w:drawing>
      </w:r>
    </w:p>
    <w:p w:rsidR="00054BD5" w:rsidRDefault="00054BD5" w:rsidP="003C6409">
      <w:pPr>
        <w:rPr>
          <w:b/>
          <w:lang w:val="en-US"/>
        </w:rPr>
      </w:pPr>
    </w:p>
    <w:p w:rsidR="003C6409" w:rsidRDefault="00054BD5" w:rsidP="003C6409">
      <w:pPr>
        <w:rPr>
          <w:lang w:val="en-US"/>
        </w:rPr>
      </w:pPr>
      <w:bookmarkStart w:id="0" w:name="_GoBack"/>
      <w:bookmarkEnd w:id="0"/>
      <w:r w:rsidRPr="00054BD5">
        <w:rPr>
          <w:b/>
          <w:lang w:val="en-US"/>
        </w:rPr>
        <w:t>Figure 1.</w:t>
      </w:r>
      <w:r>
        <w:rPr>
          <w:b/>
          <w:lang w:val="en-US"/>
        </w:rPr>
        <w:t xml:space="preserve"> </w:t>
      </w:r>
      <w:r w:rsidR="003C6409">
        <w:rPr>
          <w:lang w:val="en-US"/>
        </w:rPr>
        <w:t xml:space="preserve">Pearson’s r correlations between mean decibel increase in stimulus intensity for the auditory and audiovisual stimuli and peak amplitude measures for responses to standard stimuli in older adults. Note that values for negative peaks have been reversed so that a positive correlation equates to an enhanced peak amplitude irrespective of polarity across all components. * </w:t>
      </w:r>
      <w:proofErr w:type="gramStart"/>
      <w:r w:rsidR="003C6409">
        <w:rPr>
          <w:i/>
          <w:lang w:val="en-US"/>
        </w:rPr>
        <w:t>p</w:t>
      </w:r>
      <w:proofErr w:type="gramEnd"/>
      <w:r w:rsidR="003C6409">
        <w:rPr>
          <w:i/>
          <w:lang w:val="en-US"/>
        </w:rPr>
        <w:t xml:space="preserve"> </w:t>
      </w:r>
      <w:r w:rsidR="003C6409">
        <w:rPr>
          <w:lang w:val="en-US"/>
        </w:rPr>
        <w:t xml:space="preserve">&lt; 0.05  ** </w:t>
      </w:r>
      <w:r w:rsidR="003C6409">
        <w:rPr>
          <w:i/>
          <w:lang w:val="en-US"/>
        </w:rPr>
        <w:t xml:space="preserve">p </w:t>
      </w:r>
      <w:r w:rsidR="003C6409">
        <w:rPr>
          <w:lang w:val="en-US"/>
        </w:rPr>
        <w:t>&lt; 0.01</w:t>
      </w:r>
    </w:p>
    <w:p w:rsidR="003C6409" w:rsidRPr="003C6409" w:rsidRDefault="003C6409" w:rsidP="003C6409"/>
    <w:sectPr w:rsidR="003C6409" w:rsidRPr="003C6409" w:rsidSect="001050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3C"/>
    <w:rsid w:val="00054BD5"/>
    <w:rsid w:val="000B2D1C"/>
    <w:rsid w:val="0010503C"/>
    <w:rsid w:val="00180684"/>
    <w:rsid w:val="003C6409"/>
    <w:rsid w:val="004B200B"/>
    <w:rsid w:val="00600CBD"/>
    <w:rsid w:val="008400AD"/>
    <w:rsid w:val="00894FB9"/>
    <w:rsid w:val="00D702E4"/>
    <w:rsid w:val="00DB28B6"/>
    <w:rsid w:val="00EC4C38"/>
    <w:rsid w:val="00FE2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7B5FC-FE47-4FB9-9735-30C582C7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5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0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Stothart</dc:creator>
  <cp:keywords/>
  <dc:description/>
  <cp:lastModifiedBy>G Stothart</cp:lastModifiedBy>
  <cp:revision>5</cp:revision>
  <dcterms:created xsi:type="dcterms:W3CDTF">2016-05-12T13:52:00Z</dcterms:created>
  <dcterms:modified xsi:type="dcterms:W3CDTF">2016-05-12T13:59:00Z</dcterms:modified>
</cp:coreProperties>
</file>