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5A" w:rsidRPr="00284F5A" w:rsidRDefault="00284F5A" w:rsidP="00284F5A">
      <w:pPr>
        <w:ind w:firstLine="0"/>
        <w:jc w:val="center"/>
        <w:rPr>
          <w:bCs/>
          <w:caps/>
          <w:sz w:val="24"/>
          <w:lang w:eastAsia="en-US"/>
        </w:rPr>
      </w:pPr>
      <w:r w:rsidRPr="00284F5A">
        <w:rPr>
          <w:bCs/>
          <w:caps/>
          <w:sz w:val="24"/>
          <w:lang w:eastAsia="en-US"/>
        </w:rPr>
        <w:t>Learning как «обучение»: особенности национальной терминологии (комментарий к статьям В.И. Байденко, Н.А Селезнёвой)</w:t>
      </w:r>
    </w:p>
    <w:p w:rsidR="00693E68" w:rsidRDefault="00693E68" w:rsidP="00284F5A">
      <w:pPr>
        <w:spacing w:before="240"/>
        <w:ind w:hanging="142"/>
        <w:jc w:val="both"/>
        <w:rPr>
          <w:sz w:val="22"/>
          <w:szCs w:val="22"/>
        </w:rPr>
      </w:pPr>
      <w:r w:rsidRPr="00693E68">
        <w:rPr>
          <w:sz w:val="22"/>
          <w:szCs w:val="22"/>
        </w:rPr>
        <w:t>ГРЕБНЕВ Леонид Сергеевич – д</w:t>
      </w:r>
      <w:r w:rsidR="00073F58" w:rsidRPr="00073F58">
        <w:rPr>
          <w:sz w:val="22"/>
          <w:szCs w:val="22"/>
        </w:rPr>
        <w:t>-</w:t>
      </w:r>
      <w:r w:rsidRPr="00693E68">
        <w:rPr>
          <w:sz w:val="22"/>
          <w:szCs w:val="22"/>
        </w:rPr>
        <w:t xml:space="preserve">р </w:t>
      </w:r>
      <w:proofErr w:type="spellStart"/>
      <w:r w:rsidRPr="00693E68">
        <w:rPr>
          <w:sz w:val="22"/>
          <w:szCs w:val="22"/>
        </w:rPr>
        <w:t>экон</w:t>
      </w:r>
      <w:proofErr w:type="spellEnd"/>
      <w:r w:rsidRPr="00693E68">
        <w:rPr>
          <w:sz w:val="22"/>
          <w:szCs w:val="22"/>
        </w:rPr>
        <w:t>. наук, проф., Национальный исследовательский университет «Высшая школа экономики». E</w:t>
      </w:r>
      <w:r w:rsidR="00073F58" w:rsidRPr="00FB4B36">
        <w:rPr>
          <w:sz w:val="22"/>
          <w:szCs w:val="22"/>
        </w:rPr>
        <w:t>-</w:t>
      </w:r>
      <w:proofErr w:type="spellStart"/>
      <w:r w:rsidRPr="00693E68">
        <w:rPr>
          <w:sz w:val="22"/>
          <w:szCs w:val="22"/>
        </w:rPr>
        <w:t>mail</w:t>
      </w:r>
      <w:proofErr w:type="spellEnd"/>
      <w:r w:rsidRPr="00693E68">
        <w:rPr>
          <w:sz w:val="22"/>
          <w:szCs w:val="22"/>
        </w:rPr>
        <w:t xml:space="preserve">: </w:t>
      </w:r>
      <w:hyperlink r:id="rId7" w:history="1">
        <w:r w:rsidRPr="00082684">
          <w:rPr>
            <w:rStyle w:val="a7"/>
            <w:sz w:val="22"/>
            <w:szCs w:val="22"/>
          </w:rPr>
          <w:t>lgrebnev@hse.ru</w:t>
        </w:r>
      </w:hyperlink>
    </w:p>
    <w:p w:rsidR="009210F8" w:rsidRPr="00EA0079" w:rsidRDefault="009210F8" w:rsidP="00EF1FCF">
      <w:pPr>
        <w:spacing w:before="240" w:line="360" w:lineRule="auto"/>
        <w:jc w:val="both"/>
        <w:rPr>
          <w:sz w:val="22"/>
          <w:szCs w:val="22"/>
        </w:rPr>
      </w:pPr>
      <w:r w:rsidRPr="009210F8">
        <w:rPr>
          <w:b/>
          <w:i/>
          <w:sz w:val="22"/>
          <w:szCs w:val="22"/>
        </w:rPr>
        <w:t>Аннотация</w:t>
      </w:r>
      <w:r w:rsidR="00073F58" w:rsidRPr="00073F58">
        <w:rPr>
          <w:b/>
          <w:i/>
          <w:sz w:val="22"/>
          <w:szCs w:val="22"/>
        </w:rPr>
        <w:t>.</w:t>
      </w:r>
      <w:r w:rsidRPr="00073F58">
        <w:rPr>
          <w:sz w:val="22"/>
          <w:szCs w:val="22"/>
        </w:rPr>
        <w:t xml:space="preserve"> </w:t>
      </w:r>
      <w:r w:rsidR="00EA0079">
        <w:rPr>
          <w:sz w:val="22"/>
          <w:szCs w:val="22"/>
        </w:rPr>
        <w:t xml:space="preserve">В статье рассматриваются трудности адекватного перевода на русский язык термина </w:t>
      </w:r>
      <w:r w:rsidR="00EA0079">
        <w:rPr>
          <w:sz w:val="22"/>
          <w:szCs w:val="22"/>
          <w:lang w:val="en-US"/>
        </w:rPr>
        <w:t>learning</w:t>
      </w:r>
      <w:r w:rsidR="00EA0079" w:rsidRPr="00EA0079">
        <w:rPr>
          <w:sz w:val="22"/>
          <w:szCs w:val="22"/>
        </w:rPr>
        <w:t xml:space="preserve"> </w:t>
      </w:r>
      <w:r w:rsidR="00EA0079">
        <w:rPr>
          <w:sz w:val="22"/>
          <w:szCs w:val="22"/>
        </w:rPr>
        <w:t>–</w:t>
      </w:r>
      <w:r w:rsidR="00EA0079" w:rsidRPr="00EA0079">
        <w:rPr>
          <w:sz w:val="22"/>
          <w:szCs w:val="22"/>
        </w:rPr>
        <w:t xml:space="preserve"> </w:t>
      </w:r>
      <w:r w:rsidR="00EA0079">
        <w:rPr>
          <w:sz w:val="22"/>
          <w:szCs w:val="22"/>
        </w:rPr>
        <w:t>одного из ключевых в Болонском процессе.</w:t>
      </w:r>
      <w:r w:rsidR="00EF1FCF">
        <w:rPr>
          <w:sz w:val="22"/>
          <w:szCs w:val="22"/>
        </w:rPr>
        <w:t xml:space="preserve"> Отсутствие </w:t>
      </w:r>
      <w:r w:rsidR="00E76B90">
        <w:rPr>
          <w:sz w:val="22"/>
          <w:szCs w:val="22"/>
        </w:rPr>
        <w:t>однозначного</w:t>
      </w:r>
      <w:r w:rsidR="00EF1FCF">
        <w:rPr>
          <w:sz w:val="22"/>
          <w:szCs w:val="22"/>
        </w:rPr>
        <w:t xml:space="preserve"> перевода сказывается и на восприятии содержания цикла статей </w:t>
      </w:r>
      <w:r w:rsidR="00EF1FCF" w:rsidRPr="003C4C9B">
        <w:rPr>
          <w:sz w:val="22"/>
          <w:szCs w:val="22"/>
        </w:rPr>
        <w:t>В.И.</w:t>
      </w:r>
      <w:r w:rsidR="00EF1FCF">
        <w:rPr>
          <w:sz w:val="22"/>
          <w:szCs w:val="22"/>
        </w:rPr>
        <w:t> </w:t>
      </w:r>
      <w:proofErr w:type="spellStart"/>
      <w:r w:rsidR="00EF1FCF" w:rsidRPr="003C4C9B">
        <w:rPr>
          <w:sz w:val="22"/>
          <w:szCs w:val="22"/>
        </w:rPr>
        <w:t>Байденко</w:t>
      </w:r>
      <w:proofErr w:type="spellEnd"/>
      <w:r w:rsidR="00EF1FCF" w:rsidRPr="003C4C9B">
        <w:rPr>
          <w:sz w:val="22"/>
          <w:szCs w:val="22"/>
        </w:rPr>
        <w:t xml:space="preserve"> и Н.А.</w:t>
      </w:r>
      <w:r w:rsidR="00EF1FCF">
        <w:rPr>
          <w:sz w:val="22"/>
          <w:szCs w:val="22"/>
        </w:rPr>
        <w:t> </w:t>
      </w:r>
      <w:r w:rsidR="00EF1FCF" w:rsidRPr="003C4C9B">
        <w:rPr>
          <w:sz w:val="22"/>
          <w:szCs w:val="22"/>
        </w:rPr>
        <w:t>Селезневой</w:t>
      </w:r>
      <w:r w:rsidR="00EF1FCF">
        <w:rPr>
          <w:sz w:val="22"/>
          <w:szCs w:val="22"/>
        </w:rPr>
        <w:t>.</w:t>
      </w:r>
    </w:p>
    <w:p w:rsidR="009210F8" w:rsidRPr="00073F58" w:rsidRDefault="009210F8" w:rsidP="00EF1FCF">
      <w:pPr>
        <w:spacing w:line="360" w:lineRule="auto"/>
        <w:jc w:val="both"/>
        <w:rPr>
          <w:sz w:val="22"/>
          <w:szCs w:val="22"/>
        </w:rPr>
      </w:pPr>
      <w:r w:rsidRPr="009210F8">
        <w:rPr>
          <w:b/>
          <w:i/>
          <w:sz w:val="22"/>
          <w:szCs w:val="22"/>
        </w:rPr>
        <w:t>Ключевые слова</w:t>
      </w:r>
      <w:r w:rsidRPr="009210F8">
        <w:rPr>
          <w:sz w:val="22"/>
          <w:szCs w:val="22"/>
        </w:rPr>
        <w:t>:</w:t>
      </w:r>
      <w:r w:rsidR="00073F58" w:rsidRPr="00EA0079">
        <w:rPr>
          <w:sz w:val="22"/>
          <w:szCs w:val="22"/>
        </w:rPr>
        <w:t xml:space="preserve"> Болонский процесс,</w:t>
      </w:r>
      <w:r w:rsidR="00EA0079" w:rsidRPr="00EA0079">
        <w:rPr>
          <w:sz w:val="22"/>
          <w:szCs w:val="22"/>
        </w:rPr>
        <w:t xml:space="preserve"> преподавание, обучение</w:t>
      </w:r>
      <w:r w:rsidR="00EA0079">
        <w:rPr>
          <w:sz w:val="22"/>
          <w:szCs w:val="22"/>
        </w:rPr>
        <w:t>.</w:t>
      </w:r>
    </w:p>
    <w:p w:rsidR="009210F8" w:rsidRDefault="009210F8" w:rsidP="00EF1FCF">
      <w:pPr>
        <w:spacing w:line="360" w:lineRule="auto"/>
        <w:ind w:firstLine="567"/>
        <w:jc w:val="center"/>
        <w:rPr>
          <w:sz w:val="22"/>
          <w:szCs w:val="22"/>
        </w:rPr>
      </w:pPr>
      <w:r w:rsidRPr="009210F8">
        <w:rPr>
          <w:b/>
          <w:i/>
          <w:sz w:val="22"/>
          <w:szCs w:val="22"/>
        </w:rPr>
        <w:t>Для цитирования</w:t>
      </w:r>
      <w:r w:rsidRPr="009210F8">
        <w:rPr>
          <w:sz w:val="22"/>
          <w:szCs w:val="22"/>
        </w:rPr>
        <w:t xml:space="preserve">: Гребнев Л.С. </w:t>
      </w:r>
      <w:r w:rsidR="00FB4B36" w:rsidRPr="00FB4B36">
        <w:rPr>
          <w:sz w:val="22"/>
          <w:szCs w:val="22"/>
        </w:rPr>
        <w:t xml:space="preserve">«Обучение»: особенности национальной терминологии </w:t>
      </w:r>
      <w:r w:rsidRPr="009210F8">
        <w:rPr>
          <w:sz w:val="22"/>
          <w:szCs w:val="22"/>
        </w:rPr>
        <w:t>// В</w:t>
      </w:r>
      <w:r>
        <w:rPr>
          <w:sz w:val="22"/>
          <w:szCs w:val="22"/>
        </w:rPr>
        <w:t>ысшее образование в России. 201</w:t>
      </w:r>
      <w:r w:rsidRPr="00073F58">
        <w:rPr>
          <w:sz w:val="22"/>
          <w:szCs w:val="22"/>
        </w:rPr>
        <w:t>7</w:t>
      </w:r>
      <w:r w:rsidRPr="009210F8">
        <w:rPr>
          <w:sz w:val="22"/>
          <w:szCs w:val="22"/>
        </w:rPr>
        <w:t>. № 1</w:t>
      </w:r>
      <w:r w:rsidRPr="00073F58">
        <w:rPr>
          <w:sz w:val="22"/>
          <w:szCs w:val="22"/>
        </w:rPr>
        <w:t>2</w:t>
      </w:r>
      <w:r w:rsidRPr="009210F8">
        <w:rPr>
          <w:sz w:val="22"/>
          <w:szCs w:val="22"/>
        </w:rPr>
        <w:t xml:space="preserve"> (20</w:t>
      </w:r>
      <w:r w:rsidRPr="00073F58">
        <w:rPr>
          <w:sz w:val="22"/>
          <w:szCs w:val="22"/>
        </w:rPr>
        <w:t>16</w:t>
      </w:r>
      <w:r w:rsidRPr="009210F8">
        <w:rPr>
          <w:sz w:val="22"/>
          <w:szCs w:val="22"/>
        </w:rPr>
        <w:t>). С</w:t>
      </w:r>
      <w:r w:rsidR="00284F5A">
        <w:rPr>
          <w:sz w:val="22"/>
          <w:szCs w:val="22"/>
        </w:rPr>
        <w:t>. 133-135</w:t>
      </w:r>
    </w:p>
    <w:p w:rsidR="004F3575" w:rsidRPr="003C4C9B" w:rsidRDefault="004F3575" w:rsidP="00FB4B36">
      <w:pPr>
        <w:spacing w:before="240"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Не претендуя здесь на сколько-нибудь основательное включение в обсуждение</w:t>
      </w:r>
      <w:r w:rsidR="00FB4B36">
        <w:rPr>
          <w:sz w:val="22"/>
          <w:szCs w:val="22"/>
        </w:rPr>
        <w:t xml:space="preserve"> о</w:t>
      </w:r>
      <w:r w:rsidR="00FB4B36" w:rsidRPr="003C4C9B">
        <w:rPr>
          <w:sz w:val="22"/>
          <w:szCs w:val="22"/>
        </w:rPr>
        <w:t>чередн</w:t>
      </w:r>
      <w:r w:rsidR="00FB4B36">
        <w:rPr>
          <w:sz w:val="22"/>
          <w:szCs w:val="22"/>
        </w:rPr>
        <w:t>ой</w:t>
      </w:r>
      <w:r w:rsidR="00FB4B36" w:rsidRPr="003C4C9B">
        <w:rPr>
          <w:sz w:val="22"/>
          <w:szCs w:val="22"/>
        </w:rPr>
        <w:t xml:space="preserve"> сери</w:t>
      </w:r>
      <w:r w:rsidR="00FB4B36">
        <w:rPr>
          <w:sz w:val="22"/>
          <w:szCs w:val="22"/>
        </w:rPr>
        <w:t>и</w:t>
      </w:r>
      <w:r w:rsidR="00FB4B36" w:rsidRPr="003C4C9B">
        <w:rPr>
          <w:sz w:val="22"/>
          <w:szCs w:val="22"/>
        </w:rPr>
        <w:t xml:space="preserve"> обзорных статей В.И.</w:t>
      </w:r>
      <w:r w:rsidR="00FB4B36">
        <w:rPr>
          <w:sz w:val="22"/>
          <w:szCs w:val="22"/>
        </w:rPr>
        <w:t> </w:t>
      </w:r>
      <w:proofErr w:type="spellStart"/>
      <w:r w:rsidR="00FB4B36" w:rsidRPr="003C4C9B">
        <w:rPr>
          <w:sz w:val="22"/>
          <w:szCs w:val="22"/>
        </w:rPr>
        <w:t>Байденко</w:t>
      </w:r>
      <w:proofErr w:type="spellEnd"/>
      <w:r w:rsidR="00FB4B36" w:rsidRPr="003C4C9B">
        <w:rPr>
          <w:sz w:val="22"/>
          <w:szCs w:val="22"/>
        </w:rPr>
        <w:t xml:space="preserve"> и Н.А.</w:t>
      </w:r>
      <w:r w:rsidR="00FB4B36">
        <w:rPr>
          <w:sz w:val="22"/>
          <w:szCs w:val="22"/>
        </w:rPr>
        <w:t> </w:t>
      </w:r>
      <w:r w:rsidR="00FB4B36" w:rsidRPr="003C4C9B">
        <w:rPr>
          <w:sz w:val="22"/>
          <w:szCs w:val="22"/>
        </w:rPr>
        <w:t>Селезневой, посвященных болонскому процессу и его отражению в разнообразных сопутствующих публикаций, как нормативного, так и научного характера</w:t>
      </w:r>
      <w:r w:rsidRPr="003C4C9B">
        <w:rPr>
          <w:sz w:val="22"/>
          <w:szCs w:val="22"/>
        </w:rPr>
        <w:t xml:space="preserve">, хотелось бы обратить внимание читателей журнала только на одно, но ключевое положение. </w:t>
      </w:r>
      <w:r w:rsidR="007260CD" w:rsidRPr="003C4C9B">
        <w:rPr>
          <w:sz w:val="22"/>
          <w:szCs w:val="22"/>
        </w:rPr>
        <w:t xml:space="preserve">На английском языке оно формулируется как </w:t>
      </w:r>
      <w:r w:rsidR="000651FC" w:rsidRPr="003C4C9B">
        <w:rPr>
          <w:sz w:val="22"/>
          <w:szCs w:val="22"/>
        </w:rPr>
        <w:t>«</w:t>
      </w:r>
      <w:r w:rsidR="007260CD" w:rsidRPr="003C4C9B">
        <w:rPr>
          <w:sz w:val="22"/>
          <w:szCs w:val="22"/>
          <w:lang w:val="en-US"/>
        </w:rPr>
        <w:t>the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shift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from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teaching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to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learning</w:t>
      </w:r>
      <w:r w:rsidR="000651FC" w:rsidRPr="003C4C9B">
        <w:rPr>
          <w:sz w:val="22"/>
          <w:szCs w:val="22"/>
        </w:rPr>
        <w:t>»</w:t>
      </w:r>
      <w:r w:rsidR="007260CD" w:rsidRPr="003C4C9B">
        <w:rPr>
          <w:sz w:val="22"/>
          <w:szCs w:val="22"/>
        </w:rPr>
        <w:t xml:space="preserve">. Нетрудно заметить, что именно оно присутствует в названиях пяти материалов в списке литературы к последней, третьей статье. Близко по смыслу и другое английское выражение, также часто встречающееся в этом списке: </w:t>
      </w:r>
      <w:r w:rsidR="000651FC" w:rsidRPr="003C4C9B">
        <w:rPr>
          <w:sz w:val="22"/>
          <w:szCs w:val="22"/>
        </w:rPr>
        <w:t>«</w:t>
      </w:r>
      <w:r w:rsidR="007260CD" w:rsidRPr="003C4C9B">
        <w:rPr>
          <w:sz w:val="22"/>
          <w:szCs w:val="22"/>
          <w:lang w:val="en-US"/>
        </w:rPr>
        <w:t>student</w:t>
      </w:r>
      <w:r w:rsidR="007260CD" w:rsidRPr="003C4C9B">
        <w:rPr>
          <w:sz w:val="22"/>
          <w:szCs w:val="22"/>
        </w:rPr>
        <w:t>-</w:t>
      </w:r>
      <w:r w:rsidR="007260CD" w:rsidRPr="003C4C9B">
        <w:rPr>
          <w:sz w:val="22"/>
          <w:szCs w:val="22"/>
          <w:lang w:val="en-GB"/>
        </w:rPr>
        <w:t>centred</w:t>
      </w:r>
      <w:r w:rsidR="007260CD" w:rsidRPr="003C4C9B">
        <w:rPr>
          <w:sz w:val="22"/>
          <w:szCs w:val="22"/>
        </w:rPr>
        <w:t xml:space="preserve"> </w:t>
      </w:r>
      <w:r w:rsidR="007260CD" w:rsidRPr="003C4C9B">
        <w:rPr>
          <w:sz w:val="22"/>
          <w:szCs w:val="22"/>
          <w:lang w:val="en-US"/>
        </w:rPr>
        <w:t>learning</w:t>
      </w:r>
      <w:r w:rsidR="000651FC" w:rsidRPr="003C4C9B">
        <w:rPr>
          <w:sz w:val="22"/>
          <w:szCs w:val="22"/>
        </w:rPr>
        <w:t>»</w:t>
      </w:r>
      <w:r w:rsidR="007260CD" w:rsidRPr="003C4C9B">
        <w:rPr>
          <w:sz w:val="22"/>
          <w:szCs w:val="22"/>
        </w:rPr>
        <w:t>.</w:t>
      </w:r>
      <w:r w:rsidR="0083334B" w:rsidRPr="003C4C9B">
        <w:rPr>
          <w:sz w:val="22"/>
          <w:szCs w:val="22"/>
        </w:rPr>
        <w:t xml:space="preserve"> Можно также привести расшифровку аббревиатуры </w:t>
      </w:r>
      <w:r w:rsidR="0083334B" w:rsidRPr="003C4C9B">
        <w:rPr>
          <w:sz w:val="22"/>
          <w:szCs w:val="22"/>
          <w:lang w:val="en-US"/>
        </w:rPr>
        <w:t>LLL</w:t>
      </w:r>
      <w:r w:rsidR="0083334B" w:rsidRPr="003C4C9B">
        <w:rPr>
          <w:sz w:val="22"/>
          <w:szCs w:val="22"/>
        </w:rPr>
        <w:t>, часто встречающ</w:t>
      </w:r>
      <w:r w:rsidR="00073F58">
        <w:rPr>
          <w:sz w:val="22"/>
          <w:szCs w:val="22"/>
        </w:rPr>
        <w:t>ей</w:t>
      </w:r>
      <w:r w:rsidR="0083334B" w:rsidRPr="003C4C9B">
        <w:rPr>
          <w:sz w:val="22"/>
          <w:szCs w:val="22"/>
        </w:rPr>
        <w:t>ся в текстах: «</w:t>
      </w:r>
      <w:r w:rsidR="0083334B" w:rsidRPr="003C4C9B">
        <w:rPr>
          <w:sz w:val="22"/>
          <w:szCs w:val="22"/>
          <w:lang w:val="en-US"/>
        </w:rPr>
        <w:t>Lifelong</w:t>
      </w:r>
      <w:r w:rsidR="00073F58">
        <w:rPr>
          <w:sz w:val="22"/>
          <w:szCs w:val="22"/>
        </w:rPr>
        <w:t xml:space="preserve"> </w:t>
      </w:r>
      <w:r w:rsidR="00073F58">
        <w:rPr>
          <w:sz w:val="22"/>
          <w:szCs w:val="22"/>
          <w:lang w:val="en-US"/>
        </w:rPr>
        <w:t>L</w:t>
      </w:r>
      <w:r w:rsidR="0083334B" w:rsidRPr="003C4C9B">
        <w:rPr>
          <w:sz w:val="22"/>
          <w:szCs w:val="22"/>
          <w:lang w:val="en-US"/>
        </w:rPr>
        <w:t>earning</w:t>
      </w:r>
      <w:r w:rsidR="0083334B" w:rsidRPr="003C4C9B">
        <w:rPr>
          <w:sz w:val="22"/>
          <w:szCs w:val="22"/>
        </w:rPr>
        <w:t>»</w:t>
      </w:r>
      <w:r w:rsidR="00073F58">
        <w:rPr>
          <w:sz w:val="22"/>
          <w:szCs w:val="22"/>
        </w:rPr>
        <w:t xml:space="preserve">. Ее </w:t>
      </w:r>
      <w:r w:rsidR="0083334B" w:rsidRPr="003C4C9B">
        <w:rPr>
          <w:sz w:val="22"/>
          <w:szCs w:val="22"/>
        </w:rPr>
        <w:t xml:space="preserve">смысл </w:t>
      </w:r>
      <w:r w:rsidR="00073F58">
        <w:rPr>
          <w:sz w:val="22"/>
          <w:szCs w:val="22"/>
        </w:rPr>
        <w:t>на русском</w:t>
      </w:r>
      <w:r w:rsidR="0083334B" w:rsidRPr="003C4C9B">
        <w:rPr>
          <w:sz w:val="22"/>
          <w:szCs w:val="22"/>
        </w:rPr>
        <w:t xml:space="preserve"> языке точнее всего передается пословицей «век живи – век учись».</w:t>
      </w:r>
    </w:p>
    <w:p w:rsidR="000651FC" w:rsidRPr="003C4C9B" w:rsidRDefault="000651FC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С переводом на русский язык отглагольного существительного «</w:t>
      </w:r>
      <w:r w:rsidRPr="003C4C9B">
        <w:rPr>
          <w:sz w:val="22"/>
          <w:szCs w:val="22"/>
          <w:lang w:val="en-US"/>
        </w:rPr>
        <w:t>teaching</w:t>
      </w:r>
      <w:r w:rsidRPr="003C4C9B">
        <w:rPr>
          <w:sz w:val="22"/>
          <w:szCs w:val="22"/>
        </w:rPr>
        <w:t>» проблем нет. Он переводится как «преподавание». С аналогичным существительным «</w:t>
      </w:r>
      <w:r w:rsidRPr="003C4C9B">
        <w:rPr>
          <w:sz w:val="22"/>
          <w:szCs w:val="22"/>
          <w:lang w:val="en-US"/>
        </w:rPr>
        <w:t>learning</w:t>
      </w:r>
      <w:r w:rsidRPr="003C4C9B">
        <w:rPr>
          <w:sz w:val="22"/>
          <w:szCs w:val="22"/>
        </w:rPr>
        <w:t xml:space="preserve">» дело обстоит гораздо хуже. Его можно привести как самую красноречивую иллюстрацию проблемы, которая </w:t>
      </w:r>
      <w:r w:rsidR="00604C24" w:rsidRPr="003C4C9B">
        <w:rPr>
          <w:sz w:val="22"/>
          <w:szCs w:val="22"/>
        </w:rPr>
        <w:t>в этой же</w:t>
      </w:r>
      <w:r w:rsidRPr="003C4C9B">
        <w:rPr>
          <w:sz w:val="22"/>
          <w:szCs w:val="22"/>
        </w:rPr>
        <w:t xml:space="preserve"> статье была показана на</w:t>
      </w:r>
      <w:r w:rsidR="00604C24" w:rsidRPr="003C4C9B">
        <w:rPr>
          <w:sz w:val="22"/>
          <w:szCs w:val="22"/>
        </w:rPr>
        <w:t xml:space="preserve"> примере перевода на немецкий язык термина «</w:t>
      </w:r>
      <w:r w:rsidR="00604C24" w:rsidRPr="003C4C9B">
        <w:rPr>
          <w:sz w:val="22"/>
          <w:szCs w:val="22"/>
          <w:lang w:val="en-US"/>
        </w:rPr>
        <w:t>guideline</w:t>
      </w:r>
      <w:r w:rsidR="00604C24" w:rsidRPr="003C4C9B">
        <w:rPr>
          <w:sz w:val="22"/>
          <w:szCs w:val="22"/>
        </w:rPr>
        <w:t>»</w:t>
      </w:r>
      <w:r w:rsidR="00604C24" w:rsidRPr="003C4C9B">
        <w:rPr>
          <w:rStyle w:val="a5"/>
          <w:sz w:val="22"/>
          <w:szCs w:val="22"/>
        </w:rPr>
        <w:footnoteReference w:id="1"/>
      </w:r>
      <w:r w:rsidR="00604C24" w:rsidRPr="003C4C9B">
        <w:rPr>
          <w:sz w:val="22"/>
          <w:szCs w:val="22"/>
        </w:rPr>
        <w:t>.</w:t>
      </w:r>
    </w:p>
    <w:p w:rsidR="000651FC" w:rsidRPr="003C4C9B" w:rsidRDefault="00604C24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Русский глагол «учить» только в возвратной форме (учиться) переводим на английский как «</w:t>
      </w:r>
      <w:r w:rsidRPr="003C4C9B">
        <w:rPr>
          <w:sz w:val="22"/>
          <w:szCs w:val="22"/>
          <w:lang w:val="en-US"/>
        </w:rPr>
        <w:t>to</w:t>
      </w:r>
      <w:r w:rsidRPr="003C4C9B">
        <w:rPr>
          <w:sz w:val="22"/>
          <w:szCs w:val="22"/>
        </w:rPr>
        <w:t xml:space="preserve"> </w:t>
      </w:r>
      <w:r w:rsidRPr="003C4C9B">
        <w:rPr>
          <w:sz w:val="22"/>
          <w:szCs w:val="22"/>
          <w:lang w:val="en-US"/>
        </w:rPr>
        <w:t>learn</w:t>
      </w:r>
      <w:r w:rsidRPr="003C4C9B">
        <w:rPr>
          <w:sz w:val="22"/>
          <w:szCs w:val="22"/>
        </w:rPr>
        <w:t xml:space="preserve">». В прямой форме он в равной мере относится и к тому, кто </w:t>
      </w:r>
      <w:r w:rsidRPr="003C4C9B">
        <w:rPr>
          <w:i/>
          <w:sz w:val="22"/>
          <w:szCs w:val="22"/>
        </w:rPr>
        <w:t>кого-то</w:t>
      </w:r>
      <w:r w:rsidRPr="003C4C9B">
        <w:rPr>
          <w:sz w:val="22"/>
          <w:szCs w:val="22"/>
        </w:rPr>
        <w:t xml:space="preserve"> </w:t>
      </w:r>
      <w:r w:rsidR="00FB4B36">
        <w:rPr>
          <w:sz w:val="22"/>
          <w:szCs w:val="22"/>
        </w:rPr>
        <w:t xml:space="preserve">или </w:t>
      </w:r>
      <w:r w:rsidR="00FB4B36" w:rsidRPr="00FB4B36">
        <w:rPr>
          <w:i/>
          <w:sz w:val="22"/>
          <w:szCs w:val="22"/>
        </w:rPr>
        <w:t>чему-то</w:t>
      </w:r>
      <w:r w:rsidR="00FB4B36">
        <w:rPr>
          <w:sz w:val="22"/>
          <w:szCs w:val="22"/>
        </w:rPr>
        <w:t xml:space="preserve"> </w:t>
      </w:r>
      <w:r w:rsidRPr="003C4C9B">
        <w:rPr>
          <w:sz w:val="22"/>
          <w:szCs w:val="22"/>
        </w:rPr>
        <w:t xml:space="preserve">учит (учителю, преподавателю), и к тому, кто </w:t>
      </w:r>
      <w:r w:rsidRPr="003C4C9B">
        <w:rPr>
          <w:i/>
          <w:sz w:val="22"/>
          <w:szCs w:val="22"/>
        </w:rPr>
        <w:t>чего-то</w:t>
      </w:r>
      <w:r w:rsidRPr="003C4C9B">
        <w:rPr>
          <w:sz w:val="22"/>
          <w:szCs w:val="22"/>
        </w:rPr>
        <w:t xml:space="preserve"> учит (ученику, учащемуся). </w:t>
      </w:r>
      <w:r w:rsidR="00362CAC" w:rsidRPr="003C4C9B">
        <w:rPr>
          <w:sz w:val="22"/>
          <w:szCs w:val="22"/>
        </w:rPr>
        <w:t xml:space="preserve">Поэтому отглагольное существительное «обучение» само по себе смысла не имеет. Точнее, его смыслом может быть и </w:t>
      </w:r>
      <w:r w:rsidR="00362CAC" w:rsidRPr="003C4C9B">
        <w:rPr>
          <w:sz w:val="22"/>
          <w:szCs w:val="22"/>
          <w:lang w:val="en-US"/>
        </w:rPr>
        <w:t>teaching</w:t>
      </w:r>
      <w:r w:rsidR="00362CAC" w:rsidRPr="003C4C9B">
        <w:rPr>
          <w:sz w:val="22"/>
          <w:szCs w:val="22"/>
        </w:rPr>
        <w:t xml:space="preserve">, и </w:t>
      </w:r>
      <w:r w:rsidR="00362CAC" w:rsidRPr="003C4C9B">
        <w:rPr>
          <w:sz w:val="22"/>
          <w:szCs w:val="22"/>
          <w:lang w:val="en-US"/>
        </w:rPr>
        <w:t>learning</w:t>
      </w:r>
      <w:r w:rsidR="00362CAC" w:rsidRPr="003C4C9B">
        <w:rPr>
          <w:sz w:val="22"/>
          <w:szCs w:val="22"/>
        </w:rPr>
        <w:t>. Все зависит от контекста.</w:t>
      </w:r>
    </w:p>
    <w:p w:rsidR="00362CAC" w:rsidRPr="003C4C9B" w:rsidRDefault="00362CAC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 xml:space="preserve">В нашей </w:t>
      </w:r>
      <w:r w:rsidR="00BA01D5" w:rsidRPr="003C4C9B">
        <w:rPr>
          <w:sz w:val="22"/>
          <w:szCs w:val="22"/>
        </w:rPr>
        <w:t xml:space="preserve">педагогической и юридической практике термин </w:t>
      </w:r>
      <w:proofErr w:type="gramStart"/>
      <w:r w:rsidR="00BA01D5" w:rsidRPr="003C4C9B">
        <w:rPr>
          <w:sz w:val="22"/>
          <w:szCs w:val="22"/>
        </w:rPr>
        <w:t>«обучение»</w:t>
      </w:r>
      <w:proofErr w:type="gramEnd"/>
      <w:r w:rsidR="00BA01D5" w:rsidRPr="003C4C9B">
        <w:rPr>
          <w:sz w:val="22"/>
          <w:szCs w:val="22"/>
        </w:rPr>
        <w:t xml:space="preserve"> взятый сам по себе, вне явного контекста, обычно имеет смысл «</w:t>
      </w:r>
      <w:r w:rsidR="00BA01D5" w:rsidRPr="003C4C9B">
        <w:rPr>
          <w:sz w:val="22"/>
          <w:szCs w:val="22"/>
          <w:lang w:val="en-US"/>
        </w:rPr>
        <w:t>teaching</w:t>
      </w:r>
      <w:r w:rsidR="00BA01D5" w:rsidRPr="003C4C9B">
        <w:rPr>
          <w:sz w:val="22"/>
          <w:szCs w:val="22"/>
        </w:rPr>
        <w:t xml:space="preserve">». Это можно проиллюстрировать </w:t>
      </w:r>
      <w:r w:rsidR="0083334B" w:rsidRPr="003C4C9B">
        <w:rPr>
          <w:sz w:val="22"/>
          <w:szCs w:val="22"/>
        </w:rPr>
        <w:t>известными формулами</w:t>
      </w:r>
      <w:r w:rsidR="00BA01D5" w:rsidRPr="003C4C9B">
        <w:rPr>
          <w:sz w:val="22"/>
          <w:szCs w:val="22"/>
        </w:rPr>
        <w:t xml:space="preserve">: «образование – единый целенаправленный процесс воспитания и </w:t>
      </w:r>
      <w:r w:rsidR="00BA01D5" w:rsidRPr="003C4C9B">
        <w:rPr>
          <w:i/>
          <w:sz w:val="22"/>
          <w:szCs w:val="22"/>
        </w:rPr>
        <w:t>обучения</w:t>
      </w:r>
      <w:r w:rsidR="00BA01D5" w:rsidRPr="003C4C9B">
        <w:rPr>
          <w:sz w:val="22"/>
          <w:szCs w:val="22"/>
        </w:rPr>
        <w:t xml:space="preserve">, являющийся общественно значимым </w:t>
      </w:r>
      <w:r w:rsidR="00BA01D5" w:rsidRPr="003C4C9B">
        <w:rPr>
          <w:i/>
          <w:sz w:val="22"/>
          <w:szCs w:val="22"/>
        </w:rPr>
        <w:t>благом</w:t>
      </w:r>
      <w:r w:rsidR="00BA01D5" w:rsidRPr="003C4C9B">
        <w:rPr>
          <w:sz w:val="22"/>
          <w:szCs w:val="22"/>
        </w:rPr>
        <w:t xml:space="preserve"> и осуществляемый в интересах человека, семьи, общества и государства» (курсив мой,</w:t>
      </w:r>
      <w:r w:rsidR="00EA0079">
        <w:rPr>
          <w:sz w:val="22"/>
          <w:szCs w:val="22"/>
        </w:rPr>
        <w:t xml:space="preserve"> – </w:t>
      </w:r>
      <w:r w:rsidR="00BA01D5" w:rsidRPr="00EA0079">
        <w:rPr>
          <w:i/>
          <w:sz w:val="22"/>
          <w:szCs w:val="22"/>
        </w:rPr>
        <w:t>Л.Г</w:t>
      </w:r>
      <w:r w:rsidR="00BA01D5" w:rsidRPr="003C4C9B">
        <w:rPr>
          <w:sz w:val="22"/>
          <w:szCs w:val="22"/>
        </w:rPr>
        <w:t>.)</w:t>
      </w:r>
      <w:r w:rsidR="0083334B" w:rsidRPr="003C4C9B">
        <w:rPr>
          <w:sz w:val="22"/>
          <w:szCs w:val="22"/>
        </w:rPr>
        <w:t xml:space="preserve">; «обучение – целенаправленный процесс </w:t>
      </w:r>
      <w:r w:rsidR="0083334B" w:rsidRPr="003C4C9B">
        <w:rPr>
          <w:i/>
          <w:sz w:val="22"/>
          <w:szCs w:val="22"/>
        </w:rPr>
        <w:t>организации деятельности</w:t>
      </w:r>
      <w:r w:rsidR="0083334B" w:rsidRPr="003C4C9B">
        <w:rPr>
          <w:sz w:val="22"/>
          <w:szCs w:val="22"/>
        </w:rPr>
        <w:t xml:space="preserve"> обучающихся </w:t>
      </w:r>
      <w:r w:rsidR="0083334B" w:rsidRPr="003C4C9B">
        <w:rPr>
          <w:sz w:val="22"/>
          <w:szCs w:val="22"/>
        </w:rPr>
        <w:lastRenderedPageBreak/>
        <w:t xml:space="preserve">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</w:t>
      </w:r>
      <w:r w:rsidR="0083334B" w:rsidRPr="003C4C9B">
        <w:rPr>
          <w:i/>
          <w:sz w:val="22"/>
          <w:szCs w:val="22"/>
        </w:rPr>
        <w:t>получения образования</w:t>
      </w:r>
      <w:r w:rsidR="0083334B" w:rsidRPr="003C4C9B">
        <w:rPr>
          <w:sz w:val="22"/>
          <w:szCs w:val="22"/>
        </w:rPr>
        <w:t xml:space="preserve"> в течение всей жизни»</w:t>
      </w:r>
      <w:r w:rsidR="00BA01D5" w:rsidRPr="003C4C9B">
        <w:rPr>
          <w:rStyle w:val="a5"/>
          <w:sz w:val="22"/>
          <w:szCs w:val="22"/>
        </w:rPr>
        <w:footnoteReference w:id="2"/>
      </w:r>
      <w:r w:rsidR="00BA01D5" w:rsidRPr="003C4C9B">
        <w:rPr>
          <w:sz w:val="22"/>
          <w:szCs w:val="22"/>
        </w:rPr>
        <w:t xml:space="preserve">. </w:t>
      </w:r>
    </w:p>
    <w:p w:rsidR="001C6164" w:rsidRPr="003C4C9B" w:rsidRDefault="001C6164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 xml:space="preserve">Последняя формулировка, как нетрудно заметить, полностью переворачивает (если не извращает) смысл выражения </w:t>
      </w:r>
      <w:r w:rsidRPr="003C4C9B">
        <w:rPr>
          <w:sz w:val="22"/>
          <w:szCs w:val="22"/>
          <w:lang w:val="en-US"/>
        </w:rPr>
        <w:t>Lifelong</w:t>
      </w:r>
      <w:r w:rsidRPr="003C4C9B">
        <w:rPr>
          <w:sz w:val="22"/>
          <w:szCs w:val="22"/>
        </w:rPr>
        <w:t xml:space="preserve"> </w:t>
      </w:r>
      <w:r w:rsidR="003C4C9B">
        <w:rPr>
          <w:sz w:val="22"/>
          <w:szCs w:val="22"/>
          <w:lang w:val="en-US"/>
        </w:rPr>
        <w:t>L</w:t>
      </w:r>
      <w:r w:rsidRPr="003C4C9B">
        <w:rPr>
          <w:sz w:val="22"/>
          <w:szCs w:val="22"/>
          <w:lang w:val="en-US"/>
        </w:rPr>
        <w:t>earning</w:t>
      </w:r>
      <w:r w:rsidR="003C4C9B">
        <w:rPr>
          <w:sz w:val="22"/>
          <w:szCs w:val="22"/>
        </w:rPr>
        <w:t xml:space="preserve">, </w:t>
      </w:r>
      <w:r w:rsidRPr="003C4C9B">
        <w:rPr>
          <w:sz w:val="22"/>
          <w:szCs w:val="22"/>
        </w:rPr>
        <w:t>хорошо известно</w:t>
      </w:r>
      <w:r w:rsidR="00EA0079">
        <w:rPr>
          <w:sz w:val="22"/>
          <w:szCs w:val="22"/>
        </w:rPr>
        <w:t>го</w:t>
      </w:r>
      <w:r w:rsidRPr="003C4C9B">
        <w:rPr>
          <w:sz w:val="22"/>
          <w:szCs w:val="22"/>
        </w:rPr>
        <w:t xml:space="preserve"> авторам закона, принятого после почти десяти лет участия </w:t>
      </w:r>
      <w:r w:rsidR="00D97621" w:rsidRPr="003C4C9B">
        <w:rPr>
          <w:sz w:val="22"/>
          <w:szCs w:val="22"/>
        </w:rPr>
        <w:t>России в Б</w:t>
      </w:r>
      <w:r w:rsidRPr="003C4C9B">
        <w:rPr>
          <w:sz w:val="22"/>
          <w:szCs w:val="22"/>
        </w:rPr>
        <w:t>олонском процессе. Здесь обучающийся по-прежнему потребитель некоего блага, которое он получает</w:t>
      </w:r>
      <w:r w:rsidR="00D97621" w:rsidRPr="003C4C9B">
        <w:rPr>
          <w:rStyle w:val="a5"/>
          <w:sz w:val="22"/>
          <w:szCs w:val="22"/>
        </w:rPr>
        <w:footnoteReference w:id="3"/>
      </w:r>
      <w:r w:rsidR="00D97621" w:rsidRPr="003C4C9B">
        <w:rPr>
          <w:sz w:val="22"/>
          <w:szCs w:val="22"/>
        </w:rPr>
        <w:t>, а не присваивает собственным упорным трудом</w:t>
      </w:r>
      <w:r w:rsidRPr="003C4C9B">
        <w:rPr>
          <w:sz w:val="22"/>
          <w:szCs w:val="22"/>
        </w:rPr>
        <w:t xml:space="preserve">. </w:t>
      </w:r>
    </w:p>
    <w:p w:rsidR="000651FC" w:rsidRPr="003C4C9B" w:rsidRDefault="00D97621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Амбивалентность</w:t>
      </w:r>
      <w:r w:rsidR="00CB3873" w:rsidRPr="003C4C9B">
        <w:rPr>
          <w:sz w:val="22"/>
          <w:szCs w:val="22"/>
        </w:rPr>
        <w:t>ю</w:t>
      </w:r>
      <w:r w:rsidRPr="003C4C9B">
        <w:rPr>
          <w:sz w:val="22"/>
          <w:szCs w:val="22"/>
        </w:rPr>
        <w:t xml:space="preserve"> </w:t>
      </w:r>
      <w:r w:rsidR="00CB3873" w:rsidRPr="003C4C9B">
        <w:rPr>
          <w:sz w:val="22"/>
          <w:szCs w:val="22"/>
        </w:rPr>
        <w:t>слово «обучение» очень похоже на «стоимость». В обычном русском языке глагол «стоить» имеет в равной мере и ценностный аспект («стоящая идея», «чувство собственного достоинства»), и затратный («знал бы ты, чего мне это стоило»). В нашей научной, и далеко не только в научной, литературе это в прошлом веке привело к тому, что термин «</w:t>
      </w:r>
      <w:r w:rsidR="00CB3873" w:rsidRPr="003C4C9B">
        <w:rPr>
          <w:sz w:val="22"/>
          <w:szCs w:val="22"/>
          <w:lang w:val="en-US"/>
        </w:rPr>
        <w:t>value</w:t>
      </w:r>
      <w:r w:rsidR="00CB3873" w:rsidRPr="003C4C9B">
        <w:rPr>
          <w:sz w:val="22"/>
          <w:szCs w:val="22"/>
        </w:rPr>
        <w:t xml:space="preserve">» (и нем. </w:t>
      </w:r>
      <w:r w:rsidR="00CB3873" w:rsidRPr="003C4C9B">
        <w:rPr>
          <w:sz w:val="22"/>
          <w:szCs w:val="22"/>
          <w:lang w:val="en-US"/>
        </w:rPr>
        <w:t>Wert</w:t>
      </w:r>
      <w:r w:rsidR="00CB3873" w:rsidRPr="003C4C9B">
        <w:rPr>
          <w:sz w:val="22"/>
          <w:szCs w:val="22"/>
        </w:rPr>
        <w:t>), ключевые для Маркса</w:t>
      </w:r>
      <w:r w:rsidR="0011762B" w:rsidRPr="003C4C9B">
        <w:rPr>
          <w:sz w:val="22"/>
          <w:szCs w:val="22"/>
        </w:rPr>
        <w:t xml:space="preserve">, стали переводиться как «стоимость», а не как «ценность», причем именно с затратным смыслом. </w:t>
      </w:r>
      <w:r w:rsidR="00EA0079">
        <w:rPr>
          <w:sz w:val="22"/>
          <w:szCs w:val="22"/>
        </w:rPr>
        <w:t>В результате появились</w:t>
      </w:r>
      <w:r w:rsidR="0011762B" w:rsidRPr="003C4C9B">
        <w:rPr>
          <w:sz w:val="22"/>
          <w:szCs w:val="22"/>
        </w:rPr>
        <w:t xml:space="preserve"> таки</w:t>
      </w:r>
      <w:r w:rsidR="00EA0079">
        <w:rPr>
          <w:sz w:val="22"/>
          <w:szCs w:val="22"/>
        </w:rPr>
        <w:t>е</w:t>
      </w:r>
      <w:r w:rsidR="0011762B" w:rsidRPr="003C4C9B">
        <w:rPr>
          <w:sz w:val="22"/>
          <w:szCs w:val="22"/>
        </w:rPr>
        <w:t xml:space="preserve"> нелепы</w:t>
      </w:r>
      <w:r w:rsidR="00EA0079">
        <w:rPr>
          <w:sz w:val="22"/>
          <w:szCs w:val="22"/>
        </w:rPr>
        <w:t>е</w:t>
      </w:r>
      <w:r w:rsidR="0011762B" w:rsidRPr="003C4C9B">
        <w:rPr>
          <w:sz w:val="22"/>
          <w:szCs w:val="22"/>
        </w:rPr>
        <w:t xml:space="preserve"> с точки зрени</w:t>
      </w:r>
      <w:r w:rsidR="00EA0079">
        <w:rPr>
          <w:sz w:val="22"/>
          <w:szCs w:val="22"/>
        </w:rPr>
        <w:t>я обычного языка словосочетания</w:t>
      </w:r>
      <w:r w:rsidR="0011762B" w:rsidRPr="003C4C9B">
        <w:rPr>
          <w:sz w:val="22"/>
          <w:szCs w:val="22"/>
        </w:rPr>
        <w:t>, как</w:t>
      </w:r>
      <w:r w:rsidR="008C7653" w:rsidRPr="003C4C9B">
        <w:rPr>
          <w:sz w:val="22"/>
          <w:szCs w:val="22"/>
        </w:rPr>
        <w:t xml:space="preserve"> </w:t>
      </w:r>
      <w:r w:rsidR="0011762B" w:rsidRPr="003C4C9B">
        <w:rPr>
          <w:sz w:val="22"/>
          <w:szCs w:val="22"/>
        </w:rPr>
        <w:t xml:space="preserve">«потребительная стоимость», </w:t>
      </w:r>
      <w:r w:rsidR="008C7653" w:rsidRPr="003C4C9B">
        <w:rPr>
          <w:sz w:val="22"/>
          <w:szCs w:val="22"/>
        </w:rPr>
        <w:t xml:space="preserve">«себестоимость», </w:t>
      </w:r>
      <w:r w:rsidR="0011762B" w:rsidRPr="003C4C9B">
        <w:rPr>
          <w:sz w:val="22"/>
          <w:szCs w:val="22"/>
        </w:rPr>
        <w:t>«налог на добавленную стоимость»</w:t>
      </w:r>
      <w:r w:rsidR="0011762B" w:rsidRPr="003C4C9B">
        <w:rPr>
          <w:rStyle w:val="a5"/>
          <w:sz w:val="22"/>
          <w:szCs w:val="22"/>
        </w:rPr>
        <w:footnoteReference w:id="4"/>
      </w:r>
      <w:r w:rsidR="0011762B" w:rsidRPr="003C4C9B">
        <w:rPr>
          <w:sz w:val="22"/>
          <w:szCs w:val="22"/>
        </w:rPr>
        <w:t xml:space="preserve">. </w:t>
      </w:r>
    </w:p>
    <w:p w:rsidR="00D97621" w:rsidRPr="003C4C9B" w:rsidRDefault="00C529A7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Сейчас образование в экономике начинает занимать то же место, которое в сравнительно недавнем прошлом занимала промышленность, а высшее образование, соответственно, такую же ключевую роль, как обрабатывающая промышленность (группа «А», если пользоваться терминологией нашего недавнего прошлого). Поэтому выстраивание правильной, адекватно трактуемой терминологии стало насущной необходимостью.</w:t>
      </w:r>
    </w:p>
    <w:p w:rsidR="00C529A7" w:rsidRDefault="00C529A7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>Об этом авторами много сказано во второй статье. Но как раз термин «</w:t>
      </w:r>
      <w:r w:rsidRPr="003C4C9B">
        <w:rPr>
          <w:sz w:val="22"/>
          <w:szCs w:val="22"/>
          <w:lang w:val="en-US"/>
        </w:rPr>
        <w:t>learning</w:t>
      </w:r>
      <w:r w:rsidRPr="003C4C9B">
        <w:rPr>
          <w:sz w:val="22"/>
          <w:szCs w:val="22"/>
        </w:rPr>
        <w:t>» оказался не то, чтобы потерянным, но не всегда однозначно трактованным. Вот несколько примеров</w:t>
      </w:r>
      <w:r w:rsidR="008C7653" w:rsidRPr="003C4C9B">
        <w:rPr>
          <w:sz w:val="22"/>
          <w:szCs w:val="22"/>
        </w:rPr>
        <w:t xml:space="preserve"> из первой их статьи</w:t>
      </w:r>
      <w:r w:rsidRPr="003C4C9B">
        <w:rPr>
          <w:sz w:val="22"/>
          <w:szCs w:val="22"/>
        </w:rPr>
        <w:t xml:space="preserve">: </w:t>
      </w:r>
      <w:r w:rsidR="007E2DC2" w:rsidRPr="003C4C9B">
        <w:rPr>
          <w:sz w:val="22"/>
          <w:szCs w:val="22"/>
        </w:rPr>
        <w:t xml:space="preserve">«Предпосылкой [оценки, аккредитации и управления качеством – </w:t>
      </w:r>
      <w:r w:rsidR="007E2DC2" w:rsidRPr="00EA0079">
        <w:rPr>
          <w:i/>
          <w:sz w:val="22"/>
          <w:szCs w:val="22"/>
        </w:rPr>
        <w:t>Л.Г</w:t>
      </w:r>
      <w:r w:rsidR="007E2DC2" w:rsidRPr="003C4C9B">
        <w:rPr>
          <w:sz w:val="22"/>
          <w:szCs w:val="22"/>
        </w:rPr>
        <w:t xml:space="preserve">.] выступает разработка сопоставимых методов и критериев оценки качества в сферах </w:t>
      </w:r>
      <w:r w:rsidR="007E2DC2" w:rsidRPr="003C4C9B">
        <w:rPr>
          <w:i/>
          <w:sz w:val="22"/>
          <w:szCs w:val="22"/>
        </w:rPr>
        <w:t>обучения</w:t>
      </w:r>
      <w:r w:rsidR="007E2DC2" w:rsidRPr="003C4C9B">
        <w:rPr>
          <w:sz w:val="22"/>
          <w:szCs w:val="22"/>
        </w:rPr>
        <w:t>, воспитания и научных исследований»</w:t>
      </w:r>
      <w:r w:rsidR="007E2DC2" w:rsidRPr="003C4C9B">
        <w:rPr>
          <w:rStyle w:val="a5"/>
          <w:sz w:val="22"/>
          <w:szCs w:val="22"/>
        </w:rPr>
        <w:footnoteReference w:id="5"/>
      </w:r>
      <w:r w:rsidR="007E2DC2" w:rsidRPr="003C4C9B">
        <w:rPr>
          <w:sz w:val="22"/>
          <w:szCs w:val="22"/>
        </w:rPr>
        <w:t xml:space="preserve"> (здесь контекст – </w:t>
      </w:r>
      <w:r w:rsidR="007E2DC2" w:rsidRPr="003C4C9B">
        <w:rPr>
          <w:sz w:val="22"/>
          <w:szCs w:val="22"/>
          <w:lang w:val="en-US"/>
        </w:rPr>
        <w:t>teaching</w:t>
      </w:r>
      <w:r w:rsidR="007E2DC2" w:rsidRPr="003C4C9B">
        <w:rPr>
          <w:sz w:val="22"/>
          <w:szCs w:val="22"/>
        </w:rPr>
        <w:t>); «</w:t>
      </w:r>
      <w:r w:rsidR="007E2DC2" w:rsidRPr="003C4C9B">
        <w:rPr>
          <w:i/>
          <w:sz w:val="22"/>
          <w:szCs w:val="22"/>
        </w:rPr>
        <w:t>Обучение</w:t>
      </w:r>
      <w:r w:rsidR="007E2DC2" w:rsidRPr="003C4C9B">
        <w:rPr>
          <w:sz w:val="22"/>
          <w:szCs w:val="22"/>
        </w:rPr>
        <w:t xml:space="preserve"> и преподавание: каково их место в шкале вузовских приоритетов?»</w:t>
      </w:r>
      <w:r w:rsidR="007E2DC2" w:rsidRPr="003C4C9B">
        <w:rPr>
          <w:rStyle w:val="a5"/>
          <w:sz w:val="22"/>
          <w:szCs w:val="22"/>
        </w:rPr>
        <w:footnoteReference w:id="6"/>
      </w:r>
      <w:r w:rsidR="007E2DC2" w:rsidRPr="003C4C9B">
        <w:rPr>
          <w:sz w:val="22"/>
          <w:szCs w:val="22"/>
        </w:rPr>
        <w:t xml:space="preserve"> (а здесь – </w:t>
      </w:r>
      <w:r w:rsidR="007E2DC2" w:rsidRPr="003C4C9B">
        <w:rPr>
          <w:sz w:val="22"/>
          <w:szCs w:val="22"/>
          <w:lang w:val="en-US"/>
        </w:rPr>
        <w:t>learning</w:t>
      </w:r>
      <w:r w:rsidR="007E2DC2" w:rsidRPr="003C4C9B">
        <w:rPr>
          <w:sz w:val="22"/>
          <w:szCs w:val="22"/>
        </w:rPr>
        <w:t xml:space="preserve">); «от сдвига педагогических стратегий и технологий по вектору «от </w:t>
      </w:r>
      <w:r w:rsidR="007E2DC2" w:rsidRPr="003C4C9B">
        <w:rPr>
          <w:i/>
          <w:sz w:val="22"/>
          <w:szCs w:val="22"/>
        </w:rPr>
        <w:t>обучения</w:t>
      </w:r>
      <w:r w:rsidR="007E2DC2" w:rsidRPr="003C4C9B">
        <w:rPr>
          <w:sz w:val="22"/>
          <w:szCs w:val="22"/>
        </w:rPr>
        <w:t xml:space="preserve"> к учению» до </w:t>
      </w:r>
      <w:proofErr w:type="spellStart"/>
      <w:r w:rsidR="007E2DC2" w:rsidRPr="003C4C9B">
        <w:rPr>
          <w:sz w:val="22"/>
          <w:szCs w:val="22"/>
        </w:rPr>
        <w:t>компетентностного</w:t>
      </w:r>
      <w:proofErr w:type="spellEnd"/>
      <w:r w:rsidR="007E2DC2" w:rsidRPr="003C4C9B">
        <w:rPr>
          <w:sz w:val="22"/>
          <w:szCs w:val="22"/>
        </w:rPr>
        <w:t xml:space="preserve"> и результат-ориентированного переформатирования высшего образования и придания </w:t>
      </w:r>
      <w:proofErr w:type="spellStart"/>
      <w:r w:rsidR="007E2DC2" w:rsidRPr="003C4C9B">
        <w:rPr>
          <w:sz w:val="22"/>
          <w:szCs w:val="22"/>
        </w:rPr>
        <w:t>студенто</w:t>
      </w:r>
      <w:proofErr w:type="spellEnd"/>
      <w:r w:rsidR="007E2DC2" w:rsidRPr="003C4C9B">
        <w:rPr>
          <w:sz w:val="22"/>
          <w:szCs w:val="22"/>
        </w:rPr>
        <w:t>-центрированной направленности учебному процессу»</w:t>
      </w:r>
      <w:r w:rsidR="008C7653" w:rsidRPr="003C4C9B">
        <w:rPr>
          <w:rStyle w:val="a5"/>
          <w:sz w:val="22"/>
          <w:szCs w:val="22"/>
        </w:rPr>
        <w:footnoteReference w:id="7"/>
      </w:r>
      <w:r w:rsidR="007E2DC2" w:rsidRPr="003C4C9B">
        <w:rPr>
          <w:sz w:val="22"/>
          <w:szCs w:val="22"/>
        </w:rPr>
        <w:t xml:space="preserve"> (</w:t>
      </w:r>
      <w:r w:rsidR="008C7653" w:rsidRPr="003C4C9B">
        <w:rPr>
          <w:sz w:val="22"/>
          <w:szCs w:val="22"/>
        </w:rPr>
        <w:t>и снова –</w:t>
      </w:r>
      <w:r w:rsidR="007E2DC2" w:rsidRPr="003C4C9B">
        <w:rPr>
          <w:sz w:val="22"/>
          <w:szCs w:val="22"/>
        </w:rPr>
        <w:t xml:space="preserve"> </w:t>
      </w:r>
      <w:r w:rsidR="007E2DC2" w:rsidRPr="003C4C9B">
        <w:rPr>
          <w:sz w:val="22"/>
          <w:szCs w:val="22"/>
          <w:lang w:val="en-US"/>
        </w:rPr>
        <w:t>teaching</w:t>
      </w:r>
      <w:r w:rsidR="007E2DC2" w:rsidRPr="003C4C9B">
        <w:rPr>
          <w:sz w:val="22"/>
          <w:szCs w:val="22"/>
        </w:rPr>
        <w:t>)</w:t>
      </w:r>
      <w:r w:rsidR="008C7653" w:rsidRPr="003C4C9B">
        <w:rPr>
          <w:sz w:val="22"/>
          <w:szCs w:val="22"/>
        </w:rPr>
        <w:t>.</w:t>
      </w:r>
    </w:p>
    <w:p w:rsidR="006C50F4" w:rsidRPr="003D694B" w:rsidRDefault="006C50F4" w:rsidP="003C4C9B">
      <w:pPr>
        <w:spacing w:line="360" w:lineRule="auto"/>
        <w:jc w:val="both"/>
      </w:pPr>
      <w:r w:rsidRPr="003D694B">
        <w:rPr>
          <w:sz w:val="22"/>
          <w:szCs w:val="22"/>
        </w:rPr>
        <w:lastRenderedPageBreak/>
        <w:t>Не вполне удачным представляется перевод прилагательного «</w:t>
      </w:r>
      <w:r w:rsidRPr="003D694B">
        <w:rPr>
          <w:sz w:val="22"/>
          <w:szCs w:val="22"/>
          <w:lang w:val="en-US"/>
        </w:rPr>
        <w:t>student</w:t>
      </w:r>
      <w:r w:rsidRPr="003D694B">
        <w:rPr>
          <w:sz w:val="22"/>
          <w:szCs w:val="22"/>
        </w:rPr>
        <w:t>-</w:t>
      </w:r>
      <w:r w:rsidRPr="003D694B">
        <w:rPr>
          <w:sz w:val="22"/>
          <w:szCs w:val="22"/>
          <w:lang w:val="en-GB"/>
        </w:rPr>
        <w:t>centred</w:t>
      </w:r>
      <w:r w:rsidRPr="003D694B">
        <w:rPr>
          <w:sz w:val="22"/>
          <w:szCs w:val="22"/>
        </w:rPr>
        <w:t>» как «</w:t>
      </w:r>
      <w:proofErr w:type="spellStart"/>
      <w:r w:rsidRPr="003D694B">
        <w:rPr>
          <w:sz w:val="22"/>
          <w:szCs w:val="22"/>
        </w:rPr>
        <w:t>студенто</w:t>
      </w:r>
      <w:proofErr w:type="spellEnd"/>
      <w:r w:rsidRPr="003D694B">
        <w:rPr>
          <w:sz w:val="22"/>
          <w:szCs w:val="22"/>
        </w:rPr>
        <w:t>-центрированный». В нем субъект как бы объективируется. Это в большей мере соответствует</w:t>
      </w:r>
      <w:r w:rsidR="00B061C3" w:rsidRPr="003D694B">
        <w:rPr>
          <w:sz w:val="22"/>
          <w:szCs w:val="22"/>
        </w:rPr>
        <w:t xml:space="preserve"> уходящему в прошлое </w:t>
      </w:r>
      <w:r w:rsidRPr="003D694B">
        <w:rPr>
          <w:sz w:val="22"/>
          <w:szCs w:val="22"/>
        </w:rPr>
        <w:t xml:space="preserve">пониманию образования как </w:t>
      </w:r>
      <w:r w:rsidRPr="003D694B">
        <w:rPr>
          <w:sz w:val="22"/>
          <w:szCs w:val="22"/>
          <w:lang w:val="en-US"/>
        </w:rPr>
        <w:t>education</w:t>
      </w:r>
      <w:r w:rsidRPr="003D694B">
        <w:rPr>
          <w:sz w:val="22"/>
          <w:szCs w:val="22"/>
        </w:rPr>
        <w:t xml:space="preserve"> (корень </w:t>
      </w:r>
      <w:proofErr w:type="spellStart"/>
      <w:r w:rsidR="00B061C3" w:rsidRPr="003D694B">
        <w:rPr>
          <w:sz w:val="22"/>
          <w:szCs w:val="22"/>
          <w:lang w:val="en-US"/>
        </w:rPr>
        <w:t>duc</w:t>
      </w:r>
      <w:proofErr w:type="spellEnd"/>
      <w:r w:rsidR="00B061C3" w:rsidRPr="003D694B">
        <w:rPr>
          <w:sz w:val="22"/>
          <w:szCs w:val="22"/>
        </w:rPr>
        <w:t xml:space="preserve"> – делает упор</w:t>
      </w:r>
      <w:bookmarkStart w:id="0" w:name="_GoBack"/>
      <w:bookmarkEnd w:id="0"/>
      <w:r w:rsidR="00B061C3" w:rsidRPr="003D694B">
        <w:rPr>
          <w:sz w:val="22"/>
          <w:szCs w:val="22"/>
        </w:rPr>
        <w:t xml:space="preserve"> на том, кто ведет</w:t>
      </w:r>
      <w:r w:rsidRPr="003D694B">
        <w:rPr>
          <w:sz w:val="22"/>
          <w:szCs w:val="22"/>
        </w:rPr>
        <w:t>)</w:t>
      </w:r>
      <w:r w:rsidR="00B061C3" w:rsidRPr="003D694B">
        <w:rPr>
          <w:sz w:val="22"/>
          <w:szCs w:val="22"/>
        </w:rPr>
        <w:t>. Может быть, не очень складное прилагательное «</w:t>
      </w:r>
      <w:proofErr w:type="spellStart"/>
      <w:r w:rsidR="00B061C3" w:rsidRPr="003D694B">
        <w:rPr>
          <w:sz w:val="22"/>
          <w:szCs w:val="22"/>
        </w:rPr>
        <w:t>студенто-центричный</w:t>
      </w:r>
      <w:proofErr w:type="spellEnd"/>
      <w:r w:rsidR="00B061C3" w:rsidRPr="003D694B">
        <w:rPr>
          <w:sz w:val="22"/>
          <w:szCs w:val="22"/>
        </w:rPr>
        <w:t>» точнее выражает смысл?</w:t>
      </w:r>
    </w:p>
    <w:p w:rsidR="008C7653" w:rsidRDefault="000C6BFE" w:rsidP="003C4C9B">
      <w:pPr>
        <w:spacing w:line="360" w:lineRule="auto"/>
        <w:jc w:val="both"/>
        <w:rPr>
          <w:sz w:val="22"/>
          <w:szCs w:val="22"/>
        </w:rPr>
      </w:pPr>
      <w:r w:rsidRPr="003C4C9B">
        <w:rPr>
          <w:sz w:val="22"/>
          <w:szCs w:val="22"/>
        </w:rPr>
        <w:t xml:space="preserve">Учитывая, что все три статьи, взятые вместе – это путеводитель по избранным переводам из почти необозримой массы специальной литературы по Болонскому процессу, остается поблагодарить авторов и за организацию этих переводов, и за интереснейший обзор ключевых тем, направлений, </w:t>
      </w:r>
      <w:r w:rsidR="00B74699" w:rsidRPr="003C4C9B">
        <w:rPr>
          <w:sz w:val="22"/>
          <w:szCs w:val="22"/>
        </w:rPr>
        <w:t xml:space="preserve">которые обсуждаются нашими коллегами за рубежом и высказать надежду, что нашими общими усилиями будет реализовано их пожелание: </w:t>
      </w:r>
      <w:r w:rsidRPr="003C4C9B">
        <w:rPr>
          <w:sz w:val="22"/>
          <w:szCs w:val="22"/>
        </w:rPr>
        <w:t>разработа</w:t>
      </w:r>
      <w:r w:rsidR="00B74699" w:rsidRPr="003C4C9B">
        <w:rPr>
          <w:sz w:val="22"/>
          <w:szCs w:val="22"/>
        </w:rPr>
        <w:t>н</w:t>
      </w:r>
      <w:r w:rsidRPr="003C4C9B">
        <w:rPr>
          <w:sz w:val="22"/>
          <w:szCs w:val="22"/>
        </w:rPr>
        <w:t xml:space="preserve"> </w:t>
      </w:r>
      <w:r w:rsidR="00B74699" w:rsidRPr="003C4C9B">
        <w:rPr>
          <w:sz w:val="22"/>
          <w:szCs w:val="22"/>
        </w:rPr>
        <w:t xml:space="preserve">понятийно-проблемный словарь </w:t>
      </w:r>
      <w:r w:rsidRPr="003C4C9B">
        <w:rPr>
          <w:sz w:val="22"/>
          <w:szCs w:val="22"/>
        </w:rPr>
        <w:t>для улучшения коммуникации представителей российского академического сообщества с международными академическими кругами</w:t>
      </w:r>
      <w:r w:rsidR="00B74699" w:rsidRPr="003C4C9B">
        <w:rPr>
          <w:sz w:val="22"/>
          <w:szCs w:val="22"/>
        </w:rPr>
        <w:t>.</w:t>
      </w:r>
    </w:p>
    <w:p w:rsidR="00FB4B36" w:rsidRPr="00FB4B36" w:rsidRDefault="00FB4B36" w:rsidP="00E76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rFonts w:ascii="inherit" w:hAnsi="inherit" w:cs="Courier New"/>
          <w:b/>
          <w:caps/>
          <w:color w:val="212121"/>
          <w:sz w:val="22"/>
          <w:szCs w:val="20"/>
          <w:lang w:val="en-US"/>
        </w:rPr>
      </w:pPr>
      <w:r w:rsidRPr="00FB4B36">
        <w:rPr>
          <w:rFonts w:ascii="inherit" w:hAnsi="inherit" w:cs="Courier New"/>
          <w:b/>
          <w:caps/>
          <w:color w:val="212121"/>
          <w:sz w:val="22"/>
          <w:szCs w:val="20"/>
          <w:lang w:val="en-US"/>
        </w:rPr>
        <w:t xml:space="preserve">“Teaching and Learning”: </w:t>
      </w:r>
      <w:r w:rsidRPr="00FB4B36">
        <w:rPr>
          <w:rFonts w:ascii="inherit" w:hAnsi="inherit" w:cs="Courier New"/>
          <w:b/>
          <w:caps/>
          <w:color w:val="212121"/>
          <w:sz w:val="22"/>
          <w:szCs w:val="20"/>
          <w:lang w:val="en"/>
        </w:rPr>
        <w:t>Features of National Terminology</w:t>
      </w:r>
    </w:p>
    <w:p w:rsidR="009210F8" w:rsidRPr="00EF1FCF" w:rsidRDefault="009210F8" w:rsidP="00FB4B36">
      <w:pPr>
        <w:spacing w:before="240" w:line="360" w:lineRule="auto"/>
        <w:jc w:val="both"/>
        <w:rPr>
          <w:sz w:val="22"/>
          <w:szCs w:val="22"/>
          <w:lang w:val="en-US"/>
        </w:rPr>
      </w:pPr>
      <w:r w:rsidRPr="009210F8">
        <w:rPr>
          <w:b/>
          <w:i/>
          <w:sz w:val="22"/>
          <w:szCs w:val="22"/>
          <w:lang w:val="en-US"/>
        </w:rPr>
        <w:t>GREBNEV Leonid S.</w:t>
      </w:r>
      <w:r w:rsidRPr="009210F8">
        <w:rPr>
          <w:sz w:val="22"/>
          <w:szCs w:val="22"/>
          <w:lang w:val="en-US"/>
        </w:rPr>
        <w:t xml:space="preserve"> – Dr. Sci. (Economics), Prof., National Research University Higher School of Economics, Moscow, Russia. </w:t>
      </w:r>
      <w:r w:rsidR="003D694B">
        <w:rPr>
          <w:sz w:val="22"/>
          <w:szCs w:val="22"/>
          <w:lang w:val="en-US"/>
        </w:rPr>
        <w:t>E-</w:t>
      </w:r>
      <w:r w:rsidRPr="00EF1FCF">
        <w:rPr>
          <w:sz w:val="22"/>
          <w:szCs w:val="22"/>
          <w:lang w:val="en-US"/>
        </w:rPr>
        <w:t>mail: lgrebnev@hse.ru</w:t>
      </w:r>
    </w:p>
    <w:p w:rsidR="00EF1FCF" w:rsidRPr="00EF1FCF" w:rsidRDefault="009210F8" w:rsidP="00E76B9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lang w:val="en-US"/>
        </w:rPr>
      </w:pPr>
      <w:r w:rsidRPr="00EF1FCF">
        <w:rPr>
          <w:rFonts w:ascii="Times New Roman" w:hAnsi="Times New Roman" w:cs="Times New Roman"/>
          <w:b/>
          <w:i/>
          <w:lang w:val="en-US"/>
        </w:rPr>
        <w:t>Abstract</w:t>
      </w:r>
      <w:r w:rsidRPr="00EF1FCF">
        <w:rPr>
          <w:rFonts w:ascii="Times New Roman" w:hAnsi="Times New Roman" w:cs="Times New Roman"/>
          <w:lang w:val="en-US"/>
        </w:rPr>
        <w:t xml:space="preserve">. </w:t>
      </w:r>
      <w:r w:rsidR="00EF1FCF" w:rsidRPr="00EF1FCF">
        <w:rPr>
          <w:rFonts w:ascii="Times New Roman" w:hAnsi="Times New Roman" w:cs="Times New Roman"/>
          <w:color w:val="212121"/>
          <w:lang w:val="en"/>
        </w:rPr>
        <w:t xml:space="preserve">The article examines the difficulties of an adequate translation into Russian of the term learning, one of the key ones in the Bologna process. The absence of </w:t>
      </w:r>
      <w:r w:rsidR="00E76B90">
        <w:rPr>
          <w:rFonts w:ascii="inherit" w:hAnsi="inherit"/>
          <w:color w:val="212121"/>
          <w:lang w:val="en"/>
        </w:rPr>
        <w:t xml:space="preserve">unambiguous </w:t>
      </w:r>
      <w:r w:rsidR="00EF1FCF" w:rsidRPr="00EF1FCF">
        <w:rPr>
          <w:rFonts w:ascii="Times New Roman" w:hAnsi="Times New Roman" w:cs="Times New Roman"/>
          <w:color w:val="212121"/>
          <w:lang w:val="en"/>
        </w:rPr>
        <w:t>translation affects the perception of the contents of the cycle of articles by V.I. B</w:t>
      </w:r>
      <w:r w:rsidR="00EF1FCF" w:rsidRPr="00EF1FCF">
        <w:rPr>
          <w:rFonts w:ascii="Times New Roman" w:hAnsi="Times New Roman" w:cs="Times New Roman"/>
          <w:color w:val="212121"/>
          <w:lang w:val="en-US"/>
        </w:rPr>
        <w:t>a</w:t>
      </w:r>
      <w:proofErr w:type="spellStart"/>
      <w:r w:rsidR="00EF1FCF">
        <w:rPr>
          <w:rFonts w:ascii="Times New Roman" w:hAnsi="Times New Roman" w:cs="Times New Roman"/>
          <w:color w:val="212121"/>
          <w:lang w:val="en"/>
        </w:rPr>
        <w:t>idenko</w:t>
      </w:r>
      <w:proofErr w:type="spellEnd"/>
      <w:r w:rsidR="00EF1FCF">
        <w:rPr>
          <w:rFonts w:ascii="Times New Roman" w:hAnsi="Times New Roman" w:cs="Times New Roman"/>
          <w:color w:val="212121"/>
          <w:lang w:val="en"/>
        </w:rPr>
        <w:t xml:space="preserve"> and N.A. </w:t>
      </w:r>
      <w:proofErr w:type="spellStart"/>
      <w:r w:rsidR="00EF1FCF">
        <w:rPr>
          <w:rFonts w:ascii="Times New Roman" w:hAnsi="Times New Roman" w:cs="Times New Roman"/>
          <w:color w:val="212121"/>
          <w:lang w:val="en"/>
        </w:rPr>
        <w:t>Selezneva</w:t>
      </w:r>
      <w:proofErr w:type="spellEnd"/>
      <w:r w:rsidR="00E76B90">
        <w:rPr>
          <w:rFonts w:ascii="Times New Roman" w:hAnsi="Times New Roman" w:cs="Times New Roman"/>
          <w:color w:val="212121"/>
          <w:lang w:val="en"/>
        </w:rPr>
        <w:t>.</w:t>
      </w:r>
    </w:p>
    <w:p w:rsidR="009210F8" w:rsidRDefault="009210F8" w:rsidP="009210F8">
      <w:pPr>
        <w:spacing w:line="360" w:lineRule="auto"/>
        <w:jc w:val="both"/>
        <w:rPr>
          <w:sz w:val="22"/>
          <w:szCs w:val="22"/>
          <w:lang w:val="en-US"/>
        </w:rPr>
      </w:pPr>
      <w:r w:rsidRPr="00EF1FCF">
        <w:rPr>
          <w:b/>
          <w:i/>
          <w:sz w:val="22"/>
          <w:szCs w:val="22"/>
          <w:lang w:val="en-US"/>
        </w:rPr>
        <w:t>Keywords</w:t>
      </w:r>
      <w:r w:rsidRPr="009210F8">
        <w:rPr>
          <w:sz w:val="22"/>
          <w:szCs w:val="22"/>
          <w:lang w:val="en-US"/>
        </w:rPr>
        <w:t xml:space="preserve">: </w:t>
      </w:r>
      <w:r w:rsidR="00EF1FCF" w:rsidRPr="00EF1FCF">
        <w:rPr>
          <w:color w:val="212121"/>
          <w:sz w:val="20"/>
          <w:szCs w:val="20"/>
          <w:lang w:val="en"/>
        </w:rPr>
        <w:t>Bologna process</w:t>
      </w:r>
      <w:r w:rsidR="00EF1FCF">
        <w:rPr>
          <w:color w:val="212121"/>
          <w:sz w:val="20"/>
          <w:szCs w:val="20"/>
          <w:lang w:val="en"/>
        </w:rPr>
        <w:t xml:space="preserve">, </w:t>
      </w:r>
      <w:r w:rsidR="00E76B90">
        <w:rPr>
          <w:color w:val="212121"/>
          <w:sz w:val="20"/>
          <w:szCs w:val="20"/>
          <w:lang w:val="en"/>
        </w:rPr>
        <w:t>t</w:t>
      </w:r>
      <w:r w:rsidR="00EF1FCF">
        <w:rPr>
          <w:color w:val="212121"/>
          <w:sz w:val="20"/>
          <w:szCs w:val="20"/>
          <w:lang w:val="en"/>
        </w:rPr>
        <w:t>eaching, learning.</w:t>
      </w:r>
    </w:p>
    <w:p w:rsidR="003D694B" w:rsidRDefault="003D694B" w:rsidP="003D694B">
      <w:pPr>
        <w:spacing w:line="360" w:lineRule="auto"/>
        <w:jc w:val="both"/>
        <w:rPr>
          <w:sz w:val="22"/>
          <w:szCs w:val="22"/>
          <w:lang w:val="en-US"/>
        </w:rPr>
      </w:pPr>
      <w:r w:rsidRPr="003D694B">
        <w:rPr>
          <w:sz w:val="22"/>
          <w:szCs w:val="22"/>
          <w:lang w:val="en-US"/>
        </w:rPr>
        <w:t xml:space="preserve">Cite </w:t>
      </w:r>
      <w:proofErr w:type="gramStart"/>
      <w:r w:rsidRPr="003D694B">
        <w:rPr>
          <w:sz w:val="22"/>
          <w:szCs w:val="22"/>
          <w:lang w:val="en-US"/>
        </w:rPr>
        <w:t>as:</w:t>
      </w:r>
      <w:proofErr w:type="gramEnd"/>
      <w:r w:rsidRPr="003D694B">
        <w:rPr>
          <w:sz w:val="22"/>
          <w:szCs w:val="22"/>
          <w:lang w:val="en-US"/>
        </w:rPr>
        <w:t xml:space="preserve"> </w:t>
      </w:r>
      <w:proofErr w:type="spellStart"/>
      <w:r w:rsidRPr="003D694B">
        <w:rPr>
          <w:sz w:val="22"/>
          <w:szCs w:val="22"/>
          <w:lang w:val="en-US"/>
        </w:rPr>
        <w:t>Grebnev</w:t>
      </w:r>
      <w:proofErr w:type="spellEnd"/>
      <w:r w:rsidRPr="003D694B">
        <w:rPr>
          <w:sz w:val="22"/>
          <w:szCs w:val="22"/>
          <w:lang w:val="en-US"/>
        </w:rPr>
        <w:t>, L.S. (2017). [“Teaching and Learning”: Features of National Terminology].</w:t>
      </w:r>
      <w:r w:rsidRPr="003D694B">
        <w:rPr>
          <w:sz w:val="22"/>
          <w:szCs w:val="22"/>
          <w:lang w:val="en-US"/>
        </w:rPr>
        <w:t xml:space="preserve"> </w:t>
      </w:r>
      <w:proofErr w:type="spellStart"/>
      <w:r w:rsidRPr="003D694B">
        <w:rPr>
          <w:sz w:val="22"/>
          <w:szCs w:val="22"/>
          <w:lang w:val="en-US"/>
        </w:rPr>
        <w:t>Vysshee</w:t>
      </w:r>
      <w:proofErr w:type="spellEnd"/>
      <w:r w:rsidRPr="003D694B">
        <w:rPr>
          <w:sz w:val="22"/>
          <w:szCs w:val="22"/>
          <w:lang w:val="en-US"/>
        </w:rPr>
        <w:t xml:space="preserve"> </w:t>
      </w:r>
      <w:proofErr w:type="spellStart"/>
      <w:r w:rsidRPr="003D694B">
        <w:rPr>
          <w:sz w:val="22"/>
          <w:szCs w:val="22"/>
          <w:lang w:val="en-US"/>
        </w:rPr>
        <w:t>obrazovanie</w:t>
      </w:r>
      <w:proofErr w:type="spellEnd"/>
      <w:r w:rsidRPr="003D694B">
        <w:rPr>
          <w:sz w:val="22"/>
          <w:szCs w:val="22"/>
          <w:lang w:val="en-US"/>
        </w:rPr>
        <w:t xml:space="preserve"> v </w:t>
      </w:r>
      <w:proofErr w:type="spellStart"/>
      <w:r w:rsidRPr="003D694B">
        <w:rPr>
          <w:sz w:val="22"/>
          <w:szCs w:val="22"/>
          <w:lang w:val="en-US"/>
        </w:rPr>
        <w:t>Rossii</w:t>
      </w:r>
      <w:proofErr w:type="spellEnd"/>
      <w:r w:rsidRPr="003D694B">
        <w:rPr>
          <w:sz w:val="22"/>
          <w:szCs w:val="22"/>
          <w:lang w:val="en-US"/>
        </w:rPr>
        <w:t xml:space="preserve"> = Higher Education in Russia. No. 12 (218), pp. 133-135 (In Russ.,</w:t>
      </w:r>
      <w:r>
        <w:rPr>
          <w:sz w:val="22"/>
          <w:szCs w:val="22"/>
        </w:rPr>
        <w:t xml:space="preserve"> </w:t>
      </w:r>
      <w:r w:rsidRPr="003D694B">
        <w:rPr>
          <w:sz w:val="22"/>
          <w:szCs w:val="22"/>
          <w:lang w:val="en-US"/>
        </w:rPr>
        <w:t>abstract in Eng.)</w:t>
      </w:r>
    </w:p>
    <w:sectPr w:rsidR="003D694B" w:rsidSect="004F357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9E" w:rsidRDefault="005D049E" w:rsidP="00604C24">
      <w:r>
        <w:separator/>
      </w:r>
    </w:p>
  </w:endnote>
  <w:endnote w:type="continuationSeparator" w:id="0">
    <w:p w:rsidR="005D049E" w:rsidRDefault="005D049E" w:rsidP="0060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9E" w:rsidRDefault="005D049E" w:rsidP="00604C24">
      <w:r>
        <w:separator/>
      </w:r>
    </w:p>
  </w:footnote>
  <w:footnote w:type="continuationSeparator" w:id="0">
    <w:p w:rsidR="005D049E" w:rsidRDefault="005D049E" w:rsidP="00604C24">
      <w:r>
        <w:continuationSeparator/>
      </w:r>
    </w:p>
  </w:footnote>
  <w:footnote w:id="1">
    <w:p w:rsidR="00604C24" w:rsidRPr="003C4C9B" w:rsidRDefault="00604C24" w:rsidP="003D694B">
      <w:pPr>
        <w:spacing w:line="276" w:lineRule="auto"/>
        <w:jc w:val="both"/>
        <w:rPr>
          <w:sz w:val="20"/>
          <w:szCs w:val="20"/>
        </w:rPr>
      </w:pPr>
      <w:r w:rsidRPr="003C4C9B">
        <w:rPr>
          <w:rStyle w:val="a5"/>
          <w:sz w:val="20"/>
          <w:szCs w:val="20"/>
        </w:rPr>
        <w:footnoteRef/>
      </w:r>
      <w:r w:rsidRPr="003C4C9B">
        <w:rPr>
          <w:sz w:val="20"/>
          <w:szCs w:val="20"/>
        </w:rPr>
        <w:t xml:space="preserve"> «Термины в разных языках имеют различные коннотации (при переводе); например, </w:t>
      </w:r>
      <w:r w:rsidRPr="003C4C9B">
        <w:rPr>
          <w:sz w:val="20"/>
          <w:szCs w:val="20"/>
          <w:lang w:val="en-US"/>
        </w:rPr>
        <w:t>guideline</w:t>
      </w:r>
      <w:r w:rsidRPr="003C4C9B">
        <w:rPr>
          <w:sz w:val="20"/>
          <w:szCs w:val="20"/>
        </w:rPr>
        <w:t xml:space="preserve"> в немецком в большей мере носит характер требования, чем в английском. Поскольку используются английские термины, существует иллюзия общего языка. Однако в действительности термины отягощены местными культурными смыслами» </w:t>
      </w:r>
      <w:proofErr w:type="spellStart"/>
      <w:r w:rsidR="003C4C9B" w:rsidRPr="003C4C9B">
        <w:rPr>
          <w:i/>
          <w:iCs/>
          <w:sz w:val="20"/>
          <w:szCs w:val="20"/>
          <w:lang w:eastAsia="en-US"/>
        </w:rPr>
        <w:t>Байденко</w:t>
      </w:r>
      <w:proofErr w:type="spellEnd"/>
      <w:r w:rsidR="003C4C9B" w:rsidRPr="003C4C9B">
        <w:rPr>
          <w:i/>
          <w:iCs/>
          <w:sz w:val="20"/>
          <w:szCs w:val="20"/>
          <w:lang w:eastAsia="en-US"/>
        </w:rPr>
        <w:t xml:space="preserve"> В.И., Селезнева Н.А. </w:t>
      </w:r>
      <w:r w:rsidR="003C4C9B">
        <w:rPr>
          <w:sz w:val="20"/>
          <w:szCs w:val="20"/>
          <w:lang w:eastAsia="en-US"/>
        </w:rPr>
        <w:t>Оптика взгляда на будущее</w:t>
      </w:r>
      <w:r w:rsidR="003C4C9B" w:rsidRPr="003C4C9B">
        <w:rPr>
          <w:sz w:val="20"/>
          <w:szCs w:val="20"/>
          <w:lang w:eastAsia="en-US"/>
        </w:rPr>
        <w:t xml:space="preserve"> (Статья </w:t>
      </w:r>
      <w:r w:rsidR="003C4C9B">
        <w:rPr>
          <w:sz w:val="20"/>
          <w:szCs w:val="20"/>
          <w:lang w:eastAsia="en-US"/>
        </w:rPr>
        <w:t>3</w:t>
      </w:r>
      <w:r w:rsidR="003C4C9B" w:rsidRPr="003C4C9B">
        <w:rPr>
          <w:sz w:val="20"/>
          <w:szCs w:val="20"/>
          <w:lang w:eastAsia="en-US"/>
        </w:rPr>
        <w:t>) // Высшее образование в России. 2017. № 1</w:t>
      </w:r>
      <w:r w:rsidR="003C4C9B">
        <w:rPr>
          <w:sz w:val="20"/>
          <w:szCs w:val="20"/>
          <w:lang w:eastAsia="en-US"/>
        </w:rPr>
        <w:t>2 (218</w:t>
      </w:r>
      <w:r w:rsidR="003C4C9B" w:rsidRPr="003C4C9B">
        <w:rPr>
          <w:sz w:val="20"/>
          <w:szCs w:val="20"/>
          <w:lang w:eastAsia="en-US"/>
        </w:rPr>
        <w:t xml:space="preserve">). </w:t>
      </w:r>
      <w:r w:rsidR="00284F5A" w:rsidRPr="00284F5A">
        <w:rPr>
          <w:sz w:val="20"/>
          <w:szCs w:val="20"/>
        </w:rPr>
        <w:t>С. 120-132.</w:t>
      </w:r>
    </w:p>
  </w:footnote>
  <w:footnote w:id="2">
    <w:p w:rsidR="00BA01D5" w:rsidRPr="00EA0079" w:rsidRDefault="00BA01D5" w:rsidP="00EA0079">
      <w:pPr>
        <w:pStyle w:val="1"/>
        <w:rPr>
          <w:b w:val="0"/>
          <w:sz w:val="20"/>
        </w:rPr>
      </w:pPr>
      <w:r w:rsidRPr="003C4C9B">
        <w:rPr>
          <w:rStyle w:val="a5"/>
          <w:b w:val="0"/>
          <w:sz w:val="20"/>
          <w:szCs w:val="20"/>
        </w:rPr>
        <w:footnoteRef/>
      </w:r>
      <w:r w:rsidRPr="00EF1FCF">
        <w:rPr>
          <w:b w:val="0"/>
        </w:rPr>
        <w:t xml:space="preserve"> </w:t>
      </w:r>
      <w:r w:rsidRPr="003C4C9B">
        <w:rPr>
          <w:rStyle w:val="a6"/>
          <w:sz w:val="20"/>
          <w:szCs w:val="20"/>
        </w:rPr>
        <w:t xml:space="preserve">Федеральный закон "Об образовании в Российской Федерации" N 273-ФЗ от 29 декабря 2012 года с изменениями 2017-2016 года. Ст. 2. </w:t>
      </w:r>
      <w:r w:rsidRPr="00EA0079">
        <w:rPr>
          <w:rFonts w:eastAsia="Times New Roman" w:cs="Times New Roman"/>
          <w:b w:val="0"/>
          <w:kern w:val="36"/>
          <w:sz w:val="20"/>
        </w:rPr>
        <w:t>Основные понятия, используемые в настоящем Федеральном законе.</w:t>
      </w:r>
    </w:p>
  </w:footnote>
  <w:footnote w:id="3">
    <w:p w:rsidR="00D97621" w:rsidRPr="003C4C9B" w:rsidRDefault="00D97621" w:rsidP="00EA0079">
      <w:pPr>
        <w:pStyle w:val="a3"/>
        <w:spacing w:line="360" w:lineRule="auto"/>
        <w:jc w:val="both"/>
        <w:rPr>
          <w:b/>
        </w:rPr>
      </w:pPr>
      <w:r w:rsidRPr="003C4C9B">
        <w:rPr>
          <w:rStyle w:val="a5"/>
        </w:rPr>
        <w:footnoteRef/>
      </w:r>
      <w:r w:rsidRPr="003C4C9B">
        <w:t xml:space="preserve"> Отсюда недалеко и до упреков в том, что реформы 2000-х годов в российском образовании были нацелены на формирование грамотного потребителя, а не творца, как это декларировалось «до 1991 года».</w:t>
      </w:r>
    </w:p>
  </w:footnote>
  <w:footnote w:id="4">
    <w:p w:rsidR="0011762B" w:rsidRPr="003C4C9B" w:rsidRDefault="0011762B" w:rsidP="00EA0079">
      <w:pPr>
        <w:pStyle w:val="a3"/>
        <w:spacing w:line="360" w:lineRule="auto"/>
        <w:jc w:val="both"/>
      </w:pPr>
      <w:r w:rsidRPr="003C4C9B">
        <w:rPr>
          <w:rStyle w:val="a5"/>
        </w:rPr>
        <w:footnoteRef/>
      </w:r>
      <w:r w:rsidRPr="003C4C9B">
        <w:t xml:space="preserve"> Английское словосочетание «</w:t>
      </w:r>
      <w:r w:rsidRPr="003C4C9B">
        <w:rPr>
          <w:lang w:val="en-GB"/>
        </w:rPr>
        <w:t>Value</w:t>
      </w:r>
      <w:r w:rsidRPr="003C4C9B">
        <w:t xml:space="preserve"> </w:t>
      </w:r>
      <w:r w:rsidRPr="003C4C9B">
        <w:rPr>
          <w:lang w:val="en-US"/>
        </w:rPr>
        <w:t>Added</w:t>
      </w:r>
      <w:r w:rsidRPr="003C4C9B">
        <w:t xml:space="preserve"> </w:t>
      </w:r>
      <w:r w:rsidRPr="003C4C9B">
        <w:rPr>
          <w:lang w:val="en-US"/>
        </w:rPr>
        <w:t>Tax</w:t>
      </w:r>
      <w:r w:rsidRPr="003C4C9B">
        <w:t>» правильно переводится как «налог на ценность, добавленную обработкой».</w:t>
      </w:r>
    </w:p>
  </w:footnote>
  <w:footnote w:id="5">
    <w:p w:rsidR="007E2DC2" w:rsidRPr="003C4C9B" w:rsidRDefault="007E2DC2" w:rsidP="00EA007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C4C9B">
        <w:rPr>
          <w:rStyle w:val="a5"/>
          <w:sz w:val="20"/>
          <w:szCs w:val="20"/>
        </w:rPr>
        <w:footnoteRef/>
      </w:r>
      <w:r w:rsidRPr="003C4C9B">
        <w:rPr>
          <w:sz w:val="20"/>
          <w:szCs w:val="20"/>
        </w:rPr>
        <w:t xml:space="preserve"> </w:t>
      </w:r>
      <w:proofErr w:type="spellStart"/>
      <w:r w:rsidR="003C4C9B" w:rsidRPr="003C4C9B">
        <w:rPr>
          <w:i/>
          <w:iCs/>
          <w:sz w:val="20"/>
          <w:szCs w:val="20"/>
          <w:lang w:eastAsia="en-US"/>
        </w:rPr>
        <w:t>Байденко</w:t>
      </w:r>
      <w:proofErr w:type="spellEnd"/>
      <w:r w:rsidR="003C4C9B" w:rsidRPr="003C4C9B">
        <w:rPr>
          <w:i/>
          <w:iCs/>
          <w:sz w:val="20"/>
          <w:szCs w:val="20"/>
          <w:lang w:eastAsia="en-US"/>
        </w:rPr>
        <w:t xml:space="preserve"> В.И., Селезнева Н.А. </w:t>
      </w:r>
      <w:r w:rsidR="003C4C9B" w:rsidRPr="003C4C9B">
        <w:rPr>
          <w:sz w:val="20"/>
          <w:szCs w:val="20"/>
          <w:lang w:eastAsia="en-US"/>
        </w:rPr>
        <w:t>Нынешний раунд Болонского процесса: сохранение оптимизма. И немного о российском… (Статья 1) // Высшее образование в России. 2017. № 10 (216). С. 94-108.</w:t>
      </w:r>
      <w:r w:rsidR="003C4C9B" w:rsidRPr="003C4C9B">
        <w:rPr>
          <w:sz w:val="20"/>
          <w:szCs w:val="20"/>
        </w:rPr>
        <w:t xml:space="preserve"> </w:t>
      </w:r>
      <w:r w:rsidRPr="003C4C9B">
        <w:rPr>
          <w:sz w:val="20"/>
          <w:szCs w:val="20"/>
        </w:rPr>
        <w:t>с.</w:t>
      </w:r>
      <w:r w:rsidR="003C4C9B" w:rsidRPr="003C4C9B">
        <w:rPr>
          <w:sz w:val="20"/>
          <w:szCs w:val="20"/>
        </w:rPr>
        <w:t xml:space="preserve"> </w:t>
      </w:r>
      <w:r w:rsidR="00B311F4" w:rsidRPr="003C4C9B">
        <w:rPr>
          <w:sz w:val="20"/>
          <w:szCs w:val="20"/>
        </w:rPr>
        <w:t>95</w:t>
      </w:r>
      <w:r w:rsidR="003C4C9B" w:rsidRPr="003C4C9B">
        <w:rPr>
          <w:sz w:val="20"/>
          <w:szCs w:val="20"/>
        </w:rPr>
        <w:t>.</w:t>
      </w:r>
    </w:p>
  </w:footnote>
  <w:footnote w:id="6">
    <w:p w:rsidR="007E2DC2" w:rsidRPr="003C4C9B" w:rsidRDefault="007E2DC2" w:rsidP="00EA0079">
      <w:pPr>
        <w:pStyle w:val="a3"/>
        <w:spacing w:line="360" w:lineRule="auto"/>
        <w:jc w:val="both"/>
      </w:pPr>
      <w:r w:rsidRPr="003C4C9B">
        <w:rPr>
          <w:rStyle w:val="a5"/>
        </w:rPr>
        <w:footnoteRef/>
      </w:r>
      <w:r w:rsidRPr="003C4C9B">
        <w:t xml:space="preserve"> </w:t>
      </w:r>
      <w:r w:rsidR="003C4C9B" w:rsidRPr="003C4C9B">
        <w:t>Там же,</w:t>
      </w:r>
      <w:r w:rsidRPr="003C4C9B">
        <w:t xml:space="preserve"> </w:t>
      </w:r>
      <w:r w:rsidR="003C4C9B" w:rsidRPr="003C4C9B">
        <w:t>с. 97.</w:t>
      </w:r>
    </w:p>
  </w:footnote>
  <w:footnote w:id="7">
    <w:p w:rsidR="008C7653" w:rsidRPr="003C4C9B" w:rsidRDefault="008C7653" w:rsidP="00EA0079">
      <w:pPr>
        <w:pStyle w:val="a3"/>
        <w:spacing w:line="360" w:lineRule="auto"/>
        <w:jc w:val="both"/>
      </w:pPr>
      <w:r w:rsidRPr="003C4C9B">
        <w:rPr>
          <w:rStyle w:val="a5"/>
        </w:rPr>
        <w:footnoteRef/>
      </w:r>
      <w:r w:rsidRPr="003C4C9B">
        <w:t xml:space="preserve"> </w:t>
      </w:r>
      <w:r w:rsidR="003C4C9B" w:rsidRPr="003C4C9B">
        <w:t>Там же, с. 102.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75"/>
    <w:rsid w:val="000651FC"/>
    <w:rsid w:val="00073ACD"/>
    <w:rsid w:val="00073F58"/>
    <w:rsid w:val="000C6BFE"/>
    <w:rsid w:val="0011762B"/>
    <w:rsid w:val="001C6164"/>
    <w:rsid w:val="00284F5A"/>
    <w:rsid w:val="00300AA3"/>
    <w:rsid w:val="0032326C"/>
    <w:rsid w:val="00362CAC"/>
    <w:rsid w:val="003C4C9B"/>
    <w:rsid w:val="003D694B"/>
    <w:rsid w:val="004D14B3"/>
    <w:rsid w:val="004E0D2F"/>
    <w:rsid w:val="004F3575"/>
    <w:rsid w:val="004F635B"/>
    <w:rsid w:val="005D049E"/>
    <w:rsid w:val="00604C24"/>
    <w:rsid w:val="00693E68"/>
    <w:rsid w:val="006A35C9"/>
    <w:rsid w:val="006C50F4"/>
    <w:rsid w:val="006E40F4"/>
    <w:rsid w:val="007260CD"/>
    <w:rsid w:val="00737618"/>
    <w:rsid w:val="007E2DC2"/>
    <w:rsid w:val="007E7D5A"/>
    <w:rsid w:val="00827AC0"/>
    <w:rsid w:val="0083334B"/>
    <w:rsid w:val="0084399B"/>
    <w:rsid w:val="0085195B"/>
    <w:rsid w:val="008C7653"/>
    <w:rsid w:val="009210F8"/>
    <w:rsid w:val="00977769"/>
    <w:rsid w:val="00B061C3"/>
    <w:rsid w:val="00B311F4"/>
    <w:rsid w:val="00B41A22"/>
    <w:rsid w:val="00B60AE0"/>
    <w:rsid w:val="00B74699"/>
    <w:rsid w:val="00BA01D5"/>
    <w:rsid w:val="00BE32A7"/>
    <w:rsid w:val="00C529A7"/>
    <w:rsid w:val="00CB3873"/>
    <w:rsid w:val="00CF037D"/>
    <w:rsid w:val="00D97621"/>
    <w:rsid w:val="00E76B90"/>
    <w:rsid w:val="00EA0079"/>
    <w:rsid w:val="00EF1FCF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E8E8E-2D38-44FB-9419-3DEC6168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575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A0079"/>
    <w:pPr>
      <w:spacing w:line="360" w:lineRule="auto"/>
      <w:jc w:val="both"/>
      <w:outlineLvl w:val="0"/>
    </w:pPr>
    <w:rPr>
      <w:rFonts w:eastAsiaTheme="majorEastAsia" w:cstheme="majorBidi"/>
      <w:b/>
      <w:bCs/>
      <w:kern w:val="32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E7D5A"/>
    <w:pPr>
      <w:keepNext/>
      <w:tabs>
        <w:tab w:val="left" w:pos="3969"/>
      </w:tabs>
      <w:spacing w:before="120" w:after="120"/>
      <w:ind w:left="-74" w:firstLine="0"/>
      <w:jc w:val="both"/>
      <w:outlineLvl w:val="1"/>
    </w:pPr>
    <w:rPr>
      <w:rFonts w:eastAsiaTheme="majorEastAsia"/>
      <w:b/>
      <w:bCs/>
      <w:i/>
      <w:iCs/>
      <w:lang w:val="en-US" w:eastAsia="en-US"/>
    </w:rPr>
  </w:style>
  <w:style w:type="paragraph" w:styleId="3">
    <w:name w:val="heading 3"/>
    <w:basedOn w:val="a"/>
    <w:link w:val="30"/>
    <w:autoRedefine/>
    <w:uiPriority w:val="9"/>
    <w:qFormat/>
    <w:rsid w:val="006E40F4"/>
    <w:pPr>
      <w:keepNext/>
      <w:spacing w:before="120" w:after="60"/>
      <w:outlineLvl w:val="2"/>
    </w:pPr>
    <w:rPr>
      <w:b/>
      <w:bCs/>
      <w:sz w:val="26"/>
      <w:szCs w:val="27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F037D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D5A"/>
    <w:rPr>
      <w:rFonts w:ascii="Times New Roman" w:eastAsiaTheme="majorEastAsia" w:hAnsi="Times New Roman" w:cs="Times New Roman"/>
      <w:b/>
      <w:bCs/>
      <w:i/>
      <w:i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40F4"/>
    <w:rPr>
      <w:rFonts w:ascii="Times New Roman" w:eastAsia="Times New Roman" w:hAnsi="Times New Roman" w:cs="Times New Roman"/>
      <w:b/>
      <w:bCs/>
      <w:sz w:val="26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079"/>
    <w:rPr>
      <w:rFonts w:ascii="Times New Roman" w:eastAsiaTheme="majorEastAsia" w:hAnsi="Times New Roman" w:cstheme="majorBidi"/>
      <w:b/>
      <w:bCs/>
      <w:kern w:val="3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37D"/>
    <w:rPr>
      <w:rFonts w:ascii="Times New Roman" w:eastAsiaTheme="majorEastAsia" w:hAnsi="Times New Roman" w:cstheme="majorBidi"/>
      <w:iCs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604C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4C2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4C24"/>
    <w:rPr>
      <w:vertAlign w:val="superscript"/>
    </w:rPr>
  </w:style>
  <w:style w:type="character" w:styleId="a6">
    <w:name w:val="Strong"/>
    <w:basedOn w:val="a0"/>
    <w:uiPriority w:val="22"/>
    <w:qFormat/>
    <w:rsid w:val="00BA01D5"/>
    <w:rPr>
      <w:b/>
      <w:bCs/>
    </w:rPr>
  </w:style>
  <w:style w:type="character" w:styleId="a7">
    <w:name w:val="Hyperlink"/>
    <w:basedOn w:val="a0"/>
    <w:uiPriority w:val="99"/>
    <w:unhideWhenUsed/>
    <w:rsid w:val="00693E6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10F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rebnev@h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51CE-42D8-4737-8AAC-805F5D9D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Гребнев</dc:creator>
  <cp:keywords/>
  <dc:description/>
  <cp:lastModifiedBy>Леонид Гребнев</cp:lastModifiedBy>
  <cp:revision>10</cp:revision>
  <dcterms:created xsi:type="dcterms:W3CDTF">2017-11-04T10:29:00Z</dcterms:created>
  <dcterms:modified xsi:type="dcterms:W3CDTF">2018-03-01T14:04:00Z</dcterms:modified>
</cp:coreProperties>
</file>